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A8D2B">
      <w:pPr>
        <w:jc w:val="center"/>
        <w:rPr>
          <w:rFonts w:ascii="宋体" w:hAnsi="宋体" w:cs="宋体"/>
          <w:b/>
          <w:bCs/>
          <w:sz w:val="44"/>
        </w:rPr>
      </w:pPr>
      <w:r>
        <w:rPr>
          <w:rFonts w:hint="eastAsia" w:ascii="宋体" w:hAnsi="宋体" w:cs="宋体"/>
          <w:b/>
          <w:bCs/>
          <w:sz w:val="44"/>
        </w:rPr>
        <w:t>人类遗传资源审批/备案事项确认表</w:t>
      </w:r>
    </w:p>
    <w:tbl>
      <w:tblPr>
        <w:tblStyle w:val="6"/>
        <w:tblpPr w:leftFromText="180" w:rightFromText="180" w:vertAnchor="text" w:horzAnchor="page" w:tblpXSpec="center" w:tblpY="701"/>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17"/>
        <w:gridCol w:w="1209"/>
        <w:gridCol w:w="485"/>
        <w:gridCol w:w="2105"/>
        <w:gridCol w:w="1724"/>
        <w:gridCol w:w="1462"/>
        <w:gridCol w:w="1701"/>
      </w:tblGrid>
      <w:tr w14:paraId="43E1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27" w:type="dxa"/>
            <w:gridSpan w:val="3"/>
            <w:vAlign w:val="center"/>
          </w:tcPr>
          <w:p w14:paraId="167A68A6">
            <w:pPr>
              <w:numPr>
                <w:ilvl w:val="255"/>
                <w:numId w:val="0"/>
              </w:numPr>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项目名称</w:t>
            </w:r>
          </w:p>
        </w:tc>
        <w:tc>
          <w:tcPr>
            <w:tcW w:w="7477" w:type="dxa"/>
            <w:gridSpan w:val="5"/>
            <w:vAlign w:val="center"/>
          </w:tcPr>
          <w:p w14:paraId="357BB558">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30D3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27" w:type="dxa"/>
            <w:gridSpan w:val="3"/>
            <w:vAlign w:val="center"/>
          </w:tcPr>
          <w:p w14:paraId="458C3D35">
            <w:pPr>
              <w:numPr>
                <w:ilvl w:val="255"/>
                <w:numId w:val="0"/>
              </w:numPr>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申办者、电话</w:t>
            </w:r>
          </w:p>
        </w:tc>
        <w:tc>
          <w:tcPr>
            <w:tcW w:w="7477" w:type="dxa"/>
            <w:gridSpan w:val="5"/>
            <w:vAlign w:val="center"/>
          </w:tcPr>
          <w:p w14:paraId="76772259">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3EF8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27" w:type="dxa"/>
            <w:gridSpan w:val="3"/>
            <w:vAlign w:val="center"/>
          </w:tcPr>
          <w:p w14:paraId="7CBAB7C7">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s="仿宋"/>
                <w:sz w:val="24"/>
              </w:rPr>
              <w:t>CRO</w:t>
            </w:r>
            <w:r>
              <w:rPr>
                <w:rFonts w:hint="eastAsia" w:ascii="Times New Roman" w:hAnsi="Times New Roman" w:eastAsia="宋体" w:cs="仿宋"/>
                <w:color w:val="000000" w:themeColor="text1"/>
                <w:kern w:val="0"/>
                <w:sz w:val="24"/>
                <w14:textFill>
                  <w14:solidFill>
                    <w14:schemeClr w14:val="tx1"/>
                  </w14:solidFill>
                </w14:textFill>
              </w:rPr>
              <w:t>、电话</w:t>
            </w:r>
          </w:p>
        </w:tc>
        <w:tc>
          <w:tcPr>
            <w:tcW w:w="7477" w:type="dxa"/>
            <w:gridSpan w:val="5"/>
            <w:vAlign w:val="center"/>
          </w:tcPr>
          <w:p w14:paraId="48575431">
            <w:pPr>
              <w:numPr>
                <w:ilvl w:val="255"/>
                <w:numId w:val="0"/>
              </w:numPr>
              <w:rPr>
                <w:rFonts w:ascii="Times New Roman" w:hAnsi="Times New Roman" w:eastAsia="宋体"/>
                <w:color w:val="000000" w:themeColor="text1"/>
                <w:kern w:val="0"/>
                <w:sz w:val="24"/>
                <w14:textFill>
                  <w14:solidFill>
                    <w14:schemeClr w14:val="tx1"/>
                  </w14:solidFill>
                </w14:textFill>
              </w:rPr>
            </w:pPr>
          </w:p>
        </w:tc>
      </w:tr>
      <w:tr w14:paraId="67F8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27" w:type="dxa"/>
            <w:gridSpan w:val="3"/>
            <w:vAlign w:val="center"/>
          </w:tcPr>
          <w:p w14:paraId="2E02EA3D">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承担</w:t>
            </w:r>
            <w:r>
              <w:rPr>
                <w:rFonts w:hint="eastAsia" w:ascii="Times New Roman" w:hAnsi="Times New Roman" w:eastAsia="宋体"/>
                <w:color w:val="000000" w:themeColor="text1"/>
                <w:kern w:val="0"/>
                <w:sz w:val="24"/>
                <w14:textFill>
                  <w14:solidFill>
                    <w14:schemeClr w14:val="tx1"/>
                  </w14:solidFill>
                </w14:textFill>
              </w:rPr>
              <w:t>专业组</w:t>
            </w:r>
          </w:p>
        </w:tc>
        <w:tc>
          <w:tcPr>
            <w:tcW w:w="2590" w:type="dxa"/>
            <w:gridSpan w:val="2"/>
            <w:vAlign w:val="center"/>
          </w:tcPr>
          <w:p w14:paraId="1C5B992A">
            <w:pPr>
              <w:numPr>
                <w:ilvl w:val="255"/>
                <w:numId w:val="0"/>
              </w:numPr>
              <w:rPr>
                <w:rFonts w:ascii="Times New Roman" w:hAnsi="Times New Roman" w:eastAsia="宋体"/>
                <w:color w:val="000000" w:themeColor="text1"/>
                <w:kern w:val="0"/>
                <w:sz w:val="24"/>
                <w14:textFill>
                  <w14:solidFill>
                    <w14:schemeClr w14:val="tx1"/>
                  </w14:solidFill>
                </w14:textFill>
              </w:rPr>
            </w:pPr>
          </w:p>
        </w:tc>
        <w:tc>
          <w:tcPr>
            <w:tcW w:w="1724" w:type="dxa"/>
            <w:vAlign w:val="center"/>
          </w:tcPr>
          <w:p w14:paraId="3F427ECD">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PI及联系电话</w:t>
            </w:r>
          </w:p>
        </w:tc>
        <w:tc>
          <w:tcPr>
            <w:tcW w:w="3163" w:type="dxa"/>
            <w:gridSpan w:val="2"/>
            <w:vAlign w:val="center"/>
          </w:tcPr>
          <w:p w14:paraId="67361C95">
            <w:pPr>
              <w:numPr>
                <w:ilvl w:val="255"/>
                <w:numId w:val="0"/>
              </w:numPr>
              <w:rPr>
                <w:rFonts w:ascii="Times New Roman" w:hAnsi="Times New Roman" w:eastAsia="宋体"/>
                <w:color w:val="000000" w:themeColor="text1"/>
                <w:kern w:val="0"/>
                <w:sz w:val="24"/>
                <w14:textFill>
                  <w14:solidFill>
                    <w14:schemeClr w14:val="tx1"/>
                  </w14:solidFill>
                </w14:textFill>
              </w:rPr>
            </w:pPr>
          </w:p>
        </w:tc>
      </w:tr>
      <w:tr w14:paraId="487F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04" w:type="dxa"/>
            <w:gridSpan w:val="8"/>
            <w:vAlign w:val="center"/>
          </w:tcPr>
          <w:p w14:paraId="31B0EB6F">
            <w:pPr>
              <w:numPr>
                <w:ilvl w:val="255"/>
                <w:numId w:val="0"/>
              </w:numP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请核对下列内容，确定本项目是否涉及人类遗传资源审批/备案：</w:t>
            </w:r>
          </w:p>
        </w:tc>
      </w:tr>
      <w:tr w14:paraId="3082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8" w:type="dxa"/>
            <w:gridSpan w:val="2"/>
            <w:vAlign w:val="center"/>
          </w:tcPr>
          <w:p w14:paraId="7E6C733E">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是否涉及</w:t>
            </w:r>
          </w:p>
        </w:tc>
        <w:tc>
          <w:tcPr>
            <w:tcW w:w="1694" w:type="dxa"/>
            <w:gridSpan w:val="2"/>
            <w:vAlign w:val="center"/>
          </w:tcPr>
          <w:p w14:paraId="14B2EB47">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涉及类别</w:t>
            </w:r>
          </w:p>
        </w:tc>
        <w:tc>
          <w:tcPr>
            <w:tcW w:w="5291" w:type="dxa"/>
            <w:gridSpan w:val="3"/>
            <w:vAlign w:val="center"/>
          </w:tcPr>
          <w:p w14:paraId="4455C4A7">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涉及内容</w:t>
            </w:r>
          </w:p>
        </w:tc>
        <w:tc>
          <w:tcPr>
            <w:tcW w:w="1701" w:type="dxa"/>
            <w:vAlign w:val="center"/>
          </w:tcPr>
          <w:p w14:paraId="53F9E706">
            <w:pPr>
              <w:numPr>
                <w:ilvl w:val="255"/>
                <w:numId w:val="0"/>
              </w:numPr>
              <w:jc w:val="center"/>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olor w:val="000000" w:themeColor="text1"/>
                <w:kern w:val="0"/>
                <w:sz w:val="24"/>
                <w14:textFill>
                  <w14:solidFill>
                    <w14:schemeClr w14:val="tx1"/>
                  </w14:solidFill>
                </w14:textFill>
              </w:rPr>
              <w:t>涉及事项说明</w:t>
            </w:r>
          </w:p>
        </w:tc>
      </w:tr>
      <w:tr w14:paraId="2212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vAlign w:val="center"/>
          </w:tcPr>
          <w:p w14:paraId="1ABF06F5">
            <w:pPr>
              <w:spacing w:line="264" w:lineRule="auto"/>
              <w:rPr>
                <w:rFonts w:ascii="Times New Roman" w:hAnsi="Times New Roman" w:eastAsia="宋体"/>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1ED27C1E">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Merge w:val="restart"/>
            <w:vAlign w:val="center"/>
          </w:tcPr>
          <w:p w14:paraId="5C5E2FDF">
            <w:pPr>
              <w:numPr>
                <w:ilvl w:val="255"/>
                <w:numId w:val="0"/>
              </w:numPr>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w:t>
            </w:r>
            <w:r>
              <w:rPr>
                <w:rFonts w:hint="eastAsia" w:ascii="Times New Roman" w:hAnsi="Times New Roman" w:eastAsia="宋体" w:cs="仿宋"/>
                <w:color w:val="000000" w:themeColor="text1"/>
                <w:kern w:val="0"/>
                <w:sz w:val="24"/>
                <w14:textFill>
                  <w14:solidFill>
                    <w14:schemeClr w14:val="tx1"/>
                  </w14:solidFill>
                </w14:textFill>
              </w:rPr>
              <w:t>遗传资源采集</w:t>
            </w:r>
            <w:r>
              <w:rPr>
                <w:rFonts w:ascii="Times New Roman" w:hAnsi="Times New Roman" w:eastAsia="宋体" w:cs="仿宋"/>
                <w:color w:val="000000" w:themeColor="text1"/>
                <w:kern w:val="0"/>
                <w:sz w:val="24"/>
                <w14:textFill>
                  <w14:solidFill>
                    <w14:schemeClr w14:val="tx1"/>
                  </w14:solidFill>
                </w14:textFill>
              </w:rPr>
              <w:t>审批</w:t>
            </w:r>
          </w:p>
        </w:tc>
        <w:tc>
          <w:tcPr>
            <w:tcW w:w="5291" w:type="dxa"/>
            <w:gridSpan w:val="3"/>
            <w:vAlign w:val="center"/>
          </w:tcPr>
          <w:p w14:paraId="05FB929D">
            <w:pPr>
              <w:numPr>
                <w:ilvl w:val="255"/>
                <w:numId w:val="0"/>
              </w:numPr>
              <w:rPr>
                <w:rFonts w:ascii="Times New Roman" w:hAnsi="Times New Roman" w:eastAsia="宋体"/>
                <w:color w:val="000000" w:themeColor="text1"/>
                <w:kern w:val="0"/>
                <w:sz w:val="24"/>
                <w14:textFill>
                  <w14:solidFill>
                    <w14:schemeClr w14:val="tx1"/>
                  </w14:solidFill>
                </w14:textFill>
              </w:rPr>
            </w:pPr>
            <w:r>
              <w:rPr>
                <w:rFonts w:ascii="Times New Roman" w:hAnsi="Times New Roman" w:eastAsia="宋体"/>
                <w:color w:val="000000" w:themeColor="text1"/>
                <w:kern w:val="0"/>
                <w:sz w:val="24"/>
                <w14:textFill>
                  <w14:solidFill>
                    <w14:schemeClr w14:val="tx1"/>
                  </w14:solidFill>
                </w14:textFill>
              </w:rPr>
              <w:t>重要遗传家系人类遗传资源采集活动。重要遗传家系是指患有遗传性疾病、具有遗传性特殊体质或者生理特征的有血缘关系的群体，且该群体中患有遗传性疾病、具有遗传性特殊体质或者生理特征的成员涉及三代或者三代以上，高血压、糖尿病、红绿色盲、血友病等见疾病不在此列</w:t>
            </w:r>
          </w:p>
        </w:tc>
        <w:tc>
          <w:tcPr>
            <w:tcW w:w="1701" w:type="dxa"/>
            <w:vAlign w:val="center"/>
          </w:tcPr>
          <w:p w14:paraId="4A547C32">
            <w:pPr>
              <w:numPr>
                <w:ilvl w:val="255"/>
                <w:numId w:val="0"/>
              </w:numPr>
              <w:rPr>
                <w:rFonts w:ascii="Times New Roman" w:hAnsi="Times New Roman" w:eastAsia="宋体"/>
                <w:color w:val="000000" w:themeColor="text1"/>
                <w:kern w:val="0"/>
                <w:sz w:val="24"/>
                <w14:textFill>
                  <w14:solidFill>
                    <w14:schemeClr w14:val="tx1"/>
                  </w14:solidFill>
                </w14:textFill>
              </w:rPr>
            </w:pPr>
          </w:p>
        </w:tc>
      </w:tr>
      <w:tr w14:paraId="1803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vAlign w:val="center"/>
          </w:tcPr>
          <w:p w14:paraId="7E5C4ECE">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3CB6971A">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Merge w:val="continue"/>
            <w:vAlign w:val="center"/>
          </w:tcPr>
          <w:p w14:paraId="6638A315">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c>
          <w:tcPr>
            <w:tcW w:w="5291" w:type="dxa"/>
            <w:gridSpan w:val="3"/>
            <w:vAlign w:val="center"/>
          </w:tcPr>
          <w:p w14:paraId="5417D65B">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特定地区人类遗传资源采集活动。特定地区人类遗传资源是指在隔离或者特殊环境下长期生活，并具有特殊体质特征或者在生理体征方面有适应性性状发生的人类遗传资源。特定地区不以是否为少数民族聚居区为划分依据。</w:t>
            </w:r>
          </w:p>
        </w:tc>
        <w:tc>
          <w:tcPr>
            <w:tcW w:w="1701" w:type="dxa"/>
            <w:vAlign w:val="center"/>
          </w:tcPr>
          <w:p w14:paraId="120CFC6E">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7FAB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01" w:type="dxa"/>
            <w:vAlign w:val="center"/>
          </w:tcPr>
          <w:p w14:paraId="1C58B5D3">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40DD0C91">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Merge w:val="continue"/>
            <w:vAlign w:val="center"/>
          </w:tcPr>
          <w:p w14:paraId="01B135BE">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c>
          <w:tcPr>
            <w:tcW w:w="5291" w:type="dxa"/>
            <w:gridSpan w:val="3"/>
            <w:vAlign w:val="center"/>
          </w:tcPr>
          <w:p w14:paraId="3A964A87">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大规模人群研究且人数大于3000例的人类遗传资源采集活动。大规模人群研究包括但不限于队列研究、横断面研究、临床研究、体质学研究等。为取得相关药品和医疗器械在我国上市许可的临床试验涉及的人类遗传资源采集活动不在此列，无需申请人类遗传资源采集行政许可。</w:t>
            </w:r>
          </w:p>
        </w:tc>
        <w:tc>
          <w:tcPr>
            <w:tcW w:w="1701" w:type="dxa"/>
            <w:vAlign w:val="center"/>
          </w:tcPr>
          <w:p w14:paraId="5DF6417E">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0AF1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01" w:type="dxa"/>
            <w:vAlign w:val="center"/>
          </w:tcPr>
          <w:p w14:paraId="20EA23D2">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3CC700A5">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Align w:val="center"/>
          </w:tcPr>
          <w:p w14:paraId="1F4F866C">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中国人类遗传资源保藏审批</w:t>
            </w:r>
          </w:p>
        </w:tc>
        <w:tc>
          <w:tcPr>
            <w:tcW w:w="5291" w:type="dxa"/>
            <w:gridSpan w:val="3"/>
            <w:vAlign w:val="center"/>
          </w:tcPr>
          <w:p w14:paraId="0AABCD65">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涉及将有合法来源的人类遗传资源保存在适宜环境条件下，保证其质量和安全，用于未来科学研究的行为需做保藏审批</w:t>
            </w:r>
            <w:r>
              <w:rPr>
                <w:rFonts w:hint="eastAsia" w:ascii="Times New Roman" w:hAnsi="Times New Roman" w:eastAsia="宋体" w:cs="仿宋"/>
                <w:color w:val="000000" w:themeColor="text1"/>
                <w:kern w:val="0"/>
                <w:sz w:val="24"/>
                <w14:textFill>
                  <w14:solidFill>
                    <w14:schemeClr w14:val="tx1"/>
                  </w14:solidFill>
                </w14:textFill>
              </w:rPr>
              <w:t>。不包以教学为目的、在实验室检测后按照法律法规要求或者临床研究方案约定的临时存储行为。</w:t>
            </w:r>
          </w:p>
        </w:tc>
        <w:tc>
          <w:tcPr>
            <w:tcW w:w="1701" w:type="dxa"/>
            <w:vAlign w:val="center"/>
          </w:tcPr>
          <w:p w14:paraId="6DAB6F82">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7B6B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01" w:type="dxa"/>
            <w:vAlign w:val="center"/>
          </w:tcPr>
          <w:p w14:paraId="2A11BF3B">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2DCA4E46">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Align w:val="center"/>
          </w:tcPr>
          <w:p w14:paraId="21879A12">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中国人类遗传资源国际合作科学研究审批</w:t>
            </w:r>
          </w:p>
        </w:tc>
        <w:tc>
          <w:tcPr>
            <w:tcW w:w="5291" w:type="dxa"/>
            <w:gridSpan w:val="3"/>
            <w:vAlign w:val="center"/>
          </w:tcPr>
          <w:p w14:paraId="30675A44">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利用中国人类遗传资源开展的国际合作科学研究应提交审批。国际合作包括与境外组织</w:t>
            </w:r>
            <w:r>
              <w:rPr>
                <w:rFonts w:hint="eastAsia" w:ascii="Times New Roman" w:hAnsi="Times New Roman" w:eastAsia="宋体" w:cs="仿宋"/>
                <w:color w:val="000000" w:themeColor="text1"/>
                <w:kern w:val="0"/>
                <w:sz w:val="24"/>
                <w14:textFill>
                  <w14:solidFill>
                    <w14:schemeClr w14:val="tx1"/>
                  </w14:solidFill>
                </w14:textFill>
              </w:rPr>
              <w:t>，境外组织</w:t>
            </w:r>
            <w:r>
              <w:rPr>
                <w:rFonts w:ascii="Times New Roman" w:hAnsi="Times New Roman" w:eastAsia="宋体" w:cs="仿宋"/>
                <w:color w:val="000000" w:themeColor="text1"/>
                <w:kern w:val="0"/>
                <w:sz w:val="24"/>
                <w14:textFill>
                  <w14:solidFill>
                    <w14:schemeClr w14:val="tx1"/>
                  </w14:solidFill>
                </w14:textFill>
              </w:rPr>
              <w:t>、个人设立或者实际控制的机构开展的合作科学研究</w:t>
            </w:r>
            <w:r>
              <w:rPr>
                <w:rFonts w:hint="eastAsia" w:ascii="Times New Roman" w:hAnsi="Times New Roman" w:eastAsia="宋体" w:cs="仿宋"/>
                <w:color w:val="000000" w:themeColor="text1"/>
                <w:kern w:val="0"/>
                <w:sz w:val="24"/>
                <w14:textFill>
                  <w14:solidFill>
                    <w14:schemeClr w14:val="tx1"/>
                  </w14:solidFill>
                </w14:textFill>
              </w:rPr>
              <w:t>。为取得相关药品和医疗器械在我国上市许可的临床试验涉及的探索性研究部分，应当申请人类遗传资源国际科学研究合作行政许可审批。</w:t>
            </w:r>
          </w:p>
        </w:tc>
        <w:tc>
          <w:tcPr>
            <w:tcW w:w="1701" w:type="dxa"/>
            <w:vAlign w:val="center"/>
          </w:tcPr>
          <w:p w14:paraId="45737C6F">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153B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5DA21C76">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7EF7DC1B">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Align w:val="center"/>
          </w:tcPr>
          <w:p w14:paraId="42C4B3E3">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中国人类遗传资源材料出境审批</w:t>
            </w:r>
          </w:p>
        </w:tc>
        <w:tc>
          <w:tcPr>
            <w:tcW w:w="5291" w:type="dxa"/>
            <w:gridSpan w:val="3"/>
            <w:vAlign w:val="center"/>
          </w:tcPr>
          <w:p w14:paraId="1AF0157B">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利用中国人类遗传资源开展国际合作科学研究，或者因其他特殊情况确需将中国人类遗传资源材料运送、邮寄、携带出境的，应当做出境审批。</w:t>
            </w:r>
          </w:p>
          <w:p w14:paraId="3B1E7AC4">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利用中国人类遗传资源开展国际合作科学研究，确需将中国人类遗传资源材料运送、邮寄、携带出境的，人类遗传资源的来源应符合人类遗传资源采集审批规定的条件，并可以在国际合作科学研究申请中列明出境计划，一并提出申请。</w:t>
            </w:r>
          </w:p>
          <w:p w14:paraId="12BC147E">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为临床诊疗、采供血服务、查处违法犯罪、兴奋剂检测和殡葬等活动需要，对外提供人类遗传资源材料的，依照国家相关法律法规管理，不涉及中国人类遗传资源材料出境审批。</w:t>
            </w:r>
          </w:p>
        </w:tc>
        <w:tc>
          <w:tcPr>
            <w:tcW w:w="1701" w:type="dxa"/>
            <w:vAlign w:val="center"/>
          </w:tcPr>
          <w:p w14:paraId="1EB1A5ED">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587A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625E0991">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572F76EA">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Align w:val="center"/>
          </w:tcPr>
          <w:p w14:paraId="385488A1">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中国人类遗传资源国际合作临床试验备案</w:t>
            </w:r>
          </w:p>
        </w:tc>
        <w:tc>
          <w:tcPr>
            <w:tcW w:w="5291" w:type="dxa"/>
            <w:gridSpan w:val="3"/>
            <w:vAlign w:val="center"/>
          </w:tcPr>
          <w:p w14:paraId="41593C92">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以获得上市许可为目的的药物和医疗器械临床试验项目，在机构利用我国人类遗传资源开展国际合作临床试验，</w:t>
            </w:r>
            <w:r>
              <w:rPr>
                <w:rFonts w:hint="eastAsia" w:ascii="Times New Roman" w:hAnsi="Times New Roman" w:eastAsia="宋体" w:cs="仿宋"/>
                <w:color w:val="000000" w:themeColor="text1"/>
                <w:kern w:val="0"/>
                <w:sz w:val="24"/>
                <w14:textFill>
                  <w14:solidFill>
                    <w14:schemeClr w14:val="tx1"/>
                  </w14:solidFill>
                </w14:textFill>
              </w:rPr>
              <w:t>不涉及人类遗传材料出境的，且符合下列情况之一，</w:t>
            </w:r>
            <w:r>
              <w:rPr>
                <w:rFonts w:ascii="Times New Roman" w:hAnsi="Times New Roman" w:eastAsia="宋体" w:cs="仿宋"/>
                <w:color w:val="000000" w:themeColor="text1"/>
                <w:kern w:val="0"/>
                <w:sz w:val="24"/>
                <w14:textFill>
                  <w14:solidFill>
                    <w14:schemeClr w14:val="tx1"/>
                  </w14:solidFill>
                </w14:textFill>
              </w:rPr>
              <w:t>合作双方应在开展临床试验前将拟使用的人类遗传资源种类、数量及其用途向国务院科学技术行政部门备案</w:t>
            </w:r>
            <w:r>
              <w:rPr>
                <w:rFonts w:hint="eastAsia" w:ascii="Times New Roman" w:hAnsi="Times New Roman" w:eastAsia="宋体" w:cs="仿宋"/>
                <w:color w:val="000000" w:themeColor="text1"/>
                <w:kern w:val="0"/>
                <w:sz w:val="24"/>
                <w14:textFill>
                  <w14:solidFill>
                    <w14:schemeClr w14:val="tx1"/>
                  </w14:solidFill>
                </w14:textFill>
              </w:rPr>
              <w:t>。</w:t>
            </w:r>
          </w:p>
          <w:p w14:paraId="11B1A8FA">
            <w:pPr>
              <w:numPr>
                <w:ilvl w:val="0"/>
                <w:numId w:val="1"/>
              </w:numPr>
              <w:ind w:left="0" w:firstLine="480" w:firstLineChars="200"/>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涉及的人类遗传资源采集、检测、分析和剩余人类遗传资源材料处理等在临床医疗卫生机构内进行；</w:t>
            </w:r>
          </w:p>
          <w:p w14:paraId="2392F6A6">
            <w:pPr>
              <w:numPr>
                <w:ilvl w:val="0"/>
                <w:numId w:val="1"/>
              </w:numPr>
              <w:ind w:left="0" w:firstLine="480" w:firstLineChars="200"/>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涉及的人类遗传资源在临床医疗卫生机构内采集，并由相关药品和医疗器械上市许可临床试验方案指定的境内单位进行检测、分</w:t>
            </w:r>
            <w:r>
              <w:rPr>
                <w:rFonts w:hint="eastAsia" w:ascii="Times New Roman" w:hAnsi="Times New Roman" w:eastAsia="宋体" w:cs="仿宋"/>
                <w:color w:val="000000" w:themeColor="text1"/>
                <w:kern w:val="0"/>
                <w:sz w:val="24"/>
                <w14:textFill>
                  <w14:solidFill>
                    <w14:schemeClr w14:val="tx1"/>
                  </w14:solidFill>
                </w14:textFill>
              </w:rPr>
              <w:t>析</w:t>
            </w:r>
            <w:r>
              <w:rPr>
                <w:rFonts w:ascii="Times New Roman" w:hAnsi="Times New Roman" w:eastAsia="宋体" w:cs="仿宋"/>
                <w:color w:val="000000" w:themeColor="text1"/>
                <w:kern w:val="0"/>
                <w:sz w:val="24"/>
                <w14:textFill>
                  <w14:solidFill>
                    <w14:schemeClr w14:val="tx1"/>
                  </w14:solidFill>
                </w14:textFill>
              </w:rPr>
              <w:t>和剩余样本处理</w:t>
            </w:r>
          </w:p>
        </w:tc>
        <w:tc>
          <w:tcPr>
            <w:tcW w:w="1701" w:type="dxa"/>
            <w:vAlign w:val="center"/>
          </w:tcPr>
          <w:p w14:paraId="45CFAE8E">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3748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6AD9A7BF">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是□</w:t>
            </w:r>
          </w:p>
        </w:tc>
        <w:tc>
          <w:tcPr>
            <w:tcW w:w="817" w:type="dxa"/>
            <w:vAlign w:val="center"/>
          </w:tcPr>
          <w:p w14:paraId="09D974D9">
            <w:pPr>
              <w:spacing w:line="264" w:lineRule="auto"/>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否□</w:t>
            </w:r>
          </w:p>
        </w:tc>
        <w:tc>
          <w:tcPr>
            <w:tcW w:w="1694" w:type="dxa"/>
            <w:gridSpan w:val="2"/>
            <w:vAlign w:val="center"/>
          </w:tcPr>
          <w:p w14:paraId="7CDD2320">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中国人类遗传资源信息对外提供或开放使用</w:t>
            </w:r>
            <w:r>
              <w:rPr>
                <w:rFonts w:hint="eastAsia" w:ascii="Times New Roman" w:hAnsi="Times New Roman" w:eastAsia="宋体" w:cs="仿宋"/>
                <w:color w:val="000000" w:themeColor="text1"/>
                <w:kern w:val="0"/>
                <w:sz w:val="24"/>
                <w:lang w:val="en-US" w:eastAsia="zh-CN"/>
                <w14:textFill>
                  <w14:solidFill>
                    <w14:schemeClr w14:val="tx1"/>
                  </w14:solidFill>
                </w14:textFill>
              </w:rPr>
              <w:t>事先报告</w:t>
            </w:r>
          </w:p>
        </w:tc>
        <w:tc>
          <w:tcPr>
            <w:tcW w:w="5291" w:type="dxa"/>
            <w:gridSpan w:val="3"/>
            <w:vAlign w:val="center"/>
          </w:tcPr>
          <w:p w14:paraId="3ADAC153">
            <w:pPr>
              <w:numPr>
                <w:ilvl w:val="255"/>
                <w:numId w:val="0"/>
              </w:numPr>
              <w:rPr>
                <w:rFonts w:ascii="Times New Roman" w:hAnsi="Times New Roman" w:eastAsia="宋体" w:cs="仿宋"/>
                <w:color w:val="000000" w:themeColor="text1"/>
                <w:kern w:val="0"/>
                <w:sz w:val="24"/>
                <w14:textFill>
                  <w14:solidFill>
                    <w14:schemeClr w14:val="tx1"/>
                  </w14:solidFill>
                </w14:textFill>
              </w:rPr>
            </w:pPr>
            <w:r>
              <w:rPr>
                <w:rFonts w:ascii="Times New Roman" w:hAnsi="Times New Roman" w:eastAsia="宋体" w:cs="仿宋"/>
                <w:color w:val="000000" w:themeColor="text1"/>
                <w:kern w:val="0"/>
                <w:sz w:val="24"/>
                <w14:textFill>
                  <w14:solidFill>
                    <w14:schemeClr w14:val="tx1"/>
                  </w14:solidFill>
                </w14:textFill>
              </w:rPr>
              <w:t>将人类遗传资源</w:t>
            </w:r>
            <w:r>
              <w:rPr>
                <w:rFonts w:hint="eastAsia" w:cs="仿宋"/>
                <w:color w:val="000000" w:themeColor="text1"/>
                <w:kern w:val="0"/>
                <w:sz w:val="24"/>
                <w:lang w:val="en-US" w:eastAsia="zh-CN"/>
                <w14:textFill>
                  <w14:solidFill>
                    <w14:schemeClr w14:val="tx1"/>
                  </w14:solidFill>
                </w14:textFill>
              </w:rPr>
              <w:t>信息</w:t>
            </w:r>
            <w:r>
              <w:rPr>
                <w:rFonts w:ascii="Times New Roman" w:hAnsi="Times New Roman" w:eastAsia="宋体" w:cs="仿宋"/>
                <w:color w:val="000000" w:themeColor="text1"/>
                <w:kern w:val="0"/>
                <w:sz w:val="24"/>
                <w14:textFill>
                  <w14:solidFill>
                    <w14:schemeClr w14:val="tx1"/>
                  </w14:solidFill>
                </w14:textFill>
              </w:rPr>
              <w:t>向</w:t>
            </w:r>
            <w:r>
              <w:rPr>
                <w:rFonts w:hint="eastAsia" w:cs="仿宋"/>
                <w:color w:val="000000" w:themeColor="text1"/>
                <w:kern w:val="0"/>
                <w:sz w:val="24"/>
                <w:lang w:val="en-US" w:eastAsia="zh-CN"/>
                <w14:textFill>
                  <w14:solidFill>
                    <w14:schemeClr w14:val="tx1"/>
                  </w14:solidFill>
                </w14:textFill>
              </w:rPr>
              <w:t>境外</w:t>
            </w:r>
            <w:r>
              <w:rPr>
                <w:rFonts w:ascii="Times New Roman" w:hAnsi="Times New Roman" w:eastAsia="宋体" w:cs="仿宋"/>
                <w:color w:val="000000" w:themeColor="text1"/>
                <w:kern w:val="0"/>
                <w:sz w:val="24"/>
                <w14:textFill>
                  <w14:solidFill>
                    <w14:schemeClr w14:val="tx1"/>
                  </w14:solidFill>
                </w14:textFill>
              </w:rPr>
              <w:t>组织、个人及其设立或者实际控制的机构提供或开放使用时</w:t>
            </w:r>
            <w:r>
              <w:rPr>
                <w:rFonts w:hint="eastAsia" w:ascii="Times New Roman" w:hAnsi="Times New Roman" w:eastAsia="宋体" w:cs="仿宋"/>
                <w:color w:val="000000" w:themeColor="text1"/>
                <w:kern w:val="0"/>
                <w:sz w:val="24"/>
                <w14:textFill>
                  <w14:solidFill>
                    <w14:schemeClr w14:val="tx1"/>
                  </w14:solidFill>
                </w14:textFill>
              </w:rPr>
              <w:t>。</w:t>
            </w:r>
            <w:r>
              <w:rPr>
                <w:rFonts w:ascii="Times New Roman" w:hAnsi="Times New Roman" w:eastAsia="宋体" w:cs="仿宋"/>
                <w:color w:val="000000" w:themeColor="text1"/>
                <w:kern w:val="0"/>
                <w:sz w:val="24"/>
                <w14:textFill>
                  <w14:solidFill>
                    <w14:schemeClr w14:val="tx1"/>
                  </w14:solidFill>
                </w14:textFill>
              </w:rPr>
              <w:t>例如发表相关论文，境外杂志社要求提供原始数据时；研究项目为中方单位，但使用的EDC系统提供商为外方单位时。</w:t>
            </w:r>
          </w:p>
        </w:tc>
        <w:tc>
          <w:tcPr>
            <w:tcW w:w="1701" w:type="dxa"/>
            <w:vAlign w:val="center"/>
          </w:tcPr>
          <w:p w14:paraId="74EFC2B2">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1CF4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04" w:type="dxa"/>
            <w:gridSpan w:val="8"/>
            <w:vAlign w:val="center"/>
          </w:tcPr>
          <w:p w14:paraId="169C1149">
            <w:pPr>
              <w:numPr>
                <w:ilvl w:val="255"/>
                <w:numId w:val="0"/>
              </w:numPr>
              <w:spacing w:line="288" w:lineRule="auto"/>
              <w:ind w:firstLine="240" w:firstLineChars="10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申请人签字：                                   日期：     年   月   日</w:t>
            </w:r>
          </w:p>
        </w:tc>
      </w:tr>
    </w:tbl>
    <w:p w14:paraId="467BE2CA">
      <w:pPr>
        <w:pStyle w:val="9"/>
        <w:widowControl/>
        <w:numPr>
          <w:ilvl w:val="255"/>
          <w:numId w:val="0"/>
        </w:numPr>
        <w:autoSpaceDE/>
        <w:autoSpaceDN/>
        <w:adjustRightInd/>
        <w:spacing w:line="560" w:lineRule="exact"/>
        <w:ind w:firstLine="560" w:firstLineChars="200"/>
        <w:jc w:val="both"/>
        <w:rPr>
          <w:rFonts w:ascii="Times New Roman" w:hAnsi="Times New Roman" w:eastAsia="宋体" w:cs="仿宋"/>
          <w:color w:val="auto"/>
          <w:kern w:val="2"/>
          <w:sz w:val="28"/>
          <w:szCs w:val="28"/>
        </w:rPr>
      </w:pPr>
      <w:r>
        <w:rPr>
          <w:rFonts w:hint="eastAsia" w:ascii="Times New Roman" w:hAnsi="Times New Roman" w:eastAsia="宋体" w:cs="仿宋"/>
          <w:color w:val="auto"/>
          <w:kern w:val="2"/>
          <w:sz w:val="28"/>
          <w:szCs w:val="28"/>
        </w:rPr>
        <w:t>注：</w:t>
      </w:r>
    </w:p>
    <w:p w14:paraId="1566E966">
      <w:pPr>
        <w:pStyle w:val="9"/>
        <w:numPr>
          <w:ilvl w:val="0"/>
          <w:numId w:val="2"/>
        </w:numPr>
        <w:spacing w:line="560" w:lineRule="exact"/>
        <w:ind w:firstLineChars="150"/>
        <w:jc w:val="both"/>
        <w:rPr>
          <w:rFonts w:ascii="Times New Roman" w:hAnsi="Times New Roman" w:eastAsia="宋体" w:cs="楷体"/>
          <w:color w:val="auto"/>
          <w:kern w:val="2"/>
          <w:sz w:val="28"/>
          <w:szCs w:val="28"/>
        </w:rPr>
      </w:pPr>
      <w:r>
        <w:rPr>
          <w:rFonts w:ascii="Times New Roman" w:hAnsi="Times New Roman" w:eastAsia="宋体" w:cs="楷体"/>
          <w:color w:val="auto"/>
          <w:kern w:val="2"/>
          <w:sz w:val="28"/>
          <w:szCs w:val="28"/>
        </w:rPr>
        <w:t>人类遗传资源包括：</w:t>
      </w:r>
    </w:p>
    <w:p w14:paraId="36F1E10C">
      <w:pPr>
        <w:pStyle w:val="9"/>
        <w:widowControl/>
        <w:numPr>
          <w:ilvl w:val="0"/>
          <w:numId w:val="3"/>
        </w:numPr>
        <w:tabs>
          <w:tab w:val="left" w:pos="0"/>
        </w:tabs>
        <w:autoSpaceDE/>
        <w:autoSpaceDN/>
        <w:adjustRightInd/>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人类遗传资源材料</w:t>
      </w:r>
    </w:p>
    <w:p w14:paraId="7DD664E7">
      <w:pPr>
        <w:pStyle w:val="9"/>
        <w:widowControl/>
        <w:numPr>
          <w:ilvl w:val="255"/>
          <w:numId w:val="0"/>
        </w:numPr>
        <w:autoSpaceDE/>
        <w:autoSpaceDN/>
        <w:adjustRightInd/>
        <w:spacing w:line="360" w:lineRule="auto"/>
        <w:ind w:firstLine="480" w:firstLineChars="200"/>
        <w:jc w:val="both"/>
        <w:rPr>
          <w:rFonts w:ascii="Times New Roman" w:hAnsi="Times New Roman" w:eastAsia="宋体" w:cs="仿宋"/>
          <w:color w:val="auto"/>
          <w:kern w:val="2"/>
        </w:rPr>
      </w:pPr>
      <w:r>
        <w:rPr>
          <w:rFonts w:hint="eastAsia" w:ascii="Times New Roman" w:hAnsi="Times New Roman" w:eastAsia="宋体" w:cs="仿宋"/>
          <w:color w:val="auto"/>
          <w:kern w:val="2"/>
        </w:rPr>
        <w:t>含有人体基因组、基因等遗传物质的器官、组织、细胞等遗传材料。</w:t>
      </w:r>
    </w:p>
    <w:p w14:paraId="492533B3">
      <w:pPr>
        <w:pStyle w:val="9"/>
        <w:widowControl/>
        <w:numPr>
          <w:ilvl w:val="0"/>
          <w:numId w:val="3"/>
        </w:numPr>
        <w:tabs>
          <w:tab w:val="left" w:pos="0"/>
        </w:tabs>
        <w:autoSpaceDE/>
        <w:autoSpaceDN/>
        <w:adjustRightInd/>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人类遗传资源信息</w:t>
      </w:r>
    </w:p>
    <w:p w14:paraId="5A580C99">
      <w:pPr>
        <w:pStyle w:val="9"/>
        <w:widowControl/>
        <w:numPr>
          <w:ilvl w:val="255"/>
          <w:numId w:val="0"/>
        </w:numPr>
        <w:autoSpaceDE/>
        <w:autoSpaceDN/>
        <w:adjustRightInd/>
        <w:spacing w:line="360" w:lineRule="auto"/>
        <w:ind w:firstLine="480" w:firstLineChars="200"/>
        <w:jc w:val="both"/>
        <w:rPr>
          <w:rFonts w:hint="eastAsia" w:ascii="Times New Roman" w:hAnsi="Times New Roman" w:eastAsia="宋体" w:cs="仿宋"/>
          <w:color w:val="auto"/>
          <w:kern w:val="2"/>
        </w:rPr>
      </w:pPr>
      <w:r>
        <w:rPr>
          <w:rFonts w:hint="eastAsia" w:ascii="Times New Roman" w:hAnsi="Times New Roman" w:eastAsia="宋体" w:cs="仿宋"/>
          <w:color w:val="auto"/>
          <w:kern w:val="2"/>
        </w:rPr>
        <w:t>利用人类遗传资源材料产生的人类基因、基因组数据等信息资料，不包括临床数据、影像数据、蛋白质数据和代谢数据。</w:t>
      </w:r>
    </w:p>
    <w:p w14:paraId="1B447661">
      <w:pPr>
        <w:pStyle w:val="9"/>
        <w:numPr>
          <w:ilvl w:val="0"/>
          <w:numId w:val="2"/>
        </w:numPr>
        <w:spacing w:line="560" w:lineRule="exact"/>
        <w:ind w:firstLineChars="150"/>
        <w:jc w:val="both"/>
        <w:rPr>
          <w:rFonts w:ascii="Times New Roman" w:hAnsi="Times New Roman" w:eastAsia="宋体" w:cs="楷体"/>
          <w:color w:val="auto"/>
          <w:kern w:val="2"/>
          <w:sz w:val="28"/>
          <w:szCs w:val="28"/>
        </w:rPr>
      </w:pPr>
      <w:r>
        <w:rPr>
          <w:rFonts w:ascii="Times New Roman" w:hAnsi="Times New Roman" w:eastAsia="宋体" w:cs="楷体"/>
          <w:color w:val="auto"/>
          <w:kern w:val="2"/>
          <w:sz w:val="28"/>
          <w:szCs w:val="28"/>
        </w:rPr>
        <w:t>※如项目实施过程中出现涉及上述类别的情况，例如：原申办者/CRO由境内企业变为境外组织及境外组织、个人设立或者实际控制的机构等，应及时反馈机构办公室，进行人类遗传资源审批/备案。</w:t>
      </w:r>
      <w:bookmarkStart w:id="0" w:name="OLE_LINK1"/>
    </w:p>
    <w:p w14:paraId="10525A46">
      <w:pPr>
        <w:pStyle w:val="9"/>
        <w:numPr>
          <w:ilvl w:val="0"/>
          <w:numId w:val="2"/>
        </w:numPr>
        <w:spacing w:line="560" w:lineRule="exact"/>
        <w:ind w:firstLineChars="150"/>
        <w:jc w:val="both"/>
        <w:rPr>
          <w:rFonts w:ascii="Times New Roman" w:hAnsi="Times New Roman" w:eastAsia="宋体" w:cs="楷体"/>
          <w:color w:val="auto"/>
          <w:kern w:val="2"/>
          <w:sz w:val="28"/>
          <w:szCs w:val="28"/>
        </w:rPr>
      </w:pPr>
      <w:r>
        <w:rPr>
          <w:rFonts w:ascii="Times New Roman" w:hAnsi="Times New Roman" w:eastAsia="宋体" w:cs="楷体"/>
          <w:color w:val="auto"/>
          <w:kern w:val="2"/>
          <w:sz w:val="28"/>
          <w:szCs w:val="28"/>
        </w:rPr>
        <w:t>境外组织、个</w:t>
      </w:r>
      <w:bookmarkStart w:id="1" w:name="_GoBack"/>
      <w:bookmarkEnd w:id="1"/>
      <w:r>
        <w:rPr>
          <w:rFonts w:ascii="Times New Roman" w:hAnsi="Times New Roman" w:eastAsia="宋体" w:cs="楷体"/>
          <w:color w:val="auto"/>
          <w:kern w:val="2"/>
          <w:sz w:val="28"/>
          <w:szCs w:val="28"/>
        </w:rPr>
        <w:t>人设立或者实际控制的机构包括：</w:t>
      </w:r>
    </w:p>
    <w:p w14:paraId="101E71FC">
      <w:pPr>
        <w:pStyle w:val="9"/>
        <w:numPr>
          <w:ilvl w:val="1"/>
          <w:numId w:val="2"/>
        </w:numPr>
        <w:spacing w:line="360" w:lineRule="auto"/>
        <w:ind w:firstLine="360" w:firstLineChars="150"/>
        <w:jc w:val="both"/>
        <w:rPr>
          <w:rFonts w:ascii="Times New Roman" w:hAnsi="Times New Roman" w:eastAsia="宋体" w:cs="仿宋"/>
          <w:color w:val="auto"/>
          <w:kern w:val="2"/>
        </w:rPr>
      </w:pPr>
      <w:r>
        <w:rPr>
          <w:rFonts w:hint="eastAsia" w:ascii="Times New Roman" w:hAnsi="Times New Roman" w:eastAsia="宋体" w:cs="仿宋"/>
          <w:color w:val="auto"/>
          <w:kern w:val="2"/>
        </w:rPr>
        <w:t>境外组织、个人持有或者间接持有机构百分之五十以上的股份、股权、表决权、财产份额或者其他类似权益；</w:t>
      </w:r>
    </w:p>
    <w:p w14:paraId="6B2D736B">
      <w:pPr>
        <w:pStyle w:val="9"/>
        <w:numPr>
          <w:ilvl w:val="1"/>
          <w:numId w:val="2"/>
        </w:numPr>
        <w:spacing w:line="360" w:lineRule="auto"/>
        <w:ind w:firstLine="360" w:firstLineChars="150"/>
        <w:jc w:val="both"/>
        <w:rPr>
          <w:rFonts w:ascii="Times New Roman" w:hAnsi="Times New Roman" w:eastAsia="宋体" w:cs="仿宋"/>
          <w:color w:val="auto"/>
          <w:kern w:val="2"/>
        </w:rPr>
      </w:pPr>
      <w:r>
        <w:rPr>
          <w:rFonts w:hint="eastAsia" w:ascii="Times New Roman" w:hAnsi="Times New Roman" w:eastAsia="宋体" w:cs="仿宋"/>
          <w:color w:val="auto"/>
          <w:kern w:val="2"/>
        </w:rPr>
        <w:t>境外组织、个人持有或者间接持有机构的股份、股权、表决权、财产份额或者其他类似权益不足百分之五十，但其所享有的表决权或者其他权益足以对机构的决策、管理等行为进行支配或者施加重大影响；</w:t>
      </w:r>
    </w:p>
    <w:p w14:paraId="3DEBCDEF">
      <w:pPr>
        <w:pStyle w:val="9"/>
        <w:numPr>
          <w:ilvl w:val="1"/>
          <w:numId w:val="2"/>
        </w:numPr>
        <w:spacing w:line="360" w:lineRule="auto"/>
        <w:ind w:firstLine="360" w:firstLineChars="150"/>
        <w:jc w:val="both"/>
        <w:rPr>
          <w:rFonts w:ascii="Times New Roman" w:hAnsi="Times New Roman" w:eastAsia="宋体" w:cs="仿宋"/>
          <w:color w:val="auto"/>
          <w:kern w:val="2"/>
        </w:rPr>
      </w:pPr>
      <w:r>
        <w:rPr>
          <w:rFonts w:hint="eastAsia" w:ascii="Times New Roman" w:hAnsi="Times New Roman" w:eastAsia="宋体" w:cs="仿宋"/>
          <w:color w:val="auto"/>
          <w:kern w:val="2"/>
        </w:rPr>
        <w:t>境外组织、个人通过投资关系、协议或者其他安排，足以对机构的决策、管理等行为进行支配或者施加重大影响；</w:t>
      </w:r>
    </w:p>
    <w:p w14:paraId="1AE38913">
      <w:pPr>
        <w:pStyle w:val="9"/>
        <w:numPr>
          <w:ilvl w:val="1"/>
          <w:numId w:val="2"/>
        </w:numPr>
        <w:spacing w:line="360" w:lineRule="auto"/>
        <w:ind w:firstLine="360" w:firstLineChars="150"/>
        <w:jc w:val="both"/>
        <w:rPr>
          <w:rFonts w:ascii="仿宋" w:hAnsi="仿宋" w:eastAsia="仿宋" w:cs="仿宋"/>
          <w:color w:val="auto"/>
          <w:kern w:val="2"/>
        </w:rPr>
      </w:pPr>
      <w:r>
        <w:rPr>
          <w:rFonts w:hint="eastAsia" w:ascii="Times New Roman" w:hAnsi="Times New Roman" w:eastAsia="宋体" w:cs="仿宋"/>
          <w:color w:val="auto"/>
          <w:kern w:val="2"/>
        </w:rPr>
        <w:t>法律、行政法规、规章规定的其他情形。</w:t>
      </w:r>
      <w:bookmarkEnd w:id="0"/>
    </w:p>
    <w:p w14:paraId="7DE24D68">
      <w:pPr>
        <w:pStyle w:val="9"/>
        <w:spacing w:line="560" w:lineRule="exact"/>
        <w:jc w:val="both"/>
        <w:rPr>
          <w:rFonts w:ascii="楷体" w:hAnsi="楷体" w:eastAsia="楷体" w:cs="楷体"/>
          <w:color w:val="auto"/>
          <w:kern w:val="2"/>
          <w:sz w:val="28"/>
          <w:szCs w:val="28"/>
        </w:rPr>
      </w:pPr>
    </w:p>
    <w:p w14:paraId="273D34A7">
      <w:pPr>
        <w:pStyle w:val="9"/>
        <w:spacing w:line="560" w:lineRule="exact"/>
        <w:jc w:val="both"/>
        <w:rPr>
          <w:rFonts w:ascii="楷体" w:hAnsi="楷体" w:eastAsia="楷体" w:cs="楷体"/>
          <w:color w:val="auto"/>
          <w:kern w:val="2"/>
          <w:sz w:val="28"/>
          <w:szCs w:val="28"/>
        </w:rPr>
      </w:pPr>
    </w:p>
    <w:sectPr>
      <w:headerReference r:id="rId3" w:type="default"/>
      <w:footerReference r:id="rId4" w:type="default"/>
      <w:pgSz w:w="11906" w:h="16838"/>
      <w:pgMar w:top="1417" w:right="567" w:bottom="1417"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EA1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-90805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CFF64">
                          <w:pPr>
                            <w:pStyle w:val="4"/>
                            <w:rPr>
                              <w:rFonts w:ascii="仿宋" w:hAnsi="仿宋" w:eastAsia="仿宋" w:cs="仿宋"/>
                              <w:bCs/>
                              <w:sz w:val="28"/>
                              <w:szCs w:val="28"/>
                            </w:rPr>
                          </w:pPr>
                          <w:r>
                            <w:rPr>
                              <w:rFonts w:hint="eastAsia" w:ascii="Times New Roman" w:hAnsi="Times New Roman" w:eastAsia="宋体" w:cs="仿宋"/>
                              <w:bCs/>
                              <w:sz w:val="24"/>
                              <w:szCs w:val="24"/>
                            </w:rPr>
                            <w:t>第</w:t>
                          </w:r>
                          <w:r>
                            <w:rPr>
                              <w:rFonts w:hint="eastAsia" w:ascii="Times New Roman" w:hAnsi="Times New Roman" w:eastAsia="宋体" w:cs="仿宋"/>
                              <w:sz w:val="24"/>
                            </w:rPr>
                            <w:t xml:space="preserve"> </w:t>
                          </w:r>
                          <w:r>
                            <w:rPr>
                              <w:rFonts w:hint="eastAsia" w:ascii="Times New Roman" w:hAnsi="Times New Roman" w:eastAsia="宋体" w:cs="仿宋"/>
                              <w:bCs/>
                              <w:sz w:val="24"/>
                              <w:szCs w:val="24"/>
                            </w:rPr>
                            <w:fldChar w:fldCharType="begin"/>
                          </w:r>
                          <w:r>
                            <w:rPr>
                              <w:rFonts w:hint="eastAsia" w:ascii="Times New Roman" w:hAnsi="Times New Roman" w:eastAsia="宋体" w:cs="仿宋"/>
                              <w:bCs/>
                              <w:sz w:val="24"/>
                              <w:szCs w:val="24"/>
                            </w:rPr>
                            <w:instrText xml:space="preserve"> PAGE  \* MERGEFORMAT </w:instrText>
                          </w:r>
                          <w:r>
                            <w:rPr>
                              <w:rFonts w:hint="eastAsia" w:ascii="Times New Roman" w:hAnsi="Times New Roman" w:eastAsia="宋体" w:cs="仿宋"/>
                              <w:bCs/>
                              <w:sz w:val="24"/>
                              <w:szCs w:val="24"/>
                            </w:rPr>
                            <w:fldChar w:fldCharType="separate"/>
                          </w:r>
                          <w:r>
                            <w:rPr>
                              <w:rFonts w:ascii="Times New Roman" w:hAnsi="Times New Roman" w:eastAsia="宋体" w:cs="仿宋"/>
                              <w:bCs/>
                              <w:sz w:val="24"/>
                              <w:szCs w:val="24"/>
                            </w:rPr>
                            <w:t>3</w:t>
                          </w:r>
                          <w:r>
                            <w:rPr>
                              <w:rFonts w:hint="eastAsia" w:ascii="Times New Roman" w:hAnsi="Times New Roman" w:eastAsia="宋体" w:cs="仿宋"/>
                              <w:bCs/>
                              <w:sz w:val="24"/>
                              <w:szCs w:val="24"/>
                            </w:rPr>
                            <w:fldChar w:fldCharType="end"/>
                          </w:r>
                          <w:r>
                            <w:rPr>
                              <w:rFonts w:hint="eastAsia" w:ascii="Times New Roman" w:hAnsi="Times New Roman" w:eastAsia="宋体" w:cs="仿宋"/>
                              <w:bCs/>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15pt;height:144pt;width:144pt;mso-position-horizontal:center;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VxYtN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758CFF64">
                    <w:pPr>
                      <w:pStyle w:val="4"/>
                      <w:rPr>
                        <w:rFonts w:ascii="仿宋" w:hAnsi="仿宋" w:eastAsia="仿宋" w:cs="仿宋"/>
                        <w:bCs/>
                        <w:sz w:val="28"/>
                        <w:szCs w:val="28"/>
                      </w:rPr>
                    </w:pPr>
                    <w:r>
                      <w:rPr>
                        <w:rFonts w:hint="eastAsia" w:ascii="Times New Roman" w:hAnsi="Times New Roman" w:eastAsia="宋体" w:cs="仿宋"/>
                        <w:bCs/>
                        <w:sz w:val="24"/>
                        <w:szCs w:val="24"/>
                      </w:rPr>
                      <w:t>第</w:t>
                    </w:r>
                    <w:r>
                      <w:rPr>
                        <w:rFonts w:hint="eastAsia" w:ascii="Times New Roman" w:hAnsi="Times New Roman" w:eastAsia="宋体" w:cs="仿宋"/>
                        <w:sz w:val="24"/>
                      </w:rPr>
                      <w:t xml:space="preserve"> </w:t>
                    </w:r>
                    <w:r>
                      <w:rPr>
                        <w:rFonts w:hint="eastAsia" w:ascii="Times New Roman" w:hAnsi="Times New Roman" w:eastAsia="宋体" w:cs="仿宋"/>
                        <w:bCs/>
                        <w:sz w:val="24"/>
                        <w:szCs w:val="24"/>
                      </w:rPr>
                      <w:fldChar w:fldCharType="begin"/>
                    </w:r>
                    <w:r>
                      <w:rPr>
                        <w:rFonts w:hint="eastAsia" w:ascii="Times New Roman" w:hAnsi="Times New Roman" w:eastAsia="宋体" w:cs="仿宋"/>
                        <w:bCs/>
                        <w:sz w:val="24"/>
                        <w:szCs w:val="24"/>
                      </w:rPr>
                      <w:instrText xml:space="preserve"> PAGE  \* MERGEFORMAT </w:instrText>
                    </w:r>
                    <w:r>
                      <w:rPr>
                        <w:rFonts w:hint="eastAsia" w:ascii="Times New Roman" w:hAnsi="Times New Roman" w:eastAsia="宋体" w:cs="仿宋"/>
                        <w:bCs/>
                        <w:sz w:val="24"/>
                        <w:szCs w:val="24"/>
                      </w:rPr>
                      <w:fldChar w:fldCharType="separate"/>
                    </w:r>
                    <w:r>
                      <w:rPr>
                        <w:rFonts w:ascii="Times New Roman" w:hAnsi="Times New Roman" w:eastAsia="宋体" w:cs="仿宋"/>
                        <w:bCs/>
                        <w:sz w:val="24"/>
                        <w:szCs w:val="24"/>
                      </w:rPr>
                      <w:t>3</w:t>
                    </w:r>
                    <w:r>
                      <w:rPr>
                        <w:rFonts w:hint="eastAsia" w:ascii="Times New Roman" w:hAnsi="Times New Roman" w:eastAsia="宋体" w:cs="仿宋"/>
                        <w:bCs/>
                        <w:sz w:val="24"/>
                        <w:szCs w:val="24"/>
                      </w:rPr>
                      <w:fldChar w:fldCharType="end"/>
                    </w:r>
                    <w:r>
                      <w:rPr>
                        <w:rFonts w:hint="eastAsia" w:ascii="Times New Roman" w:hAnsi="Times New Roman" w:eastAsia="宋体" w:cs="仿宋"/>
                        <w:bCs/>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D1B9">
    <w:pPr>
      <w:pStyle w:val="5"/>
      <w:pBdr>
        <w:bottom w:val="none" w:color="auto" w:sz="0" w:space="1"/>
      </w:pBdr>
      <w:jc w:val="left"/>
      <w:rPr>
        <w:rFonts w:hint="eastAsia" w:ascii="Times New Roman" w:hAnsi="Times New Roman" w:eastAsia="宋体" w:cs="宋体"/>
        <w:b/>
        <w:sz w:val="24"/>
        <w:szCs w:val="24"/>
      </w:rPr>
    </w:pPr>
    <w:r>
      <w:rPr>
        <w:rFonts w:hint="eastAsia" w:cs="仿宋" w:asciiTheme="minorEastAsia" w:hAnsiTheme="minorEastAsia" w:eastAsiaTheme="minorEastAsia"/>
        <w:b/>
        <w:bCs/>
        <w:sz w:val="24"/>
      </w:rPr>
      <w:drawing>
        <wp:anchor distT="0" distB="0" distL="114300" distR="114300" simplePos="0" relativeHeight="251660288" behindDoc="0" locked="0" layoutInCell="1" allowOverlap="1">
          <wp:simplePos x="0" y="0"/>
          <wp:positionH relativeFrom="column">
            <wp:posOffset>-29210</wp:posOffset>
          </wp:positionH>
          <wp:positionV relativeFrom="paragraph">
            <wp:posOffset>-431800</wp:posOffset>
          </wp:positionV>
          <wp:extent cx="2038350" cy="409575"/>
          <wp:effectExtent l="0" t="0" r="3810" b="1905"/>
          <wp:wrapSquare wrapText="bothSides"/>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srcRect/>
                  <a:stretch>
                    <a:fillRect/>
                  </a:stretch>
                </pic:blipFill>
                <pic:spPr>
                  <a:xfrm>
                    <a:off x="0" y="0"/>
                    <a:ext cx="2038350" cy="409575"/>
                  </a:xfrm>
                  <a:prstGeom prst="rect">
                    <a:avLst/>
                  </a:prstGeom>
                  <a:noFill/>
                  <a:ln w="9525" cmpd="sng">
                    <a:noFill/>
                    <a:miter lim="800000"/>
                    <a:headEnd/>
                    <a:tailEnd/>
                  </a:ln>
                </pic:spPr>
              </pic:pic>
            </a:graphicData>
          </a:graphic>
        </wp:anchor>
      </w:drawing>
    </w:r>
    <w:r>
      <w:rPr>
        <w:rFonts w:hint="eastAsia" w:ascii="Times New Roman" w:hAnsi="Times New Roman" w:eastAsia="宋体" w:cs="宋体"/>
        <w:b/>
        <w:sz w:val="24"/>
        <w:szCs w:val="24"/>
      </w:rPr>
      <w:t xml:space="preserve">文件编码：F-JG-QX-01-CZGC-38-1-0  </w:t>
    </w:r>
    <w:r>
      <w:rPr>
        <w:rFonts w:hint="eastAsia" w:ascii="Times New Roman" w:hAnsi="Times New Roman" w:eastAsia="宋体" w:cs="宋体"/>
        <w:b/>
        <w:sz w:val="24"/>
        <w:szCs w:val="24"/>
        <w:lang w:val="en-US" w:eastAsia="zh-CN"/>
      </w:rPr>
      <w:t>发布日期：</w:t>
    </w:r>
    <w:r>
      <w:rPr>
        <w:rFonts w:hint="eastAsia" w:cs="宋体"/>
        <w:b/>
        <w:sz w:val="24"/>
        <w:szCs w:val="24"/>
        <w:lang w:val="en-US" w:eastAsia="zh-CN"/>
      </w:rPr>
      <w:t>2024</w:t>
    </w:r>
    <w:r>
      <w:rPr>
        <w:rFonts w:hint="eastAsia" w:ascii="Times New Roman" w:hAnsi="Times New Roman" w:eastAsia="宋体" w:cs="宋体"/>
        <w:b/>
        <w:sz w:val="24"/>
        <w:szCs w:val="24"/>
        <w:lang w:val="en-US" w:eastAsia="zh-CN"/>
      </w:rPr>
      <w:t>年</w:t>
    </w:r>
    <w:r>
      <w:rPr>
        <w:rFonts w:hint="eastAsia" w:cs="宋体"/>
        <w:b/>
        <w:sz w:val="24"/>
        <w:szCs w:val="24"/>
        <w:lang w:val="en-US" w:eastAsia="zh-CN"/>
      </w:rPr>
      <w:t>11</w:t>
    </w:r>
    <w:r>
      <w:rPr>
        <w:rFonts w:hint="eastAsia" w:ascii="Times New Roman" w:hAnsi="Times New Roman" w:eastAsia="宋体" w:cs="宋体"/>
        <w:b/>
        <w:sz w:val="24"/>
        <w:szCs w:val="24"/>
        <w:lang w:val="en-US" w:eastAsia="zh-CN"/>
      </w:rPr>
      <w:t>月</w:t>
    </w:r>
    <w:r>
      <w:rPr>
        <w:rFonts w:hint="eastAsia" w:cs="宋体"/>
        <w:b/>
        <w:sz w:val="24"/>
        <w:szCs w:val="24"/>
        <w:lang w:val="en-US" w:eastAsia="zh-CN"/>
      </w:rPr>
      <w:t>19</w:t>
    </w:r>
    <w:r>
      <w:rPr>
        <w:rFonts w:hint="eastAsia" w:ascii="Times New Roman" w:hAnsi="Times New Roman" w:eastAsia="宋体" w:cs="宋体"/>
        <w:b/>
        <w:sz w:val="24"/>
        <w:szCs w:val="24"/>
        <w:lang w:val="en-US" w:eastAsia="zh-CN"/>
      </w:rPr>
      <w:t xml:space="preserve">日 </w:t>
    </w:r>
    <w:r>
      <w:rPr>
        <w:rFonts w:hint="eastAsia" w:cs="宋体"/>
        <w:b/>
        <w:sz w:val="24"/>
        <w:szCs w:val="24"/>
        <w:lang w:val="en-US" w:eastAsia="zh-CN"/>
      </w:rPr>
      <w:t xml:space="preserve"> </w:t>
    </w:r>
    <w:r>
      <w:rPr>
        <w:rFonts w:hint="eastAsia" w:ascii="Times New Roman" w:hAnsi="Times New Roman" w:eastAsia="宋体" w:cs="宋体"/>
        <w:b/>
        <w:sz w:val="24"/>
        <w:szCs w:val="24"/>
        <w:lang w:val="en-US" w:eastAsia="zh-CN"/>
      </w:rPr>
      <w:t>生效日期：</w:t>
    </w:r>
    <w:r>
      <w:rPr>
        <w:rFonts w:hint="eastAsia" w:cs="宋体"/>
        <w:b/>
        <w:sz w:val="24"/>
        <w:szCs w:val="24"/>
        <w:lang w:val="en-US" w:eastAsia="zh-CN"/>
      </w:rPr>
      <w:t>2025</w:t>
    </w:r>
    <w:r>
      <w:rPr>
        <w:rFonts w:hint="eastAsia" w:ascii="Times New Roman" w:hAnsi="Times New Roman" w:eastAsia="宋体" w:cs="宋体"/>
        <w:b/>
        <w:sz w:val="24"/>
        <w:szCs w:val="24"/>
        <w:lang w:val="en-US" w:eastAsia="zh-CN"/>
      </w:rPr>
      <w:t>年</w:t>
    </w:r>
    <w:r>
      <w:rPr>
        <w:rFonts w:hint="eastAsia" w:cs="宋体"/>
        <w:b/>
        <w:sz w:val="24"/>
        <w:szCs w:val="24"/>
        <w:lang w:val="en-US" w:eastAsia="zh-CN"/>
      </w:rPr>
      <w:t>1</w:t>
    </w:r>
    <w:r>
      <w:rPr>
        <w:rFonts w:hint="eastAsia" w:ascii="Times New Roman" w:hAnsi="Times New Roman" w:eastAsia="宋体" w:cs="宋体"/>
        <w:b/>
        <w:sz w:val="24"/>
        <w:szCs w:val="24"/>
        <w:lang w:val="en-US" w:eastAsia="zh-CN"/>
      </w:rPr>
      <w:t>月</w:t>
    </w:r>
    <w:r>
      <w:rPr>
        <w:rFonts w:hint="eastAsia" w:cs="宋体"/>
        <w:b/>
        <w:sz w:val="24"/>
        <w:szCs w:val="24"/>
        <w:lang w:val="en-US" w:eastAsia="zh-CN"/>
      </w:rPr>
      <w:t>24</w:t>
    </w:r>
    <w:r>
      <w:rPr>
        <w:rFonts w:hint="eastAsia" w:ascii="Times New Roman" w:hAnsi="Times New Roman" w:eastAsia="宋体" w:cs="宋体"/>
        <w:b/>
        <w:sz w:val="24"/>
        <w:szCs w:val="24"/>
        <w:lang w:val="en-US" w:eastAsia="zh-CN"/>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001A0"/>
    <w:multiLevelType w:val="multilevel"/>
    <w:tmpl w:val="B70001A0"/>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suff w:val="nothing"/>
      <w:lvlText w:val="%2．"/>
      <w:lvlJc w:val="left"/>
      <w:pPr>
        <w:ind w:left="0" w:firstLine="420"/>
      </w:pPr>
      <w:rPr>
        <w:rFonts w:hint="default" w:ascii="Times New Roman" w:hAnsi="Times New Roman" w:eastAsia="宋体" w:cs="仿宋"/>
      </w:rPr>
    </w:lvl>
    <w:lvl w:ilvl="2" w:tentative="0">
      <w:start w:val="1"/>
      <w:numFmt w:val="decimal"/>
      <w:suff w:val="nothing"/>
      <w:lvlText w:val="（%3）"/>
      <w:lvlJc w:val="left"/>
      <w:pPr>
        <w:ind w:left="0" w:firstLine="420"/>
      </w:pPr>
      <w:rPr>
        <w:rFonts w:hint="eastAsia" w:ascii="楷体" w:hAnsi="楷体" w:eastAsia="楷体" w:cs="楷体"/>
      </w:rPr>
    </w:lvl>
    <w:lvl w:ilvl="3" w:tentative="0">
      <w:start w:val="1"/>
      <w:numFmt w:val="decimalEnclosedCircleChinese"/>
      <w:suff w:val="nothing"/>
      <w:lvlText w:val="%4"/>
      <w:lvlJc w:val="left"/>
      <w:pPr>
        <w:ind w:left="0" w:firstLine="420"/>
      </w:pPr>
      <w:rPr>
        <w:rFonts w:hint="eastAsia" w:ascii="楷体" w:hAnsi="楷体" w:eastAsia="楷体" w:cs="楷体"/>
      </w:rPr>
    </w:lvl>
    <w:lvl w:ilvl="4" w:tentative="0">
      <w:start w:val="1"/>
      <w:numFmt w:val="decimal"/>
      <w:suff w:val="nothing"/>
      <w:lvlText w:val="%5）"/>
      <w:lvlJc w:val="left"/>
      <w:pPr>
        <w:ind w:left="0" w:firstLine="420"/>
      </w:pPr>
      <w:rPr>
        <w:rFonts w:hint="eastAsia" w:ascii="楷体" w:hAnsi="楷体" w:eastAsia="楷体" w:cs="楷体"/>
      </w:rPr>
    </w:lvl>
    <w:lvl w:ilvl="5" w:tentative="0">
      <w:start w:val="1"/>
      <w:numFmt w:val="lowerLetter"/>
      <w:suff w:val="nothing"/>
      <w:lvlText w:val="%6．"/>
      <w:lvlJc w:val="left"/>
      <w:pPr>
        <w:ind w:left="0" w:firstLine="420"/>
      </w:pPr>
      <w:rPr>
        <w:rFonts w:hint="eastAsia" w:ascii="楷体" w:hAnsi="楷体" w:eastAsia="楷体" w:cs="楷体"/>
      </w:rPr>
    </w:lvl>
    <w:lvl w:ilvl="6" w:tentative="0">
      <w:start w:val="1"/>
      <w:numFmt w:val="lowerLetter"/>
      <w:suff w:val="nothing"/>
      <w:lvlText w:val="%7）"/>
      <w:lvlJc w:val="left"/>
      <w:pPr>
        <w:ind w:left="0" w:firstLine="420"/>
      </w:pPr>
      <w:rPr>
        <w:rFonts w:hint="eastAsia" w:ascii="楷体" w:hAnsi="楷体" w:eastAsia="楷体" w:cs="楷体"/>
      </w:rPr>
    </w:lvl>
    <w:lvl w:ilvl="7" w:tentative="0">
      <w:start w:val="1"/>
      <w:numFmt w:val="lowerRoman"/>
      <w:suff w:val="nothing"/>
      <w:lvlText w:val="%8．"/>
      <w:lvlJc w:val="left"/>
      <w:pPr>
        <w:ind w:left="0" w:firstLine="420"/>
      </w:pPr>
      <w:rPr>
        <w:rFonts w:hint="eastAsia" w:ascii="楷体" w:hAnsi="楷体" w:eastAsia="楷体" w:cs="楷体"/>
      </w:rPr>
    </w:lvl>
    <w:lvl w:ilvl="8" w:tentative="0">
      <w:start w:val="1"/>
      <w:numFmt w:val="lowerRoman"/>
      <w:suff w:val="nothing"/>
      <w:lvlText w:val="%9）"/>
      <w:lvlJc w:val="left"/>
      <w:pPr>
        <w:ind w:left="0" w:firstLine="420"/>
      </w:pPr>
      <w:rPr>
        <w:rFonts w:hint="eastAsia" w:ascii="楷体" w:hAnsi="楷体" w:eastAsia="楷体" w:cs="楷体"/>
      </w:rPr>
    </w:lvl>
  </w:abstractNum>
  <w:abstractNum w:abstractNumId="1">
    <w:nsid w:val="DB863BAC"/>
    <w:multiLevelType w:val="singleLevel"/>
    <w:tmpl w:val="DB863BAC"/>
    <w:lvl w:ilvl="0" w:tentative="0">
      <w:start w:val="1"/>
      <w:numFmt w:val="decimal"/>
      <w:suff w:val="nothing"/>
      <w:lvlText w:val="%1．"/>
      <w:lvlJc w:val="left"/>
      <w:pPr>
        <w:ind w:left="0" w:firstLine="400"/>
      </w:pPr>
      <w:rPr>
        <w:rFonts w:hint="default" w:ascii="Times New Roman" w:hAnsi="Times New Roman" w:eastAsia="宋体" w:cs="仿宋"/>
      </w:rPr>
    </w:lvl>
  </w:abstractNum>
  <w:abstractNum w:abstractNumId="2">
    <w:nsid w:val="EAA6A03A"/>
    <w:multiLevelType w:val="singleLevel"/>
    <w:tmpl w:val="EAA6A03A"/>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2JhYWNmZjMzNjhmNDY4ZDAyNmZkMThlYzRhZGMifQ=="/>
    <w:docVar w:name="KSO_WPS_MARK_KEY" w:val="27ac6a63-8cdf-4837-93e2-2deda497946d"/>
  </w:docVars>
  <w:rsids>
    <w:rsidRoot w:val="0E0C237F"/>
    <w:rsid w:val="00490F46"/>
    <w:rsid w:val="008A6777"/>
    <w:rsid w:val="00E11184"/>
    <w:rsid w:val="03E56A12"/>
    <w:rsid w:val="04222D8E"/>
    <w:rsid w:val="04793E7D"/>
    <w:rsid w:val="05BF4C39"/>
    <w:rsid w:val="07660D09"/>
    <w:rsid w:val="0ABC0D59"/>
    <w:rsid w:val="0B22052F"/>
    <w:rsid w:val="0BAC5360"/>
    <w:rsid w:val="0E0C237F"/>
    <w:rsid w:val="100C4148"/>
    <w:rsid w:val="11561356"/>
    <w:rsid w:val="124F1D83"/>
    <w:rsid w:val="1277465D"/>
    <w:rsid w:val="12C25E51"/>
    <w:rsid w:val="132847B2"/>
    <w:rsid w:val="141E524B"/>
    <w:rsid w:val="156926D6"/>
    <w:rsid w:val="1B530817"/>
    <w:rsid w:val="1BBA1125"/>
    <w:rsid w:val="1C9C79D6"/>
    <w:rsid w:val="1F713C08"/>
    <w:rsid w:val="1F854330"/>
    <w:rsid w:val="20296C34"/>
    <w:rsid w:val="20725B53"/>
    <w:rsid w:val="20B17E5B"/>
    <w:rsid w:val="229B128E"/>
    <w:rsid w:val="23E02DEF"/>
    <w:rsid w:val="245320CC"/>
    <w:rsid w:val="249D141C"/>
    <w:rsid w:val="25497AEB"/>
    <w:rsid w:val="28B52E72"/>
    <w:rsid w:val="290457A6"/>
    <w:rsid w:val="2BAA32CD"/>
    <w:rsid w:val="2BF25CAC"/>
    <w:rsid w:val="2CD62A28"/>
    <w:rsid w:val="2E612B18"/>
    <w:rsid w:val="2E785326"/>
    <w:rsid w:val="2F4F3E22"/>
    <w:rsid w:val="30780AB2"/>
    <w:rsid w:val="317128DF"/>
    <w:rsid w:val="31C0736A"/>
    <w:rsid w:val="31CF394F"/>
    <w:rsid w:val="33376EF8"/>
    <w:rsid w:val="34896DB5"/>
    <w:rsid w:val="353D49BC"/>
    <w:rsid w:val="371F21FC"/>
    <w:rsid w:val="37362DA2"/>
    <w:rsid w:val="396014D3"/>
    <w:rsid w:val="3AA03D3A"/>
    <w:rsid w:val="3D006466"/>
    <w:rsid w:val="3F1A0FB4"/>
    <w:rsid w:val="40812326"/>
    <w:rsid w:val="44F434EC"/>
    <w:rsid w:val="457A3F35"/>
    <w:rsid w:val="45E70B63"/>
    <w:rsid w:val="483E2DB0"/>
    <w:rsid w:val="486A57A6"/>
    <w:rsid w:val="492108C6"/>
    <w:rsid w:val="49A55B2B"/>
    <w:rsid w:val="4A9546D7"/>
    <w:rsid w:val="4B271DE1"/>
    <w:rsid w:val="4DE90850"/>
    <w:rsid w:val="4E564C83"/>
    <w:rsid w:val="51FE294B"/>
    <w:rsid w:val="52E77A54"/>
    <w:rsid w:val="52E9339F"/>
    <w:rsid w:val="52F15388"/>
    <w:rsid w:val="569D7B4A"/>
    <w:rsid w:val="57C378D2"/>
    <w:rsid w:val="5C4A060E"/>
    <w:rsid w:val="5CDF12FD"/>
    <w:rsid w:val="5E77229B"/>
    <w:rsid w:val="5EB6613C"/>
    <w:rsid w:val="60A477F2"/>
    <w:rsid w:val="60F17CF0"/>
    <w:rsid w:val="61D24B0F"/>
    <w:rsid w:val="61FD5E71"/>
    <w:rsid w:val="624E5AC5"/>
    <w:rsid w:val="62A47617"/>
    <w:rsid w:val="677855D8"/>
    <w:rsid w:val="68683D96"/>
    <w:rsid w:val="709C3000"/>
    <w:rsid w:val="717A5DDC"/>
    <w:rsid w:val="73924EBE"/>
    <w:rsid w:val="74307324"/>
    <w:rsid w:val="762A6F04"/>
    <w:rsid w:val="7959376B"/>
    <w:rsid w:val="79B0203C"/>
    <w:rsid w:val="7A5C705D"/>
    <w:rsid w:val="7F2A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仿宋_GB2312" w:hAnsi="宋体" w:eastAsia="仿宋_GB2312" w:cs="宋体"/>
      <w:color w:val="000000"/>
      <w:kern w:val="0"/>
      <w:sz w:val="30"/>
      <w:szCs w:val="3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0">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1827</Words>
  <Characters>1838</Characters>
  <Lines>15</Lines>
  <Paragraphs>4</Paragraphs>
  <TotalTime>8</TotalTime>
  <ScaleCrop>false</ScaleCrop>
  <LinksUpToDate>false</LinksUpToDate>
  <CharactersWithSpaces>1884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2019-08-07T10:10:00Z</dcterms:created>
  <dc:creator>俊伟</dc:creator>
  <cp:lastModifiedBy>Sakura</cp:lastModifiedBy>
  <dcterms:modified xsi:type="dcterms:W3CDTF">2025-06-17T07:12:09Z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DA2CF6D07AD148FEA8411F1CFD808D28_13</vt:lpwstr>
  </property>
  <property fmtid="{D5CDD505-2E9C-101B-9397-08002B2CF9AE}" pid="4" name="KSOTemplateDocerSaveRecord">
    <vt:lpwstr>eyJoZGlkIjoiZjEyNWY3M2Q2NTM0NzBiNzA3MmJmNzliY2JlOTA3ZTYiLCJ1c2VySWQiOiI0NzUzMTc5OTMifQ==</vt:lpwstr>
  </property>
</Properties>
</file>