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免除知情同意申请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6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6845" w:type="dxa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根据国家卫健委医学伦理专家委员会办公室、中国医院协会发布的《涉及人的临床研究伦理审查委员会建设指南》的要求：在满足下列必要充分条件时，伦理审查委员会可以同意豁免知情同意。请参照并对应以下条目，说明该研究拟申请免除知情同意的理由：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（如不满足以下条目相关要求，则无法申请免除知情同意，请在申请材料中准备知情同意书。）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一、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可能遭受的风险不超过最低限度。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请说明：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二、豁免征得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的知情同意并不会对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的权益产生负面影响。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请说明：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三、利用可识别身份信息的人体材料或者数据进行研究，已无法找到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，且研究项目不涉及个人隐私和商业利益。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请说明：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四、生物样本捐献者已经签署了知情同意书，同意所捐献样本及相关信息可用于所有医学研究。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</w:rPr>
              <w:t>请说明：</w:t>
            </w:r>
          </w:p>
          <w:p>
            <w:pPr>
              <w:pStyle w:val="8"/>
              <w:spacing w:line="560" w:lineRule="exact"/>
              <w:jc w:val="both"/>
              <w:rPr>
                <w:rFonts w:asciiTheme="minorEastAsia" w:hAnsiTheme="minorEastAsia" w:cs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研究者签字</w:t>
            </w:r>
          </w:p>
        </w:tc>
        <w:tc>
          <w:tcPr>
            <w:tcW w:w="6845" w:type="dxa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年    月    日</w:t>
            </w:r>
          </w:p>
        </w:tc>
      </w:tr>
    </w:tbl>
    <w:p>
      <w:pPr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15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654BB7"/>
    <w:rsid w:val="003F30D8"/>
    <w:rsid w:val="00583E24"/>
    <w:rsid w:val="00654BB7"/>
    <w:rsid w:val="00B45E0E"/>
    <w:rsid w:val="00F17822"/>
    <w:rsid w:val="00FE521E"/>
    <w:rsid w:val="068524A6"/>
    <w:rsid w:val="109C0F28"/>
    <w:rsid w:val="129E771C"/>
    <w:rsid w:val="152E3530"/>
    <w:rsid w:val="18A83B24"/>
    <w:rsid w:val="2BE41BF8"/>
    <w:rsid w:val="4907611E"/>
    <w:rsid w:val="554D15FF"/>
    <w:rsid w:val="58BC5197"/>
    <w:rsid w:val="5CF6463D"/>
    <w:rsid w:val="675B230F"/>
    <w:rsid w:val="688D5AFD"/>
    <w:rsid w:val="6AC22BC9"/>
    <w:rsid w:val="6D8B1D3C"/>
    <w:rsid w:val="6F36366A"/>
    <w:rsid w:val="7446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365</Characters>
  <Lines>3</Lines>
  <Paragraphs>1</Paragraphs>
  <TotalTime>0</TotalTime>
  <ScaleCrop>false</ScaleCrop>
  <LinksUpToDate>false</LinksUpToDate>
  <CharactersWithSpaces>417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lenovo</dc:creator>
  <cp:lastModifiedBy>HMZ</cp:lastModifiedBy>
  <cp:lastPrinted>2024-10-24T16:15:00Z</cp:lastPrinted>
  <dcterms:modified xsi:type="dcterms:W3CDTF">2026-03-12T02:11:01Z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380BB220F2D9476DA4FE68D696D0358F</vt:lpwstr>
  </property>
</Properties>
</file>