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6</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50" w:type="dxa"/>
        <w:tblInd w:w="248" w:type="dxa"/>
        <w:tblLayout w:type="fixed"/>
        <w:tblCellMar>
          <w:top w:w="0" w:type="dxa"/>
          <w:left w:w="108" w:type="dxa"/>
          <w:bottom w:w="0" w:type="dxa"/>
          <w:right w:w="108" w:type="dxa"/>
        </w:tblCellMar>
      </w:tblPr>
      <w:tblGrid>
        <w:gridCol w:w="785"/>
        <w:gridCol w:w="3196"/>
        <w:gridCol w:w="1050"/>
        <w:gridCol w:w="1027"/>
        <w:gridCol w:w="1766"/>
        <w:gridCol w:w="1626"/>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25D71A9B">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rPr>
              <w:t>低频电子脉冲膀胱治疗仪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8EA8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1</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ADD54E6">
            <w:pPr>
              <w:widowControl/>
              <w:spacing w:line="276" w:lineRule="auto"/>
              <w:jc w:val="center"/>
              <w:rPr>
                <w:rFonts w:hint="eastAsia" w:ascii="Times New Roman" w:hAnsi="Times New Roman" w:eastAsia="宋体"/>
                <w:kern w:val="0"/>
                <w:sz w:val="24"/>
                <w:szCs w:val="24"/>
                <w:lang w:val="en-US" w:eastAsia="zh-CN"/>
              </w:rPr>
            </w:pPr>
            <w:r>
              <w:rPr>
                <w:rFonts w:hint="eastAsia" w:ascii="Times New Roman" w:hAnsi="Times New Roman" w:eastAsia="宋体"/>
                <w:kern w:val="0"/>
                <w:sz w:val="24"/>
                <w:szCs w:val="24"/>
              </w:rPr>
              <w:t>套</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1D2DADFD">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80000</w:t>
            </w:r>
            <w:r>
              <w:rPr>
                <w:rFonts w:hint="eastAsia" w:ascii="Times New Roman" w:hAnsi="Times New Roman"/>
                <w:kern w:val="0"/>
                <w:sz w:val="24"/>
                <w:szCs w:val="24"/>
                <w:lang w:val="en-US" w:eastAsia="zh-CN"/>
              </w:rPr>
              <w:t>.00</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632A2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19</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bookmarkStart w:id="0" w:name="_GoBack"/>
      <w:bookmarkEnd w:id="0"/>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81A0116"/>
    <w:rsid w:val="19DA3AE1"/>
    <w:rsid w:val="1E683A44"/>
    <w:rsid w:val="1F5556F4"/>
    <w:rsid w:val="25325B10"/>
    <w:rsid w:val="25BF2BE5"/>
    <w:rsid w:val="2A7C099F"/>
    <w:rsid w:val="2CC5455C"/>
    <w:rsid w:val="326309D3"/>
    <w:rsid w:val="34D614A6"/>
    <w:rsid w:val="35441687"/>
    <w:rsid w:val="377E3AD8"/>
    <w:rsid w:val="39EF7D0F"/>
    <w:rsid w:val="3C21686B"/>
    <w:rsid w:val="3F817A20"/>
    <w:rsid w:val="43C14556"/>
    <w:rsid w:val="48222984"/>
    <w:rsid w:val="4A356780"/>
    <w:rsid w:val="4BF54CBC"/>
    <w:rsid w:val="4FEA76E2"/>
    <w:rsid w:val="506F6DAF"/>
    <w:rsid w:val="51FE3FB3"/>
    <w:rsid w:val="53BF0CE6"/>
    <w:rsid w:val="53DC2107"/>
    <w:rsid w:val="571F0D65"/>
    <w:rsid w:val="59194BFB"/>
    <w:rsid w:val="5D7531C5"/>
    <w:rsid w:val="5EBD088C"/>
    <w:rsid w:val="61F62246"/>
    <w:rsid w:val="65C74A4E"/>
    <w:rsid w:val="664D6E37"/>
    <w:rsid w:val="683A55EE"/>
    <w:rsid w:val="70E57987"/>
    <w:rsid w:val="7478641F"/>
    <w:rsid w:val="748F38CC"/>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文档正文"/>
    <w:basedOn w:val="1"/>
    <w:qFormat/>
    <w:uiPriority w:val="0"/>
    <w:pPr>
      <w:spacing w:afterLines="0" w:line="360" w:lineRule="auto"/>
    </w:pPr>
    <w:rPr>
      <w:bC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8"/>
    <w:qFormat/>
    <w:uiPriority w:val="99"/>
    <w:rPr>
      <w:kern w:val="2"/>
      <w:sz w:val="18"/>
      <w:szCs w:val="18"/>
    </w:rPr>
  </w:style>
  <w:style w:type="character" w:customStyle="1" w:styleId="16">
    <w:name w:val="页脚 Char"/>
    <w:link w:val="7"/>
    <w:qFormat/>
    <w:uiPriority w:val="99"/>
    <w:rPr>
      <w:kern w:val="2"/>
      <w:sz w:val="18"/>
      <w:szCs w:val="18"/>
    </w:rPr>
  </w:style>
  <w:style w:type="character" w:customStyle="1" w:styleId="17">
    <w:name w:val="批注框文本 Char"/>
    <w:link w:val="6"/>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742</Words>
  <Characters>835</Characters>
  <Lines>6</Lines>
  <Paragraphs>1</Paragraphs>
  <TotalTime>2</TotalTime>
  <ScaleCrop>false</ScaleCrop>
  <LinksUpToDate>false</LinksUpToDate>
  <CharactersWithSpaces>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2025-12-12T07:32:21Z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