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5</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80</w:t>
      </w:r>
      <w:r>
        <w:rPr>
          <w:rFonts w:ascii="宋体" w:hAnsi="宋体" w:cs="宋体-18030"/>
          <w:b/>
          <w:bCs/>
          <w:color w:val="000000"/>
          <w:sz w:val="30"/>
          <w:szCs w:val="30"/>
        </w:rPr>
        <w:t>期</w:t>
      </w:r>
      <w:r>
        <w:rPr>
          <w:rFonts w:hint="eastAsia" w:ascii="宋体" w:hAnsi="宋体" w:cs="宋体-18030"/>
          <w:b/>
          <w:bCs/>
          <w:color w:val="000000"/>
          <w:sz w:val="30"/>
          <w:szCs w:val="30"/>
        </w:rPr>
        <w:t>智慧心理CT评估系统</w:t>
      </w:r>
      <w:r>
        <w:rPr>
          <w:rFonts w:ascii="宋体" w:hAnsi="宋体" w:cs="宋体-18030"/>
          <w:b/>
          <w:bCs/>
          <w:color w:val="000000"/>
          <w:sz w:val="30"/>
          <w:szCs w:val="30"/>
        </w:rPr>
        <w:t>采购公告</w:t>
      </w:r>
    </w:p>
    <w:p>
      <w:pPr>
        <w:pStyle w:val="2"/>
        <w:snapToGrid w:val="0"/>
        <w:spacing w:line="240" w:lineRule="auto"/>
        <w:ind w:left="982" w:hanging="562"/>
        <w:contextualSpacing/>
        <w:jc w:val="center"/>
        <w:rPr>
          <w:rFonts w:hint="default" w:ascii="宋体" w:hAnsi="宋体" w:eastAsia="宋体"/>
          <w:sz w:val="28"/>
          <w:szCs w:val="28"/>
          <w:lang w:val="en-US" w:eastAsia="zh-CN"/>
        </w:rPr>
      </w:pPr>
      <w:r>
        <w:rPr>
          <w:rFonts w:hint="eastAsia" w:ascii="宋体" w:hAnsi="宋体" w:eastAsia="宋体"/>
          <w:b/>
          <w:bCs/>
          <w:sz w:val="28"/>
          <w:szCs w:val="28"/>
        </w:rPr>
        <w:t>采购编号:BYZBCG2025-</w:t>
      </w:r>
      <w:r>
        <w:rPr>
          <w:rFonts w:hint="eastAsia" w:ascii="宋体" w:hAnsi="宋体" w:eastAsia="宋体"/>
          <w:b/>
          <w:bCs/>
          <w:sz w:val="28"/>
          <w:szCs w:val="28"/>
          <w:lang w:val="en-US" w:eastAsia="zh-CN"/>
        </w:rPr>
        <w:t>80</w:t>
      </w:r>
    </w:p>
    <w:p>
      <w:pPr>
        <w:widowControl/>
        <w:ind w:left="-283" w:leftChars="-135" w:right="-456" w:rightChars="-217"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20"/>
        <w:tblW w:w="9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2694"/>
        <w:gridCol w:w="2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077" w:type="dxa"/>
            <w:vAlign w:val="center"/>
          </w:tcPr>
          <w:p>
            <w:pPr>
              <w:widowControl/>
              <w:snapToGrid w:val="0"/>
              <w:ind w:right="-617" w:rightChars="-294" w:firstLine="1470" w:firstLineChars="700"/>
              <w:contextualSpacing/>
              <w:jc w:val="both"/>
              <w:rPr>
                <w:rFonts w:hint="eastAsia" w:ascii="宋体" w:hAnsi="宋体" w:cs="宋体-18030"/>
                <w:b/>
                <w:bCs/>
                <w:color w:val="000000"/>
                <w:szCs w:val="21"/>
              </w:rPr>
            </w:pPr>
            <w:r>
              <w:rPr>
                <w:rFonts w:ascii="宋体" w:hAnsi="宋体" w:cs="宋体-18030"/>
                <w:bCs/>
                <w:color w:val="000000"/>
                <w:szCs w:val="21"/>
              </w:rPr>
              <w:t>项目名称</w:t>
            </w:r>
          </w:p>
        </w:tc>
        <w:tc>
          <w:tcPr>
            <w:tcW w:w="2694" w:type="dxa"/>
            <w:vAlign w:val="center"/>
          </w:tcPr>
          <w:p>
            <w:pPr>
              <w:widowControl/>
              <w:snapToGrid w:val="0"/>
              <w:ind w:left="206" w:leftChars="98" w:right="-617" w:rightChars="-294" w:firstLine="625" w:firstLineChars="298"/>
              <w:contextualSpacing/>
              <w:jc w:val="both"/>
              <w:rPr>
                <w:rFonts w:hint="eastAsia" w:ascii="宋体" w:hAnsi="宋体" w:cs="宋体-18030"/>
                <w:b/>
                <w:bCs/>
                <w:color w:val="000000"/>
                <w:szCs w:val="21"/>
              </w:rPr>
            </w:pPr>
            <w:r>
              <w:rPr>
                <w:rFonts w:ascii="宋体" w:hAnsi="宋体" w:cs="宋体-18030"/>
                <w:bCs/>
                <w:color w:val="000000"/>
                <w:szCs w:val="21"/>
              </w:rPr>
              <w:t>使用科室</w:t>
            </w:r>
          </w:p>
        </w:tc>
        <w:tc>
          <w:tcPr>
            <w:tcW w:w="2599" w:type="dxa"/>
            <w:vAlign w:val="center"/>
          </w:tcPr>
          <w:p>
            <w:pPr>
              <w:widowControl/>
              <w:snapToGrid w:val="0"/>
              <w:ind w:right="-617" w:rightChars="-294" w:firstLine="1050" w:firstLineChars="5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4077" w:type="dxa"/>
            <w:vAlign w:val="center"/>
          </w:tcPr>
          <w:p>
            <w:pPr>
              <w:widowControl/>
              <w:snapToGrid w:val="0"/>
              <w:ind w:leftChars="-287" w:right="-617" w:rightChars="-294" w:hanging="602" w:hangingChars="287"/>
              <w:contextualSpacing/>
              <w:jc w:val="center"/>
              <w:rPr>
                <w:rFonts w:hint="eastAsia" w:ascii="宋体" w:hAnsi="宋体" w:eastAsia="宋体" w:cs="宋体-18030"/>
                <w:color w:val="000000"/>
                <w:szCs w:val="21"/>
                <w:lang w:val="en-US" w:eastAsia="zh-CN"/>
              </w:rPr>
            </w:pPr>
            <w:r>
              <w:rPr>
                <w:rFonts w:hint="eastAsia" w:ascii="宋体" w:hAnsi="宋体" w:cs="宋体-18030"/>
                <w:bCs/>
                <w:color w:val="000000"/>
                <w:szCs w:val="21"/>
                <w:lang w:val="en-US" w:eastAsia="zh-CN"/>
              </w:rPr>
              <w:t xml:space="preserve"> </w:t>
            </w:r>
            <w:r>
              <w:rPr>
                <w:rFonts w:hint="eastAsia" w:ascii="宋体" w:hAnsi="宋体" w:cs="宋体-18030"/>
                <w:bCs/>
                <w:color w:val="000000"/>
                <w:szCs w:val="21"/>
              </w:rPr>
              <w:t>智慧心理CT评估系统</w:t>
            </w:r>
          </w:p>
        </w:tc>
        <w:tc>
          <w:tcPr>
            <w:tcW w:w="2694" w:type="dxa"/>
            <w:vAlign w:val="center"/>
          </w:tcPr>
          <w:p>
            <w:pPr>
              <w:widowControl/>
              <w:snapToGrid w:val="0"/>
              <w:ind w:left="-533" w:leftChars="-254" w:right="-617" w:rightChars="-294" w:firstLine="210" w:firstLineChars="100"/>
              <w:contextualSpacing/>
              <w:rPr>
                <w:rFonts w:hint="eastAsia" w:ascii="宋体" w:hAnsi="宋体" w:cs="宋体-18030"/>
                <w:color w:val="000000"/>
                <w:szCs w:val="21"/>
              </w:rPr>
            </w:pPr>
            <w:r>
              <w:rPr>
                <w:rFonts w:hint="eastAsia" w:ascii="宋体" w:hAnsi="宋体" w:cs="宋体-18030"/>
                <w:color w:val="000000"/>
                <w:szCs w:val="21"/>
              </w:rPr>
              <w:t xml:space="preserve">      </w:t>
            </w:r>
            <w:r>
              <w:rPr>
                <w:rFonts w:hint="eastAsia" w:ascii="宋体" w:hAnsi="宋体" w:cs="宋体-18030"/>
                <w:color w:val="000000"/>
                <w:szCs w:val="21"/>
                <w:lang w:val="en-US" w:eastAsia="zh-CN"/>
              </w:rPr>
              <w:t xml:space="preserve">    </w:t>
            </w:r>
            <w:r>
              <w:rPr>
                <w:rFonts w:hint="eastAsia" w:ascii="宋体" w:hAnsi="宋体" w:cs="宋体-18030"/>
                <w:color w:val="000000"/>
                <w:szCs w:val="21"/>
              </w:rPr>
              <w:t>临床心理科</w:t>
            </w:r>
          </w:p>
        </w:tc>
        <w:tc>
          <w:tcPr>
            <w:tcW w:w="2599" w:type="dxa"/>
            <w:vAlign w:val="center"/>
          </w:tcPr>
          <w:p>
            <w:pPr>
              <w:widowControl/>
              <w:snapToGrid w:val="0"/>
              <w:ind w:right="-617" w:rightChars="-294" w:firstLine="210" w:firstLineChars="100"/>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6"/>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6"/>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6"/>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ind w:left="-283" w:leftChars="-135" w:right="-166" w:rightChars="-79" w:firstLine="493" w:firstLineChars="234"/>
        <w:rPr>
          <w:rFonts w:hint="eastAsia" w:ascii="微软雅黑" w:hAnsi="微软雅黑" w:eastAsia="微软雅黑" w:cs="微软雅黑"/>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w:t>
      </w:r>
      <w:r>
        <w:rPr>
          <w:rFonts w:hint="eastAsia" w:ascii="宋体" w:hAnsi="宋体"/>
          <w:lang w:val="en-US" w:eastAsia="zh-CN"/>
        </w:rPr>
        <w:t>12</w:t>
      </w:r>
      <w:r>
        <w:rPr>
          <w:rFonts w:hint="eastAsia" w:ascii="宋体" w:hAnsi="宋体"/>
        </w:rPr>
        <w:t>月</w:t>
      </w:r>
      <w:r>
        <w:rPr>
          <w:rFonts w:hint="eastAsia" w:ascii="宋体" w:hAnsi="宋体"/>
          <w:lang w:val="en-US" w:eastAsia="zh-CN"/>
        </w:rPr>
        <w:t>5</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12</w:t>
      </w:r>
      <w:r>
        <w:rPr>
          <w:rFonts w:ascii="宋体" w:hAnsi="宋体"/>
        </w:rPr>
        <w:t>月</w:t>
      </w:r>
      <w:r>
        <w:rPr>
          <w:rFonts w:hint="eastAsia" w:ascii="宋体" w:hAnsi="宋体"/>
          <w:lang w:val="en-US" w:eastAsia="zh-CN"/>
        </w:rPr>
        <w:t>15</w:t>
      </w:r>
      <w:r>
        <w:rPr>
          <w:rFonts w:ascii="宋体" w:hAnsi="宋体"/>
        </w:rPr>
        <w:t>日下午4:00前,</w:t>
      </w:r>
      <w:r>
        <w:rPr>
          <w:rFonts w:hint="eastAsia" w:ascii="宋体" w:hAnsi="宋体" w:cs="Arial"/>
          <w:bCs/>
          <w:color w:val="000000"/>
          <w:szCs w:val="21"/>
        </w:rPr>
        <w:t>1.法定代表人或被授权人携纸质版《投标人报名资料》到宝安区人民医院立体停车场出口对面老宝中宿舍A栋201室招标办审核;2.现场审核通过后，立即发送：（1）报名资料PDF版（2）报名资料封面(Word格式)至电子邮箱,逾期送达或资料缺项者恕不接受</w:t>
      </w:r>
      <w:r>
        <w:rPr>
          <w:rFonts w:hint="eastAsia" w:ascii="微软雅黑" w:hAnsi="微软雅黑" w:eastAsia="微软雅黑" w:cs="微软雅黑"/>
          <w:bCs/>
          <w:color w:val="000000"/>
          <w:szCs w:val="21"/>
        </w:rPr>
        <w:t>｡</w:t>
      </w:r>
    </w:p>
    <w:p>
      <w:pPr>
        <w:ind w:left="-283" w:leftChars="-135" w:right="-166" w:rightChars="-79" w:firstLine="282" w:firstLineChars="134"/>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hint="eastAsia" w:ascii="微软雅黑" w:hAnsi="微软雅黑" w:eastAsia="微软雅黑" w:cs="微软雅黑"/>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hint="eastAsia" w:ascii="宋体" w:hAnsi="宋体" w:cs="Arial"/>
          <w:color w:val="000000"/>
          <w:kern w:val="0"/>
          <w:szCs w:val="21"/>
        </w:rPr>
        <w:t>老师、</w:t>
      </w:r>
      <w:r>
        <w:rPr>
          <w:rFonts w:hint="eastAsia" w:ascii="宋体" w:hAnsi="宋体" w:cs="Arial"/>
          <w:color w:val="000000"/>
          <w:kern w:val="0"/>
          <w:szCs w:val="21"/>
          <w:lang w:val="en-US" w:eastAsia="zh-CN"/>
        </w:rPr>
        <w:t>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pStyle w:val="2"/>
        <w:ind w:left="103" w:leftChars="18" w:hanging="65" w:hangingChars="31"/>
        <w:rPr>
          <w:rFonts w:hint="eastAsia" w:ascii="宋体" w:hAnsi="宋体" w:eastAsia="宋体"/>
          <w:sz w:val="21"/>
          <w:szCs w:val="21"/>
        </w:rPr>
      </w:pPr>
      <w:r>
        <w:rPr>
          <w:rFonts w:hint="eastAsia" w:ascii="宋体" w:hAnsi="宋体" w:eastAsia="宋体"/>
          <w:sz w:val="21"/>
          <w:szCs w:val="21"/>
        </w:rPr>
        <w:t xml:space="preserve"> </w:t>
      </w:r>
      <w:r>
        <w:rPr>
          <w:rFonts w:hint="eastAsia" w:ascii="宋体" w:hAnsi="宋体" w:eastAsia="宋体" w:cs="Arial"/>
          <w:b/>
          <w:bCs/>
          <w:color w:val="000000"/>
          <w:sz w:val="21"/>
          <w:szCs w:val="21"/>
        </w:rPr>
        <w:t>七、采购部门（</w:t>
      </w:r>
      <w:r>
        <w:rPr>
          <w:rFonts w:hint="eastAsia" w:ascii="宋体" w:hAnsi="宋体" w:eastAsia="宋体" w:cs="Arial"/>
          <w:b/>
          <w:bCs/>
          <w:color w:val="000000"/>
          <w:sz w:val="21"/>
          <w:szCs w:val="21"/>
          <w:lang w:val="en-US" w:eastAsia="zh-CN"/>
        </w:rPr>
        <w:t>信息中心</w:t>
      </w:r>
      <w:r>
        <w:rPr>
          <w:rFonts w:hint="eastAsia" w:ascii="宋体" w:hAnsi="宋体" w:eastAsia="宋体" w:cs="Arial"/>
          <w:b/>
          <w:bCs/>
          <w:color w:val="000000"/>
          <w:sz w:val="21"/>
          <w:szCs w:val="21"/>
        </w:rPr>
        <w:t>）联系电话：</w:t>
      </w:r>
      <w:r>
        <w:rPr>
          <w:rFonts w:hint="eastAsia" w:ascii="宋体" w:hAnsi="宋体" w:eastAsia="宋体" w:cs="Arial"/>
          <w:color w:val="000000"/>
          <w:sz w:val="21"/>
          <w:szCs w:val="21"/>
        </w:rPr>
        <w:t>0755-27788311转</w:t>
      </w:r>
      <w:r>
        <w:rPr>
          <w:rFonts w:hint="eastAsia" w:ascii="宋体" w:hAnsi="宋体" w:eastAsia="宋体" w:cs="Arial"/>
          <w:color w:val="000000"/>
          <w:sz w:val="21"/>
          <w:szCs w:val="21"/>
          <w:lang w:val="en-US" w:eastAsia="zh-CN"/>
        </w:rPr>
        <w:t>3344</w:t>
      </w:r>
      <w:r>
        <w:rPr>
          <w:rFonts w:hint="eastAsia" w:ascii="宋体" w:hAnsi="宋体" w:eastAsia="宋体" w:cs="Arial"/>
          <w:color w:val="000000"/>
          <w:sz w:val="21"/>
          <w:szCs w:val="21"/>
        </w:rPr>
        <w:t>（</w:t>
      </w:r>
      <w:r>
        <w:rPr>
          <w:rFonts w:hint="eastAsia" w:ascii="宋体" w:hAnsi="宋体" w:eastAsia="宋体" w:cs="Arial"/>
          <w:color w:val="000000"/>
          <w:sz w:val="21"/>
          <w:szCs w:val="21"/>
          <w:lang w:val="en-US" w:eastAsia="zh-CN"/>
        </w:rPr>
        <w:t>郑</w:t>
      </w:r>
      <w:r>
        <w:rPr>
          <w:rFonts w:hint="eastAsia" w:ascii="宋体" w:hAnsi="宋体" w:eastAsia="宋体" w:cs="Arial"/>
          <w:color w:val="000000"/>
          <w:sz w:val="21"/>
          <w:szCs w:val="21"/>
        </w:rPr>
        <w:t>老师）</w:t>
      </w:r>
    </w:p>
    <w:p>
      <w:pPr>
        <w:widowControl/>
        <w:ind w:right="-309" w:rightChars="-147"/>
        <w:jc w:val="left"/>
        <w:rPr>
          <w:rFonts w:hint="eastAsia"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lang w:val="en-US" w:eastAsia="zh-CN"/>
        </w:rPr>
        <w:t>12</w:t>
      </w:r>
      <w:r>
        <w:rPr>
          <w:rFonts w:ascii="宋体" w:hAnsi="宋体" w:cs="宋体-18030"/>
          <w:bCs/>
          <w:szCs w:val="21"/>
        </w:rPr>
        <w:t>月</w:t>
      </w:r>
      <w:r>
        <w:rPr>
          <w:rFonts w:hint="eastAsia" w:ascii="宋体" w:hAnsi="宋体" w:cs="宋体-18030"/>
          <w:bCs/>
          <w:szCs w:val="21"/>
          <w:lang w:val="en-US" w:eastAsia="zh-CN"/>
        </w:rPr>
        <w:t>5</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 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 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szCs w:val="21"/>
        </w:rPr>
        <w:t>5. 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 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 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 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 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3"/>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939"/>
        <w:gridCol w:w="754"/>
        <w:gridCol w:w="707"/>
        <w:gridCol w:w="5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5"/>
            <w:vAlign w:val="center"/>
          </w:tcPr>
          <w:p>
            <w:pPr>
              <w:jc w:val="center"/>
              <w:rPr>
                <w:rFonts w:ascii="宋体" w:hAnsi="宋体"/>
                <w:b/>
                <w:bCs/>
                <w:sz w:val="24"/>
                <w:szCs w:val="24"/>
              </w:rPr>
            </w:pPr>
            <w:r>
              <w:rPr>
                <w:rFonts w:hint="eastAsia" w:ascii="宋体" w:hAnsi="宋体"/>
                <w:b/>
                <w:bCs/>
                <w:sz w:val="24"/>
                <w:szCs w:val="24"/>
              </w:rPr>
              <w:t>一、技术部分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Align w:val="center"/>
          </w:tcPr>
          <w:p>
            <w:pPr>
              <w:jc w:val="center"/>
              <w:rPr>
                <w:rFonts w:ascii="宋体" w:hAnsi="宋体"/>
                <w:b/>
                <w:bCs/>
                <w:szCs w:val="21"/>
              </w:rPr>
            </w:pPr>
            <w:r>
              <w:rPr>
                <w:rFonts w:hint="eastAsia" w:ascii="宋体" w:hAnsi="宋体"/>
                <w:b/>
                <w:bCs/>
                <w:szCs w:val="21"/>
              </w:rPr>
              <w:t>序号</w:t>
            </w:r>
          </w:p>
        </w:tc>
        <w:tc>
          <w:tcPr>
            <w:tcW w:w="1693" w:type="dxa"/>
            <w:gridSpan w:val="2"/>
            <w:vAlign w:val="center"/>
          </w:tcPr>
          <w:p>
            <w:pPr>
              <w:jc w:val="center"/>
              <w:rPr>
                <w:rFonts w:ascii="宋体" w:hAnsi="宋体"/>
                <w:b/>
                <w:bCs/>
                <w:szCs w:val="21"/>
              </w:rPr>
            </w:pPr>
            <w:r>
              <w:rPr>
                <w:rFonts w:hint="eastAsia" w:ascii="宋体" w:hAnsi="宋体"/>
                <w:b/>
                <w:bCs/>
                <w:szCs w:val="21"/>
              </w:rPr>
              <w:t>评分因素</w:t>
            </w:r>
          </w:p>
        </w:tc>
        <w:tc>
          <w:tcPr>
            <w:tcW w:w="707" w:type="dxa"/>
            <w:vAlign w:val="center"/>
          </w:tcPr>
          <w:p>
            <w:pPr>
              <w:jc w:val="center"/>
              <w:rPr>
                <w:rFonts w:ascii="宋体" w:hAnsi="宋体"/>
                <w:b/>
                <w:bCs/>
                <w:szCs w:val="21"/>
              </w:rPr>
            </w:pPr>
            <w:r>
              <w:rPr>
                <w:rFonts w:hint="eastAsia" w:ascii="宋体" w:hAnsi="宋体"/>
                <w:b/>
                <w:bCs/>
                <w:szCs w:val="21"/>
              </w:rPr>
              <w:t>分值</w:t>
            </w:r>
          </w:p>
        </w:tc>
        <w:tc>
          <w:tcPr>
            <w:tcW w:w="5905" w:type="dxa"/>
            <w:vAlign w:val="center"/>
          </w:tcPr>
          <w:p>
            <w:pPr>
              <w:jc w:val="center"/>
              <w:rPr>
                <w:rFonts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669"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1693" w:type="dxa"/>
            <w:gridSpan w:val="2"/>
            <w:vAlign w:val="center"/>
          </w:tcPr>
          <w:p>
            <w:pPr>
              <w:jc w:val="center"/>
              <w:rPr>
                <w:rFonts w:ascii="宋体" w:hAnsi="宋体"/>
                <w:szCs w:val="21"/>
              </w:rPr>
            </w:pPr>
            <w:r>
              <w:rPr>
                <w:rFonts w:hint="eastAsia" w:asciiTheme="minorEastAsia" w:hAnsiTheme="minorEastAsia" w:cstheme="minorEastAsia"/>
                <w:szCs w:val="21"/>
              </w:rPr>
              <w:t>服务要求标注“▲”条款情况</w:t>
            </w:r>
          </w:p>
        </w:tc>
        <w:tc>
          <w:tcPr>
            <w:tcW w:w="707" w:type="dxa"/>
            <w:vAlign w:val="center"/>
          </w:tcPr>
          <w:p>
            <w:pPr>
              <w:jc w:val="center"/>
              <w:rPr>
                <w:rFonts w:hint="default" w:ascii="宋体" w:hAnsi="宋体" w:eastAsia="宋体"/>
                <w:szCs w:val="21"/>
                <w:lang w:val="en-US" w:eastAsia="zh-CN"/>
              </w:rPr>
            </w:pPr>
            <w:r>
              <w:rPr>
                <w:rFonts w:hint="eastAsia" w:ascii="宋体" w:hAnsi="宋体" w:cs="宋体"/>
                <w:color w:val="000000"/>
                <w:sz w:val="22"/>
                <w:lang w:val="en-US" w:eastAsia="zh-CN"/>
              </w:rPr>
              <w:t>15</w:t>
            </w:r>
          </w:p>
        </w:tc>
        <w:tc>
          <w:tcPr>
            <w:tcW w:w="5905" w:type="dxa"/>
            <w:vAlign w:val="center"/>
          </w:tcPr>
          <w:p>
            <w:pPr>
              <w:widowControl/>
              <w:jc w:val="left"/>
              <w:textAlignment w:val="center"/>
              <w:rPr>
                <w:rFonts w:asciiTheme="minorEastAsia" w:hAnsiTheme="minorEastAsia" w:cstheme="minorEastAsia"/>
                <w:szCs w:val="21"/>
              </w:rPr>
            </w:pPr>
            <w:r>
              <w:rPr>
                <w:rFonts w:hint="eastAsia" w:asciiTheme="minorEastAsia" w:hAnsiTheme="minorEastAsia" w:cstheme="minorEastAsia"/>
                <w:b/>
                <w:bCs/>
                <w:szCs w:val="21"/>
              </w:rPr>
              <w:t>（一）评审内容：</w:t>
            </w:r>
          </w:p>
          <w:p>
            <w:pPr>
              <w:snapToGrid w:val="0"/>
              <w:rPr>
                <w:rFonts w:ascii="宋体" w:hAnsi="宋体" w:cs="宋体"/>
                <w:kern w:val="0"/>
                <w:szCs w:val="21"/>
              </w:rPr>
            </w:pPr>
            <w:r>
              <w:rPr>
                <w:rFonts w:hint="eastAsia" w:ascii="宋体" w:hAnsi="宋体" w:cs="宋体"/>
                <w:kern w:val="0"/>
                <w:szCs w:val="21"/>
              </w:rPr>
              <w:t>考察投标人对招标文件《用户需求书：服务要求》内容中的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contextualSpacing/>
              <w:jc w:val="left"/>
            </w:pPr>
            <w:r>
              <w:rPr>
                <w:rFonts w:hint="eastAsia" w:ascii="宋体" w:hAnsi="宋体" w:cs="宋体"/>
                <w:b/>
                <w:bCs/>
                <w:szCs w:val="21"/>
              </w:rPr>
              <w:t>（二）评审依据</w:t>
            </w:r>
            <w:r>
              <w:rPr>
                <w:rFonts w:hint="eastAsia" w:ascii="宋体" w:hAnsi="宋体" w:cs="宋体"/>
                <w:szCs w:val="21"/>
              </w:rPr>
              <w:t>：</w:t>
            </w:r>
          </w:p>
          <w:p>
            <w:pPr>
              <w:jc w:val="left"/>
              <w:rPr>
                <w:rFonts w:ascii="宋体" w:hAnsi="宋体"/>
                <w:szCs w:val="21"/>
              </w:rPr>
            </w:pPr>
            <w:r>
              <w:rPr>
                <w:rFonts w:hint="eastAsia" w:asciiTheme="minorEastAsia" w:hAnsiTheme="minorEastAsia" w:cstheme="minorEastAsia"/>
                <w:szCs w:val="21"/>
              </w:rPr>
              <w:t>以投标文件《服务要求条款偏离表》为评审依据，完全符合招标要求的，得</w:t>
            </w:r>
            <w:r>
              <w:rPr>
                <w:rFonts w:hint="eastAsia" w:asciiTheme="minorEastAsia" w:hAnsiTheme="minorEastAsia" w:cstheme="minorEastAsia"/>
                <w:szCs w:val="21"/>
                <w:lang w:val="en-US" w:eastAsia="zh-CN"/>
              </w:rPr>
              <w:t>15</w:t>
            </w:r>
            <w:r>
              <w:rPr>
                <w:rFonts w:hint="eastAsia" w:asciiTheme="minorEastAsia" w:hAnsiTheme="minorEastAsia" w:cstheme="minorEastAsia"/>
                <w:szCs w:val="21"/>
              </w:rPr>
              <w:t>分。有1项“▲”参数不符合招标要求（或缺漏）的扣</w:t>
            </w:r>
            <w:r>
              <w:rPr>
                <w:rFonts w:asciiTheme="minorEastAsia" w:hAnsiTheme="minorEastAsia" w:cstheme="minorEastAsia"/>
                <w:szCs w:val="21"/>
              </w:rPr>
              <w:t>1</w:t>
            </w:r>
            <w:r>
              <w:rPr>
                <w:rFonts w:hint="eastAsia" w:asciiTheme="minorEastAsia" w:hAnsiTheme="minorEastAsia" w:cstheme="minorEastAsia"/>
                <w:szCs w:val="21"/>
              </w:rPr>
              <w:t>分，</w:t>
            </w:r>
            <w:r>
              <w:rPr>
                <w:rFonts w:hint="eastAsia"/>
              </w:rPr>
              <w:t>扣完为止</w:t>
            </w:r>
            <w:r>
              <w:rPr>
                <w:rFonts w:hint="eastAsia" w:asciiTheme="minorEastAsia" w:hAnsi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1693" w:type="dxa"/>
            <w:gridSpan w:val="2"/>
            <w:vAlign w:val="center"/>
          </w:tcPr>
          <w:p>
            <w:pPr>
              <w:jc w:val="center"/>
              <w:rPr>
                <w:rFonts w:ascii="宋体" w:hAnsi="宋体"/>
                <w:szCs w:val="21"/>
              </w:rPr>
            </w:pPr>
            <w:r>
              <w:rPr>
                <w:rFonts w:hint="eastAsia" w:asciiTheme="minorEastAsia" w:hAnsiTheme="minorEastAsia" w:cstheme="minorEastAsia"/>
                <w:szCs w:val="21"/>
              </w:rPr>
              <w:t>服务要求未标注“▲”条款条款情况</w:t>
            </w:r>
          </w:p>
        </w:tc>
        <w:tc>
          <w:tcPr>
            <w:tcW w:w="707" w:type="dxa"/>
            <w:vAlign w:val="center"/>
          </w:tcPr>
          <w:p>
            <w:pPr>
              <w:jc w:val="center"/>
              <w:rPr>
                <w:rFonts w:ascii="宋体" w:hAnsi="宋体"/>
                <w:szCs w:val="21"/>
              </w:rPr>
            </w:pPr>
            <w:r>
              <w:rPr>
                <w:rFonts w:hint="eastAsia" w:ascii="宋体" w:hAnsi="宋体" w:cs="宋体"/>
                <w:color w:val="000000"/>
                <w:sz w:val="22"/>
              </w:rPr>
              <w:t>10</w:t>
            </w:r>
          </w:p>
        </w:tc>
        <w:tc>
          <w:tcPr>
            <w:tcW w:w="5905" w:type="dxa"/>
            <w:vAlign w:val="center"/>
          </w:tcPr>
          <w:p>
            <w:pPr>
              <w:widowControl/>
              <w:jc w:val="left"/>
              <w:textAlignment w:val="center"/>
              <w:rPr>
                <w:b/>
                <w:bCs/>
              </w:rPr>
            </w:pPr>
            <w:r>
              <w:rPr>
                <w:rFonts w:hint="eastAsia"/>
                <w:b/>
                <w:bCs/>
              </w:rPr>
              <w:t>（一）评审内容：</w:t>
            </w:r>
          </w:p>
          <w:p>
            <w:pPr>
              <w:widowControl/>
              <w:spacing w:line="300" w:lineRule="exact"/>
              <w:jc w:val="left"/>
              <w:rPr>
                <w:rFonts w:ascii="宋体" w:hAnsi="宋体" w:cs="宋体"/>
                <w:kern w:val="0"/>
                <w:szCs w:val="21"/>
              </w:rPr>
            </w:pPr>
            <w:r>
              <w:rPr>
                <w:rFonts w:hint="eastAsia" w:ascii="宋体" w:hAnsi="宋体" w:cs="宋体"/>
                <w:kern w:val="0"/>
                <w:szCs w:val="21"/>
              </w:rPr>
              <w:t>考察投标人对招标文件《用户需求书：服务要求》内容中的</w:t>
            </w:r>
            <w:r>
              <w:rPr>
                <w:rFonts w:hint="eastAsia" w:ascii="宋体" w:hAnsi="宋体" w:cs="宋体"/>
                <w:b/>
                <w:kern w:val="0"/>
                <w:szCs w:val="21"/>
              </w:rPr>
              <w:t>非“▲”参数响应</w:t>
            </w:r>
            <w:r>
              <w:rPr>
                <w:rFonts w:hint="eastAsia" w:ascii="宋体" w:hAnsi="宋体" w:cs="宋体"/>
                <w:kern w:val="0"/>
                <w:szCs w:val="21"/>
              </w:rPr>
              <w:t>情况。</w:t>
            </w:r>
          </w:p>
          <w:p>
            <w:pPr>
              <w:snapToGrid w:val="0"/>
              <w:contextualSpacing/>
              <w:jc w:val="left"/>
            </w:pPr>
            <w:r>
              <w:rPr>
                <w:rFonts w:hint="eastAsia" w:ascii="宋体" w:hAnsi="宋体" w:cs="宋体"/>
                <w:b/>
                <w:bCs/>
                <w:szCs w:val="21"/>
              </w:rPr>
              <w:t>（二）评审依据</w:t>
            </w:r>
            <w:r>
              <w:rPr>
                <w:rFonts w:hint="eastAsia" w:ascii="宋体" w:hAnsi="宋体" w:cs="宋体"/>
                <w:szCs w:val="21"/>
              </w:rPr>
              <w:t>：</w:t>
            </w:r>
          </w:p>
          <w:p>
            <w:pPr>
              <w:jc w:val="left"/>
              <w:rPr>
                <w:rFonts w:ascii="宋体" w:hAnsi="宋体"/>
                <w:szCs w:val="21"/>
              </w:rPr>
            </w:pPr>
            <w:r>
              <w:rPr>
                <w:rFonts w:hint="eastAsia" w:asciiTheme="minorEastAsia" w:hAnsiTheme="minorEastAsia" w:cstheme="minorEastAsia"/>
                <w:szCs w:val="21"/>
              </w:rPr>
              <w:t>以投标文件《服务要求条款偏离表》为评审依据，完全符合招标要求的，得10分。有1项非“▲”参数不符合招标要求（或缺漏）的扣0.4分，扣完为止。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3</w:t>
            </w:r>
          </w:p>
        </w:tc>
        <w:tc>
          <w:tcPr>
            <w:tcW w:w="1693" w:type="dxa"/>
            <w:gridSpan w:val="2"/>
            <w:vAlign w:val="center"/>
          </w:tcPr>
          <w:p>
            <w:pPr>
              <w:jc w:val="center"/>
              <w:rPr>
                <w:rFonts w:asciiTheme="minorEastAsia" w:hAnsiTheme="minorEastAsia" w:cstheme="minorEastAsia"/>
                <w:szCs w:val="21"/>
              </w:rPr>
            </w:pPr>
            <w:r>
              <w:t>系统演示</w:t>
            </w:r>
          </w:p>
        </w:tc>
        <w:tc>
          <w:tcPr>
            <w:tcW w:w="707" w:type="dxa"/>
            <w:vAlign w:val="center"/>
          </w:tcPr>
          <w:p>
            <w:pPr>
              <w:jc w:val="center"/>
              <w:rPr>
                <w:rFonts w:ascii="宋体" w:hAnsi="宋体" w:cs="宋体"/>
                <w:color w:val="000000"/>
                <w:sz w:val="22"/>
              </w:rPr>
            </w:pPr>
            <w:r>
              <w:rPr>
                <w:rFonts w:hint="eastAsia" w:ascii="宋体" w:hAnsi="宋体" w:cs="宋体"/>
                <w:color w:val="000000"/>
                <w:sz w:val="22"/>
              </w:rPr>
              <w:t>14</w:t>
            </w:r>
          </w:p>
        </w:tc>
        <w:tc>
          <w:tcPr>
            <w:tcW w:w="5905" w:type="dxa"/>
            <w:vAlign w:val="center"/>
          </w:tcPr>
          <w:p>
            <w:pPr>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评</w:t>
            </w:r>
            <w:r>
              <w:rPr>
                <w:rFonts w:hint="eastAsia"/>
                <w:b/>
                <w:bCs/>
                <w:lang w:val="en-US" w:eastAsia="zh-CN"/>
              </w:rPr>
              <w:t>审</w:t>
            </w:r>
            <w:r>
              <w:rPr>
                <w:rFonts w:hint="eastAsia"/>
                <w:b/>
                <w:bCs/>
              </w:rPr>
              <w:t>内容：</w:t>
            </w:r>
          </w:p>
          <w:p>
            <w:r>
              <w:rPr>
                <w:rFonts w:hint="eastAsia"/>
              </w:rPr>
              <w:t>根据技术要求中的技术内容进行演示</w:t>
            </w:r>
          </w:p>
          <w:p>
            <w:pPr>
              <w:numPr>
                <w:ilvl w:val="0"/>
                <w:numId w:val="1"/>
              </w:numPr>
            </w:pPr>
            <w:r>
              <w:rPr>
                <w:rFonts w:hint="eastAsia"/>
              </w:rPr>
              <w:t>团体测评同一套餐下多个单位团体心理测评总体数据视图，包括应检人数、实检人数、参检率，单个量表参检情况，二级单位参检情况。</w:t>
            </w:r>
          </w:p>
          <w:p>
            <w:pPr>
              <w:numPr>
                <w:ilvl w:val="0"/>
                <w:numId w:val="1"/>
              </w:numPr>
            </w:pPr>
            <w:r>
              <w:rPr>
                <w:rFonts w:hint="eastAsia"/>
              </w:rPr>
              <w:t>团体测评数据明细数据可以导出实检名单和未检名单，可以导出Excel、zip或rar压缩文件格式，其中压缩文件可以基于二级单位名称命名。</w:t>
            </w:r>
          </w:p>
          <w:p>
            <w:pPr>
              <w:numPr>
                <w:ilvl w:val="0"/>
                <w:numId w:val="1"/>
              </w:numPr>
            </w:pPr>
            <w:r>
              <w:rPr>
                <w:rFonts w:hint="eastAsia"/>
              </w:rPr>
              <w:t>支持群发测评短信，针对完成测评患者发送查看测评报告通知、风险报告预警通知。</w:t>
            </w:r>
          </w:p>
          <w:p>
            <w:pPr>
              <w:numPr>
                <w:ilvl w:val="0"/>
                <w:numId w:val="1"/>
              </w:numPr>
            </w:pPr>
            <w:r>
              <w:rPr>
                <w:rFonts w:hint="eastAsia"/>
              </w:rPr>
              <w:t>支持通过配置系统角色方式，勾选系统菜单。不同角色用户登录系统的页面菜单不同，实现菜单功能权限分配。</w:t>
            </w:r>
          </w:p>
          <w:p>
            <w:pPr>
              <w:numPr>
                <w:ilvl w:val="0"/>
                <w:numId w:val="1"/>
              </w:numPr>
            </w:pPr>
            <w:r>
              <w:rPr>
                <w:rFonts w:hint="eastAsia"/>
              </w:rPr>
              <w:t>展示测评报告症状自评量表(SCL-90)、卡特尔16种人格因素测验(16PF)、MBTI职业性格测试、艾森克人格问卷(EPQ)、Olson婚姻质量量表、家庭亲密度和适应性量表中文版（FACES Ⅱ-CV ）等典型报告内容；</w:t>
            </w:r>
          </w:p>
          <w:p>
            <w:pPr>
              <w:numPr>
                <w:ilvl w:val="0"/>
                <w:numId w:val="1"/>
              </w:numPr>
            </w:pPr>
            <w:r>
              <w:rPr>
                <w:rFonts w:hint="eastAsia"/>
              </w:rPr>
              <w:t>团体测评支持查看团体总评报告，以及二级单位总评报告，支持下载到本地，总评报告支持word和PDF两种格式。</w:t>
            </w:r>
          </w:p>
          <w:p>
            <w:pPr>
              <w:numPr>
                <w:ilvl w:val="0"/>
                <w:numId w:val="1"/>
              </w:numPr>
            </w:pPr>
            <w:r>
              <w:rPr>
                <w:rFonts w:hint="eastAsia" w:ascii="宋体" w:hAnsi="Courier New"/>
                <w:szCs w:val="20"/>
              </w:rPr>
              <w:t>测评任务发布支持设置时间、次数、是否显示报告、短信预警等等多维度参数，可以一次发布多个团体单位；</w:t>
            </w:r>
          </w:p>
          <w:p>
            <w:pPr>
              <w:rPr>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评</w:t>
            </w:r>
            <w:r>
              <w:rPr>
                <w:rFonts w:hint="eastAsia"/>
                <w:b/>
                <w:bCs/>
                <w:lang w:val="en-US" w:eastAsia="zh-CN"/>
              </w:rPr>
              <w:t>审</w:t>
            </w:r>
            <w:r>
              <w:rPr>
                <w:rFonts w:hint="eastAsia"/>
                <w:b/>
                <w:bCs/>
              </w:rPr>
              <w:t>依据：</w:t>
            </w:r>
          </w:p>
          <w:p>
            <w:pPr>
              <w:numPr>
                <w:ilvl w:val="0"/>
                <w:numId w:val="2"/>
              </w:numPr>
              <w:wordWrap w:val="0"/>
              <w:rPr>
                <w:b/>
                <w:bCs/>
              </w:rPr>
            </w:pPr>
            <w:r>
              <w:rPr>
                <w:rFonts w:hint="eastAsia" w:ascii="宋体" w:hAnsi="宋体" w:cs="宋体"/>
                <w:szCs w:val="21"/>
              </w:rPr>
              <w:t>各投标人应按照采购公告规定的时间和地点参加系统演示，在真实软件上进行操作，其它任何形式的演示（如PPT、视频、截图等）均不得分，现场演示时间不超过10分钟（演示期间评委将进行提问，并有权酌情延长时间）。</w:t>
            </w:r>
          </w:p>
          <w:p>
            <w:pPr>
              <w:numPr>
                <w:ilvl w:val="0"/>
                <w:numId w:val="2"/>
              </w:numPr>
              <w:wordWrap w:val="0"/>
              <w:rPr>
                <w:b/>
                <w:bCs/>
              </w:rPr>
            </w:pPr>
            <w:r>
              <w:rPr>
                <w:rFonts w:hint="eastAsia" w:asciiTheme="minorEastAsia" w:hAnsiTheme="minorEastAsia" w:cstheme="minorEastAsia"/>
                <w:szCs w:val="21"/>
              </w:rPr>
              <w:t>演示完全符合招标要求的，得14分。</w:t>
            </w:r>
            <w:r>
              <w:rPr>
                <w:rFonts w:hint="eastAsia" w:ascii="宋体" w:hAnsi="宋体" w:cs="宋体"/>
                <w:szCs w:val="21"/>
              </w:rPr>
              <w:t>一项演示不符合要求扣2分，</w:t>
            </w:r>
            <w:r>
              <w:rPr>
                <w:rFonts w:hint="eastAsia"/>
              </w:rPr>
              <w:t>扣完为止</w:t>
            </w:r>
            <w:r>
              <w:rPr>
                <w:rFonts w:hint="eastAsia" w:asciiTheme="minorEastAsia" w:hAnsi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4</w:t>
            </w:r>
          </w:p>
        </w:tc>
        <w:tc>
          <w:tcPr>
            <w:tcW w:w="1693" w:type="dxa"/>
            <w:gridSpan w:val="2"/>
            <w:vAlign w:val="center"/>
          </w:tcPr>
          <w:p>
            <w:pPr>
              <w:jc w:val="center"/>
              <w:rPr>
                <w:rFonts w:ascii="宋体" w:hAnsi="宋体"/>
                <w:szCs w:val="21"/>
              </w:rPr>
            </w:pPr>
            <w:r>
              <w:rPr>
                <w:rFonts w:hint="eastAsia" w:asciiTheme="minorEastAsia" w:hAnsiTheme="minorEastAsia" w:cstheme="minorEastAsia"/>
                <w:kern w:val="0"/>
                <w:szCs w:val="21"/>
              </w:rPr>
              <w:t>项目服务方案</w:t>
            </w:r>
          </w:p>
        </w:tc>
        <w:tc>
          <w:tcPr>
            <w:tcW w:w="707" w:type="dxa"/>
            <w:vAlign w:val="center"/>
          </w:tcPr>
          <w:p>
            <w:pPr>
              <w:jc w:val="center"/>
              <w:rPr>
                <w:rFonts w:hint="default" w:ascii="宋体" w:hAnsi="宋体" w:eastAsia="宋体"/>
                <w:szCs w:val="21"/>
                <w:lang w:val="en-US" w:eastAsia="zh-CN"/>
              </w:rPr>
            </w:pPr>
            <w:r>
              <w:rPr>
                <w:rFonts w:hint="eastAsia" w:ascii="宋体" w:hAnsi="宋体" w:cs="宋体"/>
                <w:color w:val="000000"/>
                <w:sz w:val="22"/>
                <w:lang w:val="en-US" w:eastAsia="zh-CN"/>
              </w:rPr>
              <w:t>11</w:t>
            </w:r>
          </w:p>
        </w:tc>
        <w:tc>
          <w:tcPr>
            <w:tcW w:w="5905" w:type="dxa"/>
            <w:vAlign w:val="center"/>
          </w:tcPr>
          <w:p>
            <w:pPr>
              <w:widowControl/>
              <w:jc w:val="left"/>
              <w:textAlignment w:val="center"/>
              <w:rPr>
                <w:rFonts w:asciiTheme="minorEastAsia" w:hAnsiTheme="minorEastAsia" w:cstheme="minorEastAsia"/>
                <w:b/>
                <w:bCs/>
                <w:szCs w:val="21"/>
              </w:rPr>
            </w:pPr>
            <w:r>
              <w:rPr>
                <w:rFonts w:hint="eastAsia" w:asciiTheme="minorEastAsia" w:hAnsiTheme="minorEastAsia" w:cstheme="minorEastAsia"/>
                <w:b/>
                <w:bCs/>
                <w:szCs w:val="21"/>
              </w:rPr>
              <w:t>（一）评审内容：</w:t>
            </w:r>
          </w:p>
          <w:p>
            <w:pPr>
              <w:widowControl/>
              <w:jc w:val="left"/>
              <w:textAlignment w:val="center"/>
              <w:rPr>
                <w:rFonts w:ascii="宋体" w:hAnsi="宋体" w:cs="宋体"/>
                <w:color w:val="000000"/>
                <w:szCs w:val="21"/>
              </w:rPr>
            </w:pPr>
            <w:r>
              <w:rPr>
                <w:rFonts w:hint="eastAsia" w:ascii="宋体" w:hAnsi="宋体" w:cs="宋体"/>
                <w:color w:val="000000"/>
                <w:szCs w:val="21"/>
              </w:rPr>
              <w:t>根据招标文件的需求，制定贴切本项目的服务方案，方案内容包括但不限于：</w:t>
            </w:r>
          </w:p>
          <w:p>
            <w:pPr>
              <w:widowControl/>
              <w:jc w:val="left"/>
              <w:textAlignment w:val="center"/>
              <w:rPr>
                <w:rFonts w:ascii="宋体" w:hAnsi="宋体" w:cs="宋体"/>
                <w:color w:val="000000"/>
                <w:szCs w:val="21"/>
              </w:rPr>
            </w:pPr>
            <w:r>
              <w:rPr>
                <w:rFonts w:hint="eastAsia" w:ascii="宋体" w:hAnsi="宋体" w:cs="宋体"/>
                <w:color w:val="000000"/>
                <w:szCs w:val="21"/>
              </w:rPr>
              <w:t>1、实施组织计划；</w:t>
            </w:r>
          </w:p>
          <w:p>
            <w:pPr>
              <w:widowControl/>
              <w:jc w:val="left"/>
              <w:textAlignment w:val="center"/>
              <w:rPr>
                <w:rFonts w:ascii="宋体" w:hAnsi="宋体" w:cs="宋体"/>
                <w:color w:val="000000"/>
                <w:szCs w:val="21"/>
              </w:rPr>
            </w:pPr>
            <w:r>
              <w:rPr>
                <w:rFonts w:hint="eastAsia" w:ascii="宋体" w:hAnsi="宋体" w:cs="宋体"/>
                <w:color w:val="000000"/>
                <w:szCs w:val="21"/>
              </w:rPr>
              <w:t>2、实施管理计划；</w:t>
            </w:r>
          </w:p>
          <w:p>
            <w:pPr>
              <w:widowControl/>
              <w:jc w:val="left"/>
              <w:textAlignment w:val="center"/>
              <w:rPr>
                <w:rFonts w:ascii="宋体" w:hAnsi="宋体" w:cs="宋体"/>
                <w:color w:val="000000"/>
                <w:szCs w:val="21"/>
              </w:rPr>
            </w:pPr>
            <w:r>
              <w:rPr>
                <w:rFonts w:hint="eastAsia" w:ascii="宋体" w:hAnsi="宋体" w:cs="宋体"/>
                <w:color w:val="000000"/>
                <w:szCs w:val="21"/>
              </w:rPr>
              <w:t>3、项目进度计划；</w:t>
            </w:r>
          </w:p>
          <w:p>
            <w:pPr>
              <w:snapToGrid w:val="0"/>
              <w:contextualSpacing/>
              <w:jc w:val="left"/>
              <w:rPr>
                <w:rFonts w:ascii="宋体" w:hAnsi="宋体" w:cs="宋体"/>
                <w:szCs w:val="21"/>
              </w:rPr>
            </w:pPr>
            <w:r>
              <w:rPr>
                <w:rFonts w:hint="eastAsia" w:ascii="宋体" w:hAnsi="宋体" w:cs="宋体"/>
                <w:b/>
                <w:bCs/>
                <w:szCs w:val="21"/>
              </w:rPr>
              <w:t>（二）评审依据</w:t>
            </w:r>
            <w:r>
              <w:rPr>
                <w:rFonts w:hint="eastAsia" w:ascii="宋体" w:hAnsi="宋体" w:cs="宋体"/>
                <w:szCs w:val="21"/>
              </w:rPr>
              <w:t>：</w:t>
            </w:r>
          </w:p>
          <w:p>
            <w:pPr>
              <w:snapToGrid w:val="0"/>
              <w:contextualSpacing/>
              <w:jc w:val="left"/>
              <w:rPr>
                <w:rFonts w:ascii="宋体" w:hAnsi="宋体" w:cs="宋体"/>
                <w:szCs w:val="21"/>
              </w:rPr>
            </w:pPr>
            <w:bookmarkStart w:id="2" w:name="OLE_LINK15"/>
            <w:bookmarkStart w:id="3" w:name="OLE_LINK16"/>
            <w:r>
              <w:rPr>
                <w:rFonts w:hint="eastAsia" w:ascii="宋体" w:hAnsi="宋体" w:cs="宋体"/>
                <w:szCs w:val="21"/>
              </w:rPr>
              <w:t>1. 投标人提供的项目实施方案每满足以上1点要求得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6</w:t>
            </w:r>
            <w:r>
              <w:rPr>
                <w:rFonts w:hint="eastAsia" w:ascii="宋体" w:hAnsi="宋体" w:cs="宋体"/>
                <w:szCs w:val="21"/>
              </w:rPr>
              <w:t xml:space="preserve">分。 </w:t>
            </w:r>
          </w:p>
          <w:p>
            <w:pPr>
              <w:snapToGrid w:val="0"/>
              <w:contextualSpacing/>
              <w:jc w:val="left"/>
              <w:rPr>
                <w:rFonts w:ascii="宋体" w:hAnsi="宋体" w:cs="宋体"/>
                <w:szCs w:val="21"/>
              </w:rPr>
            </w:pPr>
            <w:r>
              <w:rPr>
                <w:rFonts w:hint="eastAsia" w:ascii="宋体" w:hAnsi="宋体" w:cs="宋体"/>
                <w:szCs w:val="21"/>
              </w:rPr>
              <w:t>2. 在第1项的基础上，根据以下标准对投标人具体响应内容进行进一步评审：</w:t>
            </w:r>
          </w:p>
          <w:p>
            <w:pPr>
              <w:snapToGrid w:val="0"/>
              <w:contextualSpacing/>
              <w:jc w:val="left"/>
              <w:rPr>
                <w:rFonts w:ascii="宋体" w:hAnsi="宋体" w:cs="宋体"/>
                <w:szCs w:val="21"/>
              </w:rPr>
            </w:pPr>
            <w:r>
              <w:rPr>
                <w:rFonts w:hint="eastAsia" w:ascii="宋体" w:hAnsi="宋体" w:cs="宋体"/>
                <w:szCs w:val="21"/>
              </w:rPr>
              <w:t>（1）内容完整、合理性强，评价为优，得</w:t>
            </w:r>
            <w:r>
              <w:rPr>
                <w:rFonts w:ascii="宋体" w:hAnsi="宋体" w:cs="宋体"/>
                <w:szCs w:val="21"/>
              </w:rPr>
              <w:t>5</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（2）内容较完整、合理性较强，评价为良，得</w:t>
            </w:r>
            <w:r>
              <w:rPr>
                <w:rFonts w:ascii="宋体" w:hAnsi="宋体" w:cs="宋体"/>
                <w:szCs w:val="21"/>
              </w:rPr>
              <w:t>3</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（3）内容完整性一般、合理性一般，评价为中，得</w:t>
            </w:r>
            <w:r>
              <w:rPr>
                <w:rFonts w:ascii="宋体" w:hAnsi="宋体" w:cs="宋体"/>
                <w:szCs w:val="21"/>
              </w:rPr>
              <w:t>1</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（4）内容简单，合理较差，评价为差得0分。</w:t>
            </w:r>
          </w:p>
          <w:p>
            <w:pPr>
              <w:rPr>
                <w:rFonts w:ascii="宋体" w:hAnsi="宋体"/>
                <w:szCs w:val="21"/>
              </w:rPr>
            </w:pPr>
            <w:r>
              <w:rPr>
                <w:rFonts w:hint="eastAsia" w:ascii="宋体" w:hAnsi="宋体" w:cs="宋体"/>
                <w:szCs w:val="21"/>
              </w:rPr>
              <w:t>以上2项得分累计，最高得</w:t>
            </w:r>
            <w:r>
              <w:rPr>
                <w:rFonts w:hint="eastAsia" w:ascii="宋体" w:hAnsi="宋体" w:cs="宋体"/>
                <w:szCs w:val="21"/>
                <w:lang w:val="en-US" w:eastAsia="zh-CN"/>
              </w:rPr>
              <w:t>11</w:t>
            </w:r>
            <w:r>
              <w:rPr>
                <w:rFonts w:hint="eastAsia" w:ascii="宋体" w:hAnsi="宋体" w:cs="宋体"/>
                <w:szCs w:val="21"/>
              </w:rPr>
              <w:t>分。</w:t>
            </w:r>
            <w:bookmarkEnd w:id="2"/>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5"/>
            <w:vAlign w:val="center"/>
          </w:tcPr>
          <w:p>
            <w:pPr>
              <w:jc w:val="center"/>
              <w:rPr>
                <w:rFonts w:ascii="宋体" w:hAnsi="宋体"/>
                <w:b/>
                <w:bCs/>
                <w:sz w:val="24"/>
                <w:szCs w:val="24"/>
              </w:rPr>
            </w:pPr>
            <w:r>
              <w:rPr>
                <w:rFonts w:hint="eastAsia" w:ascii="宋体" w:hAnsi="宋体"/>
                <w:b/>
                <w:bCs/>
                <w:sz w:val="24"/>
                <w:szCs w:val="24"/>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Align w:val="center"/>
          </w:tcPr>
          <w:p>
            <w:pPr>
              <w:jc w:val="center"/>
              <w:rPr>
                <w:rFonts w:ascii="宋体" w:hAnsi="宋体"/>
                <w:szCs w:val="21"/>
              </w:rPr>
            </w:pPr>
            <w:r>
              <w:rPr>
                <w:rFonts w:hint="eastAsia" w:ascii="宋体" w:hAnsi="宋体"/>
                <w:b/>
                <w:bCs/>
                <w:szCs w:val="21"/>
              </w:rPr>
              <w:t>序号</w:t>
            </w:r>
          </w:p>
        </w:tc>
        <w:tc>
          <w:tcPr>
            <w:tcW w:w="1693" w:type="dxa"/>
            <w:gridSpan w:val="2"/>
            <w:vAlign w:val="center"/>
          </w:tcPr>
          <w:p>
            <w:pPr>
              <w:jc w:val="center"/>
              <w:rPr>
                <w:rFonts w:ascii="宋体" w:hAnsi="宋体"/>
                <w:szCs w:val="21"/>
              </w:rPr>
            </w:pPr>
            <w:r>
              <w:rPr>
                <w:rFonts w:hint="eastAsia" w:ascii="宋体" w:hAnsi="宋体"/>
                <w:b/>
                <w:bCs/>
                <w:szCs w:val="21"/>
              </w:rPr>
              <w:t>评分因素</w:t>
            </w:r>
          </w:p>
        </w:tc>
        <w:tc>
          <w:tcPr>
            <w:tcW w:w="707" w:type="dxa"/>
            <w:vAlign w:val="center"/>
          </w:tcPr>
          <w:p>
            <w:pPr>
              <w:jc w:val="center"/>
              <w:rPr>
                <w:rFonts w:ascii="宋体" w:hAnsi="宋体"/>
                <w:szCs w:val="21"/>
              </w:rPr>
            </w:pPr>
            <w:r>
              <w:rPr>
                <w:rFonts w:hint="eastAsia" w:ascii="宋体" w:hAnsi="宋体"/>
                <w:b/>
                <w:bCs/>
                <w:szCs w:val="21"/>
              </w:rPr>
              <w:t>分值</w:t>
            </w:r>
          </w:p>
        </w:tc>
        <w:tc>
          <w:tcPr>
            <w:tcW w:w="5905" w:type="dxa"/>
            <w:vAlign w:val="center"/>
          </w:tcPr>
          <w:p>
            <w:pPr>
              <w:jc w:val="center"/>
              <w:rPr>
                <w:rFonts w:ascii="宋体" w:hAnsi="宋体"/>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669" w:type="dxa"/>
            <w:vAlign w:val="center"/>
          </w:tcPr>
          <w:p>
            <w:pPr>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5</w:t>
            </w:r>
          </w:p>
        </w:tc>
        <w:tc>
          <w:tcPr>
            <w:tcW w:w="1693" w:type="dxa"/>
            <w:gridSpan w:val="2"/>
            <w:vAlign w:val="center"/>
          </w:tcPr>
          <w:p>
            <w:pPr>
              <w:jc w:val="center"/>
              <w:rPr>
                <w:rFonts w:hint="eastAsia" w:ascii="宋体" w:hAnsi="宋体" w:eastAsia="宋体" w:cs="Times New Roman"/>
                <w:kern w:val="2"/>
                <w:sz w:val="21"/>
                <w:szCs w:val="21"/>
                <w:lang w:val="en-US" w:eastAsia="zh-CN" w:bidi="ar-SA"/>
              </w:rPr>
            </w:pPr>
            <w:r>
              <w:rPr>
                <w:rFonts w:hint="eastAsia" w:asciiTheme="minorEastAsia" w:hAnsiTheme="minorEastAsia" w:cstheme="minorEastAsia"/>
                <w:kern w:val="0"/>
                <w:szCs w:val="21"/>
                <w:lang w:val="en-US" w:eastAsia="zh-CN"/>
              </w:rPr>
              <w:t>售后</w:t>
            </w:r>
            <w:r>
              <w:rPr>
                <w:rFonts w:hint="eastAsia" w:asciiTheme="minorEastAsia" w:hAnsiTheme="minorEastAsia" w:cstheme="minorEastAsia"/>
                <w:kern w:val="0"/>
                <w:szCs w:val="21"/>
              </w:rPr>
              <w:t>服务方案</w:t>
            </w:r>
          </w:p>
        </w:tc>
        <w:tc>
          <w:tcPr>
            <w:tcW w:w="707" w:type="dxa"/>
            <w:vAlign w:val="center"/>
          </w:tcPr>
          <w:p>
            <w:pPr>
              <w:jc w:val="center"/>
              <w:rPr>
                <w:rFonts w:hint="eastAsia" w:ascii="宋体" w:hAnsi="宋体" w:eastAsia="宋体" w:cs="Times New Roman"/>
                <w:kern w:val="2"/>
                <w:sz w:val="21"/>
                <w:szCs w:val="21"/>
                <w:lang w:val="en-US" w:eastAsia="zh-CN" w:bidi="ar-SA"/>
              </w:rPr>
            </w:pPr>
            <w:r>
              <w:rPr>
                <w:rFonts w:hint="eastAsia" w:ascii="宋体" w:hAnsi="宋体" w:cs="宋体"/>
                <w:color w:val="000000"/>
                <w:sz w:val="22"/>
                <w:lang w:val="en-US" w:eastAsia="zh-CN"/>
              </w:rPr>
              <w:t>11</w:t>
            </w:r>
          </w:p>
        </w:tc>
        <w:tc>
          <w:tcPr>
            <w:tcW w:w="5905" w:type="dxa"/>
            <w:vAlign w:val="center"/>
          </w:tcPr>
          <w:p>
            <w:pPr>
              <w:widowControl/>
              <w:jc w:val="left"/>
              <w:textAlignment w:val="center"/>
              <w:rPr>
                <w:rFonts w:asciiTheme="minorEastAsia" w:hAnsiTheme="minorEastAsia" w:cstheme="minorEastAsia"/>
                <w:b/>
                <w:bCs/>
                <w:szCs w:val="21"/>
              </w:rPr>
            </w:pPr>
            <w:r>
              <w:rPr>
                <w:rFonts w:hint="eastAsia" w:asciiTheme="minorEastAsia" w:hAnsiTheme="minorEastAsia" w:cstheme="minorEastAsia"/>
                <w:b/>
                <w:bCs/>
                <w:szCs w:val="21"/>
              </w:rPr>
              <w:t>（一）评审内容：</w:t>
            </w:r>
          </w:p>
          <w:p>
            <w:pPr>
              <w:widowControl/>
              <w:jc w:val="left"/>
              <w:textAlignment w:val="center"/>
              <w:rPr>
                <w:rFonts w:ascii="宋体" w:hAnsi="宋体" w:cs="宋体"/>
                <w:color w:val="000000"/>
                <w:szCs w:val="21"/>
              </w:rPr>
            </w:pPr>
            <w:r>
              <w:rPr>
                <w:rFonts w:hint="eastAsia" w:ascii="宋体" w:hAnsi="宋体" w:cs="宋体"/>
                <w:color w:val="000000"/>
                <w:szCs w:val="21"/>
              </w:rPr>
              <w:t>根据招标文件的需求，制定贴切本项目的服务方案，方案内容包括但不限于：</w:t>
            </w:r>
          </w:p>
          <w:p>
            <w:pPr>
              <w:widowControl/>
              <w:jc w:val="left"/>
              <w:textAlignment w:val="center"/>
              <w:rPr>
                <w:rFonts w:ascii="宋体" w:hAnsi="宋体" w:cs="宋体"/>
                <w:color w:val="000000"/>
                <w:szCs w:val="21"/>
              </w:rPr>
            </w:pPr>
            <w:r>
              <w:rPr>
                <w:rFonts w:hint="eastAsia" w:ascii="宋体" w:hAnsi="宋体" w:cs="宋体"/>
                <w:color w:val="000000"/>
                <w:szCs w:val="21"/>
              </w:rPr>
              <w:t>1、专业服务团队负责售后服务的方案及相关承诺；</w:t>
            </w:r>
          </w:p>
          <w:p>
            <w:pPr>
              <w:widowControl/>
              <w:jc w:val="left"/>
              <w:textAlignment w:val="center"/>
              <w:rPr>
                <w:rFonts w:ascii="宋体" w:hAnsi="宋体" w:cs="宋体"/>
                <w:color w:val="000000"/>
                <w:szCs w:val="21"/>
              </w:rPr>
            </w:pPr>
            <w:r>
              <w:rPr>
                <w:rFonts w:hint="eastAsia" w:ascii="宋体" w:hAnsi="宋体" w:cs="宋体"/>
                <w:color w:val="000000"/>
                <w:szCs w:val="21"/>
              </w:rPr>
              <w:t>2、售后服务响应时间及方式；</w:t>
            </w:r>
          </w:p>
          <w:p>
            <w:pPr>
              <w:widowControl/>
              <w:jc w:val="left"/>
              <w:textAlignment w:val="center"/>
              <w:rPr>
                <w:rFonts w:ascii="宋体" w:hAnsi="宋体" w:cs="宋体"/>
                <w:color w:val="000000"/>
                <w:szCs w:val="21"/>
              </w:rPr>
            </w:pPr>
            <w:r>
              <w:rPr>
                <w:rFonts w:hint="eastAsia" w:ascii="宋体" w:hAnsi="宋体" w:cs="宋体"/>
                <w:color w:val="000000"/>
                <w:szCs w:val="21"/>
              </w:rPr>
              <w:t>3、3年及以上的运维服务方案；</w:t>
            </w:r>
          </w:p>
          <w:p>
            <w:pPr>
              <w:snapToGrid w:val="0"/>
              <w:contextualSpacing/>
              <w:jc w:val="left"/>
              <w:rPr>
                <w:rFonts w:ascii="宋体" w:hAnsi="宋体" w:cs="宋体"/>
                <w:szCs w:val="21"/>
              </w:rPr>
            </w:pPr>
            <w:r>
              <w:rPr>
                <w:rFonts w:hint="eastAsia" w:ascii="宋体" w:hAnsi="宋体" w:cs="宋体"/>
                <w:b/>
                <w:bCs/>
                <w:szCs w:val="21"/>
              </w:rPr>
              <w:t>（二）评审依据</w:t>
            </w:r>
            <w:r>
              <w:rPr>
                <w:rFonts w:hint="eastAsia" w:ascii="宋体" w:hAnsi="宋体" w:cs="宋体"/>
                <w:szCs w:val="21"/>
              </w:rPr>
              <w:t>：</w:t>
            </w:r>
          </w:p>
          <w:p>
            <w:pPr>
              <w:snapToGrid w:val="0"/>
              <w:contextualSpacing/>
              <w:jc w:val="left"/>
              <w:rPr>
                <w:rFonts w:ascii="宋体" w:hAnsi="宋体" w:cs="宋体"/>
                <w:szCs w:val="21"/>
              </w:rPr>
            </w:pPr>
            <w:r>
              <w:rPr>
                <w:rFonts w:hint="eastAsia" w:ascii="宋体" w:hAnsi="宋体" w:cs="宋体"/>
                <w:szCs w:val="21"/>
              </w:rPr>
              <w:t>1. 投标人提供的项目实施方案每满足以上1点要求得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6</w:t>
            </w:r>
            <w:r>
              <w:rPr>
                <w:rFonts w:hint="eastAsia" w:ascii="宋体" w:hAnsi="宋体" w:cs="宋体"/>
                <w:szCs w:val="21"/>
              </w:rPr>
              <w:t xml:space="preserve">分。 </w:t>
            </w:r>
          </w:p>
          <w:p>
            <w:pPr>
              <w:snapToGrid w:val="0"/>
              <w:contextualSpacing/>
              <w:jc w:val="left"/>
              <w:rPr>
                <w:rFonts w:ascii="宋体" w:hAnsi="宋体" w:cs="宋体"/>
                <w:szCs w:val="21"/>
              </w:rPr>
            </w:pPr>
            <w:r>
              <w:rPr>
                <w:rFonts w:hint="eastAsia" w:ascii="宋体" w:hAnsi="宋体" w:cs="宋体"/>
                <w:szCs w:val="21"/>
              </w:rPr>
              <w:t>2. 在第1项的基础上，根据以下标准对投标人具体响应内容进行进一步评审：</w:t>
            </w:r>
          </w:p>
          <w:p>
            <w:pPr>
              <w:snapToGrid w:val="0"/>
              <w:contextualSpacing/>
              <w:jc w:val="left"/>
              <w:rPr>
                <w:rFonts w:ascii="宋体" w:hAnsi="宋体" w:cs="宋体"/>
                <w:szCs w:val="21"/>
              </w:rPr>
            </w:pPr>
            <w:r>
              <w:rPr>
                <w:rFonts w:hint="eastAsia" w:ascii="宋体" w:hAnsi="宋体" w:cs="宋体"/>
                <w:szCs w:val="21"/>
              </w:rPr>
              <w:t>（1）内容完整、合理性强，评价为优，得</w:t>
            </w:r>
            <w:r>
              <w:rPr>
                <w:rFonts w:ascii="宋体" w:hAnsi="宋体" w:cs="宋体"/>
                <w:szCs w:val="21"/>
              </w:rPr>
              <w:t>5</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（2）内容较完整、合理性较强，评价为良，得</w:t>
            </w:r>
            <w:r>
              <w:rPr>
                <w:rFonts w:ascii="宋体" w:hAnsi="宋体" w:cs="宋体"/>
                <w:szCs w:val="21"/>
              </w:rPr>
              <w:t>3</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（3）内容完整性一般、合理性一般，评价为中，得</w:t>
            </w:r>
            <w:r>
              <w:rPr>
                <w:rFonts w:ascii="宋体" w:hAnsi="宋体" w:cs="宋体"/>
                <w:szCs w:val="21"/>
              </w:rPr>
              <w:t>1</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（4）内容简单，合理较差，评价为差得0分。</w:t>
            </w:r>
          </w:p>
          <w:p>
            <w:pPr>
              <w:jc w:val="left"/>
              <w:rPr>
                <w:rFonts w:hint="eastAsia" w:ascii="宋体" w:hAnsi="宋体" w:eastAsia="宋体" w:cs="Times New Roman"/>
                <w:kern w:val="2"/>
                <w:sz w:val="21"/>
                <w:szCs w:val="21"/>
                <w:lang w:val="en-US" w:eastAsia="zh-CN" w:bidi="ar-SA"/>
              </w:rPr>
            </w:pPr>
            <w:r>
              <w:rPr>
                <w:rFonts w:hint="eastAsia" w:ascii="宋体" w:hAnsi="宋体" w:cs="宋体"/>
                <w:szCs w:val="21"/>
              </w:rPr>
              <w:t>以上2项得分累计，最高得</w:t>
            </w:r>
            <w:r>
              <w:rPr>
                <w:rFonts w:hint="eastAsia" w:ascii="宋体" w:hAnsi="宋体" w:cs="宋体"/>
                <w:szCs w:val="21"/>
                <w:lang w:val="en-US" w:eastAsia="zh-CN"/>
              </w:rPr>
              <w:t>11</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6</w:t>
            </w:r>
          </w:p>
        </w:tc>
        <w:tc>
          <w:tcPr>
            <w:tcW w:w="1693" w:type="dxa"/>
            <w:gridSpan w:val="2"/>
            <w:vAlign w:val="center"/>
          </w:tcPr>
          <w:p>
            <w:pPr>
              <w:jc w:val="center"/>
              <w:rPr>
                <w:rFonts w:ascii="宋体" w:hAnsi="宋体"/>
                <w:szCs w:val="21"/>
              </w:rPr>
            </w:pPr>
            <w:r>
              <w:rPr>
                <w:rFonts w:hint="eastAsia" w:ascii="宋体" w:hAnsi="宋体"/>
                <w:szCs w:val="21"/>
              </w:rPr>
              <w:t>投标人自主知识产权、产品</w:t>
            </w:r>
          </w:p>
          <w:p>
            <w:pPr>
              <w:jc w:val="center"/>
              <w:rPr>
                <w:rFonts w:ascii="宋体" w:hAnsi="宋体"/>
                <w:szCs w:val="21"/>
              </w:rPr>
            </w:pPr>
            <w:r>
              <w:rPr>
                <w:rFonts w:hint="eastAsia" w:ascii="宋体" w:hAnsi="宋体"/>
                <w:szCs w:val="21"/>
              </w:rPr>
              <w:t>（创新、设计）情况</w:t>
            </w:r>
          </w:p>
        </w:tc>
        <w:tc>
          <w:tcPr>
            <w:tcW w:w="707" w:type="dxa"/>
            <w:vAlign w:val="center"/>
          </w:tcPr>
          <w:p>
            <w:pPr>
              <w:jc w:val="center"/>
              <w:rPr>
                <w:rFonts w:ascii="宋体" w:hAnsi="宋体"/>
                <w:szCs w:val="21"/>
              </w:rPr>
            </w:pPr>
            <w:r>
              <w:rPr>
                <w:rFonts w:hint="eastAsia" w:ascii="宋体" w:hAnsi="宋体"/>
                <w:szCs w:val="21"/>
              </w:rPr>
              <w:t>5</w:t>
            </w:r>
          </w:p>
        </w:tc>
        <w:tc>
          <w:tcPr>
            <w:tcW w:w="5905" w:type="dxa"/>
            <w:vAlign w:val="center"/>
          </w:tcPr>
          <w:p>
            <w:pPr>
              <w:rPr>
                <w:b/>
                <w:bCs/>
              </w:rPr>
            </w:pPr>
            <w:r>
              <w:rPr>
                <w:rFonts w:hint="eastAsia"/>
                <w:b/>
                <w:bCs/>
              </w:rPr>
              <w:t>（一）评</w:t>
            </w:r>
            <w:r>
              <w:rPr>
                <w:rFonts w:hint="eastAsia"/>
                <w:b/>
                <w:bCs/>
                <w:lang w:val="en-US" w:eastAsia="zh-CN"/>
              </w:rPr>
              <w:t>审</w:t>
            </w:r>
            <w:r>
              <w:rPr>
                <w:rFonts w:hint="eastAsia"/>
                <w:b/>
                <w:bCs/>
              </w:rPr>
              <w:t>内容：</w:t>
            </w:r>
          </w:p>
          <w:p>
            <w:r>
              <w:rPr>
                <w:rFonts w:hint="eastAsia"/>
              </w:rPr>
              <w:t>投标人或授权厂家具有用于医院的心理测评系统、社会心理服务系统等相关的精神心理领域软件著作权证书，每提供1个得1分, 本项最高得5分。</w:t>
            </w:r>
          </w:p>
          <w:p>
            <w:pPr>
              <w:rPr>
                <w:b/>
                <w:bCs/>
              </w:rPr>
            </w:pPr>
            <w:r>
              <w:rPr>
                <w:rFonts w:hint="eastAsia"/>
                <w:b/>
                <w:bCs/>
              </w:rPr>
              <w:t>（二）评</w:t>
            </w:r>
            <w:r>
              <w:rPr>
                <w:rFonts w:hint="eastAsia"/>
                <w:b/>
                <w:bCs/>
                <w:lang w:val="en-US" w:eastAsia="zh-CN"/>
              </w:rPr>
              <w:t>审</w:t>
            </w:r>
            <w:r>
              <w:rPr>
                <w:rFonts w:hint="eastAsia"/>
                <w:b/>
                <w:bCs/>
              </w:rPr>
              <w:t>依据：</w:t>
            </w:r>
          </w:p>
          <w:p>
            <w:pPr>
              <w:jc w:val="left"/>
            </w:pPr>
            <w:r>
              <w:rPr>
                <w:rFonts w:hint="eastAsia"/>
              </w:rPr>
              <w:t>1、要求提供上述有效证书等证明材料作为得分依据。（</w:t>
            </w:r>
            <w:r>
              <w:rPr>
                <w:rFonts w:hint="eastAsia" w:ascii="宋体" w:hAnsi="宋体" w:cs="宋体"/>
                <w:szCs w:val="21"/>
              </w:rPr>
              <w:t>提供上述证书的信息查询截图https://register.ccopyright.com.cn/</w:t>
            </w:r>
            <w:r>
              <w:rPr>
                <w:rFonts w:hint="eastAsia"/>
              </w:rPr>
              <w:t>）</w:t>
            </w:r>
          </w:p>
          <w:p>
            <w:pPr>
              <w:rPr>
                <w:rFonts w:ascii="宋体" w:hAnsi="宋体"/>
                <w:szCs w:val="21"/>
              </w:rPr>
            </w:pPr>
            <w:r>
              <w:rPr>
                <w:rFonts w:hint="eastAsia"/>
              </w:rPr>
              <w:t>2、以上资料均要求要求提供扫描件或审查合格通知书，评分中出现无证明资料或专家无法凭所提供资料判断是否得分的情况，一律不得分处理。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7</w:t>
            </w:r>
          </w:p>
        </w:tc>
        <w:tc>
          <w:tcPr>
            <w:tcW w:w="1693" w:type="dxa"/>
            <w:gridSpan w:val="2"/>
            <w:vAlign w:val="center"/>
          </w:tcPr>
          <w:p>
            <w:pPr>
              <w:jc w:val="center"/>
              <w:rPr>
                <w:rFonts w:ascii="宋体" w:hAnsi="宋体"/>
                <w:szCs w:val="21"/>
              </w:rPr>
            </w:pPr>
            <w:r>
              <w:rPr>
                <w:rFonts w:hint="eastAsia" w:ascii="宋体" w:hAnsi="宋体" w:cs="宋体"/>
                <w:szCs w:val="21"/>
              </w:rPr>
              <w:t>拟派项目负责人情况</w:t>
            </w:r>
          </w:p>
        </w:tc>
        <w:tc>
          <w:tcPr>
            <w:tcW w:w="707" w:type="dxa"/>
            <w:vAlign w:val="center"/>
          </w:tcPr>
          <w:p>
            <w:pPr>
              <w:jc w:val="center"/>
              <w:rPr>
                <w:rFonts w:ascii="宋体" w:hAnsi="宋体"/>
                <w:szCs w:val="21"/>
              </w:rPr>
            </w:pPr>
            <w:r>
              <w:rPr>
                <w:rFonts w:ascii="宋体" w:hAnsi="宋体" w:cs="宋体"/>
                <w:color w:val="000000"/>
                <w:sz w:val="22"/>
              </w:rPr>
              <w:t>2</w:t>
            </w:r>
          </w:p>
        </w:tc>
        <w:tc>
          <w:tcPr>
            <w:tcW w:w="5905" w:type="dxa"/>
            <w:vAlign w:val="center"/>
          </w:tcPr>
          <w:p>
            <w:pPr>
              <w:widowControl/>
              <w:jc w:val="left"/>
              <w:textAlignment w:val="center"/>
              <w:rPr>
                <w:rFonts w:ascii="宋体" w:hAnsi="宋体" w:cs="宋体"/>
                <w:b/>
                <w:bCs/>
                <w:szCs w:val="21"/>
              </w:rPr>
            </w:pPr>
            <w:r>
              <w:rPr>
                <w:rFonts w:hint="eastAsia" w:ascii="宋体" w:hAnsi="宋体" w:cs="宋体"/>
                <w:b/>
                <w:bCs/>
                <w:szCs w:val="21"/>
              </w:rPr>
              <w:t>（一）评</w:t>
            </w:r>
            <w:r>
              <w:rPr>
                <w:rFonts w:hint="eastAsia" w:asciiTheme="minorEastAsia" w:hAnsiTheme="minorEastAsia" w:cstheme="minorEastAsia"/>
                <w:b/>
                <w:bCs/>
                <w:szCs w:val="21"/>
              </w:rPr>
              <w:t>审内容：</w:t>
            </w:r>
          </w:p>
          <w:p>
            <w:pPr>
              <w:widowControl/>
              <w:jc w:val="left"/>
              <w:textAlignment w:val="center"/>
              <w:rPr>
                <w:rFonts w:ascii="宋体" w:hAnsi="宋体" w:cs="宋体"/>
                <w:szCs w:val="21"/>
              </w:rPr>
            </w:pPr>
            <w:r>
              <w:rPr>
                <w:rFonts w:hint="eastAsia" w:ascii="宋体" w:hAnsi="宋体" w:cs="宋体"/>
                <w:szCs w:val="21"/>
              </w:rPr>
              <w:t>拟安排项目负责人须为</w:t>
            </w:r>
            <w:r>
              <w:rPr>
                <w:rFonts w:hint="eastAsia" w:ascii="宋体" w:hAnsi="宋体" w:cs="宋体"/>
                <w:bCs/>
                <w:szCs w:val="21"/>
              </w:rPr>
              <w:t>投标人</w:t>
            </w:r>
            <w:r>
              <w:rPr>
                <w:rFonts w:hint="eastAsia" w:ascii="宋体" w:hAnsi="宋体" w:cs="宋体"/>
                <w:szCs w:val="21"/>
              </w:rPr>
              <w:t>现有员工</w:t>
            </w:r>
            <w:r>
              <w:rPr>
                <w:rFonts w:ascii="宋体" w:hAnsi="宋体" w:cs="宋体"/>
                <w:szCs w:val="21"/>
              </w:rPr>
              <w:t>（</w:t>
            </w:r>
            <w:r>
              <w:rPr>
                <w:rFonts w:hint="eastAsia" w:ascii="宋体" w:hAnsi="宋体" w:cs="Calibri"/>
                <w:szCs w:val="21"/>
              </w:rPr>
              <w:t>具有</w:t>
            </w:r>
            <w:r>
              <w:rPr>
                <w:rFonts w:hint="eastAsia" w:ascii="宋体" w:hAnsi="宋体" w:cs="宋体"/>
                <w:color w:val="000000"/>
                <w:szCs w:val="21"/>
              </w:rPr>
              <w:t>计算机相关专业的本科或以上学历</w:t>
            </w:r>
            <w:r>
              <w:rPr>
                <w:rFonts w:ascii="宋体" w:hAnsi="宋体" w:cs="宋体"/>
                <w:szCs w:val="21"/>
              </w:rPr>
              <w:t>）</w:t>
            </w:r>
            <w:r>
              <w:rPr>
                <w:rFonts w:hint="eastAsia" w:ascii="宋体" w:hAnsi="宋体" w:cs="宋体"/>
                <w:szCs w:val="21"/>
              </w:rPr>
              <w:t>（仅限1人）：</w:t>
            </w:r>
          </w:p>
          <w:p>
            <w:pPr>
              <w:widowControl/>
              <w:jc w:val="left"/>
              <w:textAlignment w:val="center"/>
              <w:rPr>
                <w:rFonts w:ascii="宋体" w:hAnsi="宋体" w:cs="宋体"/>
                <w:szCs w:val="21"/>
              </w:rPr>
            </w:pPr>
            <w:r>
              <w:rPr>
                <w:rFonts w:hint="eastAsia" w:ascii="宋体" w:hAnsi="宋体" w:cs="宋体"/>
                <w:szCs w:val="21"/>
              </w:rPr>
              <w:t>项目负责人</w:t>
            </w:r>
            <w:r>
              <w:rPr>
                <w:rFonts w:hint="eastAsia" w:ascii="宋体" w:hAnsi="宋体" w:cs="Calibri"/>
                <w:szCs w:val="21"/>
              </w:rPr>
              <w:t>具有信息系统项目管理师证书</w:t>
            </w:r>
            <w:r>
              <w:rPr>
                <w:rFonts w:hint="eastAsia" w:ascii="宋体" w:hAnsi="宋体" w:cs="宋体"/>
                <w:szCs w:val="21"/>
              </w:rPr>
              <w:t>的得</w:t>
            </w:r>
            <w:r>
              <w:rPr>
                <w:rFonts w:ascii="宋体" w:hAnsi="宋体" w:cs="宋体"/>
                <w:szCs w:val="21"/>
              </w:rPr>
              <w:t>2</w:t>
            </w:r>
            <w:r>
              <w:rPr>
                <w:rFonts w:hint="eastAsia" w:ascii="宋体" w:hAnsi="宋体" w:cs="宋体"/>
                <w:szCs w:val="21"/>
              </w:rPr>
              <w:t>分；</w:t>
            </w:r>
          </w:p>
          <w:p>
            <w:pPr>
              <w:widowControl/>
              <w:jc w:val="left"/>
              <w:textAlignment w:val="center"/>
              <w:rPr>
                <w:rFonts w:ascii="宋体" w:hAnsi="宋体" w:cs="宋体"/>
                <w:b/>
                <w:bCs/>
                <w:szCs w:val="21"/>
              </w:rPr>
            </w:pPr>
            <w:r>
              <w:rPr>
                <w:rFonts w:hint="eastAsia" w:ascii="宋体" w:hAnsi="宋体" w:cs="宋体"/>
                <w:b/>
                <w:bCs/>
                <w:szCs w:val="21"/>
              </w:rPr>
              <w:t>（二）评审依据：</w:t>
            </w:r>
          </w:p>
          <w:p>
            <w:pPr>
              <w:snapToGrid w:val="0"/>
              <w:contextualSpacing/>
              <w:jc w:val="left"/>
              <w:rPr>
                <w:rFonts w:ascii="宋体" w:hAnsi="宋体" w:cs="宋体"/>
                <w:szCs w:val="21"/>
              </w:rPr>
            </w:pPr>
            <w:r>
              <w:rPr>
                <w:rFonts w:hint="eastAsia" w:ascii="宋体" w:hAnsi="宋体" w:cs="宋体"/>
                <w:szCs w:val="21"/>
              </w:rPr>
              <w:t>1. 需提供投标人缴纳的投标截止日近1个月的社保证明。近1个月的社保证明无法提供的，则可以往前顺延1个月；如供应商为新成立企业且成立时间不足1个月，提供情况说明或者律师执业证（需显示执业机构名称）等证明材料亦视为符合，无需提供相关人员社保，亦可得分；</w:t>
            </w:r>
          </w:p>
          <w:p>
            <w:pPr>
              <w:tabs>
                <w:tab w:val="left" w:pos="567"/>
              </w:tabs>
              <w:snapToGrid w:val="0"/>
              <w:contextualSpacing/>
              <w:rPr>
                <w:rFonts w:ascii="宋体" w:hAnsi="宋体" w:cs="宋体"/>
                <w:color w:val="000000"/>
                <w:szCs w:val="21"/>
              </w:rPr>
            </w:pPr>
            <w:r>
              <w:rPr>
                <w:rFonts w:hint="eastAsia" w:ascii="宋体" w:hAnsi="宋体" w:cs="宋体"/>
                <w:color w:val="000000"/>
                <w:szCs w:val="21"/>
              </w:rPr>
              <w:t>2. 学历证书:要求提供证书扫描件以及学信网</w:t>
            </w:r>
          </w:p>
          <w:p>
            <w:pPr>
              <w:snapToGrid w:val="0"/>
              <w:contextualSpacing/>
              <w:jc w:val="left"/>
              <w:rPr>
                <w:rFonts w:hint="eastAsia" w:ascii="宋体" w:hAnsi="宋体" w:cs="宋体"/>
                <w:szCs w:val="21"/>
              </w:rPr>
            </w:pPr>
            <w:r>
              <w:rPr>
                <w:rFonts w:hint="eastAsia" w:ascii="宋体" w:hAnsi="宋体" w:cs="宋体"/>
                <w:color w:val="000000"/>
                <w:szCs w:val="21"/>
              </w:rPr>
              <w:t>(https://www.chsi.com.cn/)查询记录。对于较早颁发的学历证书，学信网无法查询的，要求提供证书扫描件和其他佐证材料(如毕业院校、人社部门等颁发机构或监管机构等单位出具的证明)作为得分的依据。海外留学(含港澳台)人员学历无法通过学信网站查询的应当提供教育部留学服务中心出具的国外学历学位认证证书以及教育部留学服务中心官网(https://zwfw.cscse.edu.cn/)查询截图。若证明文件为其它语言，必须附中文译文，以中文译文为准。</w:t>
            </w:r>
          </w:p>
          <w:p>
            <w:pPr>
              <w:snapToGrid w:val="0"/>
              <w:contextualSpacing/>
              <w:jc w:val="left"/>
              <w:rPr>
                <w:rFonts w:ascii="宋体" w:hAnsi="宋体" w:cs="宋体"/>
                <w:szCs w:val="21"/>
              </w:rPr>
            </w:pPr>
            <w:r>
              <w:rPr>
                <w:rFonts w:ascii="宋体" w:hAnsi="宋体" w:cs="宋体"/>
                <w:szCs w:val="21"/>
              </w:rPr>
              <w:t>3</w:t>
            </w:r>
            <w:r>
              <w:rPr>
                <w:rFonts w:hint="eastAsia" w:ascii="宋体" w:hAnsi="宋体" w:cs="宋体"/>
                <w:szCs w:val="21"/>
              </w:rPr>
              <w:t>. 提供上述有效证书的信息查询截图（</w:t>
            </w:r>
            <w:r>
              <w:rPr>
                <w:rFonts w:ascii="宋体" w:hAnsi="宋体" w:cs="宋体"/>
                <w:szCs w:val="21"/>
              </w:rPr>
              <w:t>https://bm.ruankao.org.cn/</w:t>
            </w:r>
            <w:r>
              <w:rPr>
                <w:rFonts w:hint="eastAsia" w:ascii="宋体" w:hAnsi="宋体" w:cs="宋体"/>
                <w:szCs w:val="21"/>
              </w:rPr>
              <w:t>）（截图需显示证书状态为“证书有效”）；</w:t>
            </w:r>
          </w:p>
          <w:p>
            <w:pPr>
              <w:jc w:val="left"/>
              <w:rPr>
                <w:rFonts w:ascii="宋体" w:hAnsi="宋体"/>
                <w:szCs w:val="21"/>
                <w:highlight w:val="yellow"/>
              </w:rPr>
            </w:pPr>
            <w:r>
              <w:rPr>
                <w:rFonts w:ascii="宋体" w:hAnsi="宋体" w:cs="宋体"/>
                <w:szCs w:val="21"/>
              </w:rPr>
              <w:t>4</w:t>
            </w:r>
            <w:r>
              <w:rPr>
                <w:rFonts w:hint="eastAsia" w:ascii="宋体" w:hAnsi="宋体" w:cs="宋体"/>
                <w:szCs w:val="21"/>
              </w:rPr>
              <w:t>. 提供以上证明文件复印件或扫描件，如涉及网站截图或照片等证明材料，需提供清晰图片，均要求加盖</w:t>
            </w:r>
            <w:r>
              <w:rPr>
                <w:rFonts w:hint="eastAsia" w:ascii="宋体" w:hAnsi="宋体" w:cs="宋体"/>
                <w:bCs/>
                <w:szCs w:val="21"/>
              </w:rPr>
              <w:t>投标人</w:t>
            </w:r>
            <w:r>
              <w:rPr>
                <w:rFonts w:hint="eastAsia" w:ascii="宋体" w:hAnsi="宋体" w:cs="宋体"/>
                <w:szCs w:val="21"/>
              </w:rPr>
              <w:t>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8</w:t>
            </w:r>
          </w:p>
        </w:tc>
        <w:tc>
          <w:tcPr>
            <w:tcW w:w="1693" w:type="dxa"/>
            <w:gridSpan w:val="2"/>
            <w:vAlign w:val="center"/>
          </w:tcPr>
          <w:p>
            <w:pPr>
              <w:jc w:val="center"/>
              <w:rPr>
                <w:rFonts w:ascii="宋体" w:hAnsi="宋体"/>
                <w:szCs w:val="21"/>
              </w:rPr>
            </w:pPr>
            <w:r>
              <w:rPr>
                <w:rFonts w:hint="eastAsia" w:ascii="宋体" w:hAnsi="宋体" w:cs="宋体"/>
                <w:szCs w:val="21"/>
              </w:rPr>
              <w:t>拟派项目团队情况</w:t>
            </w:r>
          </w:p>
        </w:tc>
        <w:tc>
          <w:tcPr>
            <w:tcW w:w="707" w:type="dxa"/>
            <w:vAlign w:val="center"/>
          </w:tcPr>
          <w:p>
            <w:pPr>
              <w:jc w:val="center"/>
              <w:rPr>
                <w:rFonts w:ascii="宋体" w:hAnsi="宋体"/>
                <w:szCs w:val="21"/>
              </w:rPr>
            </w:pPr>
            <w:r>
              <w:rPr>
                <w:rFonts w:hint="eastAsia" w:ascii="宋体" w:hAnsi="宋体" w:cs="宋体"/>
                <w:color w:val="000000"/>
                <w:sz w:val="22"/>
              </w:rPr>
              <w:t>3</w:t>
            </w:r>
          </w:p>
        </w:tc>
        <w:tc>
          <w:tcPr>
            <w:tcW w:w="5905" w:type="dxa"/>
            <w:vAlign w:val="center"/>
          </w:tcPr>
          <w:p>
            <w:pPr>
              <w:widowControl/>
              <w:jc w:val="left"/>
              <w:textAlignment w:val="center"/>
              <w:rPr>
                <w:rFonts w:ascii="宋体" w:hAnsi="宋体" w:cs="宋体"/>
                <w:b/>
                <w:bCs/>
                <w:szCs w:val="21"/>
              </w:rPr>
            </w:pPr>
            <w:r>
              <w:rPr>
                <w:rFonts w:hint="eastAsia" w:ascii="宋体" w:hAnsi="宋体" w:cs="宋体"/>
                <w:b/>
                <w:bCs/>
                <w:szCs w:val="21"/>
              </w:rPr>
              <w:t>（一）评</w:t>
            </w:r>
            <w:r>
              <w:rPr>
                <w:rFonts w:hint="eastAsia" w:asciiTheme="minorEastAsia" w:hAnsiTheme="minorEastAsia" w:cstheme="minorEastAsia"/>
                <w:b/>
                <w:bCs/>
                <w:szCs w:val="21"/>
              </w:rPr>
              <w:t>审内容：</w:t>
            </w:r>
          </w:p>
          <w:p>
            <w:pPr>
              <w:widowControl/>
              <w:jc w:val="left"/>
              <w:textAlignment w:val="center"/>
              <w:rPr>
                <w:rFonts w:ascii="宋体" w:hAnsi="宋体" w:cs="宋体"/>
                <w:szCs w:val="21"/>
              </w:rPr>
            </w:pPr>
            <w:r>
              <w:rPr>
                <w:rFonts w:hint="eastAsia" w:ascii="宋体" w:hAnsi="宋体" w:cs="宋体"/>
                <w:color w:val="000000" w:themeColor="text1"/>
                <w:szCs w:val="21"/>
                <w14:textFill>
                  <w14:solidFill>
                    <w14:schemeClr w14:val="tx1"/>
                  </w14:solidFill>
                </w14:textFill>
              </w:rPr>
              <w:t>拟派项目团队成员不少于3人，且</w:t>
            </w:r>
            <w:r>
              <w:rPr>
                <w:rFonts w:hint="eastAsia" w:ascii="宋体" w:hAnsi="宋体" w:cs="宋体"/>
                <w:szCs w:val="21"/>
              </w:rPr>
              <w:t>须为投标人现有员工</w:t>
            </w:r>
            <w:r>
              <w:rPr>
                <w:rFonts w:ascii="宋体" w:hAnsi="宋体" w:cs="宋体"/>
                <w:szCs w:val="21"/>
              </w:rPr>
              <w:br w:type="textWrapping"/>
            </w:r>
            <w:r>
              <w:rPr>
                <w:rFonts w:ascii="宋体" w:hAnsi="宋体" w:cs="宋体"/>
                <w:szCs w:val="21"/>
              </w:rPr>
              <w:t>（</w:t>
            </w:r>
            <w:r>
              <w:rPr>
                <w:rFonts w:hint="eastAsia" w:ascii="宋体" w:hAnsi="宋体" w:cs="Calibri"/>
                <w:szCs w:val="21"/>
              </w:rPr>
              <w:t>具有</w:t>
            </w:r>
            <w:r>
              <w:rPr>
                <w:rFonts w:hint="eastAsia" w:ascii="宋体" w:hAnsi="宋体" w:cs="宋体"/>
                <w:color w:val="000000"/>
                <w:szCs w:val="21"/>
              </w:rPr>
              <w:t>计算机相关专业的本科或以上学历</w:t>
            </w:r>
            <w:r>
              <w:rPr>
                <w:rFonts w:ascii="宋体" w:hAnsi="宋体" w:cs="宋体"/>
                <w:szCs w:val="21"/>
              </w:rPr>
              <w:t>）</w:t>
            </w:r>
            <w:r>
              <w:rPr>
                <w:rFonts w:hint="eastAsia" w:ascii="宋体" w:hAnsi="宋体" w:cs="宋体"/>
                <w:szCs w:val="21"/>
              </w:rPr>
              <w:t>：</w:t>
            </w:r>
          </w:p>
          <w:p>
            <w:pPr>
              <w:widowControl/>
              <w:jc w:val="left"/>
              <w:textAlignment w:val="center"/>
              <w:rPr>
                <w:rFonts w:ascii="宋体" w:hAnsi="宋体" w:cs="宋体"/>
                <w:szCs w:val="21"/>
              </w:rPr>
            </w:pPr>
            <w:r>
              <w:rPr>
                <w:rFonts w:hint="eastAsia" w:ascii="宋体" w:hAnsi="宋体" w:cs="宋体"/>
                <w:szCs w:val="21"/>
              </w:rPr>
              <w:t>1、具有系统集成项目管理工程师证书的得1分；</w:t>
            </w:r>
          </w:p>
          <w:p>
            <w:pPr>
              <w:widowControl/>
              <w:jc w:val="left"/>
              <w:textAlignment w:val="center"/>
              <w:rPr>
                <w:rFonts w:ascii="宋体" w:hAnsi="宋体" w:cs="宋体"/>
                <w:szCs w:val="21"/>
              </w:rPr>
            </w:pPr>
            <w:bookmarkStart w:id="4" w:name="OLE_LINK5"/>
            <w:r>
              <w:rPr>
                <w:rFonts w:hint="eastAsia" w:ascii="宋体" w:hAnsi="宋体" w:cs="宋体"/>
                <w:szCs w:val="21"/>
              </w:rPr>
              <w:t>2、具有软件设计师证书的得1分；</w:t>
            </w:r>
          </w:p>
          <w:p>
            <w:pPr>
              <w:widowControl/>
              <w:jc w:val="left"/>
              <w:textAlignment w:val="center"/>
              <w:rPr>
                <w:rFonts w:ascii="宋体" w:hAnsi="宋体" w:cs="宋体"/>
                <w:szCs w:val="21"/>
              </w:rPr>
            </w:pPr>
            <w:r>
              <w:rPr>
                <w:rFonts w:hint="eastAsia" w:ascii="宋体" w:hAnsi="宋体" w:cs="宋体"/>
                <w:szCs w:val="21"/>
              </w:rPr>
              <w:t>3、具有系统分析师证书的得1分。</w:t>
            </w:r>
          </w:p>
          <w:bookmarkEnd w:id="4"/>
          <w:p>
            <w:pPr>
              <w:widowControl/>
              <w:jc w:val="left"/>
              <w:textAlignment w:val="center"/>
              <w:rPr>
                <w:rFonts w:ascii="宋体" w:hAnsi="宋体" w:cs="宋体"/>
                <w:szCs w:val="21"/>
              </w:rPr>
            </w:pPr>
            <w:r>
              <w:rPr>
                <w:rFonts w:hint="eastAsia" w:ascii="宋体" w:hAnsi="宋体" w:cs="宋体"/>
                <w:szCs w:val="21"/>
              </w:rPr>
              <w:t>同一证书不重复计分，以上1-3项累计最高得3分。</w:t>
            </w:r>
          </w:p>
          <w:p>
            <w:pPr>
              <w:widowControl/>
              <w:jc w:val="left"/>
              <w:textAlignment w:val="center"/>
              <w:rPr>
                <w:rFonts w:ascii="宋体" w:hAnsi="宋体" w:cs="宋体"/>
                <w:b/>
                <w:bCs/>
                <w:szCs w:val="21"/>
              </w:rPr>
            </w:pPr>
            <w:r>
              <w:rPr>
                <w:rFonts w:hint="eastAsia" w:ascii="宋体" w:hAnsi="宋体" w:cs="宋体"/>
                <w:b/>
                <w:bCs/>
                <w:szCs w:val="21"/>
              </w:rPr>
              <w:t>（二）评审依据：</w:t>
            </w:r>
          </w:p>
          <w:p>
            <w:pPr>
              <w:snapToGrid w:val="0"/>
              <w:contextualSpacing/>
              <w:jc w:val="left"/>
              <w:rPr>
                <w:rFonts w:ascii="宋体" w:hAnsi="宋体" w:cs="宋体"/>
                <w:szCs w:val="21"/>
              </w:rPr>
            </w:pPr>
            <w:r>
              <w:rPr>
                <w:rFonts w:hint="eastAsia" w:ascii="宋体" w:hAnsi="宋体" w:cs="宋体"/>
                <w:szCs w:val="21"/>
              </w:rPr>
              <w:t>1. 需提供投标人缴纳的投标截止日近1个月的社保证明。近1个月的社保证明无法提供的，则可以往前顺延1个月；如供应商为新成立企业且成立时间不足1个月，提供情况说明或者律师执业证（需显示执业机构名称）等证明材料亦视为符合，无需提供相关人员社保，亦可得分；</w:t>
            </w:r>
          </w:p>
          <w:p>
            <w:pPr>
              <w:tabs>
                <w:tab w:val="left" w:pos="567"/>
              </w:tabs>
              <w:snapToGrid w:val="0"/>
              <w:contextualSpacing/>
              <w:rPr>
                <w:rFonts w:ascii="宋体" w:hAnsi="宋体" w:cs="宋体"/>
                <w:color w:val="000000"/>
                <w:szCs w:val="21"/>
              </w:rPr>
            </w:pPr>
            <w:r>
              <w:rPr>
                <w:rFonts w:hint="eastAsia" w:ascii="宋体" w:hAnsi="宋体" w:cs="宋体"/>
                <w:color w:val="000000"/>
                <w:szCs w:val="21"/>
              </w:rPr>
              <w:t>2. 学历证书:要求提供证书扫描件以及学信网</w:t>
            </w:r>
          </w:p>
          <w:p>
            <w:pPr>
              <w:snapToGrid w:val="0"/>
              <w:contextualSpacing/>
              <w:jc w:val="left"/>
              <w:rPr>
                <w:rFonts w:hint="eastAsia" w:ascii="宋体" w:hAnsi="宋体" w:cs="宋体"/>
                <w:szCs w:val="21"/>
              </w:rPr>
            </w:pPr>
            <w:r>
              <w:rPr>
                <w:rFonts w:hint="eastAsia" w:ascii="宋体" w:hAnsi="宋体" w:cs="宋体"/>
                <w:color w:val="000000"/>
                <w:szCs w:val="21"/>
              </w:rPr>
              <w:t>(https://www.chsi.com.cn/)查询记录。对于较早颁发的学历证书，学信网无法查询的，要求提供证书扫描件和其他佐证材料(如毕业院校、人社部门等颁发机构或监管机构等单位出具的证明)作为得分的依据。海外留学(含港澳台)人员学历无法通过学信网站查询的应当提供教育部留学服务中心出具的国外学历学位认证证书以及教育部留学服务中心官网(https://zwfw.cscse.edu.cn/)查询截图。若证明文件为其它语言，必须附中文译文，以中文译文为准。</w:t>
            </w:r>
          </w:p>
          <w:p>
            <w:pPr>
              <w:snapToGrid w:val="0"/>
              <w:contextualSpacing/>
              <w:jc w:val="left"/>
              <w:rPr>
                <w:rFonts w:ascii="宋体" w:hAnsi="宋体" w:cs="宋体"/>
                <w:szCs w:val="21"/>
              </w:rPr>
            </w:pPr>
            <w:r>
              <w:rPr>
                <w:rFonts w:ascii="宋体" w:hAnsi="宋体" w:cs="宋体"/>
                <w:szCs w:val="21"/>
              </w:rPr>
              <w:t>3</w:t>
            </w:r>
            <w:r>
              <w:rPr>
                <w:rFonts w:hint="eastAsia" w:ascii="宋体" w:hAnsi="宋体" w:cs="宋体"/>
                <w:szCs w:val="21"/>
              </w:rPr>
              <w:t>. 提供上述有效证书的信息查询截图（</w:t>
            </w:r>
            <w:r>
              <w:rPr>
                <w:rFonts w:ascii="宋体" w:hAnsi="宋体" w:cs="宋体"/>
                <w:szCs w:val="21"/>
              </w:rPr>
              <w:t>https://bm.ruankao.org.cn/</w:t>
            </w:r>
            <w:r>
              <w:rPr>
                <w:rFonts w:hint="eastAsia" w:ascii="宋体" w:hAnsi="宋体" w:cs="宋体"/>
                <w:szCs w:val="21"/>
              </w:rPr>
              <w:t>）（截图需显示证书状态为“证书有效”）；</w:t>
            </w:r>
          </w:p>
          <w:p>
            <w:pPr>
              <w:jc w:val="left"/>
              <w:rPr>
                <w:rFonts w:ascii="宋体" w:hAnsi="宋体"/>
                <w:szCs w:val="21"/>
                <w:highlight w:val="yellow"/>
              </w:rPr>
            </w:pPr>
            <w:r>
              <w:rPr>
                <w:rFonts w:ascii="宋体" w:hAnsi="宋体" w:cs="宋体"/>
                <w:szCs w:val="21"/>
              </w:rPr>
              <w:t>4</w:t>
            </w:r>
            <w:r>
              <w:rPr>
                <w:rFonts w:hint="eastAsia" w:ascii="宋体" w:hAnsi="宋体" w:cs="宋体"/>
                <w:szCs w:val="21"/>
              </w:rPr>
              <w:t>. 提供以上证明文件复印件或扫描件，如涉及网站截图或照片等证明材料，需提供清晰图片，均要求加盖</w:t>
            </w:r>
            <w:r>
              <w:rPr>
                <w:rFonts w:hint="eastAsia" w:ascii="宋体" w:hAnsi="宋体" w:cs="宋体"/>
                <w:bCs/>
                <w:szCs w:val="21"/>
              </w:rPr>
              <w:t>投标人</w:t>
            </w:r>
            <w:r>
              <w:rPr>
                <w:rFonts w:hint="eastAsia" w:ascii="宋体" w:hAnsi="宋体" w:cs="宋体"/>
                <w:szCs w:val="21"/>
              </w:rPr>
              <w:t>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9</w:t>
            </w:r>
          </w:p>
        </w:tc>
        <w:tc>
          <w:tcPr>
            <w:tcW w:w="1693" w:type="dxa"/>
            <w:gridSpan w:val="2"/>
            <w:vAlign w:val="center"/>
          </w:tcPr>
          <w:p>
            <w:pPr>
              <w:jc w:val="center"/>
              <w:rPr>
                <w:rFonts w:ascii="宋体" w:hAnsi="宋体"/>
                <w:szCs w:val="21"/>
              </w:rPr>
            </w:pPr>
            <w:r>
              <w:rPr>
                <w:rFonts w:hint="eastAsia" w:asciiTheme="minorEastAsia" w:hAnsiTheme="minorEastAsia" w:cstheme="minorEastAsia"/>
                <w:szCs w:val="21"/>
              </w:rPr>
              <w:t>同类业绩</w:t>
            </w:r>
          </w:p>
        </w:tc>
        <w:tc>
          <w:tcPr>
            <w:tcW w:w="707" w:type="dxa"/>
            <w:vAlign w:val="center"/>
          </w:tcPr>
          <w:p>
            <w:pPr>
              <w:jc w:val="center"/>
              <w:rPr>
                <w:rFonts w:hint="eastAsia" w:ascii="宋体" w:hAnsi="宋体" w:eastAsia="宋体"/>
                <w:szCs w:val="21"/>
                <w:lang w:eastAsia="zh-CN"/>
              </w:rPr>
            </w:pPr>
            <w:r>
              <w:rPr>
                <w:rFonts w:hint="eastAsia" w:ascii="宋体" w:hAnsi="宋体" w:cs="宋体"/>
                <w:color w:val="000000"/>
                <w:sz w:val="22"/>
                <w:lang w:val="en-US" w:eastAsia="zh-CN"/>
              </w:rPr>
              <w:t>5</w:t>
            </w:r>
          </w:p>
        </w:tc>
        <w:tc>
          <w:tcPr>
            <w:tcW w:w="5905" w:type="dxa"/>
            <w:vAlign w:val="center"/>
          </w:tcPr>
          <w:p>
            <w:pPr>
              <w:jc w:val="left"/>
              <w:rPr>
                <w:rFonts w:asciiTheme="minorEastAsia" w:hAnsiTheme="minorEastAsia" w:cstheme="minorEastAsia"/>
                <w:szCs w:val="21"/>
              </w:rPr>
            </w:pPr>
            <w:r>
              <w:rPr>
                <w:rFonts w:hint="eastAsia" w:asciiTheme="minorEastAsia" w:hAnsiTheme="minorEastAsia" w:cstheme="minorEastAsia"/>
                <w:b/>
                <w:bCs/>
                <w:szCs w:val="21"/>
              </w:rPr>
              <w:t>（一）评审内容：</w:t>
            </w:r>
            <w:r>
              <w:rPr>
                <w:rFonts w:hint="eastAsia" w:asciiTheme="minorEastAsia" w:hAnsiTheme="minorEastAsia" w:cstheme="minorEastAsia"/>
                <w:szCs w:val="21"/>
              </w:rPr>
              <w:br w:type="textWrapping"/>
            </w:r>
            <w:r>
              <w:rPr>
                <w:rFonts w:hint="eastAsia" w:asciiTheme="minorEastAsia" w:hAnsiTheme="minorEastAsia" w:cstheme="minorEastAsia"/>
                <w:szCs w:val="21"/>
              </w:rPr>
              <w:t>投标人或授权厂家提供自2022 年11月以来（以合同签署日期为准），投标人具有同类项目（心理测评服务）的成功案例，每提供一份得</w:t>
            </w:r>
            <w:r>
              <w:rPr>
                <w:rFonts w:hint="eastAsia" w:asciiTheme="minorEastAsia" w:hAnsiTheme="minorEastAsia" w:cstheme="minorEastAsia"/>
                <w:szCs w:val="21"/>
                <w:lang w:val="en-US" w:eastAsia="zh-CN"/>
              </w:rPr>
              <w:t>1</w:t>
            </w:r>
            <w:r>
              <w:rPr>
                <w:rFonts w:hint="eastAsia" w:asciiTheme="minorEastAsia" w:hAnsiTheme="minorEastAsia" w:cstheme="minorEastAsia"/>
                <w:szCs w:val="21"/>
              </w:rPr>
              <w:t>分，本项最高得</w:t>
            </w:r>
            <w:r>
              <w:rPr>
                <w:rFonts w:hint="eastAsia" w:asciiTheme="minorEastAsia" w:hAnsiTheme="minorEastAsia" w:cstheme="minorEastAsia"/>
                <w:szCs w:val="21"/>
                <w:lang w:val="en-US" w:eastAsia="zh-CN"/>
              </w:rPr>
              <w:t>5</w:t>
            </w:r>
            <w:r>
              <w:rPr>
                <w:rFonts w:hint="eastAsia" w:asciiTheme="minorEastAsia" w:hAnsiTheme="minorEastAsia" w:cstheme="minorEastAsia"/>
                <w:szCs w:val="21"/>
              </w:rPr>
              <w:t>分。</w:t>
            </w:r>
          </w:p>
          <w:p>
            <w:pPr>
              <w:jc w:val="left"/>
              <w:rPr>
                <w:rFonts w:asciiTheme="minorEastAsia" w:hAnsiTheme="minorEastAsia" w:cstheme="minorEastAsia"/>
                <w:szCs w:val="21"/>
              </w:rPr>
            </w:pPr>
            <w:r>
              <w:rPr>
                <w:rFonts w:hint="eastAsia" w:asciiTheme="minorEastAsia" w:hAnsiTheme="minorEastAsia" w:cstheme="minorEastAsia"/>
                <w:b/>
                <w:bCs/>
                <w:szCs w:val="21"/>
              </w:rPr>
              <w:t>（二）评审依据：</w:t>
            </w:r>
            <w:r>
              <w:rPr>
                <w:rFonts w:hint="eastAsia" w:asciiTheme="minorEastAsia" w:hAnsiTheme="minorEastAsia" w:cstheme="minorEastAsia"/>
                <w:szCs w:val="21"/>
              </w:rPr>
              <w:br w:type="textWrapping"/>
            </w:r>
            <w:r>
              <w:rPr>
                <w:rFonts w:hint="eastAsia" w:asciiTheme="minorEastAsia" w:hAnsiTheme="minorEastAsia" w:cstheme="minorEastAsia"/>
                <w:szCs w:val="21"/>
              </w:rPr>
              <w:t>1、同时提供：1）①中标通知书，②合同关键页（包括但不限于合同首页、内容页、签章页）或以上证明材料【中标通知书的中标人名称需与合同乙方（投标人）名称一致。若合同乙方（投标人）有名称变更的，投标人需提供说明】。</w:t>
            </w:r>
          </w:p>
          <w:p>
            <w:pPr>
              <w:jc w:val="left"/>
              <w:rPr>
                <w:rFonts w:ascii="宋体" w:hAnsi="宋体"/>
                <w:szCs w:val="21"/>
              </w:rPr>
            </w:pPr>
            <w:r>
              <w:rPr>
                <w:rFonts w:hint="eastAsia" w:asciiTheme="minorEastAsia" w:hAnsiTheme="minorEastAsia" w:cstheme="minorEastAsia"/>
                <w:szCs w:val="21"/>
              </w:rPr>
              <w:t>2、未按要求提供证明材料（或证明材料无法判断是否符合评分要求）的不得分，原件备查。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10</w:t>
            </w:r>
          </w:p>
        </w:tc>
        <w:tc>
          <w:tcPr>
            <w:tcW w:w="1693" w:type="dxa"/>
            <w:gridSpan w:val="2"/>
            <w:vAlign w:val="center"/>
          </w:tcPr>
          <w:p>
            <w:pPr>
              <w:jc w:val="center"/>
              <w:rPr>
                <w:rFonts w:ascii="宋体" w:hAnsi="宋体"/>
                <w:szCs w:val="21"/>
              </w:rPr>
            </w:pPr>
            <w:r>
              <w:rPr>
                <w:rFonts w:hint="eastAsia" w:asciiTheme="minorEastAsia" w:hAnsiTheme="minorEastAsia" w:cstheme="minorEastAsia"/>
                <w:szCs w:val="21"/>
              </w:rPr>
              <w:t>诚信</w:t>
            </w:r>
          </w:p>
        </w:tc>
        <w:tc>
          <w:tcPr>
            <w:tcW w:w="707" w:type="dxa"/>
            <w:vAlign w:val="center"/>
          </w:tcPr>
          <w:p>
            <w:pPr>
              <w:jc w:val="center"/>
              <w:rPr>
                <w:rFonts w:hint="eastAsia" w:ascii="宋体" w:hAnsi="宋体" w:eastAsia="宋体"/>
                <w:szCs w:val="21"/>
                <w:lang w:eastAsia="zh-CN"/>
              </w:rPr>
            </w:pPr>
            <w:r>
              <w:rPr>
                <w:rFonts w:hint="eastAsia" w:ascii="宋体" w:hAnsi="宋体" w:cs="宋体"/>
                <w:color w:val="000000"/>
                <w:sz w:val="22"/>
                <w:lang w:val="en-US" w:eastAsia="zh-CN"/>
              </w:rPr>
              <w:t>4</w:t>
            </w:r>
          </w:p>
        </w:tc>
        <w:tc>
          <w:tcPr>
            <w:tcW w:w="5905" w:type="dxa"/>
            <w:vAlign w:val="center"/>
          </w:tcPr>
          <w:p>
            <w:pPr>
              <w:jc w:val="left"/>
              <w:rPr>
                <w:rFonts w:ascii="宋体" w:hAnsi="宋体" w:cs="宋体"/>
                <w:kern w:val="0"/>
                <w:szCs w:val="21"/>
                <w:lang w:bidi="ar"/>
              </w:rPr>
            </w:pPr>
            <w:r>
              <w:rPr>
                <w:rFonts w:hint="eastAsia" w:asciiTheme="minorEastAsia" w:hAnsiTheme="minorEastAsia" w:cstheme="minorEastAsia"/>
                <w:b/>
                <w:bCs/>
                <w:szCs w:val="21"/>
              </w:rPr>
              <w:t>（一）评审内容</w:t>
            </w:r>
            <w:r>
              <w:rPr>
                <w:rFonts w:hint="eastAsia" w:ascii="宋体" w:hAnsi="宋体" w:cs="宋体"/>
                <w:kern w:val="0"/>
                <w:szCs w:val="21"/>
                <w:lang w:bidi="ar"/>
              </w:rPr>
              <w:t>：</w:t>
            </w:r>
          </w:p>
          <w:p>
            <w:pPr>
              <w:jc w:val="left"/>
              <w:rPr>
                <w:rFonts w:ascii="宋体" w:hAnsi="宋体" w:cs="宋体"/>
                <w:kern w:val="0"/>
                <w:szCs w:val="21"/>
                <w:lang w:bidi="ar"/>
              </w:rPr>
            </w:pPr>
            <w:r>
              <w:rPr>
                <w:rFonts w:hint="eastAsia" w:ascii="宋体" w:hAnsi="宋体" w:cs="宋体"/>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宋体" w:hAnsi="宋体" w:cs="宋体"/>
                <w:kern w:val="0"/>
                <w:szCs w:val="21"/>
                <w:lang w:val="en-US" w:eastAsia="zh-CN" w:bidi="ar"/>
              </w:rPr>
              <w:t>4</w:t>
            </w:r>
            <w:r>
              <w:rPr>
                <w:rFonts w:hint="eastAsia" w:ascii="宋体" w:hAnsi="宋体" w:cs="宋体"/>
                <w:kern w:val="0"/>
                <w:szCs w:val="21"/>
                <w:lang w:bidi="ar"/>
              </w:rPr>
              <w:t>分。</w:t>
            </w:r>
          </w:p>
          <w:p>
            <w:pPr>
              <w:jc w:val="left"/>
              <w:rPr>
                <w:rFonts w:ascii="宋体" w:hAnsi="宋体" w:cs="宋体"/>
                <w:kern w:val="0"/>
                <w:szCs w:val="21"/>
                <w:lang w:bidi="ar"/>
              </w:rPr>
            </w:pPr>
            <w:r>
              <w:rPr>
                <w:rFonts w:hint="eastAsia" w:asciiTheme="minorEastAsia" w:hAnsiTheme="minorEastAsia" w:cstheme="minorEastAsia"/>
                <w:b/>
                <w:bCs/>
                <w:szCs w:val="21"/>
              </w:rPr>
              <w:t>（二）评审依据</w:t>
            </w:r>
            <w:r>
              <w:rPr>
                <w:rFonts w:hint="eastAsia" w:ascii="宋体" w:hAnsi="宋体" w:cs="宋体"/>
                <w:kern w:val="0"/>
                <w:szCs w:val="21"/>
                <w:lang w:bidi="ar"/>
              </w:rPr>
              <w:t>：</w:t>
            </w:r>
          </w:p>
          <w:p>
            <w:pPr>
              <w:jc w:val="left"/>
              <w:rPr>
                <w:rFonts w:ascii="宋体" w:hAnsi="宋体" w:cs="宋体"/>
                <w:kern w:val="0"/>
                <w:szCs w:val="21"/>
                <w:lang w:bidi="ar"/>
              </w:rPr>
            </w:pPr>
            <w:r>
              <w:rPr>
                <w:rFonts w:hint="eastAsia" w:ascii="宋体" w:hAnsi="宋体" w:cs="宋体"/>
                <w:kern w:val="0"/>
                <w:szCs w:val="21"/>
                <w:lang w:bidi="ar"/>
              </w:rPr>
              <w:t>1. 提供“信用中国”、“中国政府采购网”、“深圳信用网”“深圳市政府采购监管网”等查询记录网络截图；</w:t>
            </w:r>
          </w:p>
          <w:p>
            <w:pPr>
              <w:jc w:val="left"/>
              <w:rPr>
                <w:rFonts w:ascii="宋体" w:hAnsi="宋体"/>
                <w:szCs w:val="21"/>
              </w:rPr>
            </w:pPr>
            <w:r>
              <w:rPr>
                <w:rFonts w:hint="eastAsia" w:ascii="宋体" w:hAnsi="宋体" w:cs="宋体"/>
                <w:kern w:val="0"/>
                <w:szCs w:val="21"/>
                <w:lang w:bidi="ar"/>
              </w:rPr>
              <w:t>2. 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8" w:type="dxa"/>
            <w:gridSpan w:val="2"/>
            <w:vAlign w:val="center"/>
          </w:tcPr>
          <w:p>
            <w:pPr>
              <w:jc w:val="center"/>
              <w:rPr>
                <w:rFonts w:ascii="宋体" w:hAnsi="宋体"/>
                <w:b/>
                <w:bCs/>
                <w:szCs w:val="21"/>
              </w:rPr>
            </w:pPr>
            <w:r>
              <w:rPr>
                <w:rFonts w:hint="eastAsia" w:ascii="宋体" w:hAnsi="宋体"/>
                <w:b/>
                <w:bCs/>
                <w:szCs w:val="21"/>
              </w:rPr>
              <w:t>三、价格部分（20分）</w:t>
            </w:r>
          </w:p>
        </w:tc>
        <w:tc>
          <w:tcPr>
            <w:tcW w:w="7366" w:type="dxa"/>
            <w:gridSpan w:val="3"/>
            <w:vAlign w:val="center"/>
          </w:tcPr>
          <w:p>
            <w:pPr>
              <w:jc w:val="left"/>
              <w:rPr>
                <w:rFonts w:ascii="宋体" w:hAnsi="宋体"/>
                <w:szCs w:val="21"/>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(20分)。其他投标人的价格分按照下列公式计算：</w:t>
            </w:r>
            <w:r>
              <w:rPr>
                <w:rFonts w:hint="eastAsia" w:ascii="宋体" w:hAnsi="宋体"/>
                <w:bCs/>
                <w:szCs w:val="21"/>
                <w:lang w:val="zh-CN"/>
              </w:rPr>
              <w:t>投标报价得分=(评标基准价／投标报价)×20</w:t>
            </w:r>
          </w:p>
        </w:tc>
      </w:tr>
    </w:tbl>
    <w:p>
      <w:pPr>
        <w:pStyle w:val="2"/>
        <w:rPr>
          <w:rFonts w:hint="eastAsia"/>
        </w:rPr>
      </w:pPr>
    </w:p>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 xml:space="preserve"> (五)谈判小组拟制谈判报告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5" w:name="_Hlk124837366"/>
    </w:p>
    <w:bookmarkEnd w:id="5"/>
    <w:p>
      <w:pPr>
        <w:jc w:val="center"/>
        <w:rPr>
          <w:b/>
          <w:bCs/>
          <w:sz w:val="30"/>
          <w:szCs w:val="30"/>
        </w:rPr>
      </w:pPr>
      <w:r>
        <w:rPr>
          <w:rFonts w:hint="eastAsia"/>
          <w:b/>
          <w:bCs/>
          <w:sz w:val="30"/>
          <w:szCs w:val="30"/>
        </w:rPr>
        <w:t>用户需求书</w:t>
      </w:r>
    </w:p>
    <w:p>
      <w:pPr>
        <w:pStyle w:val="3"/>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3"/>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3"/>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3"/>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5814"/>
        <w:gridCol w:w="3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0" w:type="dxa"/>
            <w:vAlign w:val="center"/>
          </w:tcPr>
          <w:p>
            <w:pPr>
              <w:pStyle w:val="3"/>
              <w:jc w:val="center"/>
              <w:rPr>
                <w:rFonts w:hint="eastAsia" w:hAnsi="宋体"/>
                <w:b/>
                <w:kern w:val="0"/>
              </w:rPr>
            </w:pPr>
            <w:r>
              <w:rPr>
                <w:rFonts w:hint="eastAsia" w:hAnsi="宋体"/>
                <w:b/>
                <w:kern w:val="0"/>
              </w:rPr>
              <w:t>序号</w:t>
            </w:r>
          </w:p>
        </w:tc>
        <w:tc>
          <w:tcPr>
            <w:tcW w:w="5814" w:type="dxa"/>
            <w:vAlign w:val="center"/>
          </w:tcPr>
          <w:p>
            <w:pPr>
              <w:pStyle w:val="3"/>
              <w:jc w:val="center"/>
              <w:rPr>
                <w:rFonts w:hint="eastAsia" w:hAnsi="宋体"/>
                <w:b/>
                <w:kern w:val="0"/>
              </w:rPr>
            </w:pPr>
            <w:r>
              <w:rPr>
                <w:rFonts w:hint="eastAsia" w:hAnsi="宋体"/>
                <w:b/>
                <w:kern w:val="0"/>
              </w:rPr>
              <w:t>采购项目名称</w:t>
            </w:r>
          </w:p>
        </w:tc>
        <w:tc>
          <w:tcPr>
            <w:tcW w:w="3957" w:type="dxa"/>
            <w:vAlign w:val="center"/>
          </w:tcPr>
          <w:p>
            <w:pPr>
              <w:pStyle w:val="3"/>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restart"/>
            <w:vAlign w:val="center"/>
          </w:tcPr>
          <w:p>
            <w:pPr>
              <w:pStyle w:val="3"/>
              <w:jc w:val="center"/>
              <w:rPr>
                <w:rFonts w:hint="eastAsia" w:hAnsi="宋体"/>
                <w:bCs/>
                <w:kern w:val="0"/>
              </w:rPr>
            </w:pPr>
            <w:r>
              <w:rPr>
                <w:rFonts w:hint="eastAsia" w:hAnsi="宋体"/>
                <w:bCs/>
                <w:kern w:val="0"/>
              </w:rPr>
              <w:t>1</w:t>
            </w:r>
          </w:p>
        </w:tc>
        <w:tc>
          <w:tcPr>
            <w:tcW w:w="5814" w:type="dxa"/>
            <w:vMerge w:val="restart"/>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r>
              <w:rPr>
                <w:rFonts w:hint="eastAsia" w:ascii="宋体" w:hAnsi="宋体" w:cs="宋体-18030"/>
                <w:bCs/>
                <w:color w:val="000000"/>
                <w:szCs w:val="21"/>
                <w:lang w:val="en-US" w:eastAsia="zh-CN"/>
              </w:rPr>
              <w:t xml:space="preserve"> </w:t>
            </w:r>
            <w:r>
              <w:rPr>
                <w:rFonts w:hint="eastAsia" w:ascii="宋体" w:hAnsi="宋体" w:cs="宋体-18030"/>
                <w:bCs/>
                <w:color w:val="000000"/>
                <w:szCs w:val="21"/>
              </w:rPr>
              <w:t>智慧心理CT评估系统</w:t>
            </w:r>
          </w:p>
        </w:tc>
        <w:tc>
          <w:tcPr>
            <w:tcW w:w="3957" w:type="dxa"/>
            <w:vMerge w:val="restart"/>
            <w:vAlign w:val="center"/>
          </w:tcPr>
          <w:p>
            <w:pPr>
              <w:pStyle w:val="3"/>
              <w:ind w:firstLine="1260" w:firstLineChars="600"/>
              <w:jc w:val="both"/>
              <w:rPr>
                <w:rFonts w:hint="eastAsia" w:hAnsi="宋体"/>
                <w:bCs/>
                <w:kern w:val="0"/>
              </w:rPr>
            </w:pPr>
            <w:r>
              <w:rPr>
                <w:rFonts w:hint="eastAsia" w:ascii="宋体" w:hAnsi="宋体" w:eastAsia="宋体" w:cs="宋体-18030"/>
                <w:bCs/>
                <w:color w:val="000000"/>
                <w:kern w:val="2"/>
                <w:sz w:val="21"/>
                <w:szCs w:val="21"/>
                <w:lang w:val="en-US" w:eastAsia="zh-CN" w:bidi="ar-SA"/>
              </w:rPr>
              <w:t>475000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continue"/>
            <w:vAlign w:val="center"/>
          </w:tcPr>
          <w:p>
            <w:pPr>
              <w:pStyle w:val="3"/>
              <w:jc w:val="center"/>
              <w:rPr>
                <w:rFonts w:hint="eastAsia" w:hAnsi="宋体"/>
                <w:bCs/>
                <w:kern w:val="0"/>
              </w:rPr>
            </w:pPr>
          </w:p>
        </w:tc>
        <w:tc>
          <w:tcPr>
            <w:tcW w:w="5814" w:type="dxa"/>
            <w:vMerge w:val="continue"/>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p>
        </w:tc>
        <w:tc>
          <w:tcPr>
            <w:tcW w:w="3957" w:type="dxa"/>
            <w:vMerge w:val="continue"/>
            <w:vAlign w:val="center"/>
          </w:tcPr>
          <w:p>
            <w:pPr>
              <w:pStyle w:val="3"/>
              <w:jc w:val="center"/>
              <w:rPr>
                <w:rFonts w:hint="eastAsia" w:hAnsi="宋体"/>
                <w:bCs/>
                <w:kern w:val="0"/>
              </w:rPr>
            </w:pPr>
          </w:p>
        </w:tc>
      </w:tr>
    </w:tbl>
    <w:p>
      <w:pPr>
        <w:pStyle w:val="3"/>
        <w:rPr>
          <w:rFonts w:hint="eastAsia" w:hAnsi="宋体"/>
          <w:bCs/>
          <w:kern w:val="0"/>
        </w:rPr>
      </w:pPr>
    </w:p>
    <w:p>
      <w:pPr>
        <w:jc w:val="center"/>
        <w:rPr>
          <w:b/>
          <w:bCs/>
          <w:sz w:val="30"/>
          <w:szCs w:val="30"/>
        </w:rPr>
      </w:pPr>
      <w:r>
        <w:rPr>
          <w:rFonts w:hint="eastAsia"/>
          <w:b/>
          <w:bCs/>
          <w:sz w:val="30"/>
          <w:szCs w:val="30"/>
        </w:rPr>
        <w:t>二、服务要求</w:t>
      </w:r>
    </w:p>
    <w:p>
      <w:pPr>
        <w:pStyle w:val="6"/>
        <w:ind w:firstLine="0"/>
        <w:rPr>
          <w:rStyle w:val="30"/>
          <w:b/>
          <w:bCs/>
        </w:rPr>
      </w:pPr>
      <w:bookmarkStart w:id="6" w:name="_Toc450137347"/>
      <w:bookmarkStart w:id="7" w:name="_Toc480449081"/>
      <w:bookmarkStart w:id="8" w:name="_Toc178049979"/>
      <w:r>
        <w:rPr>
          <w:rStyle w:val="30"/>
          <w:rFonts w:hint="eastAsia"/>
          <w:b/>
          <w:bCs/>
        </w:rPr>
        <w:t>（一）项目概况</w:t>
      </w:r>
    </w:p>
    <w:p>
      <w:pPr>
        <w:pStyle w:val="46"/>
        <w:spacing w:before="0" w:after="0" w:line="240" w:lineRule="auto"/>
        <w:ind w:firstLine="420"/>
        <w:contextualSpacing/>
        <w:rPr>
          <w:rFonts w:hint="eastAsia" w:ascii="宋体" w:hAnsi="宋体"/>
          <w:sz w:val="21"/>
          <w:szCs w:val="21"/>
        </w:rPr>
      </w:pPr>
      <w:r>
        <w:rPr>
          <w:rFonts w:hint="eastAsia" w:ascii="宋体" w:hAnsi="宋体"/>
          <w:sz w:val="21"/>
          <w:szCs w:val="21"/>
        </w:rPr>
        <w:t>此项目符合我院信息化高质量发展建设规划，符合国家相关部门关于发展精神心理专科门诊、住院病房相关配套标准要求，本项目将立足心理测评系统化、专业化、规范化，以促进心理筛查、疾病诊断或问题性质判断、治疗效果评估、数据信息流动、患者数据库建立、学科发展，驱动我院事前、事中、事后质控达到智慧管理标准。</w:t>
      </w:r>
    </w:p>
    <w:p>
      <w:pPr>
        <w:pStyle w:val="46"/>
        <w:spacing w:before="0" w:after="0" w:line="240" w:lineRule="auto"/>
        <w:ind w:firstLine="0" w:firstLineChars="0"/>
        <w:contextualSpacing/>
        <w:rPr>
          <w:rFonts w:hint="eastAsia" w:ascii="宋体" w:hAnsi="宋体"/>
          <w:b/>
          <w:bCs/>
          <w:sz w:val="21"/>
          <w:szCs w:val="21"/>
        </w:rPr>
      </w:pPr>
      <w:r>
        <w:rPr>
          <w:rFonts w:hint="eastAsia" w:ascii="宋体" w:hAnsi="宋体"/>
          <w:b/>
          <w:bCs/>
          <w:sz w:val="21"/>
          <w:szCs w:val="21"/>
        </w:rPr>
        <w:t>（二）服务内容</w:t>
      </w:r>
    </w:p>
    <w:tbl>
      <w:tblPr>
        <w:tblStyle w:val="19"/>
        <w:tblW w:w="4853" w:type="pct"/>
        <w:tblInd w:w="198" w:type="dxa"/>
        <w:tblLayout w:type="autofit"/>
        <w:tblCellMar>
          <w:top w:w="0" w:type="dxa"/>
          <w:left w:w="108" w:type="dxa"/>
          <w:bottom w:w="0" w:type="dxa"/>
          <w:right w:w="108" w:type="dxa"/>
        </w:tblCellMar>
      </w:tblPr>
      <w:tblGrid>
        <w:gridCol w:w="1002"/>
        <w:gridCol w:w="9366"/>
      </w:tblGrid>
      <w:tr>
        <w:tblPrEx>
          <w:tblCellMar>
            <w:top w:w="0" w:type="dxa"/>
            <w:left w:w="108" w:type="dxa"/>
            <w:bottom w:w="0" w:type="dxa"/>
            <w:right w:w="108" w:type="dxa"/>
          </w:tblCellMar>
        </w:tblPrEx>
        <w:trPr>
          <w:trHeight w:val="300" w:hRule="atLeast"/>
        </w:trPr>
        <w:tc>
          <w:tcPr>
            <w:tcW w:w="48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contextualSpacing/>
              <w:jc w:val="center"/>
              <w:rPr>
                <w:rFonts w:hint="eastAsia" w:ascii="宋体" w:hAnsi="宋体" w:cs="宋体"/>
                <w:szCs w:val="21"/>
              </w:rPr>
            </w:pPr>
            <w:r>
              <w:rPr>
                <w:rFonts w:hint="eastAsia" w:ascii="宋体" w:hAnsi="宋体" w:cs="宋体"/>
                <w:szCs w:val="21"/>
              </w:rPr>
              <w:t>项目</w:t>
            </w:r>
          </w:p>
        </w:tc>
        <w:tc>
          <w:tcPr>
            <w:tcW w:w="4516" w:type="pct"/>
            <w:tcBorders>
              <w:top w:val="single" w:color="auto" w:sz="8" w:space="0"/>
              <w:left w:val="single" w:color="auto" w:sz="4" w:space="0"/>
              <w:bottom w:val="single" w:color="auto" w:sz="8" w:space="0"/>
              <w:right w:val="single" w:color="auto" w:sz="8" w:space="0"/>
            </w:tcBorders>
            <w:shd w:val="clear" w:color="auto" w:fill="auto"/>
            <w:vAlign w:val="center"/>
          </w:tcPr>
          <w:p>
            <w:pPr>
              <w:snapToGrid w:val="0"/>
              <w:contextualSpacing/>
              <w:jc w:val="center"/>
              <w:rPr>
                <w:rFonts w:hint="eastAsia" w:ascii="宋体" w:hAnsi="宋体" w:cs="宋体"/>
                <w:szCs w:val="21"/>
              </w:rPr>
            </w:pPr>
            <w:r>
              <w:rPr>
                <w:rFonts w:hint="eastAsia" w:ascii="宋体" w:hAnsi="宋体" w:cs="宋体"/>
                <w:szCs w:val="21"/>
              </w:rPr>
              <w:t>技术要求</w:t>
            </w:r>
          </w:p>
        </w:tc>
      </w:tr>
      <w:tr>
        <w:tblPrEx>
          <w:tblCellMar>
            <w:top w:w="0" w:type="dxa"/>
            <w:left w:w="108" w:type="dxa"/>
            <w:bottom w:w="0" w:type="dxa"/>
            <w:right w:w="108" w:type="dxa"/>
          </w:tblCellMar>
        </w:tblPrEx>
        <w:trPr>
          <w:trHeight w:val="517" w:hRule="atLeast"/>
        </w:trPr>
        <w:tc>
          <w:tcPr>
            <w:tcW w:w="4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18"/>
                <w:szCs w:val="18"/>
                <w14:textFill>
                  <w14:solidFill>
                    <w14:schemeClr w14:val="tx1"/>
                  </w14:solidFill>
                </w14:textFill>
              </w:rPr>
            </w:pPr>
            <w:r>
              <w:rPr>
                <w:rFonts w:hint="eastAsia" w:ascii="宋体" w:hAnsi="宋体" w:cs="宋体"/>
                <w:szCs w:val="21"/>
              </w:rPr>
              <w:t>功能要求</w:t>
            </w:r>
          </w:p>
        </w:tc>
        <w:tc>
          <w:tcPr>
            <w:tcW w:w="4516" w:type="pct"/>
            <w:tcBorders>
              <w:top w:val="nil"/>
              <w:left w:val="single" w:color="auto" w:sz="4" w:space="0"/>
              <w:bottom w:val="single" w:color="auto" w:sz="4" w:space="0"/>
              <w:right w:val="single" w:color="auto" w:sz="8" w:space="0"/>
            </w:tcBorders>
            <w:shd w:val="clear" w:color="auto" w:fill="auto"/>
            <w:vAlign w:val="center"/>
          </w:tcPr>
          <w:p>
            <w:pPr>
              <w:snapToGrid w:val="0"/>
              <w:contextualSpacing/>
              <w:jc w:val="left"/>
              <w:rPr>
                <w:rFonts w:hint="eastAsia" w:ascii="宋体" w:hAnsi="宋体" w:cs="宋体"/>
                <w:szCs w:val="21"/>
              </w:rPr>
            </w:pPr>
            <w:r>
              <w:rPr>
                <w:rFonts w:hint="eastAsia" w:ascii="宋体" w:hAnsi="宋体" w:cs="宋体"/>
                <w:szCs w:val="21"/>
              </w:rPr>
              <w:t>（一）产品技术参数</w:t>
            </w:r>
          </w:p>
          <w:p>
            <w:pPr>
              <w:snapToGrid w:val="0"/>
              <w:contextualSpacing/>
              <w:jc w:val="left"/>
              <w:rPr>
                <w:rFonts w:hint="eastAsia" w:ascii="宋体" w:hAnsi="宋体" w:cs="宋体"/>
                <w:szCs w:val="21"/>
              </w:rPr>
            </w:pPr>
            <w:r>
              <w:rPr>
                <w:rFonts w:hint="eastAsia" w:ascii="宋体" w:hAnsi="宋体" w:cs="宋体"/>
                <w:szCs w:val="21"/>
              </w:rPr>
              <w:t>1.心理量表测评技术规格参数</w:t>
            </w:r>
          </w:p>
          <w:p>
            <w:pPr>
              <w:snapToGrid w:val="0"/>
              <w:contextualSpacing/>
              <w:jc w:val="left"/>
              <w:rPr>
                <w:rFonts w:hint="eastAsia" w:ascii="宋体" w:hAnsi="宋体" w:cs="宋体"/>
                <w:szCs w:val="21"/>
              </w:rPr>
            </w:pPr>
            <w:r>
              <w:rPr>
                <w:rFonts w:hint="eastAsia" w:ascii="宋体" w:hAnsi="宋体" w:cs="宋体"/>
                <w:szCs w:val="21"/>
              </w:rPr>
              <w:t>1.1▲系统量表库包含以下量表：</w:t>
            </w:r>
          </w:p>
          <w:p>
            <w:pPr>
              <w:snapToGrid w:val="0"/>
              <w:contextualSpacing/>
              <w:jc w:val="left"/>
              <w:rPr>
                <w:rFonts w:hint="eastAsia" w:ascii="宋体" w:hAnsi="宋体" w:cs="宋体"/>
                <w:szCs w:val="21"/>
                <w:lang w:eastAsia="zh-CN"/>
              </w:rPr>
            </w:pPr>
            <w:r>
              <w:rPr>
                <w:rFonts w:hint="eastAsia" w:ascii="宋体" w:hAnsi="宋体" w:cs="宋体"/>
                <w:szCs w:val="21"/>
              </w:rPr>
              <w:t>心理健康测验：心理压力测试、症状自评量表(SCL-90)、自杀风险评估量表(NGASR)、自杀意念自评量表(SIOSS)、事件影响量表修订版(IES-R)、12项一般健康问卷(GHQ-12)、心理抗压能力测试、心理弹性问卷(CD-RISC)、凯斯勒心理困扰量表(K10)、述情障碍量表(TAS-20)、一般健康问卷(GHQ-20)、健康状况调查问卷(SF-36)、亚健康状态自测、自尊调查表(SEI)、康亲尔医学指数(CMI)、积极心理资本问卷(PPQ)、心理弹性量表(CD-RISC)、心理年龄自测量表、心理压力指数测试、自杀态度测评量表(QSA)、心理健康自评问卷(SRQ-20)、生活事件量表(LES)；人格性格测验：卡特尔16种人格因素测验(16PF)、MBTI职业性格测试、DISC性格测试、艾森克人格问卷(EPQ)(成人版)、艾森克人格问卷(EPQ)(儿童版)、耶鲁布朗强迫症量表Y-BOCS、九型人格测试、威廉斯创造力倾向测量表；情绪评定：焦虑自评量表(SAS)、抑郁自评量表(SDS)、爱丁堡产后抑郁量表(EPDS)、广泛性焦虑障碍量表(GAD-7)、9条目患者健康问卷(PHQ-9)、Beck抑郁自评量表(BDI)、流调用抑郁自评量表(CES-D)、贝克焦虑量表(BAI)、孤独感自评量表(UCLA)、儿童抑郁障碍自评量表(DSRSC)、心境障碍问卷(MDQ)、贝克抑郁自评量表(BDI)、状态一特质焦虑问卷(STAI)、强迫症简易自测量表、情绪自评量表抑郁-焦虑-压力量表(DASS-21)、老年人情感状态抑郁评分表(GDS)、伯恩斯忧郁症清单(BDC)、汉密尔顿焦虑量表(HAIMA)、汉密尔顿抑郁量表(HAID-17)、惧怕否定评价量表(FNE)、羞怯量表、自卑心理诊断量表、轻躁狂自评表(HCL-32)、汉密尔顿抑郁量表(HAIVD)、Snyder自我监控量表；睡眠状况评定：阿森失眠量表(AIS)、失眠严重程度指数量表(ISI)、Epworth嗜睡量表、匹兹堡睡眠质量指数量表(PSQI)；学生心理与行为评定：学习压力量表、中学生心理健康(MSSMHS)、中小学生心理健康量表(MHT)、中学生应对方式量表、考试焦虑测验问卷、中学生网络成瘾诊断量表、青少年上网成瘾自评量表、考试焦虑量表(TAS)、青少年生活事件量表(ASLEC)、小学生心理健康评定量表(MHRSP)、中学生学习动机量表(MSMT）、青少年学习倦总量表、中学生心理适应性量表、大学生心理健康测试、青少年主观幸福感量表；儿童心理行为评定：儿童孤独量表、儿少心理健康量表(MHS-CA)、Conners儿童行为量表(父母问卷)、儿童自我意识量表、儿童孤独症家长评定量表(ABC)、Conners简明症状问卷(ASO）Rutter儿童行为量表(父母问卷）、儿童孤独症评定量表(CARS)、学习障碍儿童筛查量表(PRS)、克氏孤独症行为量表(CABS)、儿童社交焦虑量表(SASC)、儿童焦虑型情绪障碍筛查表(SCARED)、长处和困难问卷(SDQ)、AchenbachL童行为量表(CBCL)、注意缺陷多动障碍筛查量表(SNAP-IV-18)、注意缺陷多动障碍筛查量表(SNAP-IV-26）、耶鲁综合抽动严重程度量表(YGTSS)、儿童睡眠系乱量表(SDSC)、儿童感觉统合能力发展评定量表、Kutcher青少年抑郁量表(KADS-11)；婚姻家庭测验：家庭亲密度和适应性量表中文版（FACES Ⅱ-CV ）、生活满意度指数B(LSIB)、Olson婚姻质量量表、生活满意度量表(SWLS)、家庭功能评定(FAD)、父母教养方式评价量表(EMBU）、父母与子女关系融洽性测验、家庭环境量表(FES)；社会适应与人际交往：罗森伯格自尊量表、人际问题处理能力测试、安全感量表(SQ)、应付方式问卷(CSQ、人际信任量表(ITS)、社交回避及苦恼量表(SAD)、成就动机量表(AIMS)；工作压力与职业倦怠评估：疲劳自评量表(FSAS)、马斯拉奇职业倦总量表(MBI)、工作压力测试、工作负荷自我测量、疲劳评定量表(FAS)；临床精神科评估量表：记忆障碍自评量表(AD8)、酒精使用障碍筛查量表(AUDIT)、精神护理观察量表(NORS)、阴性症状量表(SANS)、阳性症状评定量表(SAPS)、长谷川痴呆量表(HDS)、社会功能缺陷筛选量表(SDSS)、Barthel指数评定量表(BI)、手机依赖量表(MPAIscale）、吸烟者尼古丁依赖检验量表(FTND)、简明心理状况测验(MMSE)、简明精神病量表(BPRS)、锥体外系副反应量表(RESES)、日常生活能力量表(ADL)、国际不宁腿综合征等级评估量表(IRLS)、肇事肇祸危险性评估表、</w:t>
            </w:r>
            <w:r>
              <w:rPr>
                <w:rFonts w:hint="eastAsia" w:ascii="宋体" w:hAnsi="宋体" w:cs="宋体"/>
                <w:szCs w:val="21"/>
                <w:lang w:val="en-US" w:eastAsia="zh-CN"/>
              </w:rPr>
              <w:t>阳</w:t>
            </w:r>
            <w:r>
              <w:rPr>
                <w:rFonts w:hint="eastAsia" w:ascii="宋体" w:hAnsi="宋体" w:cs="宋体"/>
                <w:szCs w:val="21"/>
              </w:rPr>
              <w:t>性与阴性症状量表(PANSS)、自杀自伤风险评估表、住院精神病人社会功能评定量表(SSPI)。包含量表题库、常模、评估方法以及评估结果解读内容</w:t>
            </w:r>
            <w:r>
              <w:rPr>
                <w:rFonts w:hint="eastAsia" w:ascii="宋体" w:hAnsi="宋体" w:cs="宋体"/>
                <w:szCs w:val="21"/>
                <w:lang w:eastAsia="zh-CN"/>
              </w:rPr>
              <w:t>，</w:t>
            </w:r>
            <w:r>
              <w:rPr>
                <w:rFonts w:hint="eastAsia" w:ascii="宋体" w:hAnsi="宋体" w:cs="宋体"/>
                <w:szCs w:val="21"/>
                <w:lang w:val="en-US" w:eastAsia="zh-CN"/>
              </w:rPr>
              <w:t>可根据临床需要免费添加科研量表、首诊心理检查、心理治疗记录等内容。</w:t>
            </w:r>
          </w:p>
          <w:p>
            <w:pPr>
              <w:snapToGrid w:val="0"/>
              <w:contextualSpacing/>
              <w:jc w:val="left"/>
              <w:rPr>
                <w:rFonts w:hint="eastAsia" w:ascii="宋体" w:hAnsi="宋体" w:cs="宋体"/>
                <w:szCs w:val="21"/>
              </w:rPr>
            </w:pPr>
            <w:r>
              <w:rPr>
                <w:rFonts w:hint="eastAsia" w:ascii="宋体" w:hAnsi="宋体" w:cs="宋体"/>
                <w:szCs w:val="21"/>
              </w:rPr>
              <w:t>1.2支持移动端测评患者查阅量表名称、简介、测评指导语等信息，点击测评按钮可进行心理测评；患者心理测评过程支持断点续传，测评中途退出再次进入自动恢复功能；支持题目自动跳转至下一题，测评过程支持进度百分比展示。</w:t>
            </w:r>
          </w:p>
          <w:p>
            <w:pPr>
              <w:snapToGrid w:val="0"/>
              <w:contextualSpacing/>
              <w:jc w:val="left"/>
              <w:rPr>
                <w:rFonts w:hint="eastAsia" w:ascii="宋体" w:hAnsi="宋体" w:cs="宋体"/>
                <w:szCs w:val="21"/>
              </w:rPr>
            </w:pPr>
            <w:r>
              <w:rPr>
                <w:rFonts w:hint="eastAsia" w:ascii="宋体" w:hAnsi="宋体" w:cs="宋体"/>
                <w:szCs w:val="21"/>
              </w:rPr>
              <w:t>1.3测评完成，经医院心理科医生审核后，用户可在移动端“我的报告”中查阅报告。患者可以查看测评结果，患者在未完成栏查看未完成测评。</w:t>
            </w:r>
          </w:p>
          <w:p>
            <w:pPr>
              <w:snapToGrid w:val="0"/>
              <w:contextualSpacing/>
              <w:jc w:val="left"/>
              <w:rPr>
                <w:rFonts w:hint="eastAsia" w:ascii="宋体" w:hAnsi="宋体" w:cs="宋体"/>
                <w:szCs w:val="21"/>
              </w:rPr>
            </w:pPr>
            <w:r>
              <w:rPr>
                <w:rFonts w:hint="eastAsia" w:ascii="宋体" w:hAnsi="宋体" w:cs="宋体"/>
                <w:szCs w:val="21"/>
              </w:rPr>
              <w:t>1.4▲管理端支持收费项目及套餐维护，含收费项目名称、收费编码、套餐名称、套餐所含项目明细及编码维护；满足心理测评系统中项目与医院医保物价科维护的项目对接识别；提供系统截图证明。</w:t>
            </w:r>
          </w:p>
          <w:p>
            <w:pPr>
              <w:snapToGrid w:val="0"/>
              <w:contextualSpacing/>
              <w:jc w:val="left"/>
              <w:rPr>
                <w:rFonts w:hint="eastAsia" w:ascii="宋体" w:hAnsi="宋体" w:cs="宋体"/>
                <w:szCs w:val="21"/>
              </w:rPr>
            </w:pPr>
            <w:r>
              <w:rPr>
                <w:rFonts w:hint="eastAsia" w:ascii="宋体" w:hAnsi="宋体" w:cs="宋体"/>
                <w:szCs w:val="21"/>
              </w:rPr>
              <w:t>1.5▲支持门诊补录登记，补录完成完成后患者能够根据已经缴费的申请单到测评室正常完成测评，测评完成系统自动将患者测评结果及PDF报告上传至接诊平台，门诊医生可以在接诊平台调取患者测评结果、检查所见等结论信息；</w:t>
            </w:r>
          </w:p>
          <w:p>
            <w:pPr>
              <w:snapToGrid w:val="0"/>
              <w:contextualSpacing/>
              <w:jc w:val="left"/>
              <w:rPr>
                <w:rFonts w:hint="eastAsia" w:ascii="宋体" w:hAnsi="宋体" w:cs="宋体"/>
                <w:szCs w:val="21"/>
              </w:rPr>
            </w:pPr>
            <w:r>
              <w:rPr>
                <w:rFonts w:hint="eastAsia" w:ascii="宋体" w:hAnsi="宋体" w:cs="宋体"/>
                <w:szCs w:val="21"/>
              </w:rPr>
              <w:t>1.6▲支持体检补录登记，支持个检和团检补录登记，补录成功后体检客户能够扫描体检指引单条码完成正常测评，测评完成后系统自动获取客户信息，上传客户测评结果至体检系统，体检总检医生能够在体检平台查看到体检客户测评项目的测评结论及检查所见及临床科室医生审核签名的PDF报告等信息；</w:t>
            </w:r>
          </w:p>
          <w:p>
            <w:pPr>
              <w:snapToGrid w:val="0"/>
              <w:contextualSpacing/>
              <w:jc w:val="left"/>
              <w:rPr>
                <w:rFonts w:hint="eastAsia" w:ascii="宋体" w:hAnsi="宋体" w:cs="宋体"/>
                <w:szCs w:val="21"/>
              </w:rPr>
            </w:pPr>
            <w:r>
              <w:rPr>
                <w:rFonts w:hint="eastAsia" w:ascii="宋体" w:hAnsi="宋体" w:cs="宋体"/>
                <w:szCs w:val="21"/>
              </w:rPr>
              <w:t>1.7.支持测评完成情况查询，支持个检、团检完成情况查询，及完成测评后报告审核和未审核查询，支持根据完成时间、审核时间查询；</w:t>
            </w:r>
          </w:p>
          <w:p>
            <w:pPr>
              <w:snapToGrid w:val="0"/>
              <w:contextualSpacing/>
              <w:jc w:val="left"/>
              <w:rPr>
                <w:rFonts w:hint="eastAsia" w:ascii="宋体" w:hAnsi="宋体" w:cs="宋体"/>
                <w:szCs w:val="21"/>
              </w:rPr>
            </w:pPr>
            <w:r>
              <w:rPr>
                <w:rFonts w:hint="eastAsia" w:ascii="宋体" w:hAnsi="宋体" w:cs="宋体"/>
                <w:szCs w:val="21"/>
              </w:rPr>
              <w:t>1.8.支持心理体检用户通过扫描体检指引单条形码、或扫描二维码使用手机号码等方式识入系统开展心理体检。</w:t>
            </w:r>
          </w:p>
          <w:p>
            <w:pPr>
              <w:snapToGrid w:val="0"/>
              <w:contextualSpacing/>
              <w:jc w:val="left"/>
              <w:rPr>
                <w:rFonts w:hint="eastAsia" w:ascii="宋体" w:hAnsi="宋体" w:cs="宋体"/>
                <w:szCs w:val="21"/>
              </w:rPr>
            </w:pPr>
            <w:r>
              <w:rPr>
                <w:rFonts w:hint="eastAsia" w:ascii="宋体" w:hAnsi="宋体" w:cs="宋体"/>
                <w:szCs w:val="21"/>
              </w:rPr>
              <w:t>1.9▲支持报告重推，当医院系统出现通信异常导致通信消息丢失或其他原因导致体检平台或门诊接诊平台无法获取到患者测评结果时，支持手动对患者报告进行重新推送；</w:t>
            </w:r>
          </w:p>
          <w:p>
            <w:pPr>
              <w:snapToGrid w:val="0"/>
              <w:contextualSpacing/>
              <w:jc w:val="left"/>
              <w:rPr>
                <w:rFonts w:hint="eastAsia" w:ascii="宋体" w:hAnsi="宋体" w:cs="宋体"/>
                <w:szCs w:val="21"/>
              </w:rPr>
            </w:pPr>
            <w:r>
              <w:rPr>
                <w:rFonts w:hint="eastAsia" w:ascii="宋体" w:hAnsi="宋体" w:cs="宋体"/>
                <w:szCs w:val="21"/>
              </w:rPr>
              <w:t>2.心理健康科普技术规格参数</w:t>
            </w:r>
          </w:p>
          <w:p>
            <w:pPr>
              <w:snapToGrid w:val="0"/>
              <w:contextualSpacing/>
              <w:jc w:val="left"/>
              <w:rPr>
                <w:rFonts w:hint="eastAsia" w:ascii="宋体" w:hAnsi="宋体" w:cs="宋体"/>
                <w:szCs w:val="21"/>
              </w:rPr>
            </w:pPr>
            <w:r>
              <w:rPr>
                <w:rFonts w:hint="eastAsia" w:ascii="宋体" w:hAnsi="宋体" w:cs="宋体"/>
                <w:szCs w:val="21"/>
              </w:rPr>
              <w:t>2.1支持科普分类列表展示，展示科普简图、标题、阅读或观看人次总量。以及科普内容搜索功能；支持科普内容按最新时间进行内容展示排列；</w:t>
            </w:r>
          </w:p>
          <w:p>
            <w:pPr>
              <w:snapToGrid w:val="0"/>
              <w:contextualSpacing/>
              <w:jc w:val="left"/>
              <w:rPr>
                <w:rFonts w:hint="eastAsia" w:ascii="宋体" w:hAnsi="宋体" w:cs="宋体"/>
                <w:szCs w:val="21"/>
                <w:lang w:val="en-US" w:eastAsia="zh-CN"/>
              </w:rPr>
            </w:pPr>
            <w:r>
              <w:rPr>
                <w:rFonts w:hint="eastAsia" w:ascii="宋体" w:hAnsi="宋体" w:cs="宋体"/>
                <w:szCs w:val="21"/>
              </w:rPr>
              <w:t>2.2.支持图文、短视频或动画等多种科普素材类型。管理系统支持科普素材新增、编辑、视频上传、插入图片、禁用、上下架等操作</w:t>
            </w:r>
            <w:r>
              <w:rPr>
                <w:rFonts w:hint="eastAsia" w:ascii="宋体" w:hAnsi="宋体" w:cs="宋体"/>
                <w:szCs w:val="21"/>
                <w:lang w:eastAsia="zh-CN"/>
              </w:rPr>
              <w:t>，</w:t>
            </w:r>
            <w:r>
              <w:rPr>
                <w:rFonts w:hint="eastAsia" w:ascii="宋体" w:hAnsi="宋体" w:cs="宋体"/>
                <w:szCs w:val="21"/>
              </w:rPr>
              <w:t>支持部分视频素材只针对特定患者开放</w:t>
            </w:r>
            <w:r>
              <w:rPr>
                <w:rFonts w:hint="eastAsia" w:ascii="宋体" w:hAnsi="宋体" w:cs="宋体"/>
                <w:szCs w:val="21"/>
              </w:rPr>
              <w:t>；</w:t>
            </w:r>
          </w:p>
          <w:p>
            <w:pPr>
              <w:snapToGrid w:val="0"/>
              <w:contextualSpacing/>
              <w:jc w:val="left"/>
              <w:rPr>
                <w:rFonts w:hint="eastAsia" w:ascii="宋体" w:hAnsi="宋体" w:cs="宋体"/>
                <w:szCs w:val="21"/>
              </w:rPr>
            </w:pPr>
            <w:r>
              <w:rPr>
                <w:rFonts w:hint="eastAsia" w:ascii="宋体" w:hAnsi="宋体" w:cs="宋体"/>
                <w:szCs w:val="21"/>
              </w:rPr>
              <w:t>2.3▲系统默认提供至少50条图文、视频或动画科普内容，不涉及任何第三方侵权；提供系统截图证明。</w:t>
            </w:r>
          </w:p>
          <w:p>
            <w:pPr>
              <w:snapToGrid w:val="0"/>
              <w:contextualSpacing/>
              <w:jc w:val="left"/>
              <w:rPr>
                <w:rFonts w:hint="eastAsia" w:ascii="宋体" w:hAnsi="宋体" w:cs="宋体"/>
                <w:szCs w:val="21"/>
              </w:rPr>
            </w:pPr>
            <w:r>
              <w:rPr>
                <w:rFonts w:hint="eastAsia" w:ascii="宋体" w:hAnsi="宋体" w:cs="宋体"/>
                <w:szCs w:val="21"/>
              </w:rPr>
              <w:t>2.4 可通过文字、图片、视频展示科室排班、科室宣传、特色诊疗项目及人员介绍，可在人员介绍栏目增加个人的宣传视频。</w:t>
            </w:r>
          </w:p>
          <w:p>
            <w:pPr>
              <w:snapToGrid w:val="0"/>
              <w:contextualSpacing/>
              <w:jc w:val="left"/>
              <w:rPr>
                <w:rFonts w:hint="eastAsia" w:ascii="宋体" w:hAnsi="宋体" w:cs="宋体"/>
                <w:szCs w:val="21"/>
              </w:rPr>
            </w:pPr>
            <w:r>
              <w:rPr>
                <w:rFonts w:hint="eastAsia" w:ascii="宋体" w:hAnsi="宋体" w:cs="宋体"/>
                <w:szCs w:val="21"/>
              </w:rPr>
              <w:t>3.</w:t>
            </w:r>
            <w:r>
              <w:rPr>
                <w:rFonts w:hint="eastAsia" w:ascii="宋体" w:hAnsi="宋体" w:cs="宋体"/>
                <w:szCs w:val="21"/>
              </w:rPr>
              <w:tab/>
            </w:r>
            <w:r>
              <w:rPr>
                <w:rFonts w:hint="eastAsia" w:ascii="宋体" w:hAnsi="宋体" w:cs="宋体"/>
                <w:szCs w:val="21"/>
              </w:rPr>
              <w:t>音乐减压放松治疗技术规格参数</w:t>
            </w:r>
          </w:p>
          <w:p>
            <w:pPr>
              <w:snapToGrid w:val="0"/>
              <w:contextualSpacing/>
              <w:jc w:val="left"/>
              <w:rPr>
                <w:rFonts w:hint="eastAsia" w:ascii="宋体" w:hAnsi="宋体" w:cs="宋体"/>
                <w:szCs w:val="21"/>
              </w:rPr>
            </w:pPr>
            <w:r>
              <w:rPr>
                <w:rFonts w:hint="eastAsia" w:ascii="宋体" w:hAnsi="宋体" w:cs="宋体"/>
                <w:szCs w:val="21"/>
              </w:rPr>
              <w:t>3.1▲患者端支持音乐减压治疗分类，如疲劳治疗、失眠治疗、狂躁治疗、精神忧郁治疗、舒缓压力、缓解悲伤、振奋精神等。系统默认配置至少20套心理减压、放松素材，包含中国古典、外国古典、中国民乐、外国民乐、自选音乐、α波音乐、纯音乐多种类型，以及山林幽静、田野夜色、下雨天、小桥流水、海边多种情景音乐，让用户仿佛身临其境，置身于大自然，营造安静、欢乐、温馨、放松的减压放松环境，缓解用户焦虑、忧伤等情绪。</w:t>
            </w:r>
          </w:p>
          <w:p>
            <w:pPr>
              <w:snapToGrid w:val="0"/>
              <w:contextualSpacing/>
              <w:jc w:val="left"/>
              <w:rPr>
                <w:rFonts w:hint="eastAsia" w:ascii="宋体" w:hAnsi="宋体" w:cs="宋体"/>
                <w:szCs w:val="21"/>
                <w:lang w:eastAsia="zh-CN"/>
              </w:rPr>
            </w:pPr>
            <w:r>
              <w:rPr>
                <w:rFonts w:hint="eastAsia" w:ascii="宋体" w:hAnsi="宋体" w:cs="宋体"/>
                <w:szCs w:val="21"/>
              </w:rPr>
              <w:t>3.2管理端系统支持医护人员对音乐减压素材进行上传、编辑、发布等相关操作。支持部分减压放松视频只针对特定患者开放</w:t>
            </w:r>
            <w:r>
              <w:rPr>
                <w:rFonts w:hint="eastAsia" w:ascii="宋体" w:hAnsi="宋体" w:cs="宋体"/>
                <w:szCs w:val="21"/>
                <w:lang w:eastAsia="zh-CN"/>
              </w:rPr>
              <w:t>。</w:t>
            </w:r>
          </w:p>
          <w:p>
            <w:pPr>
              <w:snapToGrid w:val="0"/>
              <w:contextualSpacing/>
              <w:jc w:val="left"/>
              <w:rPr>
                <w:rFonts w:hint="eastAsia" w:ascii="宋体" w:hAnsi="宋体" w:cs="宋体"/>
                <w:szCs w:val="21"/>
              </w:rPr>
            </w:pPr>
            <w:r>
              <w:rPr>
                <w:rFonts w:hint="eastAsia" w:ascii="宋体" w:hAnsi="宋体" w:cs="宋体"/>
                <w:szCs w:val="21"/>
              </w:rPr>
              <w:t>4.系统用户登录及权限技术规格参数</w:t>
            </w:r>
          </w:p>
          <w:p>
            <w:pPr>
              <w:snapToGrid w:val="0"/>
              <w:contextualSpacing/>
              <w:jc w:val="left"/>
              <w:rPr>
                <w:rFonts w:hint="eastAsia" w:ascii="宋体" w:hAnsi="宋体" w:cs="宋体"/>
                <w:szCs w:val="21"/>
              </w:rPr>
            </w:pPr>
            <w:r>
              <w:rPr>
                <w:rFonts w:hint="eastAsia" w:ascii="宋体" w:hAnsi="宋体" w:cs="宋体"/>
                <w:szCs w:val="21"/>
              </w:rPr>
              <w:t>4.1支持患者多种途径登录：身份证号、手机号码等唯一识别登录，扫描体检条形码登录，院外用户可搜索小程序、微信扫描二维码登录；</w:t>
            </w:r>
          </w:p>
          <w:p>
            <w:pPr>
              <w:snapToGrid w:val="0"/>
              <w:contextualSpacing/>
              <w:jc w:val="left"/>
              <w:rPr>
                <w:rFonts w:hint="eastAsia" w:ascii="宋体" w:hAnsi="宋体" w:cs="宋体"/>
                <w:szCs w:val="21"/>
              </w:rPr>
            </w:pPr>
            <w:r>
              <w:rPr>
                <w:rFonts w:hint="eastAsia" w:ascii="宋体" w:hAnsi="宋体" w:cs="宋体"/>
                <w:szCs w:val="21"/>
              </w:rPr>
              <w:t>4.2支持医院-科室等多级机构和账户管理；科室医生通过PC端浏览器系统登录管理端系统；管理端系统通过账号、密码、短信动态码、图形验证码登录；</w:t>
            </w:r>
          </w:p>
          <w:p>
            <w:pPr>
              <w:snapToGrid w:val="0"/>
              <w:contextualSpacing/>
              <w:jc w:val="left"/>
              <w:rPr>
                <w:rFonts w:hint="eastAsia" w:ascii="宋体" w:hAnsi="宋体" w:cs="宋体"/>
                <w:szCs w:val="21"/>
              </w:rPr>
            </w:pPr>
            <w:r>
              <w:rPr>
                <w:rFonts w:hint="eastAsia" w:ascii="宋体" w:hAnsi="宋体" w:cs="宋体"/>
                <w:szCs w:val="21"/>
              </w:rPr>
              <w:t>4.3管理端账户可以配置不同数据权限，系统管理员允许给科室、医生分配账户和密码，心理科医生具有所有心理测评报告查阅权限，其它科室或社康医生仅允许查看其患者报告权限；</w:t>
            </w:r>
          </w:p>
          <w:p>
            <w:pPr>
              <w:snapToGrid w:val="0"/>
              <w:contextualSpacing/>
              <w:jc w:val="left"/>
              <w:rPr>
                <w:rFonts w:hint="eastAsia" w:ascii="宋体" w:hAnsi="宋体" w:cs="宋体"/>
                <w:szCs w:val="21"/>
              </w:rPr>
            </w:pPr>
            <w:r>
              <w:rPr>
                <w:rFonts w:hint="eastAsia" w:ascii="宋体" w:hAnsi="宋体" w:cs="宋体"/>
                <w:szCs w:val="21"/>
              </w:rPr>
              <w:t>5.</w:t>
            </w:r>
            <w:r>
              <w:rPr>
                <w:rFonts w:hint="eastAsia" w:ascii="宋体" w:hAnsi="宋体" w:cs="宋体"/>
                <w:szCs w:val="21"/>
              </w:rPr>
              <w:tab/>
            </w:r>
            <w:r>
              <w:rPr>
                <w:rFonts w:hint="eastAsia" w:ascii="宋体" w:hAnsi="宋体" w:cs="宋体"/>
                <w:szCs w:val="21"/>
              </w:rPr>
              <w:t>患者管理技术规格参数</w:t>
            </w:r>
          </w:p>
          <w:p>
            <w:pPr>
              <w:snapToGrid w:val="0"/>
              <w:contextualSpacing/>
              <w:jc w:val="left"/>
              <w:rPr>
                <w:rFonts w:hint="eastAsia" w:ascii="宋体" w:hAnsi="宋体" w:cs="宋体"/>
                <w:szCs w:val="21"/>
              </w:rPr>
            </w:pPr>
            <w:r>
              <w:rPr>
                <w:rFonts w:hint="eastAsia" w:ascii="宋体" w:hAnsi="宋体" w:cs="宋体"/>
                <w:szCs w:val="21"/>
              </w:rPr>
              <w:t>5.1支持创建团体单位信息，以及团体单位信息列表展示及查询。</w:t>
            </w:r>
          </w:p>
          <w:p>
            <w:pPr>
              <w:snapToGrid w:val="0"/>
              <w:contextualSpacing/>
              <w:jc w:val="left"/>
              <w:rPr>
                <w:rFonts w:hint="eastAsia" w:ascii="宋体" w:hAnsi="宋体" w:cs="宋体"/>
                <w:szCs w:val="21"/>
              </w:rPr>
            </w:pPr>
            <w:r>
              <w:rPr>
                <w:rFonts w:hint="eastAsia" w:ascii="宋体" w:hAnsi="宋体" w:cs="宋体"/>
                <w:szCs w:val="21"/>
              </w:rPr>
              <w:t>5.2▲支持团体客户增删改查、团体成员用户批量导入/导出以及增删改查，每批次支持至少1000团体成员用户批量导入。扫码后只需要填写编号，而不再需要录入体检人员详细信息；提供系统截图证明。</w:t>
            </w:r>
          </w:p>
          <w:p>
            <w:pPr>
              <w:snapToGrid w:val="0"/>
              <w:contextualSpacing/>
              <w:jc w:val="left"/>
              <w:rPr>
                <w:rFonts w:hint="eastAsia" w:ascii="宋体" w:hAnsi="宋体" w:cs="宋体"/>
                <w:szCs w:val="21"/>
              </w:rPr>
            </w:pPr>
            <w:r>
              <w:rPr>
                <w:rFonts w:hint="eastAsia" w:ascii="宋体" w:hAnsi="宋体" w:cs="宋体"/>
                <w:szCs w:val="21"/>
              </w:rPr>
              <w:t>5.3支持团体客户单位新增、启用/禁用、删除、移出、编辑操作。</w:t>
            </w:r>
          </w:p>
          <w:p>
            <w:pPr>
              <w:snapToGrid w:val="0"/>
              <w:contextualSpacing/>
              <w:jc w:val="left"/>
              <w:rPr>
                <w:rFonts w:hint="eastAsia" w:ascii="宋体" w:hAnsi="宋体" w:cs="宋体"/>
                <w:szCs w:val="21"/>
              </w:rPr>
            </w:pPr>
            <w:r>
              <w:rPr>
                <w:rFonts w:hint="eastAsia" w:ascii="宋体" w:hAnsi="宋体" w:cs="宋体"/>
                <w:szCs w:val="21"/>
              </w:rPr>
              <w:t>5.4人员名单管理中，支持以身份证号、姓名、单位名称进行人员查询。</w:t>
            </w:r>
          </w:p>
          <w:p>
            <w:pPr>
              <w:snapToGrid w:val="0"/>
              <w:contextualSpacing/>
              <w:jc w:val="left"/>
              <w:rPr>
                <w:rFonts w:hint="eastAsia" w:ascii="宋体" w:hAnsi="宋体" w:cs="宋体"/>
                <w:szCs w:val="21"/>
              </w:rPr>
            </w:pPr>
            <w:r>
              <w:rPr>
                <w:rFonts w:hint="eastAsia" w:ascii="宋体" w:hAnsi="宋体" w:cs="宋体"/>
                <w:szCs w:val="21"/>
              </w:rPr>
              <w:t>6.心理测评报告及审核技术规格参数</w:t>
            </w:r>
          </w:p>
          <w:p>
            <w:pPr>
              <w:snapToGrid w:val="0"/>
              <w:contextualSpacing/>
              <w:jc w:val="left"/>
              <w:rPr>
                <w:rFonts w:hint="eastAsia" w:ascii="宋体" w:hAnsi="宋体" w:cs="宋体"/>
                <w:szCs w:val="21"/>
              </w:rPr>
            </w:pPr>
            <w:r>
              <w:rPr>
                <w:rFonts w:hint="eastAsia" w:ascii="宋体" w:hAnsi="宋体" w:cs="宋体"/>
                <w:szCs w:val="21"/>
              </w:rPr>
              <w:t>6.1▲自动报告编辑，医生签名(签名图片)和审核等功能；支持批量自动审核签名以及医生手动审核签名两种模式；系统自动生成报告显示预警风险的报告必须由医生手动审核后方可发布；手动审核模式支持列表展示，展示如心理测评时间、姓名、性别、量表名称、是否预警、测评耗时等信息。提供系统截图证明。</w:t>
            </w:r>
          </w:p>
          <w:p>
            <w:pPr>
              <w:snapToGrid w:val="0"/>
              <w:contextualSpacing/>
              <w:jc w:val="left"/>
              <w:rPr>
                <w:rFonts w:hint="eastAsia" w:ascii="宋体" w:hAnsi="宋体" w:cs="宋体"/>
                <w:szCs w:val="21"/>
              </w:rPr>
            </w:pPr>
            <w:r>
              <w:rPr>
                <w:rFonts w:hint="eastAsia" w:ascii="宋体" w:hAnsi="宋体" w:cs="宋体"/>
                <w:szCs w:val="21"/>
              </w:rPr>
              <w:t>6.2心理测评报告手动审核时展示心理测评报告列表，列表内容如心理测评时间、姓名、性别、套餐名称、预警信息等信息。</w:t>
            </w:r>
          </w:p>
          <w:p>
            <w:pPr>
              <w:snapToGrid w:val="0"/>
              <w:contextualSpacing/>
              <w:jc w:val="left"/>
              <w:rPr>
                <w:rFonts w:hint="eastAsia" w:ascii="宋体" w:hAnsi="宋体" w:cs="宋体"/>
                <w:szCs w:val="21"/>
              </w:rPr>
            </w:pPr>
            <w:r>
              <w:rPr>
                <w:rFonts w:hint="eastAsia" w:ascii="宋体" w:hAnsi="宋体" w:cs="宋体"/>
                <w:szCs w:val="21"/>
              </w:rPr>
              <w:t>6.3▲心理量表测评报告移动端支持动态渲染图形。测评报告包含测评结果数据（参考值）、因子说明解释、解读建议等内容。患者端和管理端测评报告展示支持多种样式，根据不同量表评估内容提供不同样式，包含文本、表单、折线图、柱状图、雷达图等多种报告样式，如SCL-90采用折线图文报告；16PF人格特征轮廓图分析报告；瑞文标准智力测验智商水平分析报告；艾森克个性测评报告；</w:t>
            </w:r>
          </w:p>
          <w:p>
            <w:pPr>
              <w:snapToGrid w:val="0"/>
              <w:contextualSpacing/>
              <w:jc w:val="left"/>
              <w:rPr>
                <w:rFonts w:hint="eastAsia" w:ascii="宋体" w:hAnsi="宋体" w:cs="宋体"/>
                <w:szCs w:val="21"/>
              </w:rPr>
            </w:pPr>
            <w:r>
              <w:rPr>
                <w:rFonts w:hint="eastAsia" w:ascii="宋体" w:hAnsi="宋体" w:cs="宋体"/>
                <w:szCs w:val="21"/>
              </w:rPr>
              <w:t>6.4心理测评报告数据管理中，支持以年月日、姓名、体检批次、手机号、身份证号、套餐名称、单位名称、是否预警进行数据查询；并支持以当前筛选条件进行数据导出；可批量导出体检人员评估报告；</w:t>
            </w:r>
          </w:p>
          <w:p>
            <w:pPr>
              <w:snapToGrid w:val="0"/>
              <w:contextualSpacing/>
              <w:jc w:val="left"/>
              <w:rPr>
                <w:rFonts w:hint="eastAsia" w:ascii="宋体" w:hAnsi="宋体" w:cs="宋体"/>
                <w:szCs w:val="21"/>
              </w:rPr>
            </w:pPr>
            <w:r>
              <w:rPr>
                <w:rFonts w:hint="eastAsia" w:ascii="宋体" w:hAnsi="宋体" w:cs="宋体"/>
                <w:szCs w:val="21"/>
              </w:rPr>
              <w:t>6.5心理测评报告详情可查看每一个体检项目答题得分情况，支持如SCL-90，16pf量表以图形展示测评得分结果；</w:t>
            </w:r>
          </w:p>
          <w:p>
            <w:pPr>
              <w:snapToGrid w:val="0"/>
              <w:contextualSpacing/>
              <w:jc w:val="left"/>
              <w:rPr>
                <w:rFonts w:hint="eastAsia" w:ascii="宋体" w:hAnsi="宋体" w:cs="宋体"/>
                <w:szCs w:val="21"/>
              </w:rPr>
            </w:pPr>
            <w:r>
              <w:rPr>
                <w:rFonts w:hint="eastAsia" w:ascii="宋体" w:hAnsi="宋体" w:cs="宋体"/>
                <w:szCs w:val="21"/>
              </w:rPr>
              <w:t>6.6支持个人报告结果在管理端系统阅览、下载、打印操作，筛选查询条件下批量打印。</w:t>
            </w:r>
          </w:p>
          <w:p>
            <w:pPr>
              <w:snapToGrid w:val="0"/>
              <w:contextualSpacing/>
              <w:jc w:val="left"/>
              <w:rPr>
                <w:rFonts w:hint="eastAsia" w:ascii="宋体" w:hAnsi="宋体" w:cs="宋体"/>
                <w:szCs w:val="21"/>
              </w:rPr>
            </w:pPr>
            <w:r>
              <w:rPr>
                <w:rFonts w:hint="eastAsia" w:ascii="宋体" w:hAnsi="宋体" w:cs="宋体"/>
                <w:szCs w:val="21"/>
              </w:rPr>
              <w:t>6.7支持以年月日、姓名、体检批次、手机号、量表（体检项目）名称、单位名称、是否预警、签章状态维度进行数据查询；并支持以当前筛选条件进行数据excel导出，或导出PDF报告</w:t>
            </w:r>
          </w:p>
          <w:p>
            <w:pPr>
              <w:snapToGrid w:val="0"/>
              <w:contextualSpacing/>
              <w:jc w:val="left"/>
              <w:rPr>
                <w:rFonts w:hint="eastAsia" w:ascii="宋体" w:hAnsi="宋体" w:cs="宋体"/>
                <w:szCs w:val="21"/>
              </w:rPr>
            </w:pPr>
            <w:r>
              <w:rPr>
                <w:rFonts w:hint="eastAsia" w:ascii="宋体" w:hAnsi="宋体" w:cs="宋体"/>
                <w:szCs w:val="21"/>
              </w:rPr>
              <w:t>6.8▲根据测评结果，高危值自动预警分析，颜色标识；在测评报告结果中，支持结果高风险预警，并自动颜色标识。支持测评报告中，以得分范围维度进行查询。提供系统截图证明。</w:t>
            </w:r>
          </w:p>
          <w:p>
            <w:pPr>
              <w:snapToGrid w:val="0"/>
              <w:contextualSpacing/>
              <w:jc w:val="left"/>
              <w:rPr>
                <w:rFonts w:hint="eastAsia" w:ascii="宋体" w:hAnsi="宋体" w:cs="宋体"/>
                <w:szCs w:val="21"/>
              </w:rPr>
            </w:pPr>
            <w:r>
              <w:rPr>
                <w:rFonts w:hint="eastAsia" w:ascii="宋体" w:hAnsi="宋体" w:cs="宋体"/>
                <w:szCs w:val="21"/>
              </w:rPr>
              <w:t>7.统计查询技术规格参数</w:t>
            </w:r>
          </w:p>
          <w:p>
            <w:pPr>
              <w:snapToGrid w:val="0"/>
              <w:contextualSpacing/>
              <w:jc w:val="left"/>
              <w:rPr>
                <w:rFonts w:hint="eastAsia" w:ascii="宋体" w:hAnsi="宋体" w:cs="宋体"/>
                <w:szCs w:val="21"/>
              </w:rPr>
            </w:pPr>
            <w:r>
              <w:rPr>
                <w:rFonts w:hint="eastAsia" w:ascii="宋体" w:hAnsi="宋体" w:cs="宋体"/>
                <w:szCs w:val="21"/>
              </w:rPr>
              <w:t>7.1全院心理量表测评人次年、月、周、日统计数据；科室、社康或医生</w:t>
            </w:r>
            <w:r>
              <w:rPr>
                <w:rFonts w:hint="eastAsia" w:ascii="宋体" w:hAnsi="宋体" w:cs="宋体"/>
                <w:szCs w:val="21"/>
                <w:lang w:val="en-US" w:eastAsia="zh-CN"/>
              </w:rPr>
              <w:t>护士</w:t>
            </w:r>
            <w:r>
              <w:rPr>
                <w:rFonts w:hint="eastAsia" w:ascii="宋体" w:hAnsi="宋体" w:cs="宋体"/>
                <w:szCs w:val="21"/>
                <w:lang w:val="en-US" w:eastAsia="zh-CN"/>
              </w:rPr>
              <w:t>等</w:t>
            </w:r>
            <w:r>
              <w:rPr>
                <w:rFonts w:hint="eastAsia" w:ascii="宋体" w:hAnsi="宋体" w:cs="宋体"/>
                <w:szCs w:val="21"/>
              </w:rPr>
              <w:t>维度</w:t>
            </w:r>
            <w:bookmarkStart w:id="16" w:name="_GoBack"/>
            <w:bookmarkEnd w:id="16"/>
            <w:r>
              <w:rPr>
                <w:rFonts w:hint="eastAsia" w:ascii="宋体" w:hAnsi="宋体" w:cs="宋体"/>
                <w:szCs w:val="21"/>
              </w:rPr>
              <w:t>心理量表测评人次年、月、周、日统计数据；以及对应收费数据年、月、周、日统计数据，以及基于时间段等查询，并Excel导出；</w:t>
            </w:r>
          </w:p>
          <w:p>
            <w:pPr>
              <w:snapToGrid w:val="0"/>
              <w:contextualSpacing/>
              <w:jc w:val="left"/>
              <w:rPr>
                <w:rFonts w:hint="eastAsia" w:ascii="宋体" w:hAnsi="宋体" w:cs="宋体"/>
                <w:szCs w:val="21"/>
              </w:rPr>
            </w:pPr>
            <w:r>
              <w:rPr>
                <w:rFonts w:hint="eastAsia" w:ascii="宋体" w:hAnsi="宋体" w:cs="宋体"/>
                <w:szCs w:val="21"/>
              </w:rPr>
              <w:t>7.2</w:t>
            </w:r>
            <w:r>
              <w:rPr>
                <w:rFonts w:hint="eastAsia" w:ascii="宋体" w:hAnsi="宋体" w:cs="宋体"/>
                <w:szCs w:val="21"/>
              </w:rPr>
              <w:tab/>
            </w:r>
            <w:r>
              <w:rPr>
                <w:rFonts w:hint="eastAsia" w:ascii="宋体" w:hAnsi="宋体" w:cs="宋体"/>
                <w:szCs w:val="21"/>
              </w:rPr>
              <w:t>基于单个量表或心理测评套餐维度测评人次以及收费数据年、月、周、日统计数据，并Excel导出；</w:t>
            </w:r>
          </w:p>
          <w:p>
            <w:pPr>
              <w:snapToGrid w:val="0"/>
              <w:contextualSpacing/>
              <w:jc w:val="left"/>
              <w:rPr>
                <w:rFonts w:hint="eastAsia" w:ascii="宋体" w:hAnsi="宋体" w:cs="宋体"/>
                <w:szCs w:val="21"/>
              </w:rPr>
            </w:pPr>
            <w:r>
              <w:rPr>
                <w:rFonts w:hint="eastAsia" w:ascii="宋体" w:hAnsi="宋体" w:cs="宋体"/>
                <w:szCs w:val="21"/>
              </w:rPr>
              <w:t>7.3基于心理测评报告预警维度年、月、周、日统计数据并Excel导出；</w:t>
            </w:r>
          </w:p>
          <w:p>
            <w:pPr>
              <w:snapToGrid w:val="0"/>
              <w:contextualSpacing/>
              <w:jc w:val="left"/>
              <w:rPr>
                <w:rFonts w:hint="eastAsia" w:ascii="宋体" w:hAnsi="宋体" w:cs="宋体"/>
                <w:szCs w:val="21"/>
              </w:rPr>
            </w:pPr>
            <w:r>
              <w:rPr>
                <w:rFonts w:hint="eastAsia" w:ascii="宋体" w:hAnsi="宋体" w:cs="宋体"/>
                <w:szCs w:val="21"/>
              </w:rPr>
              <w:t>（二）互联互通以及信息安全技术等其他要求。</w:t>
            </w:r>
          </w:p>
          <w:p>
            <w:pPr>
              <w:snapToGrid w:val="0"/>
              <w:contextualSpacing/>
              <w:jc w:val="left"/>
              <w:rPr>
                <w:rFonts w:hint="eastAsia" w:ascii="宋体" w:hAnsi="宋体" w:cs="宋体"/>
                <w:szCs w:val="21"/>
              </w:rPr>
            </w:pPr>
            <w:r>
              <w:rPr>
                <w:rFonts w:hint="eastAsia" w:ascii="宋体" w:hAnsi="宋体" w:cs="宋体"/>
                <w:szCs w:val="21"/>
              </w:rPr>
              <w:t>1.▲根据采购方需求，提供可行性标准接口文档和对接方案，以及需要His系统进行改造的功能方案，完成“智慧心理测评CT系统”与院内信息系统对接。提供医院院内信息系统对接案例，辅助真实心理体检的体检单或院内信息系统开展心理体检项目的截图证明。</w:t>
            </w:r>
          </w:p>
          <w:p>
            <w:pPr>
              <w:snapToGrid w:val="0"/>
              <w:contextualSpacing/>
              <w:jc w:val="left"/>
              <w:rPr>
                <w:rFonts w:hint="eastAsia" w:ascii="宋体" w:hAnsi="宋体" w:cs="宋体"/>
                <w:szCs w:val="21"/>
              </w:rPr>
            </w:pPr>
            <w:r>
              <w:rPr>
                <w:rFonts w:hint="eastAsia" w:ascii="宋体" w:hAnsi="宋体" w:cs="宋体"/>
                <w:szCs w:val="21"/>
              </w:rPr>
              <w:t>2.▲配合采购方开展信息安全等级保护测评工作，交付及维保期间，供应商应根据第三方信息安全等级保护测评报告，修补系统漏洞并强化数据和信息安全；提供部署在医院的同类产品信息安全等级保护测评报告扫描件。</w:t>
            </w:r>
          </w:p>
          <w:p>
            <w:pPr>
              <w:snapToGrid w:val="0"/>
              <w:contextualSpacing/>
              <w:jc w:val="left"/>
              <w:rPr>
                <w:rFonts w:hint="eastAsia" w:ascii="宋体" w:hAnsi="宋体" w:cs="宋体"/>
                <w:szCs w:val="21"/>
              </w:rPr>
            </w:pPr>
            <w:r>
              <w:rPr>
                <w:rFonts w:hint="eastAsia" w:ascii="宋体" w:hAnsi="宋体" w:cs="宋体"/>
                <w:szCs w:val="21"/>
              </w:rPr>
              <w:t>★3.系统必须在采购方指定服务器本地化部署，提供内网与外网访问可行性方案和网络架构。</w:t>
            </w:r>
          </w:p>
          <w:p>
            <w:pPr>
              <w:snapToGrid w:val="0"/>
              <w:contextualSpacing/>
              <w:jc w:val="left"/>
              <w:rPr>
                <w:rFonts w:hint="eastAsia" w:ascii="宋体" w:hAnsi="宋体" w:cs="宋体"/>
                <w:szCs w:val="21"/>
              </w:rPr>
            </w:pPr>
            <w:r>
              <w:rPr>
                <w:rFonts w:hint="eastAsia" w:ascii="宋体" w:hAnsi="宋体" w:cs="宋体"/>
                <w:szCs w:val="21"/>
              </w:rPr>
              <w:t>4.采用B/S架构，前、后端分离技术，要求前后端数据交互全部加密。关键信息如姓名、身份证号码、手机号码进行脱敏处理，具有权限用户进行反脱敏处理；</w:t>
            </w:r>
          </w:p>
          <w:p>
            <w:pPr>
              <w:snapToGrid w:val="0"/>
              <w:contextualSpacing/>
              <w:jc w:val="left"/>
              <w:rPr>
                <w:rFonts w:hint="eastAsia" w:ascii="宋体" w:hAnsi="宋体" w:cs="宋体"/>
                <w:szCs w:val="21"/>
              </w:rPr>
            </w:pPr>
            <w:r>
              <w:rPr>
                <w:rFonts w:hint="eastAsia" w:ascii="宋体" w:hAnsi="宋体" w:cs="宋体"/>
                <w:szCs w:val="21"/>
              </w:rPr>
              <w:t>5.系统支持短信模板，可对接第三方短信接口，根据条件批量自动发送心检前参检提醒、心检后查看报告提醒，以及未检人员邀请参检提醒，适宜科普内容学习提醒；</w:t>
            </w:r>
          </w:p>
          <w:p>
            <w:pPr>
              <w:snapToGrid w:val="0"/>
              <w:contextualSpacing/>
              <w:jc w:val="left"/>
              <w:rPr>
                <w:rFonts w:hint="eastAsia" w:ascii="宋体" w:hAnsi="宋体" w:cs="宋体"/>
                <w:szCs w:val="21"/>
              </w:rPr>
            </w:pPr>
            <w:r>
              <w:rPr>
                <w:rFonts w:hint="eastAsia" w:ascii="宋体" w:hAnsi="宋体" w:cs="宋体"/>
                <w:szCs w:val="21"/>
              </w:rPr>
              <w:t>6.中标方应具备心理服务领域软件系统研发经验，拥有心理领域自主研发的知识产权，并且具有成熟的心理服务系统使用案例，系统交付后能够支持后续项目功能扩展与升级。</w:t>
            </w:r>
          </w:p>
          <w:p>
            <w:pPr>
              <w:snapToGrid w:val="0"/>
              <w:contextualSpacing/>
              <w:jc w:val="left"/>
              <w:rPr>
                <w:rFonts w:hint="eastAsia" w:ascii="宋体" w:hAnsi="宋体" w:cs="宋体"/>
                <w:szCs w:val="21"/>
              </w:rPr>
            </w:pPr>
            <w:r>
              <w:rPr>
                <w:rFonts w:hint="eastAsia" w:ascii="宋体" w:hAnsi="宋体" w:cs="宋体"/>
                <w:szCs w:val="21"/>
              </w:rPr>
              <w:t>7.中标方应有心理健康筛查项目运营经验，向采购方提供开展心理健康筛查项目的目标群体运营经验，提供目标群体、套餐设置以及收费标准、参检率提升、增值服务等相关案例和经验。</w:t>
            </w:r>
          </w:p>
          <w:p>
            <w:pPr>
              <w:snapToGrid w:val="0"/>
              <w:contextualSpacing/>
              <w:jc w:val="left"/>
              <w:rPr>
                <w:rFonts w:hint="eastAsia" w:ascii="宋体" w:hAnsi="宋体" w:cs="宋体"/>
                <w:szCs w:val="21"/>
              </w:rPr>
            </w:pPr>
            <w:r>
              <w:rPr>
                <w:rFonts w:hint="eastAsia" w:ascii="宋体" w:hAnsi="宋体" w:cs="宋体"/>
                <w:szCs w:val="21"/>
              </w:rPr>
              <w:t>8.▲满足1万人同时测评不卡顿</w:t>
            </w:r>
          </w:p>
          <w:p>
            <w:pPr>
              <w:snapToGrid w:val="0"/>
              <w:contextualSpacing/>
              <w:jc w:val="left"/>
              <w:rPr>
                <w:rFonts w:ascii="仿宋" w:hAnsi="仿宋" w:eastAsia="仿宋" w:cs="仿宋"/>
                <w:color w:val="000000" w:themeColor="text1"/>
                <w:sz w:val="18"/>
                <w:szCs w:val="18"/>
                <w14:textFill>
                  <w14:solidFill>
                    <w14:schemeClr w14:val="tx1"/>
                  </w14:solidFill>
                </w14:textFill>
              </w:rPr>
            </w:pPr>
            <w:r>
              <w:rPr>
                <w:rFonts w:hint="eastAsia" w:ascii="宋体" w:hAnsi="宋体" w:cs="宋体"/>
                <w:szCs w:val="21"/>
              </w:rPr>
              <w:t>9.▲门诊和住院部HIS系统及互联网医院可关联院内的DEEPSEEK等智能体数据库，按照不同患者生成个性化的治疗康复训练方案和健康处方。生成心理治疗方案并存档在HIS系统。</w:t>
            </w:r>
          </w:p>
        </w:tc>
      </w:tr>
      <w:tr>
        <w:tblPrEx>
          <w:tblCellMar>
            <w:top w:w="0" w:type="dxa"/>
            <w:left w:w="108" w:type="dxa"/>
            <w:bottom w:w="0" w:type="dxa"/>
            <w:right w:w="108" w:type="dxa"/>
          </w:tblCellMar>
        </w:tblPrEx>
        <w:trPr>
          <w:trHeight w:val="517" w:hRule="atLeast"/>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color w:val="000000" w:themeColor="text1"/>
                <w:sz w:val="18"/>
                <w:szCs w:val="18"/>
                <w14:textFill>
                  <w14:solidFill>
                    <w14:schemeClr w14:val="tx1"/>
                  </w14:solidFill>
                </w14:textFill>
              </w:rPr>
            </w:pPr>
            <w:r>
              <w:rPr>
                <w:rFonts w:ascii="宋体" w:hAnsi="宋体" w:cs="Calibri"/>
                <w:szCs w:val="21"/>
                <w:lang w:val="en-US"/>
              </w:rPr>
              <w:t>备注：需提供现场演示。</w:t>
            </w:r>
          </w:p>
        </w:tc>
      </w:tr>
    </w:tbl>
    <w:p>
      <w:pPr>
        <w:jc w:val="left"/>
        <w:rPr>
          <w:rFonts w:hint="eastAsia"/>
          <w:lang w:val="en-US" w:eastAsia="zh-CN"/>
        </w:rPr>
      </w:pPr>
      <w:r>
        <w:rPr>
          <w:rFonts w:hint="eastAsia"/>
          <w:lang w:val="en-US" w:eastAsia="zh-CN"/>
        </w:rPr>
        <w:t>（三）投入设施要求</w:t>
      </w:r>
    </w:p>
    <w:p>
      <w:pPr>
        <w:ind w:firstLine="420" w:firstLineChars="200"/>
        <w:jc w:val="left"/>
        <w:rPr>
          <w:rFonts w:hint="eastAsia"/>
        </w:rPr>
      </w:pPr>
      <w:r>
        <w:rPr>
          <w:rFonts w:hint="eastAsia"/>
        </w:rPr>
        <w:t>利用科室现有电脑网络及硬件</w:t>
      </w:r>
    </w:p>
    <w:p>
      <w:pPr>
        <w:jc w:val="left"/>
        <w:rPr>
          <w:rFonts w:hint="eastAsia"/>
        </w:rPr>
      </w:pPr>
      <w:r>
        <w:rPr>
          <w:rFonts w:hint="eastAsia"/>
          <w:lang w:eastAsia="zh-CN"/>
        </w:rPr>
        <w:t>（</w:t>
      </w:r>
      <w:r>
        <w:rPr>
          <w:rFonts w:hint="eastAsia"/>
          <w:lang w:val="en-US" w:eastAsia="zh-CN"/>
        </w:rPr>
        <w:t>四</w:t>
      </w:r>
      <w:r>
        <w:rPr>
          <w:rFonts w:hint="eastAsia"/>
          <w:lang w:eastAsia="zh-CN"/>
        </w:rPr>
        <w:t>）</w:t>
      </w:r>
      <w:r>
        <w:rPr>
          <w:rFonts w:hint="eastAsia"/>
        </w:rPr>
        <w:t>技术资料要求</w:t>
      </w:r>
    </w:p>
    <w:p>
      <w:pPr>
        <w:ind w:firstLine="420" w:firstLineChars="200"/>
        <w:jc w:val="left"/>
        <w:rPr>
          <w:rFonts w:hint="eastAsia"/>
        </w:rPr>
      </w:pPr>
      <w:r>
        <w:rPr>
          <w:rFonts w:hint="eastAsia"/>
        </w:rPr>
        <w:t>1</w:t>
      </w:r>
      <w:r>
        <w:rPr>
          <w:rFonts w:hint="eastAsia"/>
          <w:lang w:val="en-US" w:eastAsia="zh-CN"/>
        </w:rPr>
        <w:t>.</w:t>
      </w:r>
      <w:r>
        <w:rPr>
          <w:rFonts w:hint="eastAsia"/>
        </w:rPr>
        <w:t>测评系统开发和管理平台全套资料。</w:t>
      </w:r>
    </w:p>
    <w:p>
      <w:pPr>
        <w:ind w:firstLine="420" w:firstLineChars="200"/>
        <w:jc w:val="left"/>
        <w:rPr>
          <w:rFonts w:hint="eastAsia"/>
        </w:rPr>
      </w:pPr>
      <w:r>
        <w:rPr>
          <w:rFonts w:hint="eastAsia"/>
        </w:rPr>
        <w:t>2</w:t>
      </w:r>
      <w:r>
        <w:rPr>
          <w:rFonts w:hint="eastAsia"/>
          <w:lang w:val="en-US" w:eastAsia="zh-CN"/>
        </w:rPr>
        <w:t>.</w:t>
      </w:r>
      <w:r>
        <w:rPr>
          <w:rFonts w:hint="eastAsia"/>
        </w:rPr>
        <w:t>其他对项目有辅助的资料。</w:t>
      </w:r>
    </w:p>
    <w:p>
      <w:pPr>
        <w:jc w:val="left"/>
        <w:rPr>
          <w:rFonts w:hint="eastAsia"/>
          <w:lang w:val="en-US" w:eastAsia="zh-CN"/>
        </w:rPr>
      </w:pPr>
      <w:r>
        <w:rPr>
          <w:rFonts w:hint="eastAsia"/>
          <w:lang w:eastAsia="zh-CN"/>
        </w:rPr>
        <w:t>（</w:t>
      </w:r>
      <w:r>
        <w:rPr>
          <w:rFonts w:hint="eastAsia"/>
          <w:lang w:val="en-US" w:eastAsia="zh-CN"/>
        </w:rPr>
        <w:t>五</w:t>
      </w:r>
      <w:r>
        <w:rPr>
          <w:rFonts w:hint="eastAsia"/>
          <w:lang w:eastAsia="zh-CN"/>
        </w:rPr>
        <w:t>）</w:t>
      </w:r>
      <w:r>
        <w:rPr>
          <w:rFonts w:hint="eastAsia"/>
          <w:lang w:val="en-US" w:eastAsia="zh-CN"/>
        </w:rPr>
        <w:t>成果要求</w:t>
      </w:r>
    </w:p>
    <w:p>
      <w:pPr>
        <w:ind w:firstLine="420" w:firstLineChars="200"/>
        <w:jc w:val="left"/>
        <w:rPr>
          <w:rFonts w:hint="eastAsia"/>
        </w:rPr>
      </w:pPr>
      <w:r>
        <w:rPr>
          <w:rFonts w:hint="eastAsia"/>
        </w:rPr>
        <w:t>1</w:t>
      </w:r>
      <w:r>
        <w:rPr>
          <w:rFonts w:hint="eastAsia"/>
          <w:lang w:val="en-US" w:eastAsia="zh-CN"/>
        </w:rPr>
        <w:t>.</w:t>
      </w:r>
      <w:r>
        <w:rPr>
          <w:rFonts w:hint="eastAsia"/>
        </w:rPr>
        <w:t>以本院临床心理科为专业依托，整合医院住院部，建立综合医院临床心理科诊疗所需要的心理测评及相关的服务系统。</w:t>
      </w:r>
    </w:p>
    <w:p>
      <w:pPr>
        <w:ind w:firstLine="420" w:firstLineChars="200"/>
        <w:jc w:val="left"/>
        <w:rPr>
          <w:rFonts w:hint="eastAsia"/>
        </w:rPr>
      </w:pPr>
      <w:r>
        <w:rPr>
          <w:rFonts w:hint="eastAsia"/>
        </w:rPr>
        <w:t>2</w:t>
      </w:r>
      <w:r>
        <w:rPr>
          <w:rFonts w:hint="eastAsia"/>
          <w:lang w:val="en-US" w:eastAsia="zh-CN"/>
        </w:rPr>
        <w:t>.</w:t>
      </w:r>
      <w:r>
        <w:rPr>
          <w:rFonts w:hint="eastAsia"/>
        </w:rPr>
        <w:t>系统对接His系统，满足临床心理科和住院部量表需求，临床量表要达到190种</w:t>
      </w:r>
    </w:p>
    <w:p>
      <w:pPr>
        <w:ind w:firstLine="420" w:firstLineChars="200"/>
        <w:jc w:val="left"/>
        <w:rPr>
          <w:rFonts w:hint="eastAsia"/>
        </w:rPr>
      </w:pPr>
      <w:r>
        <w:rPr>
          <w:rFonts w:hint="eastAsia"/>
        </w:rPr>
        <w:t>3</w:t>
      </w:r>
      <w:r>
        <w:rPr>
          <w:rFonts w:hint="eastAsia"/>
          <w:lang w:val="en-US" w:eastAsia="zh-CN"/>
        </w:rPr>
        <w:t>.</w:t>
      </w:r>
      <w:r>
        <w:rPr>
          <w:rFonts w:hint="eastAsia"/>
        </w:rPr>
        <w:t>包含“科普宣传”、“心理健康测评（团体/个人）”、“测评结果分析”、“团体报告”、“心理健康档案”、“机构管理”、“量表配置”、“HIS对接”等模块功能。</w:t>
      </w:r>
    </w:p>
    <w:p>
      <w:pPr>
        <w:ind w:firstLine="420" w:firstLineChars="200"/>
        <w:jc w:val="left"/>
        <w:rPr>
          <w:rFonts w:hint="default"/>
          <w:lang w:val="en-US" w:eastAsia="zh-CN"/>
        </w:rPr>
      </w:pPr>
      <w:r>
        <w:rPr>
          <w:rFonts w:hint="eastAsia"/>
        </w:rPr>
        <w:t>4</w:t>
      </w:r>
      <w:r>
        <w:rPr>
          <w:rFonts w:hint="eastAsia"/>
          <w:lang w:val="en-US" w:eastAsia="zh-CN"/>
        </w:rPr>
        <w:t>.</w:t>
      </w:r>
      <w:r>
        <w:rPr>
          <w:rFonts w:hint="eastAsia"/>
        </w:rPr>
        <w:t>系统支持院内信息系统互联互通，整合院内外心理资源，为辖区居民提供更好的管理与服务。</w:t>
      </w:r>
    </w:p>
    <w:p>
      <w:pPr>
        <w:widowControl/>
        <w:spacing w:before="90"/>
        <w:ind w:firstLine="301" w:firstLineChars="100"/>
        <w:jc w:val="center"/>
        <w:rPr>
          <w:b/>
          <w:bCs/>
          <w:sz w:val="30"/>
          <w:szCs w:val="30"/>
        </w:rPr>
      </w:pPr>
      <w:r>
        <w:rPr>
          <w:rFonts w:hint="eastAsia"/>
          <w:b/>
          <w:bCs/>
          <w:sz w:val="30"/>
          <w:szCs w:val="30"/>
        </w:rPr>
        <w:t>三、实质性条款</w:t>
      </w:r>
    </w:p>
    <w:tbl>
      <w:tblPr>
        <w:tblStyle w:val="19"/>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2"/>
        <w:ind w:left="424" w:leftChars="202" w:right="258" w:rightChars="123" w:firstLine="426" w:firstLineChars="202"/>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6"/>
        <w:ind w:firstLine="0"/>
        <w:jc w:val="center"/>
        <w:rPr>
          <w:b/>
          <w:bCs/>
          <w:szCs w:val="21"/>
        </w:rPr>
      </w:pPr>
    </w:p>
    <w:p>
      <w:pPr>
        <w:pStyle w:val="6"/>
        <w:ind w:firstLine="0"/>
        <w:jc w:val="center"/>
        <w:rPr>
          <w:b/>
          <w:bCs/>
          <w:sz w:val="30"/>
          <w:szCs w:val="30"/>
        </w:rPr>
      </w:pPr>
      <w:r>
        <w:rPr>
          <w:rFonts w:hint="eastAsia"/>
          <w:b/>
          <w:bCs/>
          <w:sz w:val="30"/>
          <w:szCs w:val="30"/>
        </w:rPr>
        <w:t>四、商务条款要求</w:t>
      </w:r>
    </w:p>
    <w:bookmarkEnd w:id="6"/>
    <w:bookmarkEnd w:id="7"/>
    <w:bookmarkEnd w:id="8"/>
    <w:p>
      <w:pPr>
        <w:jc w:val="left"/>
        <w:rPr>
          <w:rFonts w:hint="eastAsia"/>
          <w:lang w:val="en-US" w:eastAsia="zh-CN"/>
        </w:rPr>
      </w:pPr>
      <w:r>
        <w:rPr>
          <w:rFonts w:hint="eastAsia"/>
          <w:lang w:val="en-US" w:eastAsia="zh-CN"/>
        </w:rPr>
        <w:t>1.服务期要求</w:t>
      </w:r>
    </w:p>
    <w:p>
      <w:pPr>
        <w:ind w:firstLine="420" w:firstLineChars="200"/>
        <w:jc w:val="left"/>
        <w:rPr>
          <w:rFonts w:hint="eastAsia"/>
          <w:lang w:val="en-US" w:eastAsia="zh-CN"/>
        </w:rPr>
      </w:pPr>
      <w:r>
        <w:rPr>
          <w:rFonts w:hint="eastAsia"/>
          <w:lang w:val="en-US" w:eastAsia="zh-CN"/>
        </w:rPr>
        <w:t>系指合同签订之日起至服务结束的时间期限。具体是指合同签订后1年内完成终验。</w:t>
      </w:r>
    </w:p>
    <w:p>
      <w:pPr>
        <w:numPr>
          <w:ilvl w:val="0"/>
          <w:numId w:val="0"/>
        </w:numPr>
        <w:jc w:val="left"/>
        <w:rPr>
          <w:rFonts w:hint="eastAsia"/>
          <w:lang w:val="en-US" w:eastAsia="zh-CN"/>
        </w:rPr>
      </w:pPr>
      <w:r>
        <w:rPr>
          <w:rFonts w:hint="eastAsia"/>
          <w:lang w:val="en-US" w:eastAsia="zh-CN"/>
        </w:rPr>
        <w:t>2.服务地点</w:t>
      </w:r>
    </w:p>
    <w:p>
      <w:pPr>
        <w:numPr>
          <w:ilvl w:val="0"/>
          <w:numId w:val="0"/>
        </w:numPr>
        <w:ind w:firstLine="420" w:firstLineChars="200"/>
        <w:jc w:val="left"/>
        <w:rPr>
          <w:rFonts w:hint="eastAsia"/>
          <w:lang w:val="en-US" w:eastAsia="zh-CN"/>
        </w:rPr>
      </w:pPr>
      <w:r>
        <w:rPr>
          <w:rFonts w:hint="eastAsia"/>
          <w:lang w:val="en-US" w:eastAsia="zh-CN"/>
        </w:rPr>
        <w:t xml:space="preserve">深圳市宝安区人民医院       </w:t>
      </w:r>
    </w:p>
    <w:p>
      <w:pPr>
        <w:numPr>
          <w:ilvl w:val="0"/>
          <w:numId w:val="0"/>
        </w:numPr>
        <w:ind w:leftChars="0"/>
        <w:jc w:val="left"/>
        <w:rPr>
          <w:rFonts w:hint="eastAsia"/>
          <w:lang w:val="en-US" w:eastAsia="zh-CN"/>
        </w:rPr>
      </w:pPr>
      <w:r>
        <w:rPr>
          <w:rFonts w:hint="eastAsia"/>
          <w:lang w:val="en-US" w:eastAsia="zh-CN"/>
        </w:rPr>
        <w:t>3.维修响应及故障解决时间</w:t>
      </w:r>
    </w:p>
    <w:p>
      <w:pPr>
        <w:numPr>
          <w:ilvl w:val="0"/>
          <w:numId w:val="0"/>
        </w:numPr>
        <w:ind w:leftChars="0" w:firstLine="420" w:firstLineChars="200"/>
        <w:jc w:val="left"/>
        <w:rPr>
          <w:rFonts w:hint="eastAsia"/>
          <w:lang w:val="en-US" w:eastAsia="zh-CN"/>
        </w:rPr>
      </w:pPr>
      <w:r>
        <w:rPr>
          <w:rFonts w:hint="eastAsia"/>
          <w:lang w:val="en-US" w:eastAsia="zh-CN"/>
        </w:rPr>
        <w:t>提供全年7天24小时服务（电话、远程）。现场响应时间要求为接到采购人报修电话后2小时内作出响应，无法远程解决的维护人员应在24小时内到达现场，一般维护应在4小时内完毕。</w:t>
      </w:r>
    </w:p>
    <w:p>
      <w:pPr>
        <w:jc w:val="left"/>
        <w:rPr>
          <w:rFonts w:hint="eastAsia"/>
          <w:lang w:val="en-US" w:eastAsia="zh-CN"/>
        </w:rPr>
      </w:pPr>
      <w:r>
        <w:rPr>
          <w:rFonts w:hint="eastAsia"/>
          <w:lang w:val="en-US" w:eastAsia="zh-CN"/>
        </w:rPr>
        <w:t>4.关于保修期</w:t>
      </w:r>
    </w:p>
    <w:p>
      <w:pPr>
        <w:ind w:firstLine="420" w:firstLineChars="200"/>
        <w:jc w:val="left"/>
        <w:rPr>
          <w:rFonts w:hint="eastAsia"/>
          <w:lang w:val="en-US" w:eastAsia="zh-CN"/>
        </w:rPr>
      </w:pPr>
      <w:r>
        <w:rPr>
          <w:rFonts w:hint="eastAsia"/>
          <w:lang w:val="en-US" w:eastAsia="zh-CN"/>
        </w:rPr>
        <w:t>4.1本次项目建设验收后，提供系统3年软件维护。维护服务包括（包括但不限于）软件安装、调试、维修、故障排除、性能调优、技术咨询等相关服务。</w:t>
      </w:r>
    </w:p>
    <w:p>
      <w:pPr>
        <w:ind w:firstLine="420" w:firstLineChars="200"/>
        <w:jc w:val="left"/>
        <w:rPr>
          <w:rFonts w:hint="eastAsia"/>
          <w:lang w:val="en-US" w:eastAsia="zh-CN"/>
        </w:rPr>
      </w:pPr>
      <w:r>
        <w:rPr>
          <w:rFonts w:hint="eastAsia"/>
          <w:lang w:val="en-US" w:eastAsia="zh-CN"/>
        </w:rPr>
        <w:t>4.2项目验收合格后，除日常运维工作外，每年另外安排技术团队为用户例行维护及巡检。保证开发的软件正常运行。</w:t>
      </w:r>
    </w:p>
    <w:p>
      <w:pPr>
        <w:numPr>
          <w:ilvl w:val="0"/>
          <w:numId w:val="0"/>
        </w:numPr>
        <w:ind w:leftChars="0"/>
        <w:jc w:val="left"/>
        <w:rPr>
          <w:rFonts w:hint="eastAsia"/>
          <w:lang w:val="en-US" w:eastAsia="zh-CN"/>
        </w:rPr>
      </w:pPr>
      <w:r>
        <w:rPr>
          <w:rFonts w:hint="eastAsia"/>
          <w:lang w:val="en-US" w:eastAsia="zh-CN"/>
        </w:rPr>
        <w:t>5.互联互通要求</w:t>
      </w:r>
    </w:p>
    <w:p>
      <w:pPr>
        <w:numPr>
          <w:ilvl w:val="0"/>
          <w:numId w:val="0"/>
        </w:numPr>
        <w:ind w:leftChars="0" w:firstLine="420" w:firstLineChars="200"/>
        <w:jc w:val="left"/>
        <w:rPr>
          <w:rFonts w:hint="eastAsia"/>
          <w:lang w:val="en-US" w:eastAsia="zh-CN"/>
        </w:rPr>
      </w:pPr>
      <w:r>
        <w:rPr>
          <w:rFonts w:hint="eastAsia"/>
          <w:lang w:val="en-US" w:eastAsia="zh-CN"/>
        </w:rPr>
        <w:t>完成与院内His系统等相关系统对接，实现智慧心理CT评估系统与院内信息化系统互联互通，数据融合。</w:t>
      </w:r>
    </w:p>
    <w:p>
      <w:pPr>
        <w:jc w:val="left"/>
        <w:rPr>
          <w:rFonts w:hint="eastAsia"/>
          <w:lang w:val="en-US" w:eastAsia="zh-CN"/>
        </w:rPr>
      </w:pPr>
      <w:r>
        <w:rPr>
          <w:rFonts w:hint="eastAsia"/>
          <w:lang w:val="en-US" w:eastAsia="zh-CN"/>
        </w:rPr>
        <w:t>6.人员要求</w:t>
      </w:r>
    </w:p>
    <w:p>
      <w:pPr>
        <w:ind w:firstLine="420" w:firstLineChars="200"/>
        <w:jc w:val="left"/>
        <w:rPr>
          <w:rFonts w:hint="eastAsia"/>
          <w:lang w:val="en-US" w:eastAsia="zh-CN"/>
        </w:rPr>
      </w:pPr>
      <w:r>
        <w:rPr>
          <w:rFonts w:hint="eastAsia"/>
          <w:lang w:val="en-US" w:eastAsia="zh-CN"/>
        </w:rPr>
        <w:t>6.1项目负责人1人，需</w:t>
      </w:r>
      <w:bookmarkStart w:id="9" w:name="OLE_LINK2"/>
      <w:bookmarkStart w:id="10" w:name="OLE_LINK3"/>
      <w:r>
        <w:rPr>
          <w:rFonts w:hint="eastAsia"/>
          <w:lang w:val="en-US" w:eastAsia="zh-CN"/>
        </w:rPr>
        <w:t>具有计算机相关专业的本科或以上学历</w:t>
      </w:r>
      <w:bookmarkEnd w:id="9"/>
      <w:r>
        <w:rPr>
          <w:rFonts w:hint="eastAsia"/>
          <w:lang w:val="en-US" w:eastAsia="zh-CN"/>
        </w:rPr>
        <w:t>、信息系统项目管理师证书</w:t>
      </w:r>
      <w:bookmarkEnd w:id="10"/>
      <w:r>
        <w:rPr>
          <w:rFonts w:hint="eastAsia"/>
          <w:lang w:val="en-US" w:eastAsia="zh-CN"/>
        </w:rPr>
        <w:t>；</w:t>
      </w:r>
    </w:p>
    <w:p>
      <w:pPr>
        <w:ind w:firstLine="420" w:firstLineChars="200"/>
        <w:jc w:val="left"/>
        <w:rPr>
          <w:rFonts w:hint="eastAsia"/>
          <w:lang w:val="en-US" w:eastAsia="zh-CN"/>
        </w:rPr>
      </w:pPr>
      <w:r>
        <w:rPr>
          <w:rFonts w:hint="eastAsia"/>
          <w:lang w:val="en-US" w:eastAsia="zh-CN"/>
        </w:rPr>
        <w:t>6.2团队成员不少于3人，需</w:t>
      </w:r>
      <w:bookmarkStart w:id="11" w:name="OLE_LINK6"/>
      <w:r>
        <w:rPr>
          <w:rFonts w:hint="eastAsia"/>
          <w:lang w:val="en-US" w:eastAsia="zh-CN"/>
        </w:rPr>
        <w:t>具有计算机相关专业的本科或以上学历</w:t>
      </w:r>
      <w:bookmarkEnd w:id="11"/>
      <w:r>
        <w:rPr>
          <w:rFonts w:hint="eastAsia"/>
          <w:lang w:val="en-US" w:eastAsia="zh-CN"/>
        </w:rPr>
        <w:t>、系统集成项目管理工程师证书、软件设计师证书、系统分析师证书。</w:t>
      </w:r>
    </w:p>
    <w:p>
      <w:pPr>
        <w:numPr>
          <w:ilvl w:val="0"/>
          <w:numId w:val="0"/>
        </w:numPr>
        <w:jc w:val="left"/>
        <w:rPr>
          <w:rFonts w:hint="eastAsia"/>
          <w:lang w:val="en-US" w:eastAsia="zh-CN"/>
        </w:rPr>
      </w:pPr>
      <w:r>
        <w:rPr>
          <w:rFonts w:hint="eastAsia"/>
          <w:lang w:val="en-US" w:eastAsia="zh-CN"/>
        </w:rPr>
        <w:t>7.报价要求</w:t>
      </w:r>
    </w:p>
    <w:p>
      <w:pPr>
        <w:numPr>
          <w:ilvl w:val="0"/>
          <w:numId w:val="0"/>
        </w:numPr>
        <w:ind w:firstLine="420" w:firstLineChars="200"/>
        <w:jc w:val="left"/>
        <w:rPr>
          <w:rFonts w:hint="eastAsia"/>
          <w:lang w:val="en-US" w:eastAsia="zh-CN"/>
        </w:rPr>
      </w:pPr>
      <w:r>
        <w:rPr>
          <w:rFonts w:hint="eastAsia"/>
          <w:lang w:val="en-US" w:eastAsia="zh-CN"/>
        </w:rPr>
        <w:t>投标总价必须是完成该项目的一切费用总和，包括人工费、保险费、管理费、技术培训费、设备安装费、调试费、售后服务费、国家规定的各项税费等全部费用。</w:t>
      </w:r>
    </w:p>
    <w:p>
      <w:pPr>
        <w:numPr>
          <w:ilvl w:val="0"/>
          <w:numId w:val="0"/>
        </w:numPr>
        <w:ind w:leftChars="0"/>
        <w:jc w:val="left"/>
        <w:rPr>
          <w:rFonts w:hint="eastAsia"/>
          <w:lang w:val="en-US" w:eastAsia="zh-CN"/>
        </w:rPr>
      </w:pPr>
      <w:r>
        <w:rPr>
          <w:rFonts w:hint="eastAsia"/>
          <w:lang w:val="en-US" w:eastAsia="zh-CN"/>
        </w:rPr>
        <w:t>8.其他要求</w:t>
      </w:r>
    </w:p>
    <w:p>
      <w:pPr>
        <w:numPr>
          <w:ilvl w:val="0"/>
          <w:numId w:val="0"/>
        </w:numPr>
        <w:ind w:leftChars="0" w:firstLine="420" w:firstLineChars="200"/>
        <w:jc w:val="left"/>
        <w:rPr>
          <w:rFonts w:hint="eastAsia"/>
          <w:lang w:val="en-US" w:eastAsia="zh-CN"/>
        </w:rPr>
      </w:pPr>
      <w:r>
        <w:rPr>
          <w:rFonts w:hint="eastAsia"/>
          <w:lang w:val="en-US" w:eastAsia="zh-CN"/>
        </w:rPr>
        <w:t>项目质量标准：符合智慧医疗、智慧服务、智慧管理标准。</w:t>
      </w:r>
    </w:p>
    <w:p>
      <w:pPr>
        <w:jc w:val="left"/>
        <w:rPr>
          <w:rFonts w:hint="eastAsia"/>
          <w:lang w:val="en-US" w:eastAsia="zh-CN"/>
        </w:rPr>
      </w:pPr>
    </w:p>
    <w:p>
      <w:pPr>
        <w:rPr>
          <w:rFonts w:ascii="宋体" w:hAnsi="宋体" w:cs="Arial"/>
          <w:b/>
          <w:color w:val="000000"/>
          <w:kern w:val="0"/>
          <w:sz w:val="32"/>
          <w:szCs w:val="32"/>
        </w:rPr>
      </w:pPr>
      <w:r>
        <w:rPr>
          <w:rFonts w:ascii="宋体" w:hAnsi="宋体" w:cs="Arial"/>
          <w:b/>
          <w:color w:val="000000"/>
          <w:kern w:val="0"/>
          <w:sz w:val="32"/>
          <w:szCs w:val="32"/>
        </w:rPr>
        <w:br w:type="page"/>
      </w:r>
    </w:p>
    <w:p>
      <w:pPr>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2025年第</w:t>
      </w:r>
      <w:r>
        <w:rPr>
          <w:rFonts w:hint="eastAsia" w:ascii="宋体" w:hAnsi="宋体"/>
          <w:b/>
          <w:bCs/>
          <w:sz w:val="28"/>
          <w:szCs w:val="28"/>
          <w:lang w:val="en-US" w:eastAsia="zh-CN"/>
        </w:rPr>
        <w:t>80</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BYZBCG2025-</w:t>
      </w:r>
      <w:r>
        <w:rPr>
          <w:rFonts w:hint="eastAsia" w:ascii="宋体" w:hAnsi="宋体"/>
          <w:b/>
          <w:bCs/>
          <w:sz w:val="30"/>
          <w:szCs w:val="30"/>
          <w:lang w:val="en-US" w:eastAsia="zh-CN"/>
        </w:rPr>
        <w:t>80</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3"/>
          <w:rFonts w:hint="eastAsia" w:eastAsia="宋体"/>
          <w:color w:val="000000"/>
        </w:rPr>
      </w:pP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项目名称:</w:t>
      </w:r>
      <w:r>
        <w:rPr>
          <w:rFonts w:hint="eastAsia"/>
        </w:rPr>
        <w:t xml:space="preserve"> </w:t>
      </w:r>
      <w:r>
        <w:rPr>
          <w:rStyle w:val="23"/>
          <w:rFonts w:eastAsia="宋体"/>
          <w:color w:val="000000"/>
          <w:szCs w:val="28"/>
          <w:u w:val="single"/>
        </w:rPr>
        <w:t xml:space="preserve">                          </w:t>
      </w:r>
      <w:r>
        <w:rPr>
          <w:rStyle w:val="23"/>
          <w:rFonts w:hint="eastAsia" w:eastAsia="宋体"/>
          <w:b w:val="0"/>
          <w:bCs w:val="0"/>
          <w:szCs w:val="28"/>
        </w:rPr>
        <w:t xml:space="preserve"> </w:t>
      </w:r>
    </w:p>
    <w:p>
      <w:pPr>
        <w:widowControl/>
        <w:spacing w:line="500" w:lineRule="exact"/>
        <w:ind w:firstLine="970" w:firstLineChars="345"/>
      </w:pPr>
      <w:r>
        <w:rPr>
          <w:rStyle w:val="23"/>
          <w:rFonts w:eastAsia="宋体"/>
          <w:color w:val="000000"/>
          <w:szCs w:val="28"/>
        </w:rPr>
        <w:t>投标单位:</w:t>
      </w:r>
      <w:r>
        <w:rPr>
          <w:rStyle w:val="23"/>
          <w:rFonts w:eastAsia="宋体"/>
          <w:color w:val="000000"/>
          <w:szCs w:val="28"/>
          <w:u w:val="single"/>
        </w:rPr>
        <w:t xml:space="preserve">                                 </w:t>
      </w:r>
      <w:r>
        <w:rPr>
          <w:rFonts w:hint="eastAsia"/>
        </w:rPr>
        <w:t xml:space="preserve"> </w:t>
      </w:r>
    </w:p>
    <w:p>
      <w:pPr>
        <w:widowControl/>
        <w:spacing w:line="500" w:lineRule="exact"/>
        <w:ind w:firstLine="567" w:firstLineChars="270"/>
        <w:rPr>
          <w:rStyle w:val="23"/>
          <w:rFonts w:hint="eastAsia" w:eastAsia="宋体"/>
          <w:color w:val="000000"/>
          <w:szCs w:val="28"/>
        </w:rPr>
      </w:pPr>
      <w:r>
        <w:rPr>
          <w:rFonts w:hint="eastAsia"/>
        </w:rPr>
        <w:t xml:space="preserve">    </w:t>
      </w:r>
      <w:r>
        <w:rPr>
          <w:rStyle w:val="23"/>
          <w:rFonts w:eastAsia="宋体"/>
          <w:color w:val="000000"/>
          <w:szCs w:val="28"/>
        </w:rPr>
        <w:t xml:space="preserve">联系人:  </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联系电话:</w:t>
      </w:r>
      <w:r>
        <w:rPr>
          <w:rStyle w:val="23"/>
          <w:rFonts w:eastAsia="宋体"/>
          <w:color w:val="000000"/>
          <w:szCs w:val="28"/>
          <w:u w:val="single"/>
        </w:rPr>
        <w:t xml:space="preserve">                </w:t>
      </w:r>
      <w:r>
        <w:rPr>
          <w:rStyle w:val="23"/>
          <w:rFonts w:eastAsia="宋体"/>
          <w:b w:val="0"/>
          <w:color w:val="000000"/>
          <w:sz w:val="18"/>
          <w:szCs w:val="18"/>
        </w:rPr>
        <w:t>(手机)</w:t>
      </w:r>
      <w:r>
        <w:rPr>
          <w:rStyle w:val="23"/>
          <w:rFonts w:eastAsia="宋体"/>
          <w:color w:val="000000"/>
          <w:szCs w:val="28"/>
          <w:u w:val="single"/>
        </w:rPr>
        <w:t xml:space="preserve">            </w:t>
      </w:r>
      <w:r>
        <w:rPr>
          <w:rStyle w:val="23"/>
          <w:rFonts w:eastAsia="宋体"/>
          <w:b w:val="0"/>
          <w:color w:val="000000"/>
          <w:sz w:val="18"/>
          <w:szCs w:val="18"/>
        </w:rPr>
        <w:t>(办公)</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地址:</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日期:2025年</w:t>
      </w:r>
      <w:r>
        <w:rPr>
          <w:rStyle w:val="23"/>
          <w:rFonts w:eastAsia="宋体"/>
          <w:color w:val="000000"/>
          <w:szCs w:val="28"/>
          <w:u w:val="single"/>
        </w:rPr>
        <w:t xml:space="preserve">    </w:t>
      </w:r>
      <w:r>
        <w:rPr>
          <w:rStyle w:val="23"/>
          <w:rFonts w:eastAsia="宋体"/>
          <w:color w:val="000000"/>
          <w:szCs w:val="28"/>
        </w:rPr>
        <w:t>月</w:t>
      </w:r>
      <w:r>
        <w:rPr>
          <w:rStyle w:val="23"/>
          <w:rFonts w:eastAsia="宋体"/>
          <w:color w:val="000000"/>
          <w:szCs w:val="28"/>
          <w:u w:val="single"/>
        </w:rPr>
        <w:t xml:space="preserve">    </w:t>
      </w:r>
      <w:r>
        <w:rPr>
          <w:rStyle w:val="23"/>
          <w:rFonts w:eastAsia="宋体"/>
          <w:color w:val="000000"/>
          <w:szCs w:val="28"/>
        </w:rPr>
        <w:t xml:space="preserve">日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 xml:space="preserve">                                           </w:t>
      </w:r>
    </w:p>
    <w:p>
      <w:pPr>
        <w:widowControl/>
        <w:spacing w:line="500" w:lineRule="exact"/>
        <w:jc w:val="left"/>
        <w:rPr>
          <w:rStyle w:val="23"/>
          <w:rFonts w:hint="eastAsia" w:cs="宋体"/>
          <w:color w:val="000000"/>
          <w:szCs w:val="28"/>
        </w:rPr>
      </w:pPr>
      <w:r>
        <w:rPr>
          <w:rStyle w:val="23"/>
          <w:rFonts w:hint="eastAsia" w:cs="宋体"/>
          <w:color w:val="000000"/>
          <w:szCs w:val="28"/>
        </w:rPr>
        <w:t>备注:</w:t>
      </w:r>
    </w:p>
    <w:p>
      <w:pPr>
        <w:widowControl/>
        <w:spacing w:line="500" w:lineRule="exact"/>
        <w:jc w:val="left"/>
        <w:rPr>
          <w:rFonts w:hint="eastAsia" w:ascii="宋体" w:hAnsi="宋体" w:eastAsia="黑体" w:cs="宋体"/>
          <w:b/>
          <w:bCs/>
          <w:color w:val="000000"/>
          <w:kern w:val="44"/>
          <w:sz w:val="28"/>
          <w:szCs w:val="28"/>
        </w:rPr>
      </w:pPr>
      <w:r>
        <w:rPr>
          <w:rStyle w:val="23"/>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3"/>
          <w:rFonts w:hint="eastAsia" w:ascii="微软雅黑" w:hAnsi="微软雅黑" w:eastAsia="微软雅黑" w:cs="微软雅黑"/>
          <w:color w:val="000000"/>
          <w:szCs w:val="28"/>
        </w:rPr>
        <w:t>二､</w:t>
      </w:r>
      <w:r>
        <w:rPr>
          <w:rStyle w:val="23"/>
          <w:rFonts w:hint="eastAsia" w:ascii="黑体" w:hAnsi="黑体" w:cs="黑体"/>
          <w:color w:val="000000"/>
          <w:szCs w:val="28"/>
        </w:rPr>
        <w:t>谈判现场</w:t>
      </w:r>
      <w:r>
        <w:rPr>
          <w:rStyle w:val="23"/>
          <w:rFonts w:hint="eastAsia" w:cs="宋体"/>
          <w:color w:val="000000"/>
          <w:szCs w:val="28"/>
        </w:rPr>
        <w:t>,需提交6份密封投标书（2正4副）(胶装成册)</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标题格式：2025年第X期 投标公司名称-投标文件</w:t>
      </w:r>
      <w:r>
        <w:rPr>
          <w:rFonts w:hint="eastAsia"/>
          <w:b/>
          <w:bCs/>
          <w:color w:val="000000"/>
          <w:kern w:val="0"/>
        </w:rPr>
        <w:t>】</w:t>
      </w:r>
    </w:p>
    <w:p>
      <w:pPr>
        <w:widowControl/>
        <w:spacing w:line="500" w:lineRule="exact"/>
        <w:jc w:val="left"/>
        <w:rPr>
          <w:rStyle w:val="23"/>
          <w:rFonts w:hint="eastAsia" w:eastAsia="宋体"/>
          <w:color w:val="FF0000"/>
          <w:szCs w:val="28"/>
        </w:rPr>
      </w:pPr>
      <w:r>
        <w:rPr>
          <w:rStyle w:val="23"/>
          <w:rFonts w:hint="eastAsia" w:cs="宋体"/>
          <w:szCs w:val="28"/>
        </w:rPr>
        <w:t>三</w:t>
      </w:r>
      <w:r>
        <w:rPr>
          <w:rStyle w:val="23"/>
          <w:rFonts w:hint="eastAsia" w:ascii="微软雅黑" w:hAnsi="微软雅黑" w:eastAsia="微软雅黑" w:cs="微软雅黑"/>
          <w:szCs w:val="28"/>
        </w:rPr>
        <w:t>､</w:t>
      </w:r>
      <w:r>
        <w:rPr>
          <w:rStyle w:val="23"/>
          <w:rFonts w:hint="eastAsia" w:ascii="黑体" w:hAnsi="黑体" w:cs="黑体"/>
          <w:szCs w:val="28"/>
        </w:rPr>
        <w:t>节约纸张</w:t>
      </w:r>
      <w:r>
        <w:rPr>
          <w:rStyle w:val="23"/>
          <w:rFonts w:hint="eastAsia" w:cs="宋体"/>
          <w:szCs w:val="28"/>
        </w:rPr>
        <w:t>,请双面打印</w:t>
      </w:r>
      <w:r>
        <w:rPr>
          <w:rStyle w:val="23"/>
          <w:rFonts w:hint="eastAsia" w:ascii="微软雅黑" w:hAnsi="微软雅黑" w:eastAsia="微软雅黑" w:cs="微软雅黑"/>
          <w:szCs w:val="28"/>
        </w:rPr>
        <w:t>｡</w:t>
      </w:r>
      <w:r>
        <w:rPr>
          <w:rStyle w:val="23"/>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snapToGrid w:val="0"/>
        <w:ind w:firstLine="420" w:firstLineChars="200"/>
        <w:contextualSpacing/>
        <w:rPr>
          <w:rFonts w:hint="eastAsia" w:ascii="宋体" w:hAnsi="宋体"/>
          <w:bCs/>
          <w:sz w:val="24"/>
        </w:rPr>
      </w:pPr>
      <w:r>
        <w:rPr>
          <w:rFonts w:hint="eastAsia" w:ascii="宋体" w:hAnsi="宋体" w:cs="宋体"/>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9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381" w:type="pct"/>
            <w:vAlign w:val="center"/>
          </w:tcPr>
          <w:p>
            <w:pPr>
              <w:snapToGrid w:val="0"/>
              <w:contextualSpacing/>
              <w:jc w:val="center"/>
              <w:rPr>
                <w:rFonts w:hint="eastAsia" w:ascii="宋体" w:hAnsi="宋体" w:cs="宋体"/>
                <w:b/>
                <w:szCs w:val="21"/>
              </w:rPr>
            </w:pPr>
            <w:r>
              <w:rPr>
                <w:rFonts w:hint="eastAsia" w:ascii="宋体" w:hAnsi="宋体" w:cs="宋体"/>
                <w:b/>
                <w:szCs w:val="21"/>
              </w:rPr>
              <w:t>序号</w:t>
            </w:r>
          </w:p>
        </w:tc>
        <w:tc>
          <w:tcPr>
            <w:tcW w:w="4619" w:type="pct"/>
            <w:vAlign w:val="center"/>
          </w:tcPr>
          <w:p>
            <w:pPr>
              <w:snapToGrid w:val="0"/>
              <w:contextualSpacing/>
              <w:jc w:val="center"/>
              <w:rPr>
                <w:rFonts w:hint="eastAsia" w:ascii="宋体" w:hAnsi="宋体" w:cs="宋体"/>
                <w:b/>
                <w:szCs w:val="21"/>
              </w:rPr>
            </w:pPr>
            <w:r>
              <w:rPr>
                <w:rFonts w:hint="eastAsia" w:ascii="宋体" w:hAnsi="宋体" w:cs="宋体"/>
                <w:b/>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81" w:type="pct"/>
            <w:vAlign w:val="center"/>
          </w:tcPr>
          <w:p>
            <w:pPr>
              <w:snapToGrid w:val="0"/>
              <w:contextualSpacing/>
              <w:jc w:val="center"/>
              <w:rPr>
                <w:rFonts w:hint="eastAsia" w:ascii="宋体" w:hAnsi="宋体" w:cs="宋体"/>
                <w:bCs/>
                <w:szCs w:val="21"/>
              </w:rPr>
            </w:pPr>
            <w:r>
              <w:rPr>
                <w:rFonts w:ascii="宋体" w:hAnsi="宋体" w:cs="宋体"/>
                <w:bCs/>
                <w:szCs w:val="21"/>
              </w:rPr>
              <w:t>1</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2</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参与本项目采购活动时，与其他投标供应商存在单位负责人为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3</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与其他投标供应商的报名资料及投标文件或部分报名资料及投标文件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4</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5</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bl>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7"/>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5"/>
        <w:rPr>
          <w:rFonts w:hint="eastAsia" w:ascii="宋体" w:hAnsi="宋体" w:eastAsia="宋体"/>
          <w:smallCaps/>
          <w:sz w:val="24"/>
        </w:rPr>
      </w:pPr>
      <w:r>
        <w:rPr>
          <w:rFonts w:hint="eastAsia" w:ascii="宋体" w:hAnsi="宋体" w:eastAsia="宋体"/>
          <w:szCs w:val="21"/>
        </w:rPr>
        <w:t>六、</w:t>
      </w:r>
      <w:r>
        <w:rPr>
          <w:rStyle w:val="57"/>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3"/>
        <w:rPr>
          <w:color w:val="FF0000"/>
          <w:sz w:val="24"/>
          <w:szCs w:val="24"/>
        </w:rPr>
      </w:pPr>
      <w:r>
        <w:rPr>
          <w:rFonts w:hint="eastAsia"/>
          <w:color w:val="FF0000"/>
          <w:sz w:val="24"/>
          <w:szCs w:val="24"/>
          <w:highlight w:val="yellow"/>
        </w:rPr>
        <w:t>（此警示条款需与投标文件一起装订入册）</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widowControl/>
        <w:spacing w:line="360" w:lineRule="atLeast"/>
        <w:ind w:firstLine="3975" w:firstLineChars="1100"/>
        <w:rPr>
          <w:rStyle w:val="23"/>
          <w:rFonts w:hint="eastAsia"/>
          <w:sz w:val="36"/>
          <w:szCs w:val="36"/>
        </w:rPr>
      </w:pPr>
      <w:r>
        <w:rPr>
          <w:rStyle w:val="23"/>
          <w:sz w:val="36"/>
          <w:szCs w:val="36"/>
        </w:rPr>
        <w:t>目  录</w:t>
      </w:r>
    </w:p>
    <w:p>
      <w:pPr>
        <w:numPr>
          <w:ilvl w:val="0"/>
          <w:numId w:val="3"/>
        </w:numPr>
        <w:snapToGrid w:val="0"/>
        <w:contextualSpacing/>
        <w:rPr>
          <w:rFonts w:hint="eastAsia" w:ascii="宋体" w:hAnsi="宋体"/>
          <w:szCs w:val="21"/>
        </w:rPr>
      </w:pPr>
      <w:r>
        <w:rPr>
          <w:rFonts w:hint="eastAsia" w:ascii="宋体" w:hAnsi="宋体"/>
          <w:szCs w:val="21"/>
        </w:rPr>
        <w:t>评标指引表</w:t>
      </w:r>
    </w:p>
    <w:p>
      <w:pPr>
        <w:numPr>
          <w:ilvl w:val="0"/>
          <w:numId w:val="3"/>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ascii="宋体" w:hAnsi="宋体" w:cs="宋体"/>
          <w:bCs/>
          <w:color w:val="000000"/>
          <w:szCs w:val="21"/>
        </w:rPr>
        <w:t>服务要求偏离表 2.2.</w:t>
      </w:r>
      <w:r>
        <w:rPr>
          <w:rFonts w:hint="eastAsia" w:ascii="宋体" w:hAnsi="宋体"/>
          <w:bCs/>
        </w:rPr>
        <w:t>实质性条款偏离表 2.3.</w:t>
      </w:r>
      <w:r>
        <w:rPr>
          <w:rFonts w:hint="eastAsia" w:ascii="宋体" w:hAnsi="宋体" w:cs="宋体"/>
          <w:bCs/>
          <w:color w:val="000000"/>
          <w:szCs w:val="21"/>
        </w:rPr>
        <w:t>商务条款偏离表</w:t>
      </w:r>
      <w:r>
        <w:rPr>
          <w:rFonts w:hint="eastAsia" w:ascii="宋体" w:hAnsi="宋体"/>
          <w:bCs/>
          <w:szCs w:val="21"/>
        </w:rPr>
        <w:t>）</w:t>
      </w:r>
    </w:p>
    <w:p>
      <w:pPr>
        <w:numPr>
          <w:ilvl w:val="0"/>
          <w:numId w:val="3"/>
        </w:numPr>
        <w:snapToGrid w:val="0"/>
        <w:ind w:left="442" w:hanging="442"/>
        <w:contextualSpacing/>
        <w:rPr>
          <w:rFonts w:hint="eastAsia" w:ascii="宋体" w:hAnsi="宋体"/>
          <w:szCs w:val="21"/>
        </w:rPr>
      </w:pPr>
      <w:r>
        <w:rPr>
          <w:rFonts w:hint="eastAsia" w:ascii="宋体" w:hAnsi="宋体"/>
          <w:szCs w:val="21"/>
        </w:rPr>
        <w:t>投标函</w:t>
      </w:r>
    </w:p>
    <w:p>
      <w:pPr>
        <w:numPr>
          <w:ilvl w:val="0"/>
          <w:numId w:val="3"/>
        </w:numPr>
        <w:snapToGrid w:val="0"/>
        <w:ind w:left="442" w:hanging="442"/>
        <w:contextualSpacing/>
        <w:rPr>
          <w:rFonts w:hint="eastAsia" w:ascii="宋体" w:hAnsi="宋体"/>
          <w:szCs w:val="21"/>
        </w:rPr>
      </w:pPr>
      <w:r>
        <w:rPr>
          <w:rFonts w:hint="eastAsia" w:ascii="宋体" w:hAnsi="宋体"/>
          <w:szCs w:val="21"/>
        </w:rPr>
        <w:t>投标履约承诺函</w:t>
      </w:r>
    </w:p>
    <w:p>
      <w:pPr>
        <w:pStyle w:val="35"/>
        <w:numPr>
          <w:ilvl w:val="0"/>
          <w:numId w:val="3"/>
        </w:numPr>
        <w:snapToGrid w:val="0"/>
        <w:ind w:firstLineChars="0"/>
        <w:contextualSpacing/>
        <w:rPr>
          <w:rFonts w:hint="eastAsia" w:ascii="宋体" w:hAnsi="宋体" w:eastAsia="宋体"/>
          <w:szCs w:val="21"/>
        </w:rPr>
      </w:pPr>
      <w:r>
        <w:rPr>
          <w:rFonts w:hint="eastAsia" w:ascii="宋体" w:hAnsi="宋体" w:eastAsia="宋体"/>
          <w:szCs w:val="21"/>
        </w:rPr>
        <w:t>关于围标串标风险防控的承诺函</w:t>
      </w:r>
    </w:p>
    <w:p>
      <w:pPr>
        <w:numPr>
          <w:ilvl w:val="0"/>
          <w:numId w:val="3"/>
        </w:numPr>
        <w:snapToGrid w:val="0"/>
        <w:ind w:left="442" w:hanging="442"/>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2"/>
        <w:numPr>
          <w:ilvl w:val="0"/>
          <w:numId w:val="3"/>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3"/>
        </w:numPr>
        <w:snapToGrid w:val="0"/>
        <w:ind w:left="442" w:hanging="442"/>
        <w:contextualSpacing/>
        <w:rPr>
          <w:rFonts w:hint="eastAsia" w:ascii="宋体" w:hAnsi="宋体"/>
          <w:szCs w:val="21"/>
        </w:rPr>
      </w:pPr>
      <w:r>
        <w:rPr>
          <w:rFonts w:hint="eastAsia" w:ascii="宋体" w:hAnsi="宋体"/>
          <w:szCs w:val="21"/>
        </w:rPr>
        <w:t>法定代表人、主要经营负责人、项目投标授权代表人</w:t>
      </w:r>
      <w:r>
        <w:rPr>
          <w:rFonts w:ascii="宋体" w:hAnsi="宋体"/>
          <w:szCs w:val="21"/>
        </w:rPr>
        <w:t>投标截止日</w:t>
      </w:r>
      <w:r>
        <w:rPr>
          <w:rFonts w:hint="eastAsia" w:ascii="宋体" w:hAnsi="宋体"/>
          <w:szCs w:val="21"/>
        </w:rPr>
        <w:t>最近一个月社会保险证明</w:t>
      </w:r>
    </w:p>
    <w:p>
      <w:pPr>
        <w:numPr>
          <w:ilvl w:val="0"/>
          <w:numId w:val="3"/>
        </w:numPr>
        <w:snapToGrid w:val="0"/>
        <w:ind w:left="442" w:hanging="442"/>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3"/>
        </w:numPr>
        <w:snapToGrid w:val="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3"/>
        </w:numPr>
        <w:snapToGrid w:val="0"/>
        <w:contextualSpacing/>
        <w:rPr>
          <w:rFonts w:hint="eastAsia" w:ascii="宋体" w:hAnsi="宋体"/>
          <w:szCs w:val="21"/>
        </w:rPr>
      </w:pPr>
      <w:r>
        <w:rPr>
          <w:rFonts w:hint="eastAsia" w:ascii="宋体" w:hAnsi="宋体"/>
          <w:szCs w:val="21"/>
        </w:rPr>
        <w:t>项目管理主要技术和售后服务人员情况表及</w:t>
      </w:r>
      <w:r>
        <w:rPr>
          <w:rFonts w:ascii="宋体" w:hAnsi="宋体"/>
          <w:szCs w:val="21"/>
        </w:rPr>
        <w:t>投标截止日</w:t>
      </w:r>
      <w:r>
        <w:rPr>
          <w:rFonts w:hint="eastAsia" w:ascii="宋体" w:hAnsi="宋体"/>
          <w:szCs w:val="21"/>
        </w:rPr>
        <w:t>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2</w:t>
      </w:r>
      <w:r>
        <w:rPr>
          <w:rFonts w:ascii="宋体" w:hAnsi="宋体"/>
          <w:szCs w:val="21"/>
        </w:rPr>
        <w:t>.</w:t>
      </w:r>
      <w:r>
        <w:rPr>
          <w:rFonts w:hint="eastAsia" w:ascii="宋体" w:hAnsi="宋体"/>
          <w:szCs w:val="21"/>
        </w:rPr>
        <w:t xml:space="preserve"> </w:t>
      </w:r>
      <w:r>
        <w:rPr>
          <w:rFonts w:hint="eastAsia" w:ascii="宋体" w:hAnsi="宋体"/>
        </w:rPr>
        <w:t>项目服务方案及保障措施方案</w:t>
      </w:r>
    </w:p>
    <w:p>
      <w:pPr>
        <w:snapToGrid w:val="0"/>
        <w:contextualSpacing/>
        <w:rPr>
          <w:rFonts w:hint="eastAsia" w:ascii="宋体" w:hAnsi="宋体"/>
          <w:szCs w:val="21"/>
        </w:rPr>
      </w:pPr>
      <w:r>
        <w:rPr>
          <w:rFonts w:hint="eastAsia" w:ascii="宋体" w:hAnsi="宋体"/>
          <w:szCs w:val="21"/>
        </w:rPr>
        <w:t>13</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提供通过13.1“信用中国”网（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13.2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2"/>
          <w:rFonts w:ascii="宋体" w:hAnsi="宋体"/>
          <w:color w:val="auto"/>
          <w:szCs w:val="21"/>
        </w:rPr>
        <w:t>www.ccgp.gov.cn</w:t>
      </w:r>
      <w:r>
        <w:rPr>
          <w:rStyle w:val="22"/>
          <w:rFonts w:hint="eastAsia" w:ascii="宋体" w:hAnsi="宋体"/>
          <w:color w:val="auto"/>
          <w:szCs w:val="21"/>
        </w:rPr>
        <w:t>)</w:t>
      </w:r>
      <w:r>
        <w:rPr>
          <w:rStyle w:val="22"/>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13.3深圳市政府采购监管网(http:/zfcg.sz.gov. cn/cgjg/cxda.</w:t>
      </w:r>
      <w:r>
        <w:rPr>
          <w:rFonts w:ascii="宋体" w:hAnsi="宋体"/>
          <w:szCs w:val="21"/>
        </w:rPr>
        <w:t xml:space="preserve">index.html) </w:t>
      </w:r>
    </w:p>
    <w:p>
      <w:pPr>
        <w:snapToGrid w:val="0"/>
        <w:ind w:firstLine="1260" w:firstLineChars="600"/>
        <w:contextualSpacing/>
        <w:rPr>
          <w:rStyle w:val="53"/>
          <w:rFonts w:hint="default"/>
        </w:rPr>
      </w:pPr>
      <w:r>
        <w:rPr>
          <w:rFonts w:hint="eastAsia" w:ascii="宋体" w:hAnsi="宋体"/>
          <w:szCs w:val="21"/>
        </w:rPr>
        <w:t>13.4</w:t>
      </w:r>
      <w:r>
        <w:rPr>
          <w:rStyle w:val="53"/>
          <w:rFonts w:hint="default"/>
        </w:rPr>
        <w:t>深圳信用网</w:t>
      </w:r>
      <w:r>
        <w:rPr>
          <w:rStyle w:val="53"/>
          <w:rFonts w:hint="default"/>
          <w:color w:val="auto"/>
        </w:rPr>
        <w:t>（</w:t>
      </w:r>
      <w:r>
        <w:fldChar w:fldCharType="begin"/>
      </w:r>
      <w:r>
        <w:instrText xml:space="preserve"> HYPERLINK "https://www.szcredit.org.cn/?cdType=sgsl&amp;type=XZXK" \l "/xyfw" </w:instrText>
      </w:r>
      <w:r>
        <w:fldChar w:fldCharType="separate"/>
      </w:r>
      <w:r>
        <w:rPr>
          <w:rStyle w:val="22"/>
          <w:rFonts w:ascii="宋体" w:hAnsi="宋体" w:cs="宋体"/>
          <w:color w:val="auto"/>
          <w:szCs w:val="21"/>
        </w:rPr>
        <w:t>https://www.szcredit.org.cn/?cdType=sgsl&amp;type=XZXK#/xyfw</w:t>
      </w:r>
      <w:r>
        <w:rPr>
          <w:rStyle w:val="22"/>
          <w:rFonts w:ascii="宋体" w:hAnsi="宋体" w:cs="宋体"/>
          <w:color w:val="auto"/>
          <w:szCs w:val="21"/>
        </w:rPr>
        <w:fldChar w:fldCharType="end"/>
      </w:r>
      <w:r>
        <w:rPr>
          <w:rStyle w:val="53"/>
          <w:rFonts w:hint="default"/>
        </w:rPr>
        <w:t>）</w:t>
      </w:r>
    </w:p>
    <w:p>
      <w:pPr>
        <w:snapToGrid w:val="0"/>
        <w:ind w:firstLine="1260" w:firstLineChars="600"/>
        <w:contextualSpacing/>
        <w:rPr>
          <w:rFonts w:hint="eastAsia" w:ascii="宋体" w:hAnsi="宋体"/>
          <w:szCs w:val="21"/>
        </w:rPr>
      </w:pPr>
      <w:r>
        <w:rPr>
          <w:rStyle w:val="53"/>
          <w:rFonts w:hint="default"/>
        </w:rPr>
        <w:t>13.5</w:t>
      </w:r>
      <w:bookmarkStart w:id="12" w:name="OLE_LINK1"/>
      <w:r>
        <w:rPr>
          <w:rFonts w:hint="eastAsia" w:ascii="宋体" w:hAnsi="宋体"/>
          <w:szCs w:val="21"/>
        </w:rPr>
        <w:t>国家企业信用信息公示系统</w:t>
      </w:r>
      <w:bookmarkEnd w:id="12"/>
      <w:r>
        <w:rPr>
          <w:rFonts w:ascii="宋体" w:hAnsi="宋体"/>
          <w:szCs w:val="21"/>
        </w:rPr>
        <w:t>(</w:t>
      </w:r>
      <w:r>
        <w:fldChar w:fldCharType="begin"/>
      </w:r>
      <w:r>
        <w:instrText xml:space="preserve"> HYPERLINK "https://www.gsxt.gov.cnindex.html" </w:instrText>
      </w:r>
      <w:r>
        <w:fldChar w:fldCharType="separate"/>
      </w:r>
      <w:r>
        <w:rPr>
          <w:rStyle w:val="22"/>
          <w:rFonts w:ascii="宋体" w:hAnsi="宋体"/>
          <w:color w:val="auto"/>
          <w:szCs w:val="21"/>
        </w:rPr>
        <w:t>https://www.gsxt.gov.cnindex.html</w:t>
      </w:r>
      <w:r>
        <w:rPr>
          <w:rStyle w:val="22"/>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16.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2"/>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ascii="宋体" w:hAnsi="宋体"/>
                <w:kern w:val="0"/>
                <w:szCs w:val="21"/>
              </w:rPr>
              <w:t>投标截止日</w:t>
            </w:r>
            <w:r>
              <w:rPr>
                <w:rFonts w:hint="eastAsia" w:ascii="宋体" w:hAnsi="宋体"/>
                <w:kern w:val="0"/>
                <w:szCs w:val="21"/>
              </w:rPr>
              <w:t>最近一个月社保缴纳查询记录（包含在投标单位及其他缴纳社保单位的记录）；社保缴纳不满一个月的按实际缴纳情况提供。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3"/>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3"/>
      </w:pPr>
    </w:p>
    <w:p>
      <w:pPr>
        <w:pStyle w:val="3"/>
      </w:pPr>
    </w:p>
    <w:p>
      <w:pPr>
        <w:pStyle w:val="3"/>
      </w:pPr>
    </w:p>
    <w:p>
      <w:pPr>
        <w:pStyle w:val="3"/>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2.1 服务要求条款偏离表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2"/>
        <w:ind w:left="1060" w:hanging="640"/>
      </w:pPr>
    </w:p>
    <w:p>
      <w:pPr>
        <w:jc w:val="center"/>
        <w:outlineLvl w:val="0"/>
        <w:rPr>
          <w:rFonts w:cs="宋体"/>
          <w:b/>
          <w:color w:val="000000"/>
          <w:szCs w:val="21"/>
        </w:rPr>
      </w:pPr>
    </w:p>
    <w:p>
      <w:pPr>
        <w:pStyle w:val="3"/>
        <w:ind w:left="1063" w:hanging="643"/>
        <w:jc w:val="center"/>
        <w:rPr>
          <w:b/>
          <w:bCs/>
        </w:rPr>
      </w:pPr>
      <w:r>
        <w:rPr>
          <w:rFonts w:hint="eastAsia"/>
          <w:b/>
          <w:bCs/>
        </w:rPr>
        <w:t>2.2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3"/>
        <w:ind w:left="1060" w:hanging="640"/>
      </w:pPr>
    </w:p>
    <w:p>
      <w:pPr>
        <w:pStyle w:val="3"/>
        <w:ind w:left="1060" w:hanging="1344"/>
        <w:jc w:val="left"/>
      </w:pPr>
      <w:r>
        <w:rPr>
          <w:rFonts w:hint="eastAsia"/>
        </w:rPr>
        <w:t>填写说明:</w:t>
      </w:r>
    </w:p>
    <w:p>
      <w:pPr>
        <w:pStyle w:val="3"/>
        <w:ind w:left="850" w:leftChars="100" w:hanging="640"/>
        <w:jc w:val="left"/>
      </w:pPr>
      <w:r>
        <w:rPr>
          <w:rFonts w:hint="eastAsia"/>
        </w:rPr>
        <w:t>1. 上表所列各项均为不可负偏离条款。</w:t>
      </w:r>
    </w:p>
    <w:p>
      <w:pPr>
        <w:pStyle w:val="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4. 评审委员会有权对投标响应情况作出判断。</w:t>
      </w:r>
    </w:p>
    <w:p>
      <w:pPr>
        <w:pStyle w:val="3"/>
        <w:ind w:left="-73" w:leftChars="-35" w:firstLine="281" w:firstLineChars="134"/>
        <w:jc w:val="left"/>
      </w:pPr>
      <w:r>
        <w:rPr>
          <w:rFonts w:hint="eastAsia"/>
        </w:rPr>
        <w:t>5. 实质性响应条款“投标响应情况”与投标文件其它内容冲突的，以实质性响应条款“投标响应情况”为准。</w:t>
      </w:r>
    </w:p>
    <w:p>
      <w:pPr>
        <w:pStyle w:val="3"/>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3"/>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jc w:val="center"/>
        <w:outlineLvl w:val="0"/>
        <w:rPr>
          <w:rFonts w:cs="宋体"/>
          <w:b/>
          <w:color w:val="000000"/>
          <w:szCs w:val="21"/>
        </w:rPr>
      </w:pPr>
      <w:r>
        <w:rPr>
          <w:rFonts w:hint="eastAsia" w:cs="宋体"/>
          <w:b/>
          <w:color w:val="000000"/>
          <w:szCs w:val="21"/>
        </w:rPr>
        <w:t>2.3商务条款偏离表</w:t>
      </w:r>
    </w:p>
    <w:p>
      <w:pPr>
        <w:pStyle w:val="2"/>
        <w:ind w:left="900" w:hanging="480"/>
        <w:rPr>
          <w:rFonts w:hint="eastAsia" w:ascii="宋体" w:hAnsi="宋体" w:eastAsia="宋体"/>
          <w:sz w:val="24"/>
          <w:szCs w:val="24"/>
        </w:rPr>
      </w:pPr>
    </w:p>
    <w:tbl>
      <w:tblPr>
        <w:tblStyle w:val="19"/>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3"/>
        <w:ind w:left="1060" w:hanging="640"/>
        <w:jc w:val="left"/>
      </w:pPr>
    </w:p>
    <w:p>
      <w:pPr>
        <w:pStyle w:val="3"/>
        <w:ind w:left="1060" w:hanging="1344"/>
        <w:jc w:val="left"/>
      </w:pPr>
      <w:r>
        <w:rPr>
          <w:rFonts w:hint="eastAsia"/>
        </w:rPr>
        <w:t>填写说明:</w:t>
      </w:r>
    </w:p>
    <w:p>
      <w:pPr>
        <w:pStyle w:val="3"/>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3. 评审委员会有权对投标响应情况作出判断。</w:t>
      </w:r>
    </w:p>
    <w:p>
      <w:pPr>
        <w:pStyle w:val="3"/>
        <w:ind w:left="-73" w:leftChars="-35" w:firstLine="281" w:firstLineChars="134"/>
        <w:jc w:val="left"/>
      </w:pPr>
      <w:r>
        <w:rPr>
          <w:rFonts w:hint="eastAsia"/>
        </w:rPr>
        <w:t>4. 实质性响应条款“投标响应情况”与投标文件其它内容冲突的，以实质性响应条款“投标响应情况”为准。</w:t>
      </w:r>
    </w:p>
    <w:p>
      <w:pPr>
        <w:pStyle w:val="3"/>
        <w:ind w:left="-141" w:leftChars="-67" w:firstLine="348" w:firstLineChars="166"/>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widowControl/>
        <w:ind w:left="1"/>
        <w:jc w:val="left"/>
        <w:rPr>
          <w:rFonts w:hint="eastAsia" w:hAnsi="宋体"/>
          <w:b/>
          <w:kern w:val="0"/>
        </w:rPr>
      </w:pPr>
    </w:p>
    <w:p>
      <w:pPr>
        <w:pStyle w:val="2"/>
        <w:ind w:left="1060" w:hanging="640"/>
      </w:pPr>
    </w:p>
    <w:p>
      <w:pPr>
        <w:pStyle w:val="3"/>
      </w:pPr>
    </w:p>
    <w:p>
      <w:pPr>
        <w:pStyle w:val="3"/>
      </w:pPr>
    </w:p>
    <w:p>
      <w:pPr>
        <w:pStyle w:val="3"/>
      </w:pPr>
    </w:p>
    <w:p>
      <w:pPr>
        <w:pStyle w:val="3"/>
      </w:pPr>
    </w:p>
    <w:p>
      <w:pPr>
        <w:pStyle w:val="3"/>
      </w:pPr>
    </w:p>
    <w:p>
      <w:pPr>
        <w:pStyle w:val="3"/>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13"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13"/>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3"/>
      </w:pPr>
    </w:p>
    <w:p>
      <w:pPr>
        <w:pStyle w:val="3"/>
      </w:pPr>
    </w:p>
    <w:p>
      <w:pPr>
        <w:pStyle w:val="3"/>
      </w:pPr>
    </w:p>
    <w:p>
      <w:pPr>
        <w:pStyle w:val="3"/>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3"/>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3"/>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3"/>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rPr>
          <w:rFonts w:hint="eastAsia" w:ascii="宋体" w:hAnsi="宋体" w:cs="宋体"/>
          <w:b/>
          <w:sz w:val="24"/>
        </w:rPr>
      </w:pPr>
    </w:p>
    <w:p>
      <w:pPr>
        <w:spacing w:line="300" w:lineRule="auto"/>
        <w:ind w:left="140"/>
        <w:jc w:val="center"/>
        <w:rPr>
          <w:rFonts w:hint="eastAsia" w:ascii="宋体" w:hAnsi="微软雅黑" w:eastAsia="微软雅黑" w:cs="微软雅黑"/>
          <w:b/>
          <w:color w:val="000000"/>
          <w:sz w:val="28"/>
          <w:szCs w:val="28"/>
        </w:rPr>
      </w:pPr>
    </w:p>
    <w:p>
      <w:pPr>
        <w:pStyle w:val="2"/>
        <w:ind w:left="1060" w:hanging="640"/>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line="300" w:lineRule="auto"/>
        <w:ind w:left="140"/>
        <w:jc w:val="center"/>
        <w:rPr>
          <w:rFonts w:ascii="Arial" w:hAnsi="Arial" w:cs="Arial"/>
          <w:b/>
          <w:sz w:val="24"/>
        </w:rPr>
      </w:pPr>
      <w:r>
        <w:rPr>
          <w:rFonts w:hint="eastAsia" w:ascii="宋体" w:hAnsi="宋体" w:cs="Arial"/>
          <w:b/>
          <w:color w:val="000000"/>
          <w:sz w:val="28"/>
          <w:szCs w:val="28"/>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本项目投标授权代表为法定代表人（负责人）的，需提供法人身份证复印件。</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9"/>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4"/>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232" w:lineRule="exact"/>
              <w:ind w:left="103"/>
              <w:rPr>
                <w:rFonts w:hint="eastAsia" w:ascii="宋体" w:hAnsi="宋体" w:eastAsia="宋体" w:cs="Microsoft JhengHei"/>
                <w:sz w:val="21"/>
                <w:szCs w:val="21"/>
              </w:rPr>
            </w:pPr>
          </w:p>
          <w:p>
            <w:pPr>
              <w:pStyle w:val="6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3"/>
        <w:rPr>
          <w:b/>
        </w:rPr>
      </w:pPr>
    </w:p>
    <w:p>
      <w:pPr>
        <w:pStyle w:val="3"/>
        <w:rPr>
          <w:b/>
        </w:rPr>
      </w:pPr>
      <w:r>
        <w:rPr>
          <w:rFonts w:hint="eastAsia"/>
          <w:b/>
        </w:rPr>
        <w:t>备注：只要填写在《供应商基本情况表》的人员都要提供</w:t>
      </w:r>
      <w:r>
        <w:rPr>
          <w:b/>
        </w:rPr>
        <w:t>投标截止日</w:t>
      </w:r>
      <w:r>
        <w:rPr>
          <w:rFonts w:hint="eastAsia"/>
          <w:b/>
        </w:rPr>
        <w:t>最近一个月社保缴交凭证证明，未提供按招标文件资格审查处理，视为投标无效。</w:t>
      </w:r>
    </w:p>
    <w:p>
      <w:pPr>
        <w:pStyle w:val="3"/>
      </w:pPr>
    </w:p>
    <w:p>
      <w:pPr>
        <w:spacing w:after="60"/>
        <w:ind w:left="440"/>
        <w:contextualSpacing/>
        <w:rPr>
          <w:rFonts w:hint="eastAsia" w:ascii="宋体" w:hAnsi="宋体"/>
          <w:szCs w:val="21"/>
        </w:rPr>
      </w:pPr>
      <w:r>
        <w:rPr>
          <w:rFonts w:hint="eastAsia"/>
          <w:b/>
          <w:color w:val="000000"/>
          <w:sz w:val="28"/>
          <w:szCs w:val="28"/>
        </w:rPr>
        <w:t>八、法定代表人、主要经营负责人、项目投标授权代表人</w:t>
      </w:r>
      <w:r>
        <w:rPr>
          <w:b/>
          <w:color w:val="000000"/>
          <w:sz w:val="28"/>
          <w:szCs w:val="28"/>
        </w:rPr>
        <w:t>投标截止日</w:t>
      </w:r>
      <w:r>
        <w:rPr>
          <w:rFonts w:hint="eastAsia"/>
          <w:b/>
          <w:color w:val="000000"/>
          <w:sz w:val="28"/>
          <w:szCs w:val="28"/>
        </w:rPr>
        <w:t>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w:t>
      </w:r>
      <w:r>
        <w:rPr>
          <w:rFonts w:ascii="宋体" w:hAnsi="宋体"/>
          <w:kern w:val="0"/>
          <w:szCs w:val="21"/>
        </w:rPr>
        <w:t>投标截止日</w:t>
      </w:r>
      <w:r>
        <w:rPr>
          <w:rFonts w:hint="eastAsia" w:ascii="宋体" w:hAnsi="宋体"/>
          <w:kern w:val="0"/>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spacing w:after="60" w:line="360" w:lineRule="auto"/>
        <w:jc w:val="center"/>
        <w:rPr>
          <w:color w:val="000000"/>
          <w:szCs w:val="21"/>
        </w:rPr>
      </w:pPr>
      <w:r>
        <w:rPr>
          <w:rFonts w:hint="eastAsia" w:cs="Arial"/>
          <w:b/>
          <w:color w:val="000000"/>
          <w:sz w:val="28"/>
          <w:szCs w:val="28"/>
        </w:rPr>
        <w:t>九</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3"/>
      </w:pPr>
    </w:p>
    <w:p>
      <w:pPr>
        <w:pStyle w:val="3"/>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rPr>
        <w:t>十、</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十一、项目管理主要技术和售后服务人员情况表及</w:t>
      </w:r>
      <w:r>
        <w:rPr>
          <w:rFonts w:ascii="宋体" w:hAnsi="宋体"/>
          <w:b/>
          <w:color w:val="000000"/>
          <w:sz w:val="28"/>
          <w:szCs w:val="28"/>
        </w:rPr>
        <w:t>投标截止日</w:t>
      </w:r>
      <w:r>
        <w:rPr>
          <w:rFonts w:hint="eastAsia" w:ascii="宋体" w:hAnsi="宋体"/>
          <w:b/>
          <w:color w:val="000000"/>
          <w:sz w:val="28"/>
          <w:szCs w:val="28"/>
        </w:rPr>
        <w:t>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3"/>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w:t>
      </w:r>
      <w:r>
        <w:rPr>
          <w:rFonts w:ascii="宋体" w:hAnsi="宋体"/>
          <w:bCs/>
          <w:szCs w:val="21"/>
        </w:rPr>
        <w:t>投标截止日</w:t>
      </w:r>
      <w:r>
        <w:rPr>
          <w:rFonts w:hint="eastAsia" w:ascii="宋体" w:hAnsi="宋体"/>
          <w:bCs/>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十二、</w:t>
      </w:r>
      <w:bookmarkStart w:id="14" w:name="_Hlk191539109"/>
      <w:r>
        <w:rPr>
          <w:rFonts w:hint="eastAsia" w:hAnsi="宋体"/>
          <w:b/>
          <w:bCs/>
          <w:sz w:val="28"/>
          <w:szCs w:val="28"/>
        </w:rPr>
        <w:t>项目服务方案及保障措施方案</w:t>
      </w:r>
      <w:bookmarkEnd w:id="14"/>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十三</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highlight w:val="yellow"/>
        </w:rPr>
        <w:t>以下文字请投标供应商抄写并确认</w:t>
      </w:r>
      <w:r>
        <w:rPr>
          <w:rFonts w:hint="eastAsia" w:ascii="宋体" w:hAnsi="宋体" w:cs="等线"/>
          <w:b/>
          <w:bCs/>
          <w:sz w:val="18"/>
          <w:szCs w:val="18"/>
        </w:rPr>
        <w:t>：“本公司已仔细阅读《采购违法行为风险知悉确认书》，充分知悉违法行为的法律后果，并承诺将严谨、诚信、依法依规参与采购活动”。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3"/>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十四</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2"/>
          <w:rFonts w:ascii="宋体" w:hAnsi="宋体"/>
          <w:b/>
          <w:bCs/>
          <w:color w:val="auto"/>
          <w:sz w:val="28"/>
          <w:szCs w:val="28"/>
          <w:u w:val="none"/>
        </w:rPr>
        <w:t>https://www.szcredit.org.cn/?cdType=sgsl&amp;type=XZXK#/xyfw</w:t>
      </w:r>
      <w:r>
        <w:rPr>
          <w:rStyle w:val="22"/>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4"/>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591300"/>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6924675"/>
                    </a:xfrm>
                    <a:prstGeom prst="rect">
                      <a:avLst/>
                    </a:prstGeom>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3"/>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3"/>
      </w:pPr>
    </w:p>
    <w:p>
      <w:pPr>
        <w:jc w:val="center"/>
        <w:rPr>
          <w:rFonts w:hint="eastAsia" w:ascii="宋体" w:hAnsi="宋体" w:cs="Arial"/>
          <w:b/>
          <w:sz w:val="24"/>
        </w:rPr>
      </w:pPr>
      <w:r>
        <w:rPr>
          <w:rFonts w:hint="eastAsia" w:ascii="宋体" w:hAnsi="宋体" w:cs="Arial"/>
          <w:b/>
          <w:sz w:val="24"/>
        </w:rPr>
        <w:t>4. 深圳信用网</w:t>
      </w:r>
    </w:p>
    <w:p>
      <w:pPr>
        <w:pStyle w:val="3"/>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2"/>
          <w:b/>
          <w:bCs/>
          <w:color w:val="auto"/>
          <w:sz w:val="24"/>
          <w:szCs w:val="24"/>
        </w:rPr>
        <w:t>https://www.szcredit.org.cn/?cdType=sgsl&amp;type=XZXK#/xyfw</w:t>
      </w:r>
      <w:r>
        <w:rPr>
          <w:rStyle w:val="22"/>
          <w:b/>
          <w:bCs/>
          <w:color w:val="auto"/>
          <w:sz w:val="24"/>
          <w:szCs w:val="24"/>
        </w:rPr>
        <w:fldChar w:fldCharType="end"/>
      </w:r>
      <w:r>
        <w:rPr>
          <w:rFonts w:hint="eastAsia"/>
          <w:b/>
          <w:bCs/>
          <w:sz w:val="24"/>
          <w:szCs w:val="24"/>
        </w:rPr>
        <w:t>）</w:t>
      </w:r>
    </w:p>
    <w:p>
      <w:pPr>
        <w:pStyle w:val="3"/>
        <w:rPr>
          <w:b/>
          <w:bCs/>
          <w:sz w:val="24"/>
          <w:szCs w:val="24"/>
        </w:rPr>
      </w:pPr>
      <w:r>
        <w:rPr>
          <w:rFonts w:hint="eastAsia"/>
          <w:b/>
          <w:bCs/>
          <w:sz w:val="24"/>
          <w:szCs w:val="24"/>
        </w:rPr>
        <w:t>示例图片：</w:t>
      </w:r>
    </w:p>
    <w:p>
      <w:pPr>
        <w:pStyle w:val="3"/>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3"/>
        <w:jc w:val="center"/>
        <w:rPr>
          <w:b/>
          <w:bCs/>
          <w:sz w:val="24"/>
          <w:szCs w:val="24"/>
        </w:rPr>
      </w:pPr>
    </w:p>
    <w:p>
      <w:pPr>
        <w:pStyle w:val="3"/>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rFonts w:hint="eastAsia" w:ascii="宋体" w:hAnsi="宋体"/>
          <w:b/>
          <w:bCs/>
          <w:color w:val="000000"/>
          <w:sz w:val="28"/>
          <w:szCs w:val="28"/>
        </w:rPr>
      </w:pPr>
      <w:r>
        <w:rPr>
          <w:rFonts w:hint="eastAsia" w:ascii="宋体" w:hAnsi="宋体"/>
          <w:b/>
          <w:color w:val="000000"/>
          <w:sz w:val="28"/>
          <w:szCs w:val="28"/>
        </w:rPr>
        <w:t>十</w:t>
      </w:r>
      <w:r>
        <w:rPr>
          <w:rFonts w:hint="eastAsia"/>
          <w:b/>
          <w:bCs/>
          <w:sz w:val="28"/>
          <w:szCs w:val="28"/>
        </w:rPr>
        <w:t>五、</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3"/>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十六</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采购编号:BYZBCG2025-</w:t>
      </w:r>
      <w:r>
        <w:rPr>
          <w:rFonts w:hint="eastAsia" w:ascii="宋体" w:hAnsi="宋体" w:cs="Arial"/>
          <w:b/>
          <w:color w:val="000000"/>
          <w:sz w:val="28"/>
          <w:szCs w:val="28"/>
          <w:lang w:val="en-US" w:eastAsia="zh-CN"/>
        </w:rPr>
        <w:t>80</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2"/>
        <w:snapToGrid w:val="0"/>
        <w:spacing w:line="240" w:lineRule="auto"/>
        <w:ind w:left="73" w:leftChars="4" w:hanging="65" w:hangingChars="31"/>
        <w:contextualSpacing/>
        <w:rPr>
          <w:rFonts w:hint="eastAsia" w:ascii="宋体" w:hAnsi="宋体" w:eastAsia="宋体"/>
          <w:sz w:val="21"/>
          <w:szCs w:val="21"/>
        </w:rPr>
      </w:pPr>
    </w:p>
    <w:tbl>
      <w:tblPr>
        <w:tblStyle w:val="19"/>
        <w:tblpPr w:leftFromText="180" w:rightFromText="180" w:vertAnchor="text" w:horzAnchor="margin" w:tblpX="75" w:tblpY="110"/>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237"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项目名称</w:t>
            </w:r>
          </w:p>
        </w:tc>
        <w:tc>
          <w:tcPr>
            <w:tcW w:w="4002"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6237"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bookmarkStart w:id="15" w:name="_Hlk191631329"/>
          </w:p>
        </w:tc>
        <w:tc>
          <w:tcPr>
            <w:tcW w:w="4002"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p>
        </w:tc>
      </w:tr>
      <w:bookmarkEnd w:id="15"/>
    </w:tbl>
    <w:p>
      <w:pPr>
        <w:pStyle w:val="3"/>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E09AD2"/>
    <w:multiLevelType w:val="singleLevel"/>
    <w:tmpl w:val="BCE09AD2"/>
    <w:lvl w:ilvl="0" w:tentative="0">
      <w:start w:val="1"/>
      <w:numFmt w:val="decimal"/>
      <w:suff w:val="nothing"/>
      <w:lvlText w:val="%1、"/>
      <w:lvlJc w:val="left"/>
      <w:rPr>
        <w:rFonts w:hint="default"/>
        <w:b w:val="0"/>
        <w:bCs w:val="0"/>
      </w:rPr>
    </w:lvl>
  </w:abstractNum>
  <w:abstractNum w:abstractNumId="1">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8E46CE1"/>
    <w:multiLevelType w:val="singleLevel"/>
    <w:tmpl w:val="58E46CE1"/>
    <w:lvl w:ilvl="0" w:tentative="0">
      <w:start w:val="1"/>
      <w:numFmt w:val="decimal"/>
      <w:suff w:val="nothing"/>
      <w:lvlText w:val="%1、"/>
      <w:lvlJc w:val="left"/>
    </w:lvl>
  </w:abstractNum>
  <w:abstractNum w:abstractNumId="3">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8A8"/>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2A81"/>
    <w:rsid w:val="001345AB"/>
    <w:rsid w:val="00134BA3"/>
    <w:rsid w:val="00136177"/>
    <w:rsid w:val="001412BC"/>
    <w:rsid w:val="00143BB1"/>
    <w:rsid w:val="001445B8"/>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3EC1"/>
    <w:rsid w:val="00184C93"/>
    <w:rsid w:val="001919AD"/>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52B7"/>
    <w:rsid w:val="00217374"/>
    <w:rsid w:val="002206AF"/>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432"/>
    <w:rsid w:val="00251F4F"/>
    <w:rsid w:val="00252051"/>
    <w:rsid w:val="00253E48"/>
    <w:rsid w:val="00254127"/>
    <w:rsid w:val="00254949"/>
    <w:rsid w:val="00255EFC"/>
    <w:rsid w:val="002612ED"/>
    <w:rsid w:val="002627A3"/>
    <w:rsid w:val="00263CB1"/>
    <w:rsid w:val="00264C15"/>
    <w:rsid w:val="00266AA2"/>
    <w:rsid w:val="0026737D"/>
    <w:rsid w:val="00267C39"/>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2CF"/>
    <w:rsid w:val="00304455"/>
    <w:rsid w:val="00304F08"/>
    <w:rsid w:val="0030760C"/>
    <w:rsid w:val="00307BF3"/>
    <w:rsid w:val="00311680"/>
    <w:rsid w:val="003135D8"/>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782E"/>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9B4"/>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40F"/>
    <w:rsid w:val="003E1708"/>
    <w:rsid w:val="003E7640"/>
    <w:rsid w:val="003F062A"/>
    <w:rsid w:val="003F0B8E"/>
    <w:rsid w:val="003F3515"/>
    <w:rsid w:val="003F693C"/>
    <w:rsid w:val="003F6AF5"/>
    <w:rsid w:val="004000DB"/>
    <w:rsid w:val="00402809"/>
    <w:rsid w:val="00402C9A"/>
    <w:rsid w:val="00403E44"/>
    <w:rsid w:val="00404469"/>
    <w:rsid w:val="004053D1"/>
    <w:rsid w:val="00407D6D"/>
    <w:rsid w:val="0041217F"/>
    <w:rsid w:val="00413C67"/>
    <w:rsid w:val="00413CB5"/>
    <w:rsid w:val="00415B7D"/>
    <w:rsid w:val="00416F8E"/>
    <w:rsid w:val="00420BE2"/>
    <w:rsid w:val="0042275B"/>
    <w:rsid w:val="004227AA"/>
    <w:rsid w:val="00424CB0"/>
    <w:rsid w:val="00427DD3"/>
    <w:rsid w:val="00431026"/>
    <w:rsid w:val="004320B7"/>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9747C"/>
    <w:rsid w:val="004A5756"/>
    <w:rsid w:val="004A602C"/>
    <w:rsid w:val="004A695F"/>
    <w:rsid w:val="004B2BB0"/>
    <w:rsid w:val="004B4F0B"/>
    <w:rsid w:val="004B6577"/>
    <w:rsid w:val="004C0337"/>
    <w:rsid w:val="004C38C1"/>
    <w:rsid w:val="004C4C6C"/>
    <w:rsid w:val="004C5954"/>
    <w:rsid w:val="004C781A"/>
    <w:rsid w:val="004C7BE8"/>
    <w:rsid w:val="004D1FA5"/>
    <w:rsid w:val="004D211C"/>
    <w:rsid w:val="004D7B85"/>
    <w:rsid w:val="004E5F64"/>
    <w:rsid w:val="004F24E8"/>
    <w:rsid w:val="004F36D8"/>
    <w:rsid w:val="004F4A18"/>
    <w:rsid w:val="0050025A"/>
    <w:rsid w:val="00501EAC"/>
    <w:rsid w:val="00511DBC"/>
    <w:rsid w:val="005122A4"/>
    <w:rsid w:val="00515886"/>
    <w:rsid w:val="00516075"/>
    <w:rsid w:val="0052246C"/>
    <w:rsid w:val="005230E2"/>
    <w:rsid w:val="0052450E"/>
    <w:rsid w:val="00524B70"/>
    <w:rsid w:val="00525134"/>
    <w:rsid w:val="005254CE"/>
    <w:rsid w:val="00526757"/>
    <w:rsid w:val="00530610"/>
    <w:rsid w:val="00530F85"/>
    <w:rsid w:val="0053209C"/>
    <w:rsid w:val="005331A1"/>
    <w:rsid w:val="00533F97"/>
    <w:rsid w:val="005359CC"/>
    <w:rsid w:val="005366D0"/>
    <w:rsid w:val="00537B70"/>
    <w:rsid w:val="00541582"/>
    <w:rsid w:val="00545EE8"/>
    <w:rsid w:val="00547E5A"/>
    <w:rsid w:val="00550142"/>
    <w:rsid w:val="005509AC"/>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0829"/>
    <w:rsid w:val="00592EB6"/>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07D3D"/>
    <w:rsid w:val="006110D9"/>
    <w:rsid w:val="00614931"/>
    <w:rsid w:val="0061687E"/>
    <w:rsid w:val="00617888"/>
    <w:rsid w:val="00621F86"/>
    <w:rsid w:val="00625221"/>
    <w:rsid w:val="006252E6"/>
    <w:rsid w:val="0062768C"/>
    <w:rsid w:val="00627B05"/>
    <w:rsid w:val="00632F2E"/>
    <w:rsid w:val="0063330B"/>
    <w:rsid w:val="00633B27"/>
    <w:rsid w:val="00634969"/>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0A6B"/>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5728"/>
    <w:rsid w:val="006C727C"/>
    <w:rsid w:val="006D105D"/>
    <w:rsid w:val="006D165D"/>
    <w:rsid w:val="006D31AD"/>
    <w:rsid w:val="006D4355"/>
    <w:rsid w:val="006D677C"/>
    <w:rsid w:val="006E2A32"/>
    <w:rsid w:val="006E346A"/>
    <w:rsid w:val="006E57A2"/>
    <w:rsid w:val="006E6902"/>
    <w:rsid w:val="006F0962"/>
    <w:rsid w:val="006F0A02"/>
    <w:rsid w:val="006F2D55"/>
    <w:rsid w:val="006F4E32"/>
    <w:rsid w:val="006F7A9B"/>
    <w:rsid w:val="00700642"/>
    <w:rsid w:val="00703F15"/>
    <w:rsid w:val="0070452E"/>
    <w:rsid w:val="00704F00"/>
    <w:rsid w:val="007061F5"/>
    <w:rsid w:val="00706DEF"/>
    <w:rsid w:val="0071468A"/>
    <w:rsid w:val="00720721"/>
    <w:rsid w:val="00721A80"/>
    <w:rsid w:val="00723838"/>
    <w:rsid w:val="0072640C"/>
    <w:rsid w:val="00730D05"/>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4F53"/>
    <w:rsid w:val="00766945"/>
    <w:rsid w:val="00771A63"/>
    <w:rsid w:val="00772B18"/>
    <w:rsid w:val="00772B6C"/>
    <w:rsid w:val="00774762"/>
    <w:rsid w:val="00775EC8"/>
    <w:rsid w:val="00780FB3"/>
    <w:rsid w:val="007812FC"/>
    <w:rsid w:val="00785CB5"/>
    <w:rsid w:val="007939AF"/>
    <w:rsid w:val="00795C74"/>
    <w:rsid w:val="007965D6"/>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47F13"/>
    <w:rsid w:val="00855D88"/>
    <w:rsid w:val="00856CC4"/>
    <w:rsid w:val="00857D87"/>
    <w:rsid w:val="00857DFE"/>
    <w:rsid w:val="00863179"/>
    <w:rsid w:val="0086612B"/>
    <w:rsid w:val="00866170"/>
    <w:rsid w:val="00867132"/>
    <w:rsid w:val="00867B80"/>
    <w:rsid w:val="00867C53"/>
    <w:rsid w:val="00873ACD"/>
    <w:rsid w:val="00873FE7"/>
    <w:rsid w:val="008747C8"/>
    <w:rsid w:val="00874FBD"/>
    <w:rsid w:val="00881044"/>
    <w:rsid w:val="00882358"/>
    <w:rsid w:val="00882CCF"/>
    <w:rsid w:val="00887810"/>
    <w:rsid w:val="008927E5"/>
    <w:rsid w:val="00894D01"/>
    <w:rsid w:val="00895205"/>
    <w:rsid w:val="00895FB0"/>
    <w:rsid w:val="008A5BE9"/>
    <w:rsid w:val="008A608B"/>
    <w:rsid w:val="008B00E9"/>
    <w:rsid w:val="008B0CED"/>
    <w:rsid w:val="008B4387"/>
    <w:rsid w:val="008B61CA"/>
    <w:rsid w:val="008B64A2"/>
    <w:rsid w:val="008B6B5D"/>
    <w:rsid w:val="008B7021"/>
    <w:rsid w:val="008C0D2E"/>
    <w:rsid w:val="008C1E2D"/>
    <w:rsid w:val="008C6FA8"/>
    <w:rsid w:val="008C7A1F"/>
    <w:rsid w:val="008D1422"/>
    <w:rsid w:val="008D23C6"/>
    <w:rsid w:val="008D5B3D"/>
    <w:rsid w:val="008D6871"/>
    <w:rsid w:val="008D7B69"/>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273AC"/>
    <w:rsid w:val="0093293B"/>
    <w:rsid w:val="00934BDD"/>
    <w:rsid w:val="0093523F"/>
    <w:rsid w:val="009352D6"/>
    <w:rsid w:val="00950EE8"/>
    <w:rsid w:val="009510C9"/>
    <w:rsid w:val="00951A52"/>
    <w:rsid w:val="00954189"/>
    <w:rsid w:val="009543FB"/>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26B5"/>
    <w:rsid w:val="00A153F7"/>
    <w:rsid w:val="00A15F3E"/>
    <w:rsid w:val="00A20524"/>
    <w:rsid w:val="00A223C0"/>
    <w:rsid w:val="00A22419"/>
    <w:rsid w:val="00A26D5D"/>
    <w:rsid w:val="00A32389"/>
    <w:rsid w:val="00A32F02"/>
    <w:rsid w:val="00A34743"/>
    <w:rsid w:val="00A34B22"/>
    <w:rsid w:val="00A368D1"/>
    <w:rsid w:val="00A40AA0"/>
    <w:rsid w:val="00A40AD9"/>
    <w:rsid w:val="00A41EBF"/>
    <w:rsid w:val="00A43CB8"/>
    <w:rsid w:val="00A441BE"/>
    <w:rsid w:val="00A46AFD"/>
    <w:rsid w:val="00A47DD1"/>
    <w:rsid w:val="00A51E50"/>
    <w:rsid w:val="00A5207E"/>
    <w:rsid w:val="00A5339F"/>
    <w:rsid w:val="00A53A85"/>
    <w:rsid w:val="00A54088"/>
    <w:rsid w:val="00A5739F"/>
    <w:rsid w:val="00A612E0"/>
    <w:rsid w:val="00A616A3"/>
    <w:rsid w:val="00A6432B"/>
    <w:rsid w:val="00A7031B"/>
    <w:rsid w:val="00A719F8"/>
    <w:rsid w:val="00A71BFA"/>
    <w:rsid w:val="00A74528"/>
    <w:rsid w:val="00A779F2"/>
    <w:rsid w:val="00A85C0E"/>
    <w:rsid w:val="00A863DA"/>
    <w:rsid w:val="00A86CBE"/>
    <w:rsid w:val="00A92517"/>
    <w:rsid w:val="00A9414B"/>
    <w:rsid w:val="00A964BF"/>
    <w:rsid w:val="00A96910"/>
    <w:rsid w:val="00AA2EDB"/>
    <w:rsid w:val="00AA432D"/>
    <w:rsid w:val="00AA53BC"/>
    <w:rsid w:val="00AA5C58"/>
    <w:rsid w:val="00AA64E6"/>
    <w:rsid w:val="00AB1041"/>
    <w:rsid w:val="00AB10CF"/>
    <w:rsid w:val="00AB27DC"/>
    <w:rsid w:val="00AB47D4"/>
    <w:rsid w:val="00AB6805"/>
    <w:rsid w:val="00AC3B41"/>
    <w:rsid w:val="00AC51FB"/>
    <w:rsid w:val="00AC72E9"/>
    <w:rsid w:val="00AD1DDF"/>
    <w:rsid w:val="00AD5769"/>
    <w:rsid w:val="00AD7280"/>
    <w:rsid w:val="00AE153E"/>
    <w:rsid w:val="00AE465F"/>
    <w:rsid w:val="00AE49CD"/>
    <w:rsid w:val="00AE628E"/>
    <w:rsid w:val="00AE7804"/>
    <w:rsid w:val="00AF1891"/>
    <w:rsid w:val="00AF28FF"/>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3F48"/>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511A"/>
    <w:rsid w:val="00BB627E"/>
    <w:rsid w:val="00BB7923"/>
    <w:rsid w:val="00BC1BB3"/>
    <w:rsid w:val="00BC31D6"/>
    <w:rsid w:val="00BC33D4"/>
    <w:rsid w:val="00BC3C50"/>
    <w:rsid w:val="00BC3FC2"/>
    <w:rsid w:val="00BC45D4"/>
    <w:rsid w:val="00BC4A3F"/>
    <w:rsid w:val="00BC56D4"/>
    <w:rsid w:val="00BC6DBB"/>
    <w:rsid w:val="00BC7B6F"/>
    <w:rsid w:val="00BD02FF"/>
    <w:rsid w:val="00BD223A"/>
    <w:rsid w:val="00BD4D8D"/>
    <w:rsid w:val="00BD5655"/>
    <w:rsid w:val="00BE1468"/>
    <w:rsid w:val="00BE1C1E"/>
    <w:rsid w:val="00BE2358"/>
    <w:rsid w:val="00BE43EA"/>
    <w:rsid w:val="00BE47AA"/>
    <w:rsid w:val="00BE772C"/>
    <w:rsid w:val="00BF04EB"/>
    <w:rsid w:val="00BF0BE4"/>
    <w:rsid w:val="00BF0D2F"/>
    <w:rsid w:val="00BF6979"/>
    <w:rsid w:val="00C0174B"/>
    <w:rsid w:val="00C034EC"/>
    <w:rsid w:val="00C05E87"/>
    <w:rsid w:val="00C07A77"/>
    <w:rsid w:val="00C11107"/>
    <w:rsid w:val="00C12D07"/>
    <w:rsid w:val="00C157FC"/>
    <w:rsid w:val="00C16B4D"/>
    <w:rsid w:val="00C234D4"/>
    <w:rsid w:val="00C23529"/>
    <w:rsid w:val="00C25D2C"/>
    <w:rsid w:val="00C27351"/>
    <w:rsid w:val="00C30926"/>
    <w:rsid w:val="00C30EAD"/>
    <w:rsid w:val="00C3125E"/>
    <w:rsid w:val="00C33189"/>
    <w:rsid w:val="00C34214"/>
    <w:rsid w:val="00C34DFC"/>
    <w:rsid w:val="00C35665"/>
    <w:rsid w:val="00C401FE"/>
    <w:rsid w:val="00C429D0"/>
    <w:rsid w:val="00C451D4"/>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99"/>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6DE8"/>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194B"/>
    <w:rsid w:val="00DF37A0"/>
    <w:rsid w:val="00DF51DE"/>
    <w:rsid w:val="00E015F1"/>
    <w:rsid w:val="00E017AF"/>
    <w:rsid w:val="00E02879"/>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6218"/>
    <w:rsid w:val="00E301A3"/>
    <w:rsid w:val="00E30DAD"/>
    <w:rsid w:val="00E32677"/>
    <w:rsid w:val="00E32F62"/>
    <w:rsid w:val="00E34251"/>
    <w:rsid w:val="00E359C0"/>
    <w:rsid w:val="00E4034A"/>
    <w:rsid w:val="00E40BBB"/>
    <w:rsid w:val="00E4498C"/>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055D3"/>
    <w:rsid w:val="00F11A63"/>
    <w:rsid w:val="00F130CB"/>
    <w:rsid w:val="00F175C9"/>
    <w:rsid w:val="00F20C14"/>
    <w:rsid w:val="00F21DBE"/>
    <w:rsid w:val="00F225B4"/>
    <w:rsid w:val="00F22CE0"/>
    <w:rsid w:val="00F23463"/>
    <w:rsid w:val="00F260C4"/>
    <w:rsid w:val="00F270D0"/>
    <w:rsid w:val="00F27E9E"/>
    <w:rsid w:val="00F30095"/>
    <w:rsid w:val="00F3011A"/>
    <w:rsid w:val="00F31614"/>
    <w:rsid w:val="00F35B01"/>
    <w:rsid w:val="00F405DE"/>
    <w:rsid w:val="00F43A32"/>
    <w:rsid w:val="00F46A4B"/>
    <w:rsid w:val="00F47D20"/>
    <w:rsid w:val="00F5001C"/>
    <w:rsid w:val="00F50A1D"/>
    <w:rsid w:val="00F526E1"/>
    <w:rsid w:val="00F54B64"/>
    <w:rsid w:val="00F578DD"/>
    <w:rsid w:val="00F600F7"/>
    <w:rsid w:val="00F60716"/>
    <w:rsid w:val="00F6080A"/>
    <w:rsid w:val="00F61D94"/>
    <w:rsid w:val="00F63073"/>
    <w:rsid w:val="00F66A32"/>
    <w:rsid w:val="00F7355B"/>
    <w:rsid w:val="00F94324"/>
    <w:rsid w:val="00F94D71"/>
    <w:rsid w:val="00F957AB"/>
    <w:rsid w:val="00F958CB"/>
    <w:rsid w:val="00F959B1"/>
    <w:rsid w:val="00F95E17"/>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BF2"/>
    <w:rsid w:val="00FE55DC"/>
    <w:rsid w:val="00FE5E0B"/>
    <w:rsid w:val="00FF0B68"/>
    <w:rsid w:val="00FF1230"/>
    <w:rsid w:val="00FF2BBC"/>
    <w:rsid w:val="00FF6AE5"/>
    <w:rsid w:val="01B3097E"/>
    <w:rsid w:val="02BA602B"/>
    <w:rsid w:val="02E041EE"/>
    <w:rsid w:val="03411C16"/>
    <w:rsid w:val="04BA6D56"/>
    <w:rsid w:val="054D6166"/>
    <w:rsid w:val="05772532"/>
    <w:rsid w:val="080737D2"/>
    <w:rsid w:val="0C8C4337"/>
    <w:rsid w:val="0E867890"/>
    <w:rsid w:val="11EA28AD"/>
    <w:rsid w:val="135452DA"/>
    <w:rsid w:val="13891AA2"/>
    <w:rsid w:val="153E3549"/>
    <w:rsid w:val="163D4862"/>
    <w:rsid w:val="168F3C34"/>
    <w:rsid w:val="1984103F"/>
    <w:rsid w:val="1A663D17"/>
    <w:rsid w:val="1B950C9D"/>
    <w:rsid w:val="1E37428D"/>
    <w:rsid w:val="1E8245AD"/>
    <w:rsid w:val="20931C4F"/>
    <w:rsid w:val="24E4481A"/>
    <w:rsid w:val="24FB4266"/>
    <w:rsid w:val="28321027"/>
    <w:rsid w:val="287B37A3"/>
    <w:rsid w:val="29126661"/>
    <w:rsid w:val="299D5ED5"/>
    <w:rsid w:val="29B63249"/>
    <w:rsid w:val="29F8398C"/>
    <w:rsid w:val="2C4911C7"/>
    <w:rsid w:val="2DC029C9"/>
    <w:rsid w:val="2E2B796A"/>
    <w:rsid w:val="307C56EC"/>
    <w:rsid w:val="30FC55EE"/>
    <w:rsid w:val="317F1137"/>
    <w:rsid w:val="329C76FF"/>
    <w:rsid w:val="34D7691B"/>
    <w:rsid w:val="34E13287"/>
    <w:rsid w:val="3A227ADB"/>
    <w:rsid w:val="41474664"/>
    <w:rsid w:val="42E3216A"/>
    <w:rsid w:val="43EC179D"/>
    <w:rsid w:val="45280D0F"/>
    <w:rsid w:val="49A308A5"/>
    <w:rsid w:val="49E22A33"/>
    <w:rsid w:val="4B8A7F8A"/>
    <w:rsid w:val="4D6C5536"/>
    <w:rsid w:val="4D9329DF"/>
    <w:rsid w:val="4E4C7A1B"/>
    <w:rsid w:val="4E8F1C60"/>
    <w:rsid w:val="51527463"/>
    <w:rsid w:val="51981FF4"/>
    <w:rsid w:val="51FF032F"/>
    <w:rsid w:val="564F6EA2"/>
    <w:rsid w:val="5A3D7F5A"/>
    <w:rsid w:val="5CCC3817"/>
    <w:rsid w:val="5DFF4054"/>
    <w:rsid w:val="5E910239"/>
    <w:rsid w:val="5EED49E3"/>
    <w:rsid w:val="5F404B37"/>
    <w:rsid w:val="5F5F2503"/>
    <w:rsid w:val="60502B53"/>
    <w:rsid w:val="61187829"/>
    <w:rsid w:val="611E71C2"/>
    <w:rsid w:val="645D3BCA"/>
    <w:rsid w:val="64AC4A03"/>
    <w:rsid w:val="64C45B85"/>
    <w:rsid w:val="65F509DC"/>
    <w:rsid w:val="673E09F7"/>
    <w:rsid w:val="677C37D9"/>
    <w:rsid w:val="684E7CC7"/>
    <w:rsid w:val="692F7608"/>
    <w:rsid w:val="6A073068"/>
    <w:rsid w:val="6C67530A"/>
    <w:rsid w:val="6CBD4F2A"/>
    <w:rsid w:val="6D9D4CB1"/>
    <w:rsid w:val="6DCA5B51"/>
    <w:rsid w:val="6E4E7B5D"/>
    <w:rsid w:val="733C6D53"/>
    <w:rsid w:val="7A700F56"/>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6" w:lineRule="auto"/>
      <w:outlineLvl w:val="0"/>
    </w:pPr>
    <w:rPr>
      <w:b/>
      <w:kern w:val="44"/>
      <w:sz w:val="44"/>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26"/>
    <w:qFormat/>
    <w:uiPriority w:val="0"/>
    <w:rPr>
      <w:rFonts w:ascii="宋体" w:hAnsi="Courier New" w:cs="宋体"/>
      <w:szCs w:val="21"/>
    </w:rPr>
  </w:style>
  <w:style w:type="paragraph" w:styleId="6">
    <w:name w:val="Normal Indent"/>
    <w:basedOn w:val="1"/>
    <w:link w:val="25"/>
    <w:qFormat/>
    <w:uiPriority w:val="0"/>
    <w:pPr>
      <w:ind w:firstLine="420"/>
    </w:pPr>
    <w:rPr>
      <w:szCs w:val="20"/>
    </w:rPr>
  </w:style>
  <w:style w:type="paragraph" w:styleId="7">
    <w:name w:val="annotation text"/>
    <w:basedOn w:val="1"/>
    <w:link w:val="41"/>
    <w:qFormat/>
    <w:uiPriority w:val="99"/>
    <w:pPr>
      <w:jc w:val="left"/>
    </w:pPr>
  </w:style>
  <w:style w:type="paragraph" w:styleId="8">
    <w:name w:val="index 6"/>
    <w:basedOn w:val="1"/>
    <w:next w:val="1"/>
    <w:qFormat/>
    <w:uiPriority w:val="0"/>
  </w:style>
  <w:style w:type="paragraph" w:styleId="9">
    <w:name w:val="Body Text"/>
    <w:basedOn w:val="1"/>
    <w:next w:val="10"/>
    <w:link w:val="33"/>
    <w:qFormat/>
    <w:uiPriority w:val="99"/>
    <w:pPr>
      <w:spacing w:after="120"/>
    </w:pPr>
  </w:style>
  <w:style w:type="paragraph" w:customStyle="1" w:styleId="10">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styleId="11">
    <w:name w:val="Body Text Indent"/>
    <w:basedOn w:val="1"/>
    <w:link w:val="55"/>
    <w:semiHidden/>
    <w:unhideWhenUsed/>
    <w:qFormat/>
    <w:uiPriority w:val="99"/>
    <w:pPr>
      <w:spacing w:after="120"/>
      <w:ind w:left="420" w:leftChars="200"/>
    </w:pPr>
  </w:style>
  <w:style w:type="paragraph" w:styleId="12">
    <w:name w:val="Date"/>
    <w:basedOn w:val="1"/>
    <w:next w:val="1"/>
    <w:link w:val="40"/>
    <w:semiHidden/>
    <w:unhideWhenUsed/>
    <w:qFormat/>
    <w:uiPriority w:val="99"/>
    <w:pPr>
      <w:ind w:left="100" w:leftChars="2500"/>
    </w:pPr>
  </w:style>
  <w:style w:type="paragraph" w:styleId="13">
    <w:name w:val="Balloon Text"/>
    <w:basedOn w:val="1"/>
    <w:link w:val="44"/>
    <w:semiHidden/>
    <w:unhideWhenUsed/>
    <w:qFormat/>
    <w:uiPriority w:val="99"/>
    <w:rPr>
      <w:sz w:val="18"/>
      <w:szCs w:val="18"/>
    </w:rPr>
  </w:style>
  <w:style w:type="paragraph" w:styleId="14">
    <w:name w:val="footer"/>
    <w:basedOn w:val="1"/>
    <w:link w:val="28"/>
    <w:unhideWhenUsed/>
    <w:qFormat/>
    <w:uiPriority w:val="99"/>
    <w:pPr>
      <w:tabs>
        <w:tab w:val="center" w:pos="4153"/>
        <w:tab w:val="right" w:pos="8306"/>
      </w:tabs>
      <w:snapToGrid w:val="0"/>
      <w:jc w:val="left"/>
    </w:pPr>
    <w:rPr>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2"/>
    <w:basedOn w:val="1"/>
    <w:link w:val="65"/>
    <w:semiHidden/>
    <w:unhideWhenUsed/>
    <w:qFormat/>
    <w:uiPriority w:val="99"/>
    <w:pPr>
      <w:spacing w:after="120" w:line="480" w:lineRule="auto"/>
    </w:p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8">
    <w:name w:val="Body Text First Indent 2"/>
    <w:basedOn w:val="11"/>
    <w:link w:val="56"/>
    <w:semiHidden/>
    <w:unhideWhenUsed/>
    <w:qFormat/>
    <w:uiPriority w:val="99"/>
    <w:pPr>
      <w:ind w:firstLine="420" w:firstLineChars="200"/>
    </w:p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qFormat/>
    <w:uiPriority w:val="99"/>
    <w:rPr>
      <w:color w:val="0000FF"/>
      <w:u w:val="single"/>
    </w:rPr>
  </w:style>
  <w:style w:type="character" w:customStyle="1" w:styleId="23">
    <w:name w:val="标题 1 Char"/>
    <w:qFormat/>
    <w:uiPriority w:val="0"/>
    <w:rPr>
      <w:rFonts w:ascii="宋体" w:hAnsi="宋体" w:eastAsia="黑体"/>
      <w:b/>
      <w:bCs/>
      <w:kern w:val="44"/>
      <w:sz w:val="28"/>
      <w:szCs w:val="44"/>
      <w:lang w:val="en-US" w:eastAsia="zh-CN" w:bidi="ar-SA"/>
    </w:rPr>
  </w:style>
  <w:style w:type="character" w:customStyle="1" w:styleId="24">
    <w:name w:val="纯文本 字符"/>
    <w:basedOn w:val="21"/>
    <w:qFormat/>
    <w:uiPriority w:val="0"/>
    <w:rPr>
      <w:rFonts w:hAnsi="Courier New" w:cs="Courier New" w:asciiTheme="minorEastAsia"/>
      <w:szCs w:val="24"/>
    </w:rPr>
  </w:style>
  <w:style w:type="character" w:customStyle="1" w:styleId="25">
    <w:name w:val="正文缩进 字符"/>
    <w:basedOn w:val="21"/>
    <w:link w:val="6"/>
    <w:qFormat/>
    <w:uiPriority w:val="0"/>
    <w:rPr>
      <w:rFonts w:ascii="Times New Roman" w:hAnsi="Times New Roman" w:eastAsia="宋体" w:cs="Times New Roman"/>
      <w:szCs w:val="20"/>
    </w:rPr>
  </w:style>
  <w:style w:type="character" w:customStyle="1" w:styleId="26">
    <w:name w:val="纯文本 字符1"/>
    <w:basedOn w:val="21"/>
    <w:link w:val="3"/>
    <w:qFormat/>
    <w:uiPriority w:val="0"/>
    <w:rPr>
      <w:rFonts w:ascii="宋体" w:hAnsi="Courier New" w:eastAsia="宋体" w:cs="宋体"/>
      <w:szCs w:val="21"/>
    </w:rPr>
  </w:style>
  <w:style w:type="character" w:customStyle="1" w:styleId="27">
    <w:name w:val="页眉 字符"/>
    <w:basedOn w:val="21"/>
    <w:link w:val="15"/>
    <w:qFormat/>
    <w:uiPriority w:val="99"/>
    <w:rPr>
      <w:rFonts w:ascii="Times New Roman" w:hAnsi="Times New Roman" w:eastAsia="宋体" w:cs="Times New Roman"/>
      <w:sz w:val="18"/>
      <w:szCs w:val="18"/>
    </w:rPr>
  </w:style>
  <w:style w:type="character" w:customStyle="1" w:styleId="28">
    <w:name w:val="页脚 字符"/>
    <w:basedOn w:val="21"/>
    <w:link w:val="14"/>
    <w:qFormat/>
    <w:uiPriority w:val="99"/>
    <w:rPr>
      <w:rFonts w:ascii="Times New Roman" w:hAnsi="Times New Roman" w:eastAsia="宋体" w:cs="Times New Roman"/>
      <w:sz w:val="18"/>
      <w:szCs w:val="18"/>
    </w:r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正文缩进 Char1 Char"/>
    <w:basedOn w:val="21"/>
    <w:qFormat/>
    <w:uiPriority w:val="0"/>
    <w:rPr>
      <w:kern w:val="2"/>
      <w:sz w:val="21"/>
    </w:rPr>
  </w:style>
  <w:style w:type="character" w:customStyle="1" w:styleId="31">
    <w:name w:val="纯文本 Char"/>
    <w:basedOn w:val="21"/>
    <w:qFormat/>
    <w:uiPriority w:val="0"/>
    <w:rPr>
      <w:rFonts w:ascii="宋体" w:hAnsi="Courier New" w:cs="宋体"/>
      <w:kern w:val="2"/>
      <w:sz w:val="21"/>
      <w:szCs w:val="21"/>
    </w:rPr>
  </w:style>
  <w:style w:type="paragraph" w:customStyle="1" w:styleId="32">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3">
    <w:name w:val="正文文本 字符"/>
    <w:basedOn w:val="21"/>
    <w:link w:val="9"/>
    <w:qFormat/>
    <w:uiPriority w:val="1"/>
    <w:rPr>
      <w:rFonts w:ascii="Times New Roman" w:hAnsi="Times New Roman" w:eastAsia="宋体" w:cs="Times New Roman"/>
      <w:szCs w:val="24"/>
    </w:rPr>
  </w:style>
  <w:style w:type="character" w:customStyle="1" w:styleId="34">
    <w:name w:val="列表段落 字符"/>
    <w:link w:val="35"/>
    <w:qFormat/>
    <w:uiPriority w:val="34"/>
    <w:rPr>
      <w:szCs w:val="24"/>
    </w:rPr>
  </w:style>
  <w:style w:type="paragraph" w:styleId="35">
    <w:name w:val="List Paragraph"/>
    <w:basedOn w:val="1"/>
    <w:link w:val="34"/>
    <w:qFormat/>
    <w:uiPriority w:val="34"/>
    <w:pPr>
      <w:ind w:firstLine="420" w:firstLineChars="200"/>
    </w:pPr>
    <w:rPr>
      <w:rFonts w:asciiTheme="minorHAnsi" w:hAnsiTheme="minorHAnsi" w:eastAsiaTheme="minorEastAsia" w:cstheme="minorBidi"/>
    </w:rPr>
  </w:style>
  <w:style w:type="paragraph" w:customStyle="1" w:styleId="36">
    <w:name w:val="表格文字"/>
    <w:basedOn w:val="1"/>
    <w:qFormat/>
    <w:uiPriority w:val="0"/>
    <w:pPr>
      <w:spacing w:before="25" w:after="25"/>
    </w:pPr>
    <w:rPr>
      <w:bCs/>
      <w:spacing w:val="10"/>
      <w:szCs w:val="20"/>
    </w:rPr>
  </w:style>
  <w:style w:type="character" w:customStyle="1" w:styleId="37">
    <w:name w:val="正文1 Char Char"/>
    <w:link w:val="38"/>
    <w:qFormat/>
    <w:uiPriority w:val="0"/>
    <w:rPr>
      <w:rFonts w:ascii="宋体"/>
      <w:sz w:val="24"/>
    </w:rPr>
  </w:style>
  <w:style w:type="paragraph" w:customStyle="1" w:styleId="38">
    <w:name w:val="正文1"/>
    <w:link w:val="37"/>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9">
    <w:name w:val="002级标题"/>
    <w:basedOn w:val="1"/>
    <w:qFormat/>
    <w:uiPriority w:val="0"/>
    <w:pPr>
      <w:widowControl/>
      <w:spacing w:before="120" w:after="120"/>
      <w:ind w:firstLine="200"/>
      <w:jc w:val="left"/>
      <w:outlineLvl w:val="1"/>
    </w:pPr>
    <w:rPr>
      <w:rFonts w:ascii="Calibri" w:hAnsi="Calibri"/>
      <w:b/>
    </w:rPr>
  </w:style>
  <w:style w:type="character" w:customStyle="1" w:styleId="40">
    <w:name w:val="日期 字符"/>
    <w:basedOn w:val="21"/>
    <w:link w:val="12"/>
    <w:semiHidden/>
    <w:qFormat/>
    <w:uiPriority w:val="99"/>
    <w:rPr>
      <w:rFonts w:ascii="Times New Roman" w:hAnsi="Times New Roman" w:eastAsia="宋体" w:cs="Times New Roman"/>
      <w:szCs w:val="24"/>
    </w:rPr>
  </w:style>
  <w:style w:type="character" w:customStyle="1" w:styleId="41">
    <w:name w:val="批注文字 字符"/>
    <w:basedOn w:val="21"/>
    <w:link w:val="7"/>
    <w:qFormat/>
    <w:uiPriority w:val="99"/>
    <w:rPr>
      <w:rFonts w:ascii="Times New Roman" w:hAnsi="Times New Roman" w:eastAsia="宋体" w:cs="Times New Roman"/>
      <w:szCs w:val="24"/>
    </w:rPr>
  </w:style>
  <w:style w:type="table" w:customStyle="1" w:styleId="42">
    <w:name w:val="Table Normal"/>
    <w:semiHidden/>
    <w:unhideWhenUsed/>
    <w:qFormat/>
    <w:uiPriority w:val="0"/>
    <w:tblPr>
      <w:tblCellMar>
        <w:top w:w="0" w:type="dxa"/>
        <w:left w:w="0" w:type="dxa"/>
        <w:bottom w:w="0" w:type="dxa"/>
        <w:right w:w="0" w:type="dxa"/>
      </w:tblCellMar>
    </w:tblPr>
  </w:style>
  <w:style w:type="character" w:customStyle="1" w:styleId="43">
    <w:name w:val="正文文本 Char1"/>
    <w:qFormat/>
    <w:uiPriority w:val="99"/>
    <w:rPr>
      <w:kern w:val="2"/>
      <w:sz w:val="21"/>
      <w:szCs w:val="24"/>
    </w:rPr>
  </w:style>
  <w:style w:type="character" w:customStyle="1" w:styleId="44">
    <w:name w:val="批注框文本 字符"/>
    <w:basedOn w:val="21"/>
    <w:link w:val="13"/>
    <w:semiHidden/>
    <w:qFormat/>
    <w:uiPriority w:val="99"/>
    <w:rPr>
      <w:rFonts w:ascii="Times New Roman" w:hAnsi="Times New Roman" w:eastAsia="宋体" w:cs="Times New Roman"/>
      <w:sz w:val="18"/>
      <w:szCs w:val="18"/>
    </w:rPr>
  </w:style>
  <w:style w:type="character" w:customStyle="1" w:styleId="45">
    <w:name w:val="_正文段落 Char"/>
    <w:link w:val="46"/>
    <w:qFormat/>
    <w:uiPriority w:val="0"/>
    <w:rPr>
      <w:sz w:val="24"/>
      <w:szCs w:val="24"/>
    </w:rPr>
  </w:style>
  <w:style w:type="paragraph" w:customStyle="1" w:styleId="46">
    <w:name w:val="_正文段落"/>
    <w:basedOn w:val="1"/>
    <w:link w:val="45"/>
    <w:qFormat/>
    <w:uiPriority w:val="0"/>
    <w:pPr>
      <w:snapToGrid w:val="0"/>
      <w:spacing w:before="240" w:after="120" w:line="360" w:lineRule="auto"/>
      <w:ind w:firstLine="200" w:firstLineChars="200"/>
      <w:jc w:val="left"/>
    </w:pPr>
    <w:rPr>
      <w:kern w:val="0"/>
      <w:sz w:val="24"/>
    </w:rPr>
  </w:style>
  <w:style w:type="paragraph" w:customStyle="1" w:styleId="47">
    <w:name w:val="列出段落1"/>
    <w:basedOn w:val="1"/>
    <w:link w:val="59"/>
    <w:qFormat/>
    <w:uiPriority w:val="0"/>
    <w:pPr>
      <w:ind w:firstLine="420" w:firstLineChars="200"/>
    </w:pPr>
    <w:rPr>
      <w:rFonts w:ascii="Calibri" w:hAnsi="Calibri"/>
      <w:szCs w:val="22"/>
    </w:rPr>
  </w:style>
  <w:style w:type="paragraph" w:customStyle="1" w:styleId="48">
    <w:name w:val="表格"/>
    <w:basedOn w:val="1"/>
    <w:qFormat/>
    <w:uiPriority w:val="0"/>
    <w:pPr>
      <w:spacing w:line="360" w:lineRule="auto"/>
    </w:pPr>
    <w:rPr>
      <w:rFonts w:ascii="仿宋_GB2312" w:hAnsi="宋体" w:eastAsia="仿宋_GB2312"/>
      <w:bCs/>
      <w:color w:val="333333"/>
      <w:kern w:val="0"/>
      <w:sz w:val="28"/>
    </w:rPr>
  </w:style>
  <w:style w:type="character" w:customStyle="1" w:styleId="49">
    <w:name w:val="font31"/>
    <w:basedOn w:val="21"/>
    <w:qFormat/>
    <w:uiPriority w:val="0"/>
    <w:rPr>
      <w:rFonts w:hint="eastAsia" w:ascii="微软雅黑" w:hAnsi="微软雅黑" w:eastAsia="微软雅黑" w:cs="微软雅黑"/>
      <w:color w:val="FF0000"/>
      <w:sz w:val="24"/>
      <w:szCs w:val="24"/>
      <w:u w:val="none"/>
    </w:rPr>
  </w:style>
  <w:style w:type="character" w:customStyle="1" w:styleId="50">
    <w:name w:val="font01"/>
    <w:basedOn w:val="21"/>
    <w:qFormat/>
    <w:uiPriority w:val="0"/>
    <w:rPr>
      <w:rFonts w:hint="eastAsia" w:ascii="微软雅黑" w:hAnsi="微软雅黑" w:eastAsia="微软雅黑" w:cs="微软雅黑"/>
      <w:color w:val="000000"/>
      <w:sz w:val="24"/>
      <w:szCs w:val="24"/>
      <w:u w:val="none"/>
    </w:rPr>
  </w:style>
  <w:style w:type="paragraph" w:customStyle="1" w:styleId="51">
    <w:name w:val="正文文本首行缩进 21"/>
    <w:basedOn w:val="1"/>
    <w:qFormat/>
    <w:uiPriority w:val="0"/>
    <w:pPr>
      <w:spacing w:line="500" w:lineRule="exact"/>
      <w:ind w:firstLine="420" w:firstLineChars="200"/>
    </w:pPr>
    <w:rPr>
      <w:rFonts w:ascii="Calibri" w:hAnsi="Calibri"/>
      <w:szCs w:val="22"/>
    </w:rPr>
  </w:style>
  <w:style w:type="table" w:customStyle="1" w:styleId="52">
    <w:name w:val="标书网格型表格正文1"/>
    <w:basedOn w:val="1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font21"/>
    <w:qFormat/>
    <w:uiPriority w:val="0"/>
    <w:rPr>
      <w:rFonts w:hint="eastAsia" w:ascii="宋体" w:hAnsi="宋体" w:eastAsia="宋体" w:cs="宋体"/>
      <w:color w:val="000000"/>
      <w:sz w:val="21"/>
      <w:szCs w:val="21"/>
      <w:u w:val="none"/>
    </w:rPr>
  </w:style>
  <w:style w:type="character" w:customStyle="1" w:styleId="54">
    <w:name w:val="NormalCharacter"/>
    <w:qFormat/>
    <w:uiPriority w:val="0"/>
  </w:style>
  <w:style w:type="character" w:customStyle="1" w:styleId="55">
    <w:name w:val="正文文本缩进 字符"/>
    <w:basedOn w:val="21"/>
    <w:link w:val="11"/>
    <w:semiHidden/>
    <w:qFormat/>
    <w:uiPriority w:val="99"/>
    <w:rPr>
      <w:kern w:val="2"/>
      <w:sz w:val="21"/>
      <w:szCs w:val="24"/>
    </w:rPr>
  </w:style>
  <w:style w:type="character" w:customStyle="1" w:styleId="56">
    <w:name w:val="正文文本首行缩进 2 字符"/>
    <w:basedOn w:val="55"/>
    <w:link w:val="18"/>
    <w:semiHidden/>
    <w:qFormat/>
    <w:uiPriority w:val="99"/>
    <w:rPr>
      <w:kern w:val="2"/>
      <w:sz w:val="21"/>
      <w:szCs w:val="24"/>
    </w:rPr>
  </w:style>
  <w:style w:type="character" w:customStyle="1" w:styleId="57">
    <w:name w:val="不明显参考1"/>
    <w:qFormat/>
    <w:uiPriority w:val="31"/>
    <w:rPr>
      <w:smallCaps/>
      <w:color w:val="5A5A5A"/>
    </w:rPr>
  </w:style>
  <w:style w:type="character" w:customStyle="1" w:styleId="58">
    <w:name w:val="未处理的提及1"/>
    <w:basedOn w:val="21"/>
    <w:semiHidden/>
    <w:unhideWhenUsed/>
    <w:qFormat/>
    <w:uiPriority w:val="99"/>
    <w:rPr>
      <w:color w:val="605E5C"/>
      <w:shd w:val="clear" w:color="auto" w:fill="E1DFDD"/>
    </w:rPr>
  </w:style>
  <w:style w:type="character" w:customStyle="1" w:styleId="59">
    <w:name w:val="列出段落 字符"/>
    <w:link w:val="47"/>
    <w:qFormat/>
    <w:uiPriority w:val="0"/>
    <w:rPr>
      <w:rFonts w:ascii="Calibri" w:hAnsi="Calibri"/>
      <w:kern w:val="2"/>
      <w:sz w:val="21"/>
      <w:szCs w:val="22"/>
    </w:rPr>
  </w:style>
  <w:style w:type="character" w:customStyle="1" w:styleId="60">
    <w:name w:val="正文缩进 Char"/>
    <w:qFormat/>
    <w:locked/>
    <w:uiPriority w:val="0"/>
    <w:rPr>
      <w:rFonts w:ascii="Times New Roman" w:hAnsi="Times New Roman"/>
      <w:kern w:val="2"/>
      <w:sz w:val="21"/>
    </w:rPr>
  </w:style>
  <w:style w:type="character" w:customStyle="1" w:styleId="61">
    <w:name w:val="正文文本 字符2"/>
    <w:qFormat/>
    <w:uiPriority w:val="99"/>
    <w:rPr>
      <w:kern w:val="2"/>
      <w:sz w:val="21"/>
      <w:szCs w:val="24"/>
    </w:rPr>
  </w:style>
  <w:style w:type="paragraph" w:customStyle="1" w:styleId="62">
    <w:name w:val=".正文"/>
    <w:basedOn w:val="1"/>
    <w:qFormat/>
    <w:uiPriority w:val="0"/>
    <w:pPr>
      <w:spacing w:beforeLines="50"/>
      <w:ind w:firstLine="200" w:firstLineChars="200"/>
    </w:pPr>
    <w:rPr>
      <w:rFonts w:ascii="Calibri" w:hAnsi="Calibri" w:eastAsia="华文仿宋"/>
    </w:rPr>
  </w:style>
  <w:style w:type="paragraph" w:customStyle="1" w:styleId="63">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4">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5">
    <w:name w:val="正文文本 2 字符"/>
    <w:basedOn w:val="21"/>
    <w:link w:val="16"/>
    <w:semiHidden/>
    <w:qFormat/>
    <w:uiPriority w:val="99"/>
    <w:rPr>
      <w:kern w:val="2"/>
      <w:sz w:val="21"/>
      <w:szCs w:val="24"/>
    </w:rPr>
  </w:style>
  <w:style w:type="character" w:customStyle="1" w:styleId="66">
    <w:name w:val="Unresolved Mention"/>
    <w:basedOn w:val="21"/>
    <w:semiHidden/>
    <w:unhideWhenUsed/>
    <w:qFormat/>
    <w:uiPriority w:val="99"/>
    <w:rPr>
      <w:color w:val="605E5C"/>
      <w:shd w:val="clear" w:color="auto" w:fill="E1DFDD"/>
    </w:rPr>
  </w:style>
  <w:style w:type="paragraph" w:customStyle="1" w:styleId="67">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41</Pages>
  <Words>23533</Words>
  <Characters>25464</Characters>
  <Lines>174</Lines>
  <Paragraphs>49</Paragraphs>
  <TotalTime>1</TotalTime>
  <ScaleCrop>false</ScaleCrop>
  <LinksUpToDate>false</LinksUpToDate>
  <CharactersWithSpaces>27850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user</cp:lastModifiedBy>
  <cp:lastPrinted>2025-05-19T00:34:00Z</cp:lastPrinted>
  <dcterms:modified xsi:type="dcterms:W3CDTF">2025-12-05T03:33:11Z</dcterms:modified>
  <dc:title>院内招标采购公告</dc:title>
  <cp:revision>843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