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A69625">
      <w:pPr>
        <w:spacing w:line="360" w:lineRule="auto"/>
        <w:ind w:firstLine="420" w:firstLineChars="200"/>
      </w:pPr>
    </w:p>
    <w:p w14:paraId="131760A5">
      <w:pPr>
        <w:spacing w:line="360" w:lineRule="auto"/>
        <w:ind w:firstLine="420" w:firstLineChars="200"/>
      </w:pPr>
    </w:p>
    <w:p w14:paraId="0DC028DF">
      <w:pPr>
        <w:spacing w:line="360" w:lineRule="auto"/>
        <w:ind w:firstLine="420" w:firstLineChars="200"/>
      </w:pPr>
    </w:p>
    <w:p w14:paraId="0BEEE4F5">
      <w:pPr>
        <w:spacing w:line="360" w:lineRule="auto"/>
      </w:pPr>
    </w:p>
    <w:p w14:paraId="3B68E343">
      <w:pPr>
        <w:jc w:val="center"/>
        <w:rPr>
          <w:b/>
          <w:sz w:val="44"/>
          <w:szCs w:val="44"/>
        </w:rPr>
      </w:pPr>
      <w:r>
        <w:rPr>
          <w:rFonts w:hint="eastAsia"/>
          <w:b/>
          <w:sz w:val="44"/>
          <w:szCs w:val="44"/>
        </w:rPr>
        <w:t>采购疫苗处方推荐提醒服务项目</w:t>
      </w:r>
    </w:p>
    <w:p w14:paraId="7F5761A7">
      <w:pPr>
        <w:jc w:val="center"/>
        <w:rPr>
          <w:b/>
          <w:sz w:val="44"/>
          <w:szCs w:val="44"/>
        </w:rPr>
      </w:pPr>
    </w:p>
    <w:p w14:paraId="487CCE29">
      <w:pPr>
        <w:jc w:val="center"/>
        <w:rPr>
          <w:rFonts w:hint="default" w:eastAsiaTheme="minorEastAsia"/>
          <w:lang w:val="en-US" w:eastAsia="zh-CN"/>
        </w:rPr>
      </w:pPr>
      <w:r>
        <w:rPr>
          <w:rFonts w:hint="eastAsia"/>
          <w:b/>
          <w:sz w:val="30"/>
          <w:szCs w:val="30"/>
        </w:rPr>
        <w:t>项目编号：</w:t>
      </w:r>
      <w:r>
        <w:rPr>
          <w:b/>
          <w:sz w:val="30"/>
          <w:szCs w:val="30"/>
        </w:rPr>
        <w:t>BACDCCG202</w:t>
      </w:r>
      <w:r>
        <w:rPr>
          <w:rFonts w:hint="eastAsia"/>
          <w:b/>
          <w:sz w:val="30"/>
          <w:szCs w:val="30"/>
          <w:lang w:val="en-US" w:eastAsia="zh-CN"/>
        </w:rPr>
        <w:t>5</w:t>
      </w:r>
      <w:r>
        <w:rPr>
          <w:b/>
          <w:sz w:val="30"/>
          <w:szCs w:val="30"/>
        </w:rPr>
        <w:t>0</w:t>
      </w:r>
      <w:r>
        <w:rPr>
          <w:rFonts w:hint="eastAsia"/>
          <w:b/>
          <w:sz w:val="30"/>
          <w:szCs w:val="30"/>
          <w:lang w:val="en-US" w:eastAsia="zh-CN"/>
        </w:rPr>
        <w:t>16</w:t>
      </w:r>
    </w:p>
    <w:p w14:paraId="5052C718">
      <w:pPr>
        <w:spacing w:line="360" w:lineRule="auto"/>
        <w:ind w:firstLine="420" w:firstLineChars="200"/>
      </w:pPr>
    </w:p>
    <w:p w14:paraId="3892F746">
      <w:pPr>
        <w:spacing w:line="360" w:lineRule="auto"/>
        <w:ind w:firstLine="420" w:firstLineChars="200"/>
      </w:pPr>
    </w:p>
    <w:p w14:paraId="52A68AC8">
      <w:pPr>
        <w:spacing w:line="360" w:lineRule="auto"/>
        <w:ind w:firstLine="420" w:firstLineChars="200"/>
      </w:pPr>
    </w:p>
    <w:p w14:paraId="53F1FF5D">
      <w:pPr>
        <w:spacing w:line="360" w:lineRule="auto"/>
        <w:ind w:firstLine="420" w:firstLineChars="200"/>
      </w:pPr>
    </w:p>
    <w:p w14:paraId="194E31C9">
      <w:pPr>
        <w:spacing w:line="360" w:lineRule="auto"/>
        <w:ind w:firstLine="420" w:firstLineChars="200"/>
      </w:pPr>
    </w:p>
    <w:p w14:paraId="14C5305F">
      <w:pPr>
        <w:spacing w:line="360" w:lineRule="auto"/>
        <w:jc w:val="center"/>
        <w:rPr>
          <w:b/>
          <w:sz w:val="72"/>
          <w:szCs w:val="72"/>
        </w:rPr>
      </w:pPr>
      <w:r>
        <w:rPr>
          <w:rFonts w:hint="eastAsia"/>
          <w:b/>
          <w:sz w:val="72"/>
          <w:szCs w:val="72"/>
        </w:rPr>
        <w:t>招标文件</w:t>
      </w:r>
    </w:p>
    <w:p w14:paraId="2819DC55">
      <w:pPr>
        <w:spacing w:line="360" w:lineRule="auto"/>
        <w:ind w:firstLine="420" w:firstLineChars="200"/>
      </w:pPr>
    </w:p>
    <w:p w14:paraId="099D246E">
      <w:pPr>
        <w:spacing w:line="360" w:lineRule="auto"/>
        <w:ind w:firstLine="420" w:firstLineChars="200"/>
      </w:pPr>
    </w:p>
    <w:p w14:paraId="589C18BC">
      <w:pPr>
        <w:spacing w:line="360" w:lineRule="auto"/>
        <w:ind w:firstLine="420" w:firstLineChars="200"/>
      </w:pPr>
    </w:p>
    <w:p w14:paraId="5A9EA4CA">
      <w:pPr>
        <w:spacing w:line="360" w:lineRule="auto"/>
        <w:ind w:firstLine="420" w:firstLineChars="200"/>
      </w:pPr>
    </w:p>
    <w:p w14:paraId="0512425E">
      <w:pPr>
        <w:spacing w:line="360" w:lineRule="auto"/>
        <w:ind w:firstLine="420" w:firstLineChars="200"/>
      </w:pPr>
    </w:p>
    <w:p w14:paraId="6E903514">
      <w:pPr>
        <w:spacing w:line="360" w:lineRule="auto"/>
      </w:pPr>
    </w:p>
    <w:p w14:paraId="5ED4B8CC">
      <w:pPr>
        <w:spacing w:line="360" w:lineRule="auto"/>
      </w:pPr>
    </w:p>
    <w:p w14:paraId="15EB4026">
      <w:pPr>
        <w:spacing w:line="360" w:lineRule="auto"/>
        <w:ind w:firstLine="420" w:firstLineChars="200"/>
      </w:pPr>
    </w:p>
    <w:p w14:paraId="2975D251">
      <w:pPr>
        <w:spacing w:line="360" w:lineRule="auto"/>
        <w:jc w:val="center"/>
        <w:rPr>
          <w:rFonts w:hint="eastAsia"/>
          <w:b/>
          <w:sz w:val="30"/>
          <w:szCs w:val="30"/>
        </w:rPr>
      </w:pPr>
      <w:r>
        <w:rPr>
          <w:rFonts w:hint="eastAsia"/>
          <w:b/>
          <w:sz w:val="30"/>
          <w:szCs w:val="30"/>
        </w:rPr>
        <w:t>深圳市宝安区疾病预防控制中心</w:t>
      </w:r>
    </w:p>
    <w:p w14:paraId="780F4D7E">
      <w:pPr>
        <w:spacing w:line="360" w:lineRule="auto"/>
        <w:jc w:val="center"/>
        <w:rPr>
          <w:b/>
          <w:sz w:val="30"/>
          <w:szCs w:val="30"/>
        </w:rPr>
      </w:pPr>
      <w:r>
        <w:rPr>
          <w:rFonts w:hint="eastAsia"/>
          <w:b/>
          <w:sz w:val="30"/>
          <w:szCs w:val="30"/>
          <w:lang w:eastAsia="zh-CN"/>
        </w:rPr>
        <w:t>（</w:t>
      </w:r>
      <w:r>
        <w:rPr>
          <w:rFonts w:hint="eastAsia"/>
          <w:b/>
          <w:sz w:val="30"/>
          <w:szCs w:val="30"/>
          <w:lang w:val="en-US" w:eastAsia="zh-CN"/>
        </w:rPr>
        <w:t>深圳市宝安区卫生监督所</w:t>
      </w:r>
      <w:r>
        <w:rPr>
          <w:rFonts w:hint="eastAsia"/>
          <w:b/>
          <w:sz w:val="30"/>
          <w:szCs w:val="30"/>
          <w:lang w:eastAsia="zh-CN"/>
        </w:rPr>
        <w:t>）</w:t>
      </w:r>
    </w:p>
    <w:p w14:paraId="4E7C5FDB">
      <w:pPr>
        <w:spacing w:line="360" w:lineRule="auto"/>
        <w:jc w:val="center"/>
        <w:rPr>
          <w:b/>
          <w:sz w:val="30"/>
          <w:szCs w:val="30"/>
        </w:rPr>
      </w:pPr>
      <w:r>
        <w:rPr>
          <w:rFonts w:hint="eastAsia"/>
          <w:b/>
          <w:sz w:val="30"/>
          <w:szCs w:val="30"/>
        </w:rPr>
        <w:t>二〇二</w:t>
      </w:r>
      <w:r>
        <w:rPr>
          <w:rFonts w:hint="eastAsia"/>
          <w:b/>
          <w:sz w:val="30"/>
          <w:szCs w:val="30"/>
          <w:lang w:val="en-US" w:eastAsia="zh-CN"/>
        </w:rPr>
        <w:t>五</w:t>
      </w:r>
      <w:r>
        <w:rPr>
          <w:rFonts w:hint="eastAsia"/>
          <w:b/>
          <w:sz w:val="30"/>
          <w:szCs w:val="30"/>
        </w:rPr>
        <w:t>年</w:t>
      </w:r>
      <w:r>
        <w:rPr>
          <w:rFonts w:hint="eastAsia"/>
          <w:b/>
          <w:sz w:val="30"/>
          <w:szCs w:val="30"/>
          <w:lang w:val="en-US" w:eastAsia="zh-CN"/>
        </w:rPr>
        <w:t>十一</w:t>
      </w:r>
      <w:r>
        <w:rPr>
          <w:rFonts w:hint="eastAsia"/>
          <w:b/>
          <w:sz w:val="30"/>
          <w:szCs w:val="30"/>
        </w:rPr>
        <w:t>月</w:t>
      </w:r>
    </w:p>
    <w:p w14:paraId="2C0999F4">
      <w:pPr>
        <w:spacing w:line="360" w:lineRule="auto"/>
        <w:ind w:firstLine="420" w:firstLineChars="200"/>
      </w:pPr>
    </w:p>
    <w:p w14:paraId="031C4C3E">
      <w:pPr>
        <w:spacing w:line="360" w:lineRule="auto"/>
        <w:ind w:firstLine="420" w:firstLineChars="200"/>
        <w:sectPr>
          <w:headerReference r:id="rId3" w:type="default"/>
          <w:footerReference r:id="rId4" w:type="default"/>
          <w:pgSz w:w="11906" w:h="16838"/>
          <w:pgMar w:top="1418" w:right="1474" w:bottom="1418" w:left="1474" w:header="851" w:footer="992" w:gutter="0"/>
          <w:cols w:space="425" w:num="1"/>
          <w:docGrid w:type="lines" w:linePitch="312" w:charSpace="0"/>
        </w:sectPr>
      </w:pPr>
    </w:p>
    <w:p w14:paraId="3822372A">
      <w:pPr>
        <w:pStyle w:val="3"/>
      </w:pPr>
      <w:bookmarkStart w:id="0" w:name="_Toc61539108"/>
      <w:bookmarkStart w:id="1" w:name="_Toc86939328"/>
      <w:r>
        <w:rPr>
          <w:rFonts w:hint="eastAsia"/>
        </w:rPr>
        <w:t xml:space="preserve">第一章  </w:t>
      </w:r>
      <w:bookmarkEnd w:id="0"/>
      <w:r>
        <w:rPr>
          <w:rFonts w:hint="eastAsia"/>
        </w:rPr>
        <w:t>招标公告</w:t>
      </w:r>
      <w:bookmarkEnd w:id="1"/>
    </w:p>
    <w:p w14:paraId="50498E3F">
      <w:pPr>
        <w:spacing w:line="360" w:lineRule="auto"/>
        <w:ind w:firstLine="420" w:firstLineChars="200"/>
      </w:pPr>
      <w:bookmarkStart w:id="2" w:name="_Hlk69568487"/>
      <w:r>
        <w:rPr>
          <w:rFonts w:hint="eastAsia"/>
        </w:rPr>
        <w:t>深圳市宝安区疾病预防控制中心</w:t>
      </w:r>
      <w:bookmarkEnd w:id="2"/>
      <w:r>
        <w:rPr>
          <w:rFonts w:hint="eastAsia"/>
          <w:color w:val="000000" w:themeColor="text1"/>
          <w14:textFill>
            <w14:solidFill>
              <w14:schemeClr w14:val="tx1"/>
            </w14:solidFill>
          </w14:textFill>
        </w:rPr>
        <w:t>就</w:t>
      </w:r>
      <w:r>
        <w:rPr>
          <w:rFonts w:hint="eastAsia"/>
        </w:rPr>
        <w:t>采购疫苗处方推荐提醒服务项目接受以下投标人提交密封响应文件。有关事项如下：</w:t>
      </w:r>
    </w:p>
    <w:p w14:paraId="2E44EA54">
      <w:pPr>
        <w:pStyle w:val="6"/>
        <w:ind w:firstLine="482"/>
      </w:pPr>
      <w:bookmarkStart w:id="3" w:name="_Hlk69568538"/>
      <w:r>
        <w:rPr>
          <w:rFonts w:hint="eastAsia"/>
        </w:rPr>
        <w:t>一、项目基本信息</w:t>
      </w:r>
    </w:p>
    <w:p w14:paraId="1230A707">
      <w:pPr>
        <w:spacing w:line="360" w:lineRule="auto"/>
        <w:ind w:firstLine="420" w:firstLineChars="200"/>
        <w:rPr>
          <w:color w:val="000000" w:themeColor="text1"/>
          <w14:textFill>
            <w14:solidFill>
              <w14:schemeClr w14:val="tx1"/>
            </w14:solidFill>
          </w14:textFill>
        </w:rPr>
      </w:pPr>
      <w:r>
        <w:rPr>
          <w:rFonts w:hint="eastAsia"/>
        </w:rPr>
        <w:t>1、项</w:t>
      </w:r>
      <w:r>
        <w:rPr>
          <w:rFonts w:hint="eastAsia"/>
          <w:color w:val="000000" w:themeColor="text1"/>
          <w14:textFill>
            <w14:solidFill>
              <w14:schemeClr w14:val="tx1"/>
            </w14:solidFill>
          </w14:textFill>
        </w:rPr>
        <w:t>目名称：</w:t>
      </w:r>
      <w:r>
        <w:rPr>
          <w:rFonts w:hint="eastAsia"/>
          <w:color w:val="0000FF"/>
        </w:rPr>
        <w:t>疫苗处方推荐提醒服务项目</w:t>
      </w:r>
    </w:p>
    <w:p w14:paraId="4B18ECCE">
      <w:pPr>
        <w:spacing w:line="360" w:lineRule="auto"/>
        <w:ind w:firstLine="420" w:firstLineChars="200"/>
        <w:rPr>
          <w:rFonts w:hint="default" w:eastAsiaTheme="minorEastAsia"/>
          <w:lang w:val="en-US" w:eastAsia="zh-CN"/>
        </w:rPr>
      </w:pPr>
      <w:r>
        <w:rPr>
          <w:rFonts w:hint="eastAsia"/>
        </w:rPr>
        <w:t>2、</w:t>
      </w:r>
      <w:r>
        <w:t>项目编号：</w:t>
      </w:r>
      <w:r>
        <w:rPr>
          <w:rFonts w:hint="eastAsia"/>
          <w:lang w:eastAsia="zh-CN"/>
        </w:rPr>
        <w:t>BACDCCG20250</w:t>
      </w:r>
      <w:r>
        <w:rPr>
          <w:rFonts w:hint="eastAsia"/>
          <w:lang w:val="en-US" w:eastAsia="zh-CN"/>
        </w:rPr>
        <w:t>16</w:t>
      </w:r>
    </w:p>
    <w:p w14:paraId="2915F678">
      <w:pPr>
        <w:spacing w:line="360" w:lineRule="auto"/>
        <w:ind w:firstLine="420" w:firstLineChars="200"/>
      </w:pPr>
      <w:r>
        <w:rPr>
          <w:rFonts w:hint="eastAsia"/>
        </w:rPr>
        <w:t>3、项目类别：货物类</w:t>
      </w:r>
    </w:p>
    <w:p w14:paraId="47B4BA25">
      <w:pPr>
        <w:spacing w:line="360" w:lineRule="auto"/>
        <w:ind w:firstLine="420" w:firstLineChars="200"/>
      </w:pPr>
      <w:r>
        <w:t>4</w:t>
      </w:r>
      <w:r>
        <w:rPr>
          <w:rFonts w:hint="eastAsia"/>
        </w:rPr>
        <w:t>、</w:t>
      </w:r>
      <w:r>
        <w:t>采购单位：</w:t>
      </w:r>
      <w:r>
        <w:rPr>
          <w:rFonts w:hint="eastAsia"/>
        </w:rPr>
        <w:t>深圳市宝安区疾病预防控制中心</w:t>
      </w:r>
    </w:p>
    <w:p w14:paraId="77A380F1">
      <w:pPr>
        <w:spacing w:line="360" w:lineRule="auto"/>
        <w:ind w:firstLine="420" w:firstLineChars="200"/>
      </w:pPr>
      <w:r>
        <w:t>5</w:t>
      </w:r>
      <w:r>
        <w:rPr>
          <w:rFonts w:hint="eastAsia"/>
        </w:rPr>
        <w:t>、采购方式：公开招标</w:t>
      </w:r>
    </w:p>
    <w:p w14:paraId="2CAD69A2">
      <w:pPr>
        <w:spacing w:line="360" w:lineRule="auto"/>
        <w:ind w:firstLine="420" w:firstLineChars="200"/>
      </w:pPr>
      <w:r>
        <w:rPr>
          <w:rFonts w:hint="eastAsia"/>
        </w:rPr>
        <w:t>6、评标方法：</w:t>
      </w:r>
      <w:r>
        <w:rPr>
          <w:rFonts w:hint="eastAsia"/>
          <w:lang w:val="en-US" w:eastAsia="zh-CN"/>
        </w:rPr>
        <w:t>综合评分</w:t>
      </w:r>
      <w:r>
        <w:rPr>
          <w:rFonts w:hint="eastAsia"/>
        </w:rPr>
        <w:t>法</w:t>
      </w:r>
    </w:p>
    <w:bookmarkEnd w:id="3"/>
    <w:p w14:paraId="1C9D3DC6">
      <w:pPr>
        <w:pStyle w:val="6"/>
        <w:ind w:firstLine="482"/>
      </w:pPr>
      <w:r>
        <w:rPr>
          <w:rFonts w:hint="eastAsia"/>
        </w:rPr>
        <w:t>二、采购预算</w:t>
      </w:r>
    </w:p>
    <w:p w14:paraId="00304D3A">
      <w:pPr>
        <w:spacing w:line="360" w:lineRule="auto"/>
        <w:ind w:firstLine="420" w:firstLineChars="200"/>
      </w:pPr>
      <w:r>
        <w:rPr>
          <w:rFonts w:hint="eastAsia"/>
        </w:rPr>
        <w:t>本项目采购预算金额为</w:t>
      </w:r>
      <w:r>
        <w:rPr>
          <w:rFonts w:hint="eastAsia"/>
          <w:lang w:val="en-US" w:eastAsia="zh-CN"/>
        </w:rPr>
        <w:t>150000</w:t>
      </w:r>
      <w:r>
        <w:rPr>
          <w:rFonts w:hint="eastAsia"/>
        </w:rPr>
        <w:t>.00元。</w:t>
      </w:r>
    </w:p>
    <w:p w14:paraId="56D23D7A">
      <w:pPr>
        <w:pStyle w:val="6"/>
        <w:ind w:firstLine="482"/>
      </w:pPr>
      <w:bookmarkStart w:id="4" w:name="_Hlk69568757"/>
      <w:r>
        <w:rPr>
          <w:rFonts w:hint="eastAsia"/>
        </w:rPr>
        <w:t>三、需落实的采购政策</w:t>
      </w:r>
    </w:p>
    <w:p w14:paraId="12B711C7">
      <w:pPr>
        <w:spacing w:line="360" w:lineRule="auto"/>
        <w:ind w:firstLine="420" w:firstLineChars="200"/>
      </w:pPr>
      <w:r>
        <w:rPr>
          <w:rFonts w:hint="eastAsia"/>
        </w:rPr>
        <w:t>按照相关规定执行，详见采购需求标准。</w:t>
      </w:r>
    </w:p>
    <w:p w14:paraId="54E48530">
      <w:pPr>
        <w:pStyle w:val="6"/>
        <w:ind w:firstLine="482"/>
      </w:pPr>
      <w:r>
        <w:rPr>
          <w:rFonts w:hint="eastAsia"/>
        </w:rPr>
        <w:t>四、供应商资格要求</w:t>
      </w:r>
    </w:p>
    <w:p w14:paraId="17EDF4D1">
      <w:pPr>
        <w:spacing w:line="360" w:lineRule="auto"/>
        <w:ind w:firstLine="420" w:firstLineChars="200"/>
      </w:pPr>
      <w:r>
        <w:rPr>
          <w:rFonts w:hint="eastAsia"/>
        </w:rPr>
        <w:t>1、</w:t>
      </w:r>
      <w:bookmarkStart w:id="5" w:name="_Hlk145674892"/>
      <w:r>
        <w:rPr>
          <w:rFonts w:hint="eastAsia"/>
        </w:rPr>
        <w:t>投标人</w:t>
      </w:r>
      <w:bookmarkEnd w:id="5"/>
      <w:r>
        <w:rPr>
          <w:rFonts w:hint="eastAsia"/>
        </w:rPr>
        <w:t>必须是在中华人民共和国境内注册的独立法人或其他组织</w:t>
      </w:r>
      <w:bookmarkStart w:id="6" w:name="_Hlk145674976"/>
      <w:r>
        <w:rPr>
          <w:rFonts w:hint="eastAsia"/>
        </w:rPr>
        <w:t>（提供营业执照复印件）；</w:t>
      </w:r>
      <w:bookmarkEnd w:id="6"/>
    </w:p>
    <w:p w14:paraId="4D4C9845">
      <w:pPr>
        <w:spacing w:line="360" w:lineRule="auto"/>
        <w:ind w:firstLine="420" w:firstLineChars="200"/>
      </w:pPr>
      <w:r>
        <w:rPr>
          <w:rFonts w:hint="eastAsia"/>
        </w:rPr>
        <w:t>2、投标人参加本次政府采购活动前3年内在经营活动中没有重大违法记录（提供声明函）；</w:t>
      </w:r>
    </w:p>
    <w:p w14:paraId="6650B73B">
      <w:pPr>
        <w:spacing w:line="360" w:lineRule="auto"/>
        <w:ind w:firstLine="420" w:firstLineChars="200"/>
      </w:pPr>
      <w:r>
        <w:rPr>
          <w:rFonts w:hint="eastAsia"/>
        </w:rPr>
        <w:t>3、截至开标时间为止，未被深圳市各级政府采购主管部门行政处罚（指禁止参与政府采购活动且在有效期内）的投标人；</w:t>
      </w:r>
    </w:p>
    <w:p w14:paraId="695B0D8A">
      <w:pPr>
        <w:spacing w:line="360" w:lineRule="auto"/>
        <w:ind w:firstLine="420" w:firstLineChars="200"/>
      </w:pPr>
      <w:r>
        <w:rPr>
          <w:rFonts w:hint="eastAsia"/>
        </w:rPr>
        <w:t>4、通过“信用中国”网站（www.creditchina.gov.cn）和中国政府采购网（www.ccgp.gov.cn）查询信用记录（相关信息以中标通知书发出前的查询结果为准），被列入失信被执行人、重大税收违法案件当事人名单或政府采购严重违法失信行为记录名单的供应商，拒绝参与本项目的采购活动(网上查询)；</w:t>
      </w:r>
    </w:p>
    <w:p w14:paraId="7D15A032">
      <w:pPr>
        <w:spacing w:line="360" w:lineRule="auto"/>
        <w:ind w:firstLine="420" w:firstLineChars="200"/>
      </w:pPr>
      <w:r>
        <w:rPr>
          <w:rFonts w:hint="eastAsia"/>
        </w:rPr>
        <w:t>5、本项目不接受联合体投标。</w:t>
      </w:r>
    </w:p>
    <w:p w14:paraId="4680CD8F">
      <w:pPr>
        <w:pStyle w:val="6"/>
        <w:ind w:firstLine="482"/>
      </w:pPr>
      <w:r>
        <w:rPr>
          <w:rFonts w:hint="eastAsia"/>
        </w:rPr>
        <w:t>五、获取采购文件的时间、地点及方式</w:t>
      </w:r>
    </w:p>
    <w:bookmarkEnd w:id="4"/>
    <w:p w14:paraId="434AD16E">
      <w:pPr>
        <w:spacing w:line="360" w:lineRule="auto"/>
        <w:ind w:firstLine="420" w:firstLineChars="200"/>
        <w:rPr>
          <w:rFonts w:hint="eastAsia"/>
          <w:highlight w:val="yellow"/>
        </w:rPr>
      </w:pPr>
      <w:r>
        <w:rPr>
          <w:rFonts w:hint="eastAsia"/>
        </w:rPr>
        <w:t>1、获取招标文件时间：</w:t>
      </w:r>
      <w:r>
        <w:rPr>
          <w:rFonts w:hint="eastAsia"/>
          <w:highlight w:val="yellow"/>
        </w:rPr>
        <w:t>202</w:t>
      </w:r>
      <w:r>
        <w:rPr>
          <w:rFonts w:hint="eastAsia"/>
          <w:highlight w:val="yellow"/>
          <w:lang w:val="en-US" w:eastAsia="zh-CN"/>
        </w:rPr>
        <w:t>5</w:t>
      </w:r>
      <w:r>
        <w:rPr>
          <w:rFonts w:hint="eastAsia"/>
          <w:highlight w:val="yellow"/>
        </w:rPr>
        <w:t>年</w:t>
      </w:r>
      <w:r>
        <w:rPr>
          <w:rFonts w:hint="eastAsia"/>
          <w:highlight w:val="yellow"/>
          <w:lang w:val="en-US" w:eastAsia="zh-CN"/>
        </w:rPr>
        <w:t>11</w:t>
      </w:r>
      <w:r>
        <w:rPr>
          <w:rFonts w:hint="eastAsia"/>
          <w:highlight w:val="yellow"/>
        </w:rPr>
        <w:t>月</w:t>
      </w:r>
      <w:r>
        <w:rPr>
          <w:rFonts w:hint="eastAsia"/>
          <w:highlight w:val="yellow"/>
          <w:lang w:val="en-US" w:eastAsia="zh-CN"/>
        </w:rPr>
        <w:t>17</w:t>
      </w:r>
      <w:r>
        <w:rPr>
          <w:rFonts w:hint="eastAsia"/>
          <w:highlight w:val="yellow"/>
        </w:rPr>
        <w:t>日起至202</w:t>
      </w:r>
      <w:r>
        <w:rPr>
          <w:rFonts w:hint="eastAsia"/>
          <w:highlight w:val="yellow"/>
          <w:lang w:val="en-US" w:eastAsia="zh-CN"/>
        </w:rPr>
        <w:t>5</w:t>
      </w:r>
      <w:r>
        <w:rPr>
          <w:rFonts w:hint="eastAsia"/>
          <w:highlight w:val="yellow"/>
        </w:rPr>
        <w:t>年</w:t>
      </w:r>
      <w:r>
        <w:rPr>
          <w:rFonts w:hint="eastAsia"/>
          <w:highlight w:val="yellow"/>
          <w:lang w:val="en-US" w:eastAsia="zh-CN"/>
        </w:rPr>
        <w:t>11</w:t>
      </w:r>
      <w:r>
        <w:rPr>
          <w:rFonts w:hint="eastAsia"/>
          <w:highlight w:val="yellow"/>
        </w:rPr>
        <w:t>月</w:t>
      </w:r>
      <w:r>
        <w:rPr>
          <w:rFonts w:hint="eastAsia"/>
          <w:highlight w:val="yellow"/>
          <w:lang w:val="en-US" w:eastAsia="zh-CN"/>
        </w:rPr>
        <w:t>24</w:t>
      </w:r>
      <w:r>
        <w:rPr>
          <w:rFonts w:hint="eastAsia"/>
          <w:highlight w:val="yellow"/>
        </w:rPr>
        <w:t>日</w:t>
      </w:r>
    </w:p>
    <w:p w14:paraId="133E1003">
      <w:pPr>
        <w:spacing w:line="360" w:lineRule="auto"/>
        <w:ind w:firstLine="420" w:firstLineChars="200"/>
        <w:rPr>
          <w:rFonts w:hint="default" w:eastAsiaTheme="minorEastAsia"/>
          <w:lang w:val="en-US" w:eastAsia="zh-CN"/>
        </w:rPr>
      </w:pPr>
      <w:r>
        <w:rPr>
          <w:rFonts w:hint="eastAsia"/>
        </w:rPr>
        <w:t>2、获取招标文件地点：</w:t>
      </w:r>
      <w:r>
        <w:rPr>
          <w:rFonts w:hint="eastAsia"/>
          <w:lang w:val="en-US" w:eastAsia="zh-CN"/>
        </w:rPr>
        <w:t>线上下载</w:t>
      </w:r>
    </w:p>
    <w:p w14:paraId="2BD0B0C9">
      <w:pPr>
        <w:spacing w:line="360" w:lineRule="auto"/>
        <w:ind w:firstLine="420" w:firstLineChars="200"/>
      </w:pPr>
      <w:r>
        <w:rPr>
          <w:rFonts w:hint="eastAsia"/>
          <w:lang w:val="en-US" w:eastAsia="zh-CN"/>
        </w:rPr>
        <w:t>3</w:t>
      </w:r>
      <w:r>
        <w:rPr>
          <w:rFonts w:hint="eastAsia"/>
        </w:rPr>
        <w:t>、联系人：</w:t>
      </w:r>
      <w:r>
        <w:rPr>
          <w:rFonts w:hint="eastAsia"/>
          <w:lang w:val="en-US" w:eastAsia="zh-CN"/>
        </w:rPr>
        <w:t>姜</w:t>
      </w:r>
      <w:r>
        <w:rPr>
          <w:rFonts w:hint="eastAsia"/>
        </w:rPr>
        <w:t>工</w:t>
      </w:r>
    </w:p>
    <w:p w14:paraId="001ACD70">
      <w:pPr>
        <w:spacing w:line="360" w:lineRule="auto"/>
        <w:ind w:firstLine="420" w:firstLineChars="200"/>
        <w:rPr>
          <w:rFonts w:hint="eastAsia" w:eastAsiaTheme="minorEastAsia"/>
          <w:lang w:eastAsia="zh-CN"/>
        </w:rPr>
      </w:pPr>
      <w:r>
        <w:rPr>
          <w:rFonts w:hint="eastAsia"/>
        </w:rPr>
        <w:t>5、联系电话：</w:t>
      </w:r>
      <w:r>
        <w:t xml:space="preserve">0755- </w:t>
      </w:r>
      <w:r>
        <w:rPr>
          <w:rFonts w:hint="eastAsia"/>
          <w:lang w:eastAsia="zh-CN"/>
        </w:rPr>
        <w:t>27751586</w:t>
      </w:r>
    </w:p>
    <w:p w14:paraId="1F4800EE">
      <w:pPr>
        <w:pStyle w:val="6"/>
        <w:ind w:firstLine="482"/>
      </w:pPr>
      <w:r>
        <w:rPr>
          <w:rFonts w:hint="eastAsia"/>
        </w:rPr>
        <w:t>六、投标截止时间</w:t>
      </w:r>
    </w:p>
    <w:p w14:paraId="285869A1">
      <w:pPr>
        <w:spacing w:line="360" w:lineRule="auto"/>
        <w:ind w:firstLine="420" w:firstLineChars="200"/>
      </w:pPr>
      <w:r>
        <w:rPr>
          <w:rFonts w:hint="eastAsia"/>
        </w:rPr>
        <w:t>1、递交投标文件时间：</w:t>
      </w:r>
      <w:r>
        <w:rPr>
          <w:rFonts w:hint="eastAsia"/>
          <w:highlight w:val="yellow"/>
        </w:rPr>
        <w:t>202</w:t>
      </w:r>
      <w:r>
        <w:rPr>
          <w:rFonts w:hint="eastAsia"/>
          <w:highlight w:val="yellow"/>
          <w:lang w:val="en-US" w:eastAsia="zh-CN"/>
        </w:rPr>
        <w:t>5</w:t>
      </w:r>
      <w:r>
        <w:rPr>
          <w:rFonts w:hint="eastAsia"/>
          <w:highlight w:val="yellow"/>
        </w:rPr>
        <w:t>年</w:t>
      </w:r>
      <w:r>
        <w:rPr>
          <w:rFonts w:hint="eastAsia"/>
          <w:highlight w:val="yellow"/>
          <w:lang w:val="en-US" w:eastAsia="zh-CN"/>
        </w:rPr>
        <w:t>11</w:t>
      </w:r>
      <w:r>
        <w:rPr>
          <w:rFonts w:hint="eastAsia"/>
          <w:highlight w:val="yellow"/>
        </w:rPr>
        <w:t>月</w:t>
      </w:r>
      <w:r>
        <w:rPr>
          <w:rFonts w:hint="eastAsia"/>
          <w:highlight w:val="yellow"/>
          <w:lang w:val="en-US" w:eastAsia="zh-CN"/>
        </w:rPr>
        <w:t>24</w:t>
      </w:r>
      <w:r>
        <w:rPr>
          <w:rFonts w:hint="eastAsia"/>
          <w:highlight w:val="yellow"/>
        </w:rPr>
        <w:t>日</w:t>
      </w:r>
      <w:r>
        <w:rPr>
          <w:rFonts w:hint="eastAsia"/>
        </w:rPr>
        <w:t>下午1</w:t>
      </w:r>
      <w:r>
        <w:rPr>
          <w:rFonts w:hint="eastAsia"/>
          <w:lang w:val="en-US" w:eastAsia="zh-CN"/>
        </w:rPr>
        <w:t>8</w:t>
      </w:r>
      <w:r>
        <w:rPr>
          <w:rFonts w:hint="eastAsia"/>
        </w:rPr>
        <w:t>：</w:t>
      </w:r>
      <w:r>
        <w:t>0</w:t>
      </w:r>
      <w:r>
        <w:rPr>
          <w:rFonts w:hint="eastAsia"/>
        </w:rPr>
        <w:t>0前（可快递，以签收时间为准）。</w:t>
      </w:r>
    </w:p>
    <w:p w14:paraId="62D90C12">
      <w:pPr>
        <w:spacing w:line="360" w:lineRule="auto"/>
        <w:ind w:firstLine="420" w:firstLineChars="200"/>
      </w:pPr>
      <w:r>
        <w:t>2</w:t>
      </w:r>
      <w:r>
        <w:rPr>
          <w:rFonts w:hint="eastAsia"/>
        </w:rPr>
        <w:t>、递交投标文件地点：深圳市宝安区海秀路3号（深圳市宝安区疾病预防控制中心）</w:t>
      </w:r>
      <w:r>
        <w:rPr>
          <w:rFonts w:hint="eastAsia"/>
          <w:lang w:val="en-US" w:eastAsia="zh-CN"/>
        </w:rPr>
        <w:t>525，</w:t>
      </w:r>
      <w:r>
        <w:rPr>
          <w:rFonts w:hint="eastAsia"/>
        </w:rPr>
        <w:t>如无法进入大楼可放置保安室。</w:t>
      </w:r>
    </w:p>
    <w:p w14:paraId="3BB0EC6D">
      <w:pPr>
        <w:pStyle w:val="6"/>
        <w:ind w:firstLine="482"/>
      </w:pPr>
      <w:r>
        <w:rPr>
          <w:rFonts w:hint="eastAsia"/>
        </w:rPr>
        <w:t>七、采购公告查询：</w:t>
      </w:r>
    </w:p>
    <w:p w14:paraId="0D6ADBEE">
      <w:pPr>
        <w:spacing w:line="360" w:lineRule="auto"/>
        <w:ind w:firstLine="420" w:firstLineChars="200"/>
      </w:pPr>
      <w:r>
        <w:rPr>
          <w:rFonts w:hint="eastAsia"/>
        </w:rPr>
        <w:t>https://www.bawjxt.net/baqjbyfkzzx/(深圳市宝安区疾病预防控制中心官网)</w:t>
      </w:r>
    </w:p>
    <w:p w14:paraId="5783F421">
      <w:pPr>
        <w:spacing w:line="360" w:lineRule="auto"/>
        <w:ind w:firstLine="420" w:firstLineChars="200"/>
      </w:pPr>
    </w:p>
    <w:p w14:paraId="7C397871">
      <w:pPr>
        <w:spacing w:line="360" w:lineRule="auto"/>
        <w:ind w:firstLine="420" w:firstLineChars="200"/>
      </w:pPr>
    </w:p>
    <w:p w14:paraId="4FBE17F7">
      <w:pPr>
        <w:spacing w:line="360" w:lineRule="auto"/>
        <w:ind w:firstLine="5460" w:firstLineChars="2600"/>
        <w:rPr>
          <w:rFonts w:hint="eastAsia"/>
        </w:rPr>
      </w:pPr>
      <w:r>
        <w:rPr>
          <w:rFonts w:hint="eastAsia"/>
        </w:rPr>
        <w:t>深圳市宝安区疾病预防控制中心</w:t>
      </w:r>
    </w:p>
    <w:p w14:paraId="43CE7AD1">
      <w:pPr>
        <w:spacing w:line="360" w:lineRule="auto"/>
        <w:ind w:firstLine="5460" w:firstLineChars="2600"/>
        <w:rPr>
          <w:rFonts w:hint="eastAsia" w:eastAsiaTheme="minorEastAsia"/>
          <w:lang w:eastAsia="zh-CN"/>
        </w:rPr>
      </w:pPr>
      <w:r>
        <w:rPr>
          <w:rFonts w:hint="eastAsia"/>
          <w:lang w:eastAsia="zh-CN"/>
        </w:rPr>
        <w:t>（</w:t>
      </w:r>
      <w:r>
        <w:rPr>
          <w:rFonts w:hint="eastAsia"/>
          <w:lang w:val="en-US" w:eastAsia="zh-CN"/>
        </w:rPr>
        <w:t>深圳市宝安区卫生监督所</w:t>
      </w:r>
      <w:r>
        <w:rPr>
          <w:rFonts w:hint="eastAsia"/>
          <w:lang w:eastAsia="zh-CN"/>
        </w:rPr>
        <w:t>）</w:t>
      </w:r>
    </w:p>
    <w:p w14:paraId="1FE86B6C">
      <w:pPr>
        <w:spacing w:line="360" w:lineRule="auto"/>
        <w:ind w:firstLine="5880" w:firstLineChars="2800"/>
      </w:pPr>
      <w:r>
        <w:rPr>
          <w:rFonts w:hint="eastAsia"/>
        </w:rPr>
        <w:t>2</w:t>
      </w:r>
      <w:r>
        <w:t>02</w:t>
      </w:r>
      <w:r>
        <w:rPr>
          <w:rFonts w:hint="eastAsia"/>
          <w:lang w:val="en-US" w:eastAsia="zh-CN"/>
        </w:rPr>
        <w:t>5</w:t>
      </w:r>
      <w:r>
        <w:rPr>
          <w:rFonts w:hint="eastAsia"/>
        </w:rPr>
        <w:t>年</w:t>
      </w:r>
      <w:r>
        <w:rPr>
          <w:rFonts w:hint="eastAsia"/>
          <w:lang w:val="en-US" w:eastAsia="zh-CN"/>
        </w:rPr>
        <w:t>11</w:t>
      </w:r>
      <w:r>
        <w:rPr>
          <w:rFonts w:hint="eastAsia"/>
        </w:rPr>
        <w:t>月</w:t>
      </w:r>
      <w:r>
        <w:rPr>
          <w:rFonts w:hint="eastAsia"/>
          <w:lang w:val="en-US" w:eastAsia="zh-CN"/>
        </w:rPr>
        <w:t>17</w:t>
      </w:r>
      <w:r>
        <w:rPr>
          <w:rFonts w:hint="eastAsia"/>
        </w:rPr>
        <w:t>日</w:t>
      </w:r>
    </w:p>
    <w:p w14:paraId="4EEFC1AD">
      <w:pPr>
        <w:spacing w:line="360" w:lineRule="auto"/>
        <w:ind w:firstLine="420" w:firstLineChars="200"/>
        <w:sectPr>
          <w:pgSz w:w="11906" w:h="16838"/>
          <w:pgMar w:top="1418" w:right="1474" w:bottom="1418" w:left="1474" w:header="851" w:footer="992" w:gutter="0"/>
          <w:cols w:space="425" w:num="1"/>
          <w:docGrid w:type="lines" w:linePitch="312" w:charSpace="0"/>
        </w:sectPr>
      </w:pPr>
    </w:p>
    <w:p w14:paraId="68E0E3FF">
      <w:pPr>
        <w:pStyle w:val="3"/>
      </w:pPr>
      <w:bookmarkStart w:id="7" w:name="_Toc86939329"/>
      <w:bookmarkStart w:id="8" w:name="_Toc61539109"/>
      <w:r>
        <w:rPr>
          <w:rFonts w:hint="eastAsia"/>
        </w:rPr>
        <w:t>第二章  用户需求书</w:t>
      </w:r>
      <w:bookmarkEnd w:id="7"/>
      <w:bookmarkEnd w:id="8"/>
    </w:p>
    <w:p w14:paraId="53BC6BE8">
      <w:pPr>
        <w:pStyle w:val="4"/>
        <w:rPr>
          <w:rFonts w:hint="eastAsia"/>
          <w:lang w:val="en-US" w:eastAsia="zh-CN"/>
        </w:rPr>
      </w:pPr>
      <w:bookmarkStart w:id="9" w:name="_Toc86939330"/>
      <w:bookmarkStart w:id="10" w:name="_Toc86741961"/>
      <w:r>
        <w:rPr>
          <w:rFonts w:hint="eastAsia"/>
        </w:rPr>
        <w:t>一、</w:t>
      </w:r>
      <w:r>
        <w:rPr>
          <w:rFonts w:hint="eastAsia"/>
          <w:lang w:val="en-US" w:eastAsia="zh-CN"/>
        </w:rPr>
        <w:t>需求内容</w:t>
      </w:r>
    </w:p>
    <w:p w14:paraId="79E0CCF6">
      <w:pPr>
        <w:rPr>
          <w:rFonts w:hint="eastAsia" w:asciiTheme="minorEastAsia" w:hAnsiTheme="minorEastAsia"/>
          <w:b/>
          <w:bCs/>
          <w:color w:val="0000FF"/>
          <w:szCs w:val="21"/>
          <w:lang w:val="en-US" w:eastAsia="zh-CN"/>
        </w:rPr>
      </w:pPr>
      <w:r>
        <w:rPr>
          <w:rFonts w:hint="eastAsia" w:asciiTheme="minorEastAsia" w:hAnsiTheme="minorEastAsia"/>
          <w:b/>
          <w:bCs/>
          <w:color w:val="0000FF"/>
          <w:szCs w:val="21"/>
          <w:lang w:val="en-US" w:eastAsia="zh-CN"/>
        </w:rPr>
        <w:t>1.项目背景</w:t>
      </w:r>
    </w:p>
    <w:p w14:paraId="525DF469">
      <w:pPr>
        <w:ind w:firstLine="420" w:firstLineChars="200"/>
        <w:rPr>
          <w:rFonts w:hint="eastAsia" w:asciiTheme="minorEastAsia" w:hAnsiTheme="minorEastAsia"/>
          <w:b/>
          <w:bCs/>
          <w:color w:val="0000FF"/>
          <w:szCs w:val="21"/>
          <w:lang w:val="en-US" w:eastAsia="zh-CN"/>
        </w:rPr>
      </w:pPr>
      <w:r>
        <w:rPr>
          <w:rFonts w:hint="eastAsia" w:eastAsia="宋体"/>
          <w:color w:val="0000FF"/>
        </w:rPr>
        <w:t>在基层医疗机构将预防接种服务与基本医疗服务相结合，将预防接种作为全科医学服务的重要组成部分，推动全科医学的预防接种服务创新改革；加大全科医生参与预防接种工作力度，落实全生命周期预防接种，发挥疫苗在医防融合中的突出作用。充分发挥“数智化”技术优势，在基层医疗机构全面推行预防接种“数智化”服务能力提升，以信息化手段打通疫苗接种与全科诊疗“最后一公里”。依托原有公卫督导系统，以“诊间触发、秒级提醒、一键开方、接种闭环”为主线，通过数智化手段推动全科医生工作站与疫苗信息融合。实时归集居民基本信息、既往接种史、过敏史及慢病患者档案，精准锁定疫苗接种适宜人群、及时接种提醒，增强市民对疫苗接种的认知和依从性，提高疫苗接种率，实现 “防”“治” 结合的双重效果；同步构建动态监测机制，对接种转介服务数据进行动态分析，持续提升区域免疫规划水平。</w:t>
      </w:r>
    </w:p>
    <w:p w14:paraId="3628FC8A">
      <w:pPr>
        <w:rPr>
          <w:rFonts w:asciiTheme="minorEastAsia" w:hAnsiTheme="minorEastAsia"/>
          <w:b/>
          <w:bCs/>
          <w:color w:val="0000FF"/>
          <w:szCs w:val="21"/>
        </w:rPr>
      </w:pPr>
      <w:r>
        <w:rPr>
          <w:rFonts w:hint="eastAsia" w:asciiTheme="minorEastAsia" w:hAnsiTheme="minorEastAsia"/>
          <w:b/>
          <w:bCs/>
          <w:color w:val="0000FF"/>
          <w:szCs w:val="21"/>
          <w:lang w:val="en-US" w:eastAsia="zh-CN"/>
        </w:rPr>
        <w:t>2</w:t>
      </w:r>
      <w:r>
        <w:rPr>
          <w:rFonts w:hint="eastAsia" w:asciiTheme="minorEastAsia" w:hAnsiTheme="minorEastAsia"/>
          <w:b/>
          <w:bCs/>
          <w:color w:val="0000FF"/>
          <w:szCs w:val="21"/>
          <w:lang w:eastAsia="zh-CN"/>
        </w:rPr>
        <w:t>.</w:t>
      </w:r>
      <w:r>
        <w:rPr>
          <w:rFonts w:hint="eastAsia" w:asciiTheme="minorEastAsia" w:hAnsiTheme="minorEastAsia"/>
          <w:b/>
          <w:bCs/>
          <w:color w:val="0000FF"/>
          <w:szCs w:val="21"/>
        </w:rPr>
        <w:t>技术服务要求</w:t>
      </w:r>
    </w:p>
    <w:p w14:paraId="1B1A1F41">
      <w:pPr>
        <w:pStyle w:val="18"/>
        <w:spacing w:after="78"/>
        <w:ind w:left="0" w:leftChars="0" w:firstLine="420"/>
        <w:rPr>
          <w:rFonts w:hint="eastAsia"/>
          <w:color w:val="0000FF"/>
          <w:lang w:val="en-US" w:eastAsia="zh-CN"/>
        </w:rPr>
      </w:pPr>
      <w:r>
        <w:rPr>
          <w:rFonts w:eastAsia="宋体"/>
          <w:color w:val="0000FF"/>
        </w:rPr>
        <w:t>围绕“预防接种数智化服务能力提升”目标，依托现有公卫督导系统，通过本地化</w:t>
      </w:r>
      <w:r>
        <w:rPr>
          <w:rFonts w:hint="eastAsia" w:eastAsia="宋体"/>
          <w:color w:val="0000FF"/>
        </w:rPr>
        <w:t>服务工具</w:t>
      </w:r>
      <w:r>
        <w:rPr>
          <w:rFonts w:eastAsia="宋体"/>
          <w:color w:val="0000FF"/>
        </w:rPr>
        <w:t>部署</w:t>
      </w:r>
      <w:r>
        <w:rPr>
          <w:rFonts w:hint="eastAsia" w:eastAsia="宋体"/>
          <w:color w:val="0000FF"/>
        </w:rPr>
        <w:t>实现社康服务信息系统与免疫规划信息管理系统数据</w:t>
      </w:r>
      <w:r>
        <w:rPr>
          <w:rFonts w:eastAsia="宋体"/>
          <w:color w:val="0000FF"/>
        </w:rPr>
        <w:t>融合，</w:t>
      </w:r>
      <w:r>
        <w:rPr>
          <w:rFonts w:hint="eastAsia" w:eastAsia="宋体"/>
          <w:color w:val="0000FF"/>
        </w:rPr>
        <w:t>完成</w:t>
      </w:r>
      <w:r>
        <w:rPr>
          <w:rFonts w:eastAsia="宋体"/>
          <w:color w:val="0000FF"/>
        </w:rPr>
        <w:t>全科诊疗与预防接种服务的深度联动</w:t>
      </w:r>
      <w:r>
        <w:rPr>
          <w:rFonts w:hint="eastAsia" w:eastAsia="宋体"/>
          <w:color w:val="0000FF"/>
          <w:lang w:eastAsia="zh-CN"/>
        </w:rPr>
        <w:t>；</w:t>
      </w:r>
      <w:r>
        <w:rPr>
          <w:rFonts w:hint="eastAsia" w:ascii="Times New Roman" w:hAnsi="Times New Roman" w:eastAsia="宋体" w:cs="Times New Roman"/>
          <w:color w:val="0000FF"/>
        </w:rPr>
        <w:t>提供满足</w:t>
      </w:r>
      <w:r>
        <w:rPr>
          <w:rFonts w:ascii="Times New Roman" w:hAnsi="Times New Roman" w:eastAsia="宋体" w:cs="Times New Roman"/>
          <w:color w:val="0000FF"/>
        </w:rPr>
        <w:t>辖区内</w:t>
      </w:r>
      <w:r>
        <w:rPr>
          <w:rFonts w:hint="eastAsia" w:ascii="Times New Roman" w:hAnsi="Times New Roman" w:eastAsia="宋体" w:cs="Times New Roman"/>
          <w:color w:val="0000FF"/>
        </w:rPr>
        <w:t>所有</w:t>
      </w:r>
      <w:r>
        <w:rPr>
          <w:rFonts w:hint="eastAsia" w:cs="Times New Roman"/>
          <w:color w:val="0000FF"/>
          <w:lang w:val="en-US" w:eastAsia="zh-CN"/>
        </w:rPr>
        <w:t>约220间</w:t>
      </w:r>
      <w:r>
        <w:rPr>
          <w:rFonts w:ascii="Times New Roman" w:hAnsi="Times New Roman" w:eastAsia="宋体" w:cs="Times New Roman"/>
          <w:color w:val="0000FF"/>
        </w:rPr>
        <w:t>社康服务中心的</w:t>
      </w:r>
      <w:r>
        <w:rPr>
          <w:rFonts w:hint="eastAsia" w:ascii="Times New Roman" w:hAnsi="Times New Roman" w:eastAsia="宋体" w:cs="Times New Roman"/>
          <w:color w:val="0000FF"/>
        </w:rPr>
        <w:t>疫苗提醒技术服务</w:t>
      </w:r>
      <w:r>
        <w:rPr>
          <w:rFonts w:eastAsia="宋体"/>
          <w:color w:val="0000FF"/>
        </w:rPr>
        <w:t>。</w:t>
      </w:r>
      <w:r>
        <w:rPr>
          <w:rFonts w:hint="eastAsia" w:eastAsia="宋体"/>
          <w:color w:val="0000FF"/>
        </w:rPr>
        <w:t>服务工具</w:t>
      </w:r>
      <w:r>
        <w:rPr>
          <w:rFonts w:hint="eastAsia"/>
          <w:color w:val="0000FF"/>
          <w:lang w:val="en-US" w:eastAsia="zh-CN"/>
        </w:rPr>
        <w:t>包括以下功能模块。</w:t>
      </w:r>
    </w:p>
    <w:p w14:paraId="329BDC6E">
      <w:pPr>
        <w:pStyle w:val="18"/>
        <w:spacing w:after="78"/>
        <w:ind w:left="0" w:leftChars="0" w:firstLine="420"/>
        <w:rPr>
          <w:rFonts w:hint="default"/>
          <w:color w:val="0000FF"/>
          <w:lang w:val="en-US" w:eastAsia="zh-CN"/>
        </w:rPr>
      </w:pPr>
    </w:p>
    <w:tbl>
      <w:tblPr>
        <w:tblStyle w:val="19"/>
        <w:tblW w:w="0" w:type="auto"/>
        <w:tblInd w:w="0" w:type="dxa"/>
        <w:tblLayout w:type="autofit"/>
        <w:tblCellMar>
          <w:top w:w="0" w:type="dxa"/>
          <w:left w:w="108" w:type="dxa"/>
          <w:bottom w:w="0" w:type="dxa"/>
          <w:right w:w="108" w:type="dxa"/>
        </w:tblCellMar>
      </w:tblPr>
      <w:tblGrid>
        <w:gridCol w:w="638"/>
        <w:gridCol w:w="757"/>
        <w:gridCol w:w="1559"/>
        <w:gridCol w:w="6140"/>
      </w:tblGrid>
      <w:tr w14:paraId="4FF40942">
        <w:tblPrEx>
          <w:tblCellMar>
            <w:top w:w="0" w:type="dxa"/>
            <w:left w:w="108" w:type="dxa"/>
            <w:bottom w:w="0" w:type="dxa"/>
            <w:right w:w="108" w:type="dxa"/>
          </w:tblCellMar>
        </w:tblPrEx>
        <w:trPr>
          <w:trHeight w:val="280" w:hRule="atLeast"/>
        </w:trPr>
        <w:tc>
          <w:tcPr>
            <w:tcW w:w="638" w:type="dxa"/>
            <w:tcBorders>
              <w:top w:val="single" w:color="auto" w:sz="4" w:space="0"/>
              <w:left w:val="single" w:color="auto" w:sz="4" w:space="0"/>
              <w:bottom w:val="single" w:color="auto" w:sz="4" w:space="0"/>
              <w:right w:val="single" w:color="auto" w:sz="4" w:space="0"/>
            </w:tcBorders>
            <w:noWrap/>
            <w:vAlign w:val="center"/>
          </w:tcPr>
          <w:p w14:paraId="79E5D0D9">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序号</w:t>
            </w:r>
          </w:p>
        </w:tc>
        <w:tc>
          <w:tcPr>
            <w:tcW w:w="757" w:type="dxa"/>
            <w:tcBorders>
              <w:top w:val="single" w:color="auto" w:sz="4" w:space="0"/>
              <w:left w:val="nil"/>
              <w:bottom w:val="single" w:color="auto" w:sz="4" w:space="0"/>
              <w:right w:val="single" w:color="auto" w:sz="4" w:space="0"/>
            </w:tcBorders>
            <w:noWrap/>
            <w:vAlign w:val="bottom"/>
          </w:tcPr>
          <w:p w14:paraId="67FBAA09">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模块</w:t>
            </w:r>
          </w:p>
        </w:tc>
        <w:tc>
          <w:tcPr>
            <w:tcW w:w="1559" w:type="dxa"/>
            <w:tcBorders>
              <w:top w:val="single" w:color="auto" w:sz="4" w:space="0"/>
              <w:left w:val="nil"/>
              <w:bottom w:val="single" w:color="auto" w:sz="4" w:space="0"/>
              <w:right w:val="single" w:color="auto" w:sz="4" w:space="0"/>
            </w:tcBorders>
            <w:noWrap/>
            <w:vAlign w:val="bottom"/>
          </w:tcPr>
          <w:p w14:paraId="2265E0E6">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功能</w:t>
            </w:r>
          </w:p>
        </w:tc>
        <w:tc>
          <w:tcPr>
            <w:tcW w:w="6140" w:type="dxa"/>
            <w:tcBorders>
              <w:top w:val="single" w:color="auto" w:sz="4" w:space="0"/>
              <w:left w:val="nil"/>
              <w:bottom w:val="single" w:color="auto" w:sz="4" w:space="0"/>
              <w:right w:val="single" w:color="auto" w:sz="4" w:space="0"/>
            </w:tcBorders>
            <w:noWrap/>
            <w:vAlign w:val="bottom"/>
          </w:tcPr>
          <w:p w14:paraId="2A79A038">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详细内容</w:t>
            </w:r>
          </w:p>
        </w:tc>
      </w:tr>
      <w:tr w14:paraId="1276EFC9">
        <w:tblPrEx>
          <w:tblCellMar>
            <w:top w:w="0" w:type="dxa"/>
            <w:left w:w="108" w:type="dxa"/>
            <w:bottom w:w="0" w:type="dxa"/>
            <w:right w:w="108" w:type="dxa"/>
          </w:tblCellMar>
        </w:tblPrEx>
        <w:trPr>
          <w:trHeight w:val="560" w:hRule="atLeast"/>
        </w:trPr>
        <w:tc>
          <w:tcPr>
            <w:tcW w:w="638" w:type="dxa"/>
            <w:tcBorders>
              <w:top w:val="nil"/>
              <w:left w:val="single" w:color="auto" w:sz="4" w:space="0"/>
              <w:bottom w:val="single" w:color="auto" w:sz="4" w:space="0"/>
              <w:right w:val="single" w:color="auto" w:sz="4" w:space="0"/>
            </w:tcBorders>
            <w:noWrap/>
            <w:vAlign w:val="center"/>
          </w:tcPr>
          <w:p w14:paraId="696F7526">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757" w:type="dxa"/>
            <w:tcBorders>
              <w:top w:val="nil"/>
              <w:left w:val="nil"/>
              <w:bottom w:val="single" w:color="auto" w:sz="4" w:space="0"/>
              <w:right w:val="single" w:color="auto" w:sz="4" w:space="0"/>
            </w:tcBorders>
            <w:vAlign w:val="center"/>
          </w:tcPr>
          <w:p w14:paraId="7BD23638">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多源数据融合</w:t>
            </w:r>
          </w:p>
        </w:tc>
        <w:tc>
          <w:tcPr>
            <w:tcW w:w="1559" w:type="dxa"/>
            <w:tcBorders>
              <w:top w:val="nil"/>
              <w:left w:val="nil"/>
              <w:bottom w:val="single" w:color="auto" w:sz="4" w:space="0"/>
              <w:right w:val="single" w:color="auto" w:sz="4" w:space="0"/>
            </w:tcBorders>
            <w:vAlign w:val="center"/>
          </w:tcPr>
          <w:p w14:paraId="3E7E986A">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数据融合</w:t>
            </w:r>
          </w:p>
        </w:tc>
        <w:tc>
          <w:tcPr>
            <w:tcW w:w="6140" w:type="dxa"/>
            <w:tcBorders>
              <w:top w:val="nil"/>
              <w:left w:val="nil"/>
              <w:bottom w:val="single" w:color="auto" w:sz="4" w:space="0"/>
              <w:right w:val="single" w:color="auto" w:sz="4" w:space="0"/>
            </w:tcBorders>
            <w:vAlign w:val="center"/>
          </w:tcPr>
          <w:p w14:paraId="718FF017">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对基层医疗机构社康服务信息系统、免疫规划信息管理系统进行数据融合，实现居民健康档案、慢性病档案、门诊病历、过敏史、既往接种记录数据的实时汇聚</w:t>
            </w:r>
          </w:p>
        </w:tc>
      </w:tr>
      <w:tr w14:paraId="7A5FF293">
        <w:tblPrEx>
          <w:tblCellMar>
            <w:top w:w="0" w:type="dxa"/>
            <w:left w:w="108" w:type="dxa"/>
            <w:bottom w:w="0" w:type="dxa"/>
            <w:right w:w="108" w:type="dxa"/>
          </w:tblCellMar>
        </w:tblPrEx>
        <w:trPr>
          <w:trHeight w:val="840" w:hRule="atLeast"/>
        </w:trPr>
        <w:tc>
          <w:tcPr>
            <w:tcW w:w="638" w:type="dxa"/>
            <w:tcBorders>
              <w:top w:val="nil"/>
              <w:left w:val="single" w:color="auto" w:sz="4" w:space="0"/>
              <w:bottom w:val="single" w:color="auto" w:sz="4" w:space="0"/>
              <w:right w:val="single" w:color="auto" w:sz="4" w:space="0"/>
            </w:tcBorders>
            <w:noWrap/>
            <w:vAlign w:val="center"/>
          </w:tcPr>
          <w:p w14:paraId="4D48F846">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w:t>
            </w:r>
          </w:p>
        </w:tc>
        <w:tc>
          <w:tcPr>
            <w:tcW w:w="757" w:type="dxa"/>
            <w:vMerge w:val="restart"/>
            <w:tcBorders>
              <w:top w:val="nil"/>
              <w:left w:val="single" w:color="auto" w:sz="4" w:space="0"/>
              <w:bottom w:val="single" w:color="auto" w:sz="4" w:space="0"/>
              <w:right w:val="single" w:color="auto" w:sz="4" w:space="0"/>
            </w:tcBorders>
            <w:noWrap/>
            <w:vAlign w:val="center"/>
          </w:tcPr>
          <w:p w14:paraId="435566E0">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疫苗提醒配置</w:t>
            </w:r>
          </w:p>
        </w:tc>
        <w:tc>
          <w:tcPr>
            <w:tcW w:w="1559" w:type="dxa"/>
            <w:tcBorders>
              <w:top w:val="nil"/>
              <w:left w:val="nil"/>
              <w:bottom w:val="single" w:color="auto" w:sz="4" w:space="0"/>
              <w:right w:val="single" w:color="auto" w:sz="4" w:space="0"/>
            </w:tcBorders>
            <w:noWrap/>
            <w:vAlign w:val="center"/>
          </w:tcPr>
          <w:p w14:paraId="053BC818">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非免疫规划疫苗规则</w:t>
            </w:r>
          </w:p>
        </w:tc>
        <w:tc>
          <w:tcPr>
            <w:tcW w:w="6140" w:type="dxa"/>
            <w:tcBorders>
              <w:top w:val="nil"/>
              <w:left w:val="nil"/>
              <w:bottom w:val="single" w:color="auto" w:sz="4" w:space="0"/>
              <w:right w:val="single" w:color="auto" w:sz="4" w:space="0"/>
            </w:tcBorders>
            <w:vAlign w:val="center"/>
          </w:tcPr>
          <w:p w14:paraId="17EDB41D">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根据成人重点非免疫规划疫苗类型，包括流感疫苗、23价肺炎疫苗、带状疱疹疫苗、HPV疫苗，设置不同的疫苗提醒规则，包括疫苗接种的适宜人群、禁忌人群、提醒周期、提醒频次、间隔时间等。</w:t>
            </w:r>
          </w:p>
        </w:tc>
      </w:tr>
      <w:tr w14:paraId="64BC3405">
        <w:tblPrEx>
          <w:tblCellMar>
            <w:top w:w="0" w:type="dxa"/>
            <w:left w:w="108" w:type="dxa"/>
            <w:bottom w:w="0" w:type="dxa"/>
            <w:right w:w="108" w:type="dxa"/>
          </w:tblCellMar>
        </w:tblPrEx>
        <w:trPr>
          <w:trHeight w:val="560" w:hRule="atLeast"/>
        </w:trPr>
        <w:tc>
          <w:tcPr>
            <w:tcW w:w="638" w:type="dxa"/>
            <w:tcBorders>
              <w:top w:val="nil"/>
              <w:left w:val="single" w:color="auto" w:sz="4" w:space="0"/>
              <w:bottom w:val="single" w:color="auto" w:sz="4" w:space="0"/>
              <w:right w:val="single" w:color="auto" w:sz="4" w:space="0"/>
            </w:tcBorders>
            <w:noWrap/>
            <w:vAlign w:val="center"/>
          </w:tcPr>
          <w:p w14:paraId="757205C7">
            <w:pPr>
              <w:widowControl/>
              <w:jc w:val="center"/>
              <w:rPr>
                <w:rFonts w:ascii="宋体" w:hAnsi="宋体" w:eastAsia="宋体" w:cs="宋体"/>
                <w:color w:val="000000"/>
                <w:kern w:val="0"/>
                <w:szCs w:val="21"/>
              </w:rPr>
            </w:pPr>
            <w:r>
              <w:rPr>
                <w:rFonts w:ascii="宋体" w:hAnsi="宋体" w:eastAsia="宋体" w:cs="宋体"/>
                <w:color w:val="000000"/>
                <w:kern w:val="0"/>
                <w:szCs w:val="21"/>
              </w:rPr>
              <w:t>3</w:t>
            </w:r>
          </w:p>
        </w:tc>
        <w:tc>
          <w:tcPr>
            <w:tcW w:w="757" w:type="dxa"/>
            <w:vMerge w:val="continue"/>
            <w:tcBorders>
              <w:top w:val="nil"/>
              <w:left w:val="single" w:color="auto" w:sz="4" w:space="0"/>
              <w:bottom w:val="single" w:color="auto" w:sz="4" w:space="0"/>
              <w:right w:val="single" w:color="auto" w:sz="4" w:space="0"/>
            </w:tcBorders>
            <w:vAlign w:val="center"/>
          </w:tcPr>
          <w:p w14:paraId="759D44EA">
            <w:pPr>
              <w:widowControl/>
              <w:jc w:val="center"/>
              <w:rPr>
                <w:rFonts w:ascii="宋体" w:hAnsi="宋体" w:eastAsia="宋体" w:cs="宋体"/>
                <w:color w:val="000000"/>
                <w:kern w:val="0"/>
                <w:szCs w:val="21"/>
              </w:rPr>
            </w:pPr>
          </w:p>
        </w:tc>
        <w:tc>
          <w:tcPr>
            <w:tcW w:w="1559" w:type="dxa"/>
            <w:tcBorders>
              <w:top w:val="nil"/>
              <w:left w:val="nil"/>
              <w:bottom w:val="single" w:color="auto" w:sz="4" w:space="0"/>
              <w:right w:val="single" w:color="auto" w:sz="4" w:space="0"/>
            </w:tcBorders>
            <w:noWrap/>
            <w:vAlign w:val="center"/>
          </w:tcPr>
          <w:p w14:paraId="4AF72AB5">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疫苗提醒间隔设置</w:t>
            </w:r>
          </w:p>
        </w:tc>
        <w:tc>
          <w:tcPr>
            <w:tcW w:w="6140" w:type="dxa"/>
            <w:tcBorders>
              <w:top w:val="nil"/>
              <w:left w:val="nil"/>
              <w:bottom w:val="single" w:color="auto" w:sz="4" w:space="0"/>
              <w:right w:val="single" w:color="auto" w:sz="4" w:space="0"/>
            </w:tcBorders>
            <w:vAlign w:val="center"/>
          </w:tcPr>
          <w:p w14:paraId="2BA09BB3">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可对不同种类的疫苗设置不同的提醒间隔，例如提醒流感疫苗后7天内不再提醒接种其他疫苗；接种流感疫苗后，14天内不再提醒接种其他疫苗。</w:t>
            </w:r>
          </w:p>
        </w:tc>
      </w:tr>
      <w:tr w14:paraId="56645FA2">
        <w:tblPrEx>
          <w:tblCellMar>
            <w:top w:w="0" w:type="dxa"/>
            <w:left w:w="108" w:type="dxa"/>
            <w:bottom w:w="0" w:type="dxa"/>
            <w:right w:w="108" w:type="dxa"/>
          </w:tblCellMar>
        </w:tblPrEx>
        <w:trPr>
          <w:trHeight w:val="560" w:hRule="atLeast"/>
        </w:trPr>
        <w:tc>
          <w:tcPr>
            <w:tcW w:w="638" w:type="dxa"/>
            <w:tcBorders>
              <w:top w:val="nil"/>
              <w:left w:val="single" w:color="auto" w:sz="4" w:space="0"/>
              <w:bottom w:val="single" w:color="auto" w:sz="4" w:space="0"/>
              <w:right w:val="single" w:color="auto" w:sz="4" w:space="0"/>
            </w:tcBorders>
            <w:noWrap/>
            <w:vAlign w:val="center"/>
          </w:tcPr>
          <w:p w14:paraId="0494C90B">
            <w:pPr>
              <w:widowControl/>
              <w:jc w:val="center"/>
              <w:rPr>
                <w:rFonts w:ascii="宋体" w:hAnsi="宋体" w:eastAsia="宋体" w:cs="宋体"/>
                <w:color w:val="000000"/>
                <w:kern w:val="0"/>
                <w:szCs w:val="21"/>
              </w:rPr>
            </w:pPr>
            <w:r>
              <w:rPr>
                <w:rFonts w:ascii="宋体" w:hAnsi="宋体" w:eastAsia="宋体" w:cs="宋体"/>
                <w:color w:val="000000"/>
                <w:kern w:val="0"/>
                <w:szCs w:val="21"/>
              </w:rPr>
              <w:t>4</w:t>
            </w:r>
          </w:p>
        </w:tc>
        <w:tc>
          <w:tcPr>
            <w:tcW w:w="757" w:type="dxa"/>
            <w:vMerge w:val="restart"/>
            <w:tcBorders>
              <w:top w:val="nil"/>
              <w:left w:val="single" w:color="auto" w:sz="4" w:space="0"/>
              <w:bottom w:val="single" w:color="000000" w:sz="4" w:space="0"/>
              <w:right w:val="single" w:color="auto" w:sz="4" w:space="0"/>
            </w:tcBorders>
            <w:noWrap/>
            <w:vAlign w:val="center"/>
          </w:tcPr>
          <w:p w14:paraId="0C5DB4AA">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疫苗提醒过滤方案配置</w:t>
            </w:r>
          </w:p>
        </w:tc>
        <w:tc>
          <w:tcPr>
            <w:tcW w:w="1559" w:type="dxa"/>
            <w:tcBorders>
              <w:top w:val="nil"/>
              <w:left w:val="nil"/>
              <w:bottom w:val="single" w:color="auto" w:sz="4" w:space="0"/>
              <w:right w:val="single" w:color="auto" w:sz="4" w:space="0"/>
            </w:tcBorders>
            <w:noWrap/>
            <w:vAlign w:val="center"/>
          </w:tcPr>
          <w:p w14:paraId="15ECC771">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按科室过滤接种提醒</w:t>
            </w:r>
          </w:p>
        </w:tc>
        <w:tc>
          <w:tcPr>
            <w:tcW w:w="6140" w:type="dxa"/>
            <w:tcBorders>
              <w:top w:val="nil"/>
              <w:left w:val="nil"/>
              <w:bottom w:val="single" w:color="auto" w:sz="4" w:space="0"/>
              <w:right w:val="single" w:color="auto" w:sz="4" w:space="0"/>
            </w:tcBorders>
            <w:vAlign w:val="center"/>
          </w:tcPr>
          <w:p w14:paraId="0268DE16">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提供疫苗提醒服务配置，可按科室设置过滤方案，口腔、消化、呼吸科等不适宜接种的科室不会进行接种提醒。</w:t>
            </w:r>
          </w:p>
        </w:tc>
      </w:tr>
      <w:tr w14:paraId="7F95CD34">
        <w:tblPrEx>
          <w:tblCellMar>
            <w:top w:w="0" w:type="dxa"/>
            <w:left w:w="108" w:type="dxa"/>
            <w:bottom w:w="0" w:type="dxa"/>
            <w:right w:w="108" w:type="dxa"/>
          </w:tblCellMar>
        </w:tblPrEx>
        <w:trPr>
          <w:trHeight w:val="560" w:hRule="atLeast"/>
        </w:trPr>
        <w:tc>
          <w:tcPr>
            <w:tcW w:w="638" w:type="dxa"/>
            <w:tcBorders>
              <w:top w:val="nil"/>
              <w:left w:val="single" w:color="auto" w:sz="4" w:space="0"/>
              <w:bottom w:val="single" w:color="auto" w:sz="4" w:space="0"/>
              <w:right w:val="single" w:color="auto" w:sz="4" w:space="0"/>
            </w:tcBorders>
            <w:noWrap/>
            <w:vAlign w:val="center"/>
          </w:tcPr>
          <w:p w14:paraId="16F8A7B5">
            <w:pPr>
              <w:widowControl/>
              <w:jc w:val="center"/>
              <w:rPr>
                <w:rFonts w:ascii="宋体" w:hAnsi="宋体" w:eastAsia="宋体" w:cs="宋体"/>
                <w:color w:val="000000"/>
                <w:kern w:val="0"/>
                <w:szCs w:val="21"/>
              </w:rPr>
            </w:pPr>
            <w:r>
              <w:rPr>
                <w:rFonts w:ascii="宋体" w:hAnsi="宋体" w:eastAsia="宋体" w:cs="宋体"/>
                <w:color w:val="000000"/>
                <w:kern w:val="0"/>
                <w:szCs w:val="21"/>
              </w:rPr>
              <w:t>5</w:t>
            </w:r>
          </w:p>
        </w:tc>
        <w:tc>
          <w:tcPr>
            <w:tcW w:w="757" w:type="dxa"/>
            <w:vMerge w:val="continue"/>
            <w:tcBorders>
              <w:top w:val="nil"/>
              <w:left w:val="single" w:color="auto" w:sz="4" w:space="0"/>
              <w:bottom w:val="single" w:color="000000" w:sz="4" w:space="0"/>
              <w:right w:val="single" w:color="auto" w:sz="4" w:space="0"/>
            </w:tcBorders>
            <w:vAlign w:val="center"/>
          </w:tcPr>
          <w:p w14:paraId="3ACCF772">
            <w:pPr>
              <w:widowControl/>
              <w:jc w:val="left"/>
              <w:rPr>
                <w:rFonts w:ascii="宋体" w:hAnsi="宋体" w:eastAsia="宋体" w:cs="宋体"/>
                <w:color w:val="000000"/>
                <w:kern w:val="0"/>
                <w:szCs w:val="21"/>
              </w:rPr>
            </w:pPr>
          </w:p>
        </w:tc>
        <w:tc>
          <w:tcPr>
            <w:tcW w:w="1559" w:type="dxa"/>
            <w:tcBorders>
              <w:top w:val="nil"/>
              <w:left w:val="nil"/>
              <w:bottom w:val="single" w:color="auto" w:sz="4" w:space="0"/>
              <w:right w:val="single" w:color="auto" w:sz="4" w:space="0"/>
            </w:tcBorders>
            <w:noWrap/>
            <w:vAlign w:val="center"/>
          </w:tcPr>
          <w:p w14:paraId="5E1A679D">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按医生过滤接种提醒</w:t>
            </w:r>
          </w:p>
        </w:tc>
        <w:tc>
          <w:tcPr>
            <w:tcW w:w="6140" w:type="dxa"/>
            <w:tcBorders>
              <w:top w:val="nil"/>
              <w:left w:val="nil"/>
              <w:bottom w:val="single" w:color="auto" w:sz="4" w:space="0"/>
              <w:right w:val="single" w:color="auto" w:sz="4" w:space="0"/>
            </w:tcBorders>
            <w:vAlign w:val="center"/>
          </w:tcPr>
          <w:p w14:paraId="14041137">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提供疫苗提醒服务配置，可按医生账号设置过滤方案，被过滤的医生门诊不会进行接种提醒。</w:t>
            </w:r>
          </w:p>
        </w:tc>
      </w:tr>
      <w:tr w14:paraId="1B2D6485">
        <w:tblPrEx>
          <w:tblCellMar>
            <w:top w:w="0" w:type="dxa"/>
            <w:left w:w="108" w:type="dxa"/>
            <w:bottom w:w="0" w:type="dxa"/>
            <w:right w:w="108" w:type="dxa"/>
          </w:tblCellMar>
        </w:tblPrEx>
        <w:trPr>
          <w:trHeight w:val="560" w:hRule="atLeast"/>
        </w:trPr>
        <w:tc>
          <w:tcPr>
            <w:tcW w:w="638" w:type="dxa"/>
            <w:tcBorders>
              <w:top w:val="nil"/>
              <w:left w:val="single" w:color="auto" w:sz="4" w:space="0"/>
              <w:bottom w:val="single" w:color="auto" w:sz="4" w:space="0"/>
              <w:right w:val="single" w:color="auto" w:sz="4" w:space="0"/>
            </w:tcBorders>
            <w:noWrap/>
            <w:vAlign w:val="center"/>
          </w:tcPr>
          <w:p w14:paraId="454B1453">
            <w:pPr>
              <w:widowControl/>
              <w:jc w:val="center"/>
              <w:rPr>
                <w:rFonts w:ascii="宋体" w:hAnsi="宋体" w:eastAsia="宋体" w:cs="宋体"/>
                <w:color w:val="000000"/>
                <w:kern w:val="0"/>
                <w:szCs w:val="21"/>
              </w:rPr>
            </w:pPr>
            <w:r>
              <w:rPr>
                <w:rFonts w:ascii="宋体" w:hAnsi="宋体" w:eastAsia="宋体" w:cs="宋体"/>
                <w:color w:val="000000"/>
                <w:kern w:val="0"/>
                <w:szCs w:val="21"/>
              </w:rPr>
              <w:t>6</w:t>
            </w:r>
          </w:p>
        </w:tc>
        <w:tc>
          <w:tcPr>
            <w:tcW w:w="757" w:type="dxa"/>
            <w:vMerge w:val="continue"/>
            <w:tcBorders>
              <w:top w:val="nil"/>
              <w:left w:val="single" w:color="auto" w:sz="4" w:space="0"/>
              <w:bottom w:val="single" w:color="000000" w:sz="4" w:space="0"/>
              <w:right w:val="single" w:color="auto" w:sz="4" w:space="0"/>
            </w:tcBorders>
            <w:vAlign w:val="center"/>
          </w:tcPr>
          <w:p w14:paraId="7E1C1680">
            <w:pPr>
              <w:widowControl/>
              <w:jc w:val="left"/>
              <w:rPr>
                <w:rFonts w:ascii="宋体" w:hAnsi="宋体" w:eastAsia="宋体" w:cs="宋体"/>
                <w:color w:val="000000"/>
                <w:kern w:val="0"/>
                <w:szCs w:val="21"/>
              </w:rPr>
            </w:pPr>
          </w:p>
        </w:tc>
        <w:tc>
          <w:tcPr>
            <w:tcW w:w="1559" w:type="dxa"/>
            <w:tcBorders>
              <w:top w:val="nil"/>
              <w:left w:val="nil"/>
              <w:bottom w:val="single" w:color="auto" w:sz="4" w:space="0"/>
              <w:right w:val="single" w:color="auto" w:sz="4" w:space="0"/>
            </w:tcBorders>
            <w:noWrap/>
            <w:vAlign w:val="center"/>
          </w:tcPr>
          <w:p w14:paraId="01224073">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按诊疗项目过滤接种提醒</w:t>
            </w:r>
          </w:p>
        </w:tc>
        <w:tc>
          <w:tcPr>
            <w:tcW w:w="6140" w:type="dxa"/>
            <w:tcBorders>
              <w:top w:val="nil"/>
              <w:left w:val="nil"/>
              <w:bottom w:val="single" w:color="auto" w:sz="4" w:space="0"/>
              <w:right w:val="single" w:color="auto" w:sz="4" w:space="0"/>
            </w:tcBorders>
            <w:vAlign w:val="center"/>
          </w:tcPr>
          <w:p w14:paraId="22619184">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提供疫苗提醒服务配置，可按诊疗项目设置过滤方案，包括诊疗项目的居民不会进行接种提醒。</w:t>
            </w:r>
          </w:p>
        </w:tc>
      </w:tr>
      <w:tr w14:paraId="7CCC7080">
        <w:tblPrEx>
          <w:tblCellMar>
            <w:top w:w="0" w:type="dxa"/>
            <w:left w:w="108" w:type="dxa"/>
            <w:bottom w:w="0" w:type="dxa"/>
            <w:right w:w="108" w:type="dxa"/>
          </w:tblCellMar>
        </w:tblPrEx>
        <w:trPr>
          <w:trHeight w:val="560" w:hRule="atLeast"/>
        </w:trPr>
        <w:tc>
          <w:tcPr>
            <w:tcW w:w="638" w:type="dxa"/>
            <w:tcBorders>
              <w:top w:val="nil"/>
              <w:left w:val="single" w:color="auto" w:sz="4" w:space="0"/>
              <w:bottom w:val="single" w:color="auto" w:sz="4" w:space="0"/>
              <w:right w:val="single" w:color="auto" w:sz="4" w:space="0"/>
            </w:tcBorders>
            <w:noWrap/>
            <w:vAlign w:val="center"/>
          </w:tcPr>
          <w:p w14:paraId="670ABC00">
            <w:pPr>
              <w:widowControl/>
              <w:jc w:val="center"/>
              <w:rPr>
                <w:rFonts w:ascii="宋体" w:hAnsi="宋体" w:eastAsia="宋体" w:cs="宋体"/>
                <w:color w:val="000000"/>
                <w:kern w:val="0"/>
                <w:szCs w:val="21"/>
              </w:rPr>
            </w:pPr>
            <w:r>
              <w:rPr>
                <w:rFonts w:ascii="宋体" w:hAnsi="宋体" w:eastAsia="宋体" w:cs="宋体"/>
                <w:color w:val="000000"/>
                <w:kern w:val="0"/>
                <w:szCs w:val="21"/>
              </w:rPr>
              <w:t>7</w:t>
            </w:r>
          </w:p>
        </w:tc>
        <w:tc>
          <w:tcPr>
            <w:tcW w:w="757" w:type="dxa"/>
            <w:vMerge w:val="continue"/>
            <w:tcBorders>
              <w:top w:val="nil"/>
              <w:left w:val="single" w:color="auto" w:sz="4" w:space="0"/>
              <w:bottom w:val="single" w:color="000000" w:sz="4" w:space="0"/>
              <w:right w:val="single" w:color="auto" w:sz="4" w:space="0"/>
            </w:tcBorders>
            <w:vAlign w:val="center"/>
          </w:tcPr>
          <w:p w14:paraId="599B9A1D">
            <w:pPr>
              <w:widowControl/>
              <w:jc w:val="left"/>
              <w:rPr>
                <w:rFonts w:ascii="宋体" w:hAnsi="宋体" w:eastAsia="宋体" w:cs="宋体"/>
                <w:color w:val="000000"/>
                <w:kern w:val="0"/>
                <w:szCs w:val="21"/>
              </w:rPr>
            </w:pPr>
          </w:p>
        </w:tc>
        <w:tc>
          <w:tcPr>
            <w:tcW w:w="1559" w:type="dxa"/>
            <w:tcBorders>
              <w:top w:val="nil"/>
              <w:left w:val="nil"/>
              <w:bottom w:val="single" w:color="auto" w:sz="4" w:space="0"/>
              <w:right w:val="single" w:color="auto" w:sz="4" w:space="0"/>
            </w:tcBorders>
            <w:noWrap/>
            <w:vAlign w:val="center"/>
          </w:tcPr>
          <w:p w14:paraId="3C82B595">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按病历文书过滤接种提醒</w:t>
            </w:r>
          </w:p>
        </w:tc>
        <w:tc>
          <w:tcPr>
            <w:tcW w:w="6140" w:type="dxa"/>
            <w:tcBorders>
              <w:top w:val="nil"/>
              <w:left w:val="nil"/>
              <w:bottom w:val="single" w:color="auto" w:sz="4" w:space="0"/>
              <w:right w:val="single" w:color="auto" w:sz="4" w:space="0"/>
            </w:tcBorders>
            <w:vAlign w:val="center"/>
          </w:tcPr>
          <w:p w14:paraId="44154F1B">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提供病历文书过滤方案，可自动识别主诉、诊断、现病史、既往史等模块的关键词，对不适宜提醒的居民进行全局过滤设置。</w:t>
            </w:r>
          </w:p>
        </w:tc>
      </w:tr>
      <w:tr w14:paraId="0A02813C">
        <w:tblPrEx>
          <w:tblCellMar>
            <w:top w:w="0" w:type="dxa"/>
            <w:left w:w="108" w:type="dxa"/>
            <w:bottom w:w="0" w:type="dxa"/>
            <w:right w:w="108" w:type="dxa"/>
          </w:tblCellMar>
        </w:tblPrEx>
        <w:trPr>
          <w:trHeight w:val="280" w:hRule="atLeast"/>
        </w:trPr>
        <w:tc>
          <w:tcPr>
            <w:tcW w:w="638" w:type="dxa"/>
            <w:tcBorders>
              <w:top w:val="nil"/>
              <w:left w:val="single" w:color="auto" w:sz="4" w:space="0"/>
              <w:bottom w:val="single" w:color="auto" w:sz="4" w:space="0"/>
              <w:right w:val="single" w:color="auto" w:sz="4" w:space="0"/>
            </w:tcBorders>
            <w:noWrap/>
            <w:vAlign w:val="center"/>
          </w:tcPr>
          <w:p w14:paraId="2AE59FA9">
            <w:pPr>
              <w:widowControl/>
              <w:jc w:val="center"/>
              <w:rPr>
                <w:rFonts w:ascii="宋体" w:hAnsi="宋体" w:eastAsia="宋体" w:cs="宋体"/>
                <w:color w:val="000000"/>
                <w:kern w:val="0"/>
                <w:szCs w:val="21"/>
              </w:rPr>
            </w:pPr>
            <w:r>
              <w:rPr>
                <w:rFonts w:ascii="宋体" w:hAnsi="宋体" w:eastAsia="宋体" w:cs="宋体"/>
                <w:color w:val="000000"/>
                <w:kern w:val="0"/>
                <w:szCs w:val="21"/>
              </w:rPr>
              <w:t>8</w:t>
            </w:r>
          </w:p>
        </w:tc>
        <w:tc>
          <w:tcPr>
            <w:tcW w:w="757" w:type="dxa"/>
            <w:vMerge w:val="continue"/>
            <w:tcBorders>
              <w:top w:val="nil"/>
              <w:left w:val="single" w:color="auto" w:sz="4" w:space="0"/>
              <w:bottom w:val="single" w:color="000000" w:sz="4" w:space="0"/>
              <w:right w:val="single" w:color="auto" w:sz="4" w:space="0"/>
            </w:tcBorders>
            <w:vAlign w:val="center"/>
          </w:tcPr>
          <w:p w14:paraId="22C55724">
            <w:pPr>
              <w:widowControl/>
              <w:jc w:val="left"/>
              <w:rPr>
                <w:rFonts w:ascii="宋体" w:hAnsi="宋体" w:eastAsia="宋体" w:cs="宋体"/>
                <w:color w:val="000000"/>
                <w:kern w:val="0"/>
                <w:szCs w:val="21"/>
              </w:rPr>
            </w:pPr>
          </w:p>
        </w:tc>
        <w:tc>
          <w:tcPr>
            <w:tcW w:w="1559" w:type="dxa"/>
            <w:tcBorders>
              <w:top w:val="nil"/>
              <w:left w:val="nil"/>
              <w:bottom w:val="single" w:color="auto" w:sz="4" w:space="0"/>
              <w:right w:val="single" w:color="auto" w:sz="4" w:space="0"/>
            </w:tcBorders>
            <w:noWrap/>
            <w:vAlign w:val="center"/>
          </w:tcPr>
          <w:p w14:paraId="00F9CB0E">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按科室纳入接种提醒</w:t>
            </w:r>
          </w:p>
        </w:tc>
        <w:tc>
          <w:tcPr>
            <w:tcW w:w="6140" w:type="dxa"/>
            <w:tcBorders>
              <w:top w:val="nil"/>
              <w:left w:val="nil"/>
              <w:bottom w:val="single" w:color="auto" w:sz="4" w:space="0"/>
              <w:right w:val="single" w:color="auto" w:sz="4" w:space="0"/>
            </w:tcBorders>
            <w:vAlign w:val="center"/>
          </w:tcPr>
          <w:p w14:paraId="76D432FC">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提供按科室纳入接种提醒功能，可仅纳入全科门诊、妇科、中医科等科室进行提醒。</w:t>
            </w:r>
          </w:p>
        </w:tc>
      </w:tr>
      <w:tr w14:paraId="07D40E8C">
        <w:tblPrEx>
          <w:tblCellMar>
            <w:top w:w="0" w:type="dxa"/>
            <w:left w:w="108" w:type="dxa"/>
            <w:bottom w:w="0" w:type="dxa"/>
            <w:right w:w="108" w:type="dxa"/>
          </w:tblCellMar>
        </w:tblPrEx>
        <w:trPr>
          <w:trHeight w:val="280" w:hRule="atLeast"/>
        </w:trPr>
        <w:tc>
          <w:tcPr>
            <w:tcW w:w="638" w:type="dxa"/>
            <w:tcBorders>
              <w:top w:val="nil"/>
              <w:left w:val="single" w:color="auto" w:sz="4" w:space="0"/>
              <w:bottom w:val="single" w:color="auto" w:sz="4" w:space="0"/>
              <w:right w:val="single" w:color="auto" w:sz="4" w:space="0"/>
            </w:tcBorders>
            <w:noWrap/>
            <w:vAlign w:val="center"/>
          </w:tcPr>
          <w:p w14:paraId="3B4FFBED">
            <w:pPr>
              <w:widowControl/>
              <w:jc w:val="center"/>
              <w:rPr>
                <w:rFonts w:ascii="宋体" w:hAnsi="宋体" w:eastAsia="宋体" w:cs="宋体"/>
                <w:color w:val="000000"/>
                <w:kern w:val="0"/>
                <w:szCs w:val="21"/>
              </w:rPr>
            </w:pPr>
            <w:r>
              <w:rPr>
                <w:rFonts w:ascii="宋体" w:hAnsi="宋体" w:eastAsia="宋体" w:cs="宋体"/>
                <w:color w:val="000000"/>
                <w:kern w:val="0"/>
                <w:szCs w:val="21"/>
              </w:rPr>
              <w:t>9</w:t>
            </w:r>
          </w:p>
        </w:tc>
        <w:tc>
          <w:tcPr>
            <w:tcW w:w="757" w:type="dxa"/>
            <w:vMerge w:val="continue"/>
            <w:tcBorders>
              <w:top w:val="nil"/>
              <w:left w:val="single" w:color="auto" w:sz="4" w:space="0"/>
              <w:bottom w:val="single" w:color="000000" w:sz="4" w:space="0"/>
              <w:right w:val="single" w:color="auto" w:sz="4" w:space="0"/>
            </w:tcBorders>
            <w:vAlign w:val="center"/>
          </w:tcPr>
          <w:p w14:paraId="66B51FC6">
            <w:pPr>
              <w:widowControl/>
              <w:jc w:val="left"/>
              <w:rPr>
                <w:rFonts w:ascii="宋体" w:hAnsi="宋体" w:eastAsia="宋体" w:cs="宋体"/>
                <w:color w:val="000000"/>
                <w:kern w:val="0"/>
                <w:szCs w:val="21"/>
              </w:rPr>
            </w:pPr>
          </w:p>
        </w:tc>
        <w:tc>
          <w:tcPr>
            <w:tcW w:w="1559" w:type="dxa"/>
            <w:tcBorders>
              <w:top w:val="nil"/>
              <w:left w:val="nil"/>
              <w:bottom w:val="single" w:color="auto" w:sz="4" w:space="0"/>
              <w:right w:val="single" w:color="auto" w:sz="4" w:space="0"/>
            </w:tcBorders>
            <w:noWrap/>
            <w:vAlign w:val="center"/>
          </w:tcPr>
          <w:p w14:paraId="26B185C4">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个性化过滤方案</w:t>
            </w:r>
          </w:p>
        </w:tc>
        <w:tc>
          <w:tcPr>
            <w:tcW w:w="6140" w:type="dxa"/>
            <w:tcBorders>
              <w:top w:val="nil"/>
              <w:left w:val="nil"/>
              <w:bottom w:val="single" w:color="auto" w:sz="4" w:space="0"/>
              <w:right w:val="single" w:color="auto" w:sz="4" w:space="0"/>
            </w:tcBorders>
            <w:vAlign w:val="center"/>
          </w:tcPr>
          <w:p w14:paraId="54861B7C">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针对不同社康的特殊情况，可选择过滤方案与适用机构设置个性化的过滤方案，。</w:t>
            </w:r>
          </w:p>
        </w:tc>
      </w:tr>
      <w:tr w14:paraId="7F464BAA">
        <w:tblPrEx>
          <w:tblCellMar>
            <w:top w:w="0" w:type="dxa"/>
            <w:left w:w="108" w:type="dxa"/>
            <w:bottom w:w="0" w:type="dxa"/>
            <w:right w:w="108" w:type="dxa"/>
          </w:tblCellMar>
        </w:tblPrEx>
        <w:trPr>
          <w:trHeight w:val="840" w:hRule="atLeast"/>
        </w:trPr>
        <w:tc>
          <w:tcPr>
            <w:tcW w:w="638" w:type="dxa"/>
            <w:tcBorders>
              <w:top w:val="nil"/>
              <w:left w:val="single" w:color="auto" w:sz="4" w:space="0"/>
              <w:bottom w:val="single" w:color="auto" w:sz="4" w:space="0"/>
              <w:right w:val="single" w:color="auto" w:sz="4" w:space="0"/>
            </w:tcBorders>
            <w:noWrap/>
            <w:vAlign w:val="center"/>
          </w:tcPr>
          <w:p w14:paraId="697FEBD2">
            <w:pPr>
              <w:widowControl/>
              <w:jc w:val="center"/>
              <w:rPr>
                <w:rFonts w:ascii="宋体" w:hAnsi="宋体" w:eastAsia="宋体" w:cs="宋体"/>
                <w:color w:val="000000"/>
                <w:kern w:val="0"/>
                <w:szCs w:val="21"/>
              </w:rPr>
            </w:pPr>
            <w:r>
              <w:rPr>
                <w:rFonts w:ascii="宋体" w:hAnsi="宋体" w:eastAsia="宋体" w:cs="宋体"/>
                <w:color w:val="000000"/>
                <w:kern w:val="0"/>
                <w:szCs w:val="21"/>
              </w:rPr>
              <w:t>10</w:t>
            </w:r>
          </w:p>
        </w:tc>
        <w:tc>
          <w:tcPr>
            <w:tcW w:w="757" w:type="dxa"/>
            <w:vMerge w:val="restart"/>
            <w:tcBorders>
              <w:top w:val="nil"/>
              <w:left w:val="single" w:color="auto" w:sz="4" w:space="0"/>
              <w:bottom w:val="single" w:color="000000" w:sz="4" w:space="0"/>
              <w:right w:val="single" w:color="auto" w:sz="4" w:space="0"/>
            </w:tcBorders>
            <w:vAlign w:val="center"/>
          </w:tcPr>
          <w:p w14:paraId="3C63CF80">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非免疫规划疫苗推荐与处方开具</w:t>
            </w:r>
          </w:p>
        </w:tc>
        <w:tc>
          <w:tcPr>
            <w:tcW w:w="1559" w:type="dxa"/>
            <w:tcBorders>
              <w:top w:val="nil"/>
              <w:left w:val="nil"/>
              <w:bottom w:val="single" w:color="auto" w:sz="4" w:space="0"/>
              <w:right w:val="single" w:color="auto" w:sz="4" w:space="0"/>
            </w:tcBorders>
            <w:vAlign w:val="center"/>
          </w:tcPr>
          <w:p w14:paraId="59096FE5">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疫苗处方提醒</w:t>
            </w:r>
          </w:p>
        </w:tc>
        <w:tc>
          <w:tcPr>
            <w:tcW w:w="6140" w:type="dxa"/>
            <w:tcBorders>
              <w:top w:val="nil"/>
              <w:left w:val="nil"/>
              <w:bottom w:val="single" w:color="auto" w:sz="4" w:space="0"/>
              <w:right w:val="single" w:color="auto" w:sz="4" w:space="0"/>
            </w:tcBorders>
            <w:vAlign w:val="center"/>
          </w:tcPr>
          <w:p w14:paraId="2447D393">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可查看就诊当天所有疫苗处方提醒情况，方便医生快速识别哪些居民适宜接种、哪些不适宜接种，同时可对适宜接种居民的详细信息进行查看，并可通过居民姓名、服务机构、疫苗提醒类型、开具处方状态、处方类型等条件进行组合查询。</w:t>
            </w:r>
          </w:p>
        </w:tc>
      </w:tr>
      <w:tr w14:paraId="7C6C7148">
        <w:tblPrEx>
          <w:tblCellMar>
            <w:top w:w="0" w:type="dxa"/>
            <w:left w:w="108" w:type="dxa"/>
            <w:bottom w:w="0" w:type="dxa"/>
            <w:right w:w="108" w:type="dxa"/>
          </w:tblCellMar>
        </w:tblPrEx>
        <w:trPr>
          <w:trHeight w:val="560" w:hRule="atLeast"/>
        </w:trPr>
        <w:tc>
          <w:tcPr>
            <w:tcW w:w="638" w:type="dxa"/>
            <w:tcBorders>
              <w:top w:val="nil"/>
              <w:left w:val="single" w:color="auto" w:sz="4" w:space="0"/>
              <w:bottom w:val="single" w:color="auto" w:sz="4" w:space="0"/>
              <w:right w:val="single" w:color="auto" w:sz="4" w:space="0"/>
            </w:tcBorders>
            <w:noWrap/>
            <w:vAlign w:val="center"/>
          </w:tcPr>
          <w:p w14:paraId="1DCE28E5">
            <w:pPr>
              <w:widowControl/>
              <w:jc w:val="center"/>
              <w:rPr>
                <w:rFonts w:ascii="宋体" w:hAnsi="宋体" w:eastAsia="宋体" w:cs="宋体"/>
                <w:color w:val="000000"/>
                <w:kern w:val="0"/>
                <w:szCs w:val="21"/>
              </w:rPr>
            </w:pPr>
            <w:r>
              <w:rPr>
                <w:rFonts w:ascii="宋体" w:hAnsi="宋体" w:eastAsia="宋体" w:cs="宋体"/>
                <w:color w:val="000000"/>
                <w:kern w:val="0"/>
                <w:szCs w:val="21"/>
              </w:rPr>
              <w:t>11</w:t>
            </w:r>
          </w:p>
        </w:tc>
        <w:tc>
          <w:tcPr>
            <w:tcW w:w="757" w:type="dxa"/>
            <w:vMerge w:val="continue"/>
            <w:tcBorders>
              <w:top w:val="nil"/>
              <w:left w:val="single" w:color="auto" w:sz="4" w:space="0"/>
              <w:bottom w:val="single" w:color="000000" w:sz="4" w:space="0"/>
              <w:right w:val="single" w:color="auto" w:sz="4" w:space="0"/>
            </w:tcBorders>
            <w:vAlign w:val="center"/>
          </w:tcPr>
          <w:p w14:paraId="13757FA7">
            <w:pPr>
              <w:widowControl/>
              <w:jc w:val="left"/>
              <w:rPr>
                <w:rFonts w:ascii="宋体" w:hAnsi="宋体" w:eastAsia="宋体" w:cs="宋体"/>
                <w:color w:val="000000"/>
                <w:kern w:val="0"/>
                <w:szCs w:val="21"/>
              </w:rPr>
            </w:pPr>
          </w:p>
        </w:tc>
        <w:tc>
          <w:tcPr>
            <w:tcW w:w="1559" w:type="dxa"/>
            <w:tcBorders>
              <w:top w:val="nil"/>
              <w:left w:val="nil"/>
              <w:bottom w:val="single" w:color="auto" w:sz="4" w:space="0"/>
              <w:right w:val="single" w:color="auto" w:sz="4" w:space="0"/>
            </w:tcBorders>
            <w:vAlign w:val="center"/>
          </w:tcPr>
          <w:p w14:paraId="2999D9FE">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接种疫苗推荐</w:t>
            </w:r>
          </w:p>
        </w:tc>
        <w:tc>
          <w:tcPr>
            <w:tcW w:w="6140" w:type="dxa"/>
            <w:tcBorders>
              <w:top w:val="nil"/>
              <w:left w:val="nil"/>
              <w:bottom w:val="single" w:color="auto" w:sz="4" w:space="0"/>
              <w:right w:val="single" w:color="auto" w:sz="4" w:space="0"/>
            </w:tcBorders>
            <w:vAlign w:val="center"/>
          </w:tcPr>
          <w:p w14:paraId="130DE0F0">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提供非免疫规划疫苗智能推荐服务，可根据疫苗类型、居民信息为其推荐优先接种的疫苗类型。</w:t>
            </w:r>
          </w:p>
        </w:tc>
      </w:tr>
      <w:tr w14:paraId="18828F1C">
        <w:tblPrEx>
          <w:tblCellMar>
            <w:top w:w="0" w:type="dxa"/>
            <w:left w:w="108" w:type="dxa"/>
            <w:bottom w:w="0" w:type="dxa"/>
            <w:right w:w="108" w:type="dxa"/>
          </w:tblCellMar>
        </w:tblPrEx>
        <w:trPr>
          <w:trHeight w:val="560" w:hRule="atLeast"/>
        </w:trPr>
        <w:tc>
          <w:tcPr>
            <w:tcW w:w="638" w:type="dxa"/>
            <w:tcBorders>
              <w:top w:val="nil"/>
              <w:left w:val="single" w:color="auto" w:sz="4" w:space="0"/>
              <w:bottom w:val="single" w:color="auto" w:sz="4" w:space="0"/>
              <w:right w:val="single" w:color="auto" w:sz="4" w:space="0"/>
            </w:tcBorders>
            <w:noWrap/>
            <w:vAlign w:val="center"/>
          </w:tcPr>
          <w:p w14:paraId="7AA8F968">
            <w:pPr>
              <w:widowControl/>
              <w:jc w:val="center"/>
              <w:rPr>
                <w:rFonts w:ascii="宋体" w:hAnsi="宋体" w:eastAsia="宋体" w:cs="宋体"/>
                <w:color w:val="000000"/>
                <w:kern w:val="0"/>
                <w:szCs w:val="21"/>
              </w:rPr>
            </w:pPr>
            <w:r>
              <w:rPr>
                <w:rFonts w:ascii="宋体" w:hAnsi="宋体" w:eastAsia="宋体" w:cs="宋体"/>
                <w:color w:val="000000"/>
                <w:kern w:val="0"/>
                <w:szCs w:val="21"/>
              </w:rPr>
              <w:t>12</w:t>
            </w:r>
          </w:p>
        </w:tc>
        <w:tc>
          <w:tcPr>
            <w:tcW w:w="757" w:type="dxa"/>
            <w:vMerge w:val="continue"/>
            <w:tcBorders>
              <w:top w:val="nil"/>
              <w:left w:val="single" w:color="auto" w:sz="4" w:space="0"/>
              <w:bottom w:val="single" w:color="000000" w:sz="4" w:space="0"/>
              <w:right w:val="single" w:color="auto" w:sz="4" w:space="0"/>
            </w:tcBorders>
            <w:vAlign w:val="center"/>
          </w:tcPr>
          <w:p w14:paraId="41984855">
            <w:pPr>
              <w:widowControl/>
              <w:jc w:val="left"/>
              <w:rPr>
                <w:rFonts w:ascii="宋体" w:hAnsi="宋体" w:eastAsia="宋体" w:cs="宋体"/>
                <w:color w:val="000000"/>
                <w:kern w:val="0"/>
                <w:szCs w:val="21"/>
              </w:rPr>
            </w:pPr>
          </w:p>
        </w:tc>
        <w:tc>
          <w:tcPr>
            <w:tcW w:w="1559" w:type="dxa"/>
            <w:tcBorders>
              <w:top w:val="nil"/>
              <w:left w:val="nil"/>
              <w:bottom w:val="single" w:color="auto" w:sz="4" w:space="0"/>
              <w:right w:val="single" w:color="auto" w:sz="4" w:space="0"/>
            </w:tcBorders>
            <w:vAlign w:val="center"/>
          </w:tcPr>
          <w:p w14:paraId="57562C06">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疫苗处方开具</w:t>
            </w:r>
          </w:p>
        </w:tc>
        <w:tc>
          <w:tcPr>
            <w:tcW w:w="6140" w:type="dxa"/>
            <w:tcBorders>
              <w:top w:val="nil"/>
              <w:left w:val="nil"/>
              <w:bottom w:val="single" w:color="auto" w:sz="4" w:space="0"/>
              <w:right w:val="single" w:color="auto" w:sz="4" w:space="0"/>
            </w:tcBorders>
            <w:vAlign w:val="center"/>
          </w:tcPr>
          <w:p w14:paraId="132AC784">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提供非免疫规划疫苗处方开具服务，医生接受到不同疫苗接种提醒弹框时，可为居民开具不同的疫苗健康处方。</w:t>
            </w:r>
          </w:p>
        </w:tc>
      </w:tr>
      <w:tr w14:paraId="49C0F322">
        <w:tblPrEx>
          <w:tblCellMar>
            <w:top w:w="0" w:type="dxa"/>
            <w:left w:w="108" w:type="dxa"/>
            <w:bottom w:w="0" w:type="dxa"/>
            <w:right w:w="108" w:type="dxa"/>
          </w:tblCellMar>
        </w:tblPrEx>
        <w:trPr>
          <w:trHeight w:val="560" w:hRule="atLeast"/>
        </w:trPr>
        <w:tc>
          <w:tcPr>
            <w:tcW w:w="638" w:type="dxa"/>
            <w:tcBorders>
              <w:top w:val="nil"/>
              <w:left w:val="single" w:color="auto" w:sz="4" w:space="0"/>
              <w:bottom w:val="single" w:color="auto" w:sz="4" w:space="0"/>
              <w:right w:val="single" w:color="auto" w:sz="4" w:space="0"/>
            </w:tcBorders>
            <w:noWrap/>
            <w:vAlign w:val="center"/>
          </w:tcPr>
          <w:p w14:paraId="31404A56">
            <w:pPr>
              <w:widowControl/>
              <w:jc w:val="center"/>
              <w:rPr>
                <w:rFonts w:ascii="宋体" w:hAnsi="宋体" w:eastAsia="宋体" w:cs="宋体"/>
                <w:color w:val="000000"/>
                <w:kern w:val="0"/>
                <w:szCs w:val="21"/>
              </w:rPr>
            </w:pPr>
            <w:r>
              <w:rPr>
                <w:rFonts w:ascii="宋体" w:hAnsi="宋体" w:eastAsia="宋体" w:cs="宋体"/>
                <w:color w:val="000000"/>
                <w:kern w:val="0"/>
                <w:szCs w:val="21"/>
              </w:rPr>
              <w:t>13</w:t>
            </w:r>
          </w:p>
        </w:tc>
        <w:tc>
          <w:tcPr>
            <w:tcW w:w="757" w:type="dxa"/>
            <w:vMerge w:val="continue"/>
            <w:tcBorders>
              <w:top w:val="nil"/>
              <w:left w:val="single" w:color="auto" w:sz="4" w:space="0"/>
              <w:bottom w:val="single" w:color="000000" w:sz="4" w:space="0"/>
              <w:right w:val="single" w:color="auto" w:sz="4" w:space="0"/>
            </w:tcBorders>
            <w:vAlign w:val="center"/>
          </w:tcPr>
          <w:p w14:paraId="66238F34">
            <w:pPr>
              <w:widowControl/>
              <w:jc w:val="left"/>
              <w:rPr>
                <w:rFonts w:ascii="宋体" w:hAnsi="宋体" w:eastAsia="宋体" w:cs="宋体"/>
                <w:color w:val="000000"/>
                <w:kern w:val="0"/>
                <w:szCs w:val="21"/>
              </w:rPr>
            </w:pPr>
          </w:p>
        </w:tc>
        <w:tc>
          <w:tcPr>
            <w:tcW w:w="1559" w:type="dxa"/>
            <w:tcBorders>
              <w:top w:val="nil"/>
              <w:left w:val="nil"/>
              <w:bottom w:val="single" w:color="auto" w:sz="4" w:space="0"/>
              <w:right w:val="single" w:color="auto" w:sz="4" w:space="0"/>
            </w:tcBorders>
            <w:vAlign w:val="center"/>
          </w:tcPr>
          <w:p w14:paraId="58BCE86A">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接种机构推荐</w:t>
            </w:r>
          </w:p>
        </w:tc>
        <w:tc>
          <w:tcPr>
            <w:tcW w:w="6140" w:type="dxa"/>
            <w:tcBorders>
              <w:top w:val="nil"/>
              <w:left w:val="nil"/>
              <w:bottom w:val="single" w:color="auto" w:sz="4" w:space="0"/>
              <w:right w:val="single" w:color="auto" w:sz="4" w:space="0"/>
            </w:tcBorders>
            <w:vAlign w:val="center"/>
          </w:tcPr>
          <w:p w14:paraId="5EDB390B">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提供接种机构推荐服务，根据大数据计算分析，推荐本机构就近的三家有接种门诊社康，也可由医生指定接种机构。</w:t>
            </w:r>
          </w:p>
        </w:tc>
      </w:tr>
      <w:tr w14:paraId="0F311EB7">
        <w:tblPrEx>
          <w:tblCellMar>
            <w:top w:w="0" w:type="dxa"/>
            <w:left w:w="108" w:type="dxa"/>
            <w:bottom w:w="0" w:type="dxa"/>
            <w:right w:w="108" w:type="dxa"/>
          </w:tblCellMar>
        </w:tblPrEx>
        <w:trPr>
          <w:trHeight w:val="560" w:hRule="atLeast"/>
        </w:trPr>
        <w:tc>
          <w:tcPr>
            <w:tcW w:w="638" w:type="dxa"/>
            <w:tcBorders>
              <w:top w:val="nil"/>
              <w:left w:val="single" w:color="auto" w:sz="4" w:space="0"/>
              <w:bottom w:val="single" w:color="auto" w:sz="4" w:space="0"/>
              <w:right w:val="single" w:color="auto" w:sz="4" w:space="0"/>
            </w:tcBorders>
            <w:noWrap/>
            <w:vAlign w:val="center"/>
          </w:tcPr>
          <w:p w14:paraId="754590CA">
            <w:pPr>
              <w:widowControl/>
              <w:jc w:val="center"/>
              <w:rPr>
                <w:rFonts w:ascii="宋体" w:hAnsi="宋体" w:eastAsia="宋体" w:cs="宋体"/>
                <w:color w:val="000000"/>
                <w:kern w:val="0"/>
                <w:szCs w:val="21"/>
              </w:rPr>
            </w:pPr>
            <w:r>
              <w:rPr>
                <w:rFonts w:ascii="宋体" w:hAnsi="宋体" w:eastAsia="宋体" w:cs="宋体"/>
                <w:color w:val="000000"/>
                <w:kern w:val="0"/>
                <w:szCs w:val="21"/>
              </w:rPr>
              <w:t>14</w:t>
            </w:r>
          </w:p>
        </w:tc>
        <w:tc>
          <w:tcPr>
            <w:tcW w:w="757" w:type="dxa"/>
            <w:vMerge w:val="continue"/>
            <w:tcBorders>
              <w:top w:val="nil"/>
              <w:left w:val="single" w:color="auto" w:sz="4" w:space="0"/>
              <w:bottom w:val="single" w:color="000000" w:sz="4" w:space="0"/>
              <w:right w:val="single" w:color="auto" w:sz="4" w:space="0"/>
            </w:tcBorders>
            <w:vAlign w:val="center"/>
          </w:tcPr>
          <w:p w14:paraId="6124BA26">
            <w:pPr>
              <w:widowControl/>
              <w:jc w:val="left"/>
              <w:rPr>
                <w:rFonts w:ascii="宋体" w:hAnsi="宋体" w:eastAsia="宋体" w:cs="宋体"/>
                <w:color w:val="000000"/>
                <w:kern w:val="0"/>
                <w:szCs w:val="21"/>
              </w:rPr>
            </w:pPr>
          </w:p>
        </w:tc>
        <w:tc>
          <w:tcPr>
            <w:tcW w:w="1559" w:type="dxa"/>
            <w:tcBorders>
              <w:top w:val="nil"/>
              <w:left w:val="nil"/>
              <w:bottom w:val="single" w:color="auto" w:sz="4" w:space="0"/>
              <w:right w:val="single" w:color="auto" w:sz="4" w:space="0"/>
            </w:tcBorders>
            <w:vAlign w:val="center"/>
          </w:tcPr>
          <w:p w14:paraId="7214EBDF">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历史处方开具查看</w:t>
            </w:r>
          </w:p>
        </w:tc>
        <w:tc>
          <w:tcPr>
            <w:tcW w:w="6140" w:type="dxa"/>
            <w:tcBorders>
              <w:top w:val="nil"/>
              <w:left w:val="nil"/>
              <w:bottom w:val="single" w:color="auto" w:sz="4" w:space="0"/>
              <w:right w:val="single" w:color="auto" w:sz="4" w:space="0"/>
            </w:tcBorders>
            <w:vAlign w:val="center"/>
          </w:tcPr>
          <w:p w14:paraId="46BCDD64">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可查看居民非免疫规划疫苗处方历史开具情况以及处方转介情况，包括处方开具时间、疫苗类型、开具医生、开具机构、接种时间、接种机构。</w:t>
            </w:r>
          </w:p>
        </w:tc>
      </w:tr>
      <w:tr w14:paraId="3949B480">
        <w:tblPrEx>
          <w:tblCellMar>
            <w:top w:w="0" w:type="dxa"/>
            <w:left w:w="108" w:type="dxa"/>
            <w:bottom w:w="0" w:type="dxa"/>
            <w:right w:w="108" w:type="dxa"/>
          </w:tblCellMar>
        </w:tblPrEx>
        <w:trPr>
          <w:trHeight w:val="560" w:hRule="atLeast"/>
        </w:trPr>
        <w:tc>
          <w:tcPr>
            <w:tcW w:w="638" w:type="dxa"/>
            <w:tcBorders>
              <w:top w:val="nil"/>
              <w:left w:val="single" w:color="auto" w:sz="4" w:space="0"/>
              <w:bottom w:val="single" w:color="auto" w:sz="4" w:space="0"/>
              <w:right w:val="single" w:color="auto" w:sz="4" w:space="0"/>
            </w:tcBorders>
            <w:noWrap/>
            <w:vAlign w:val="center"/>
          </w:tcPr>
          <w:p w14:paraId="1DF3343A">
            <w:pPr>
              <w:widowControl/>
              <w:jc w:val="center"/>
              <w:rPr>
                <w:rFonts w:ascii="宋体" w:hAnsi="宋体" w:eastAsia="宋体" w:cs="宋体"/>
                <w:color w:val="000000"/>
                <w:kern w:val="0"/>
                <w:szCs w:val="21"/>
              </w:rPr>
            </w:pPr>
            <w:r>
              <w:rPr>
                <w:rFonts w:ascii="宋体" w:hAnsi="宋体" w:eastAsia="宋体" w:cs="宋体"/>
                <w:color w:val="000000"/>
                <w:kern w:val="0"/>
                <w:szCs w:val="21"/>
              </w:rPr>
              <w:t>15</w:t>
            </w:r>
          </w:p>
        </w:tc>
        <w:tc>
          <w:tcPr>
            <w:tcW w:w="757" w:type="dxa"/>
            <w:vMerge w:val="continue"/>
            <w:tcBorders>
              <w:top w:val="nil"/>
              <w:left w:val="single" w:color="auto" w:sz="4" w:space="0"/>
              <w:bottom w:val="single" w:color="000000" w:sz="4" w:space="0"/>
              <w:right w:val="single" w:color="auto" w:sz="4" w:space="0"/>
            </w:tcBorders>
            <w:vAlign w:val="center"/>
          </w:tcPr>
          <w:p w14:paraId="79B2EAFE">
            <w:pPr>
              <w:widowControl/>
              <w:jc w:val="left"/>
              <w:rPr>
                <w:rFonts w:ascii="宋体" w:hAnsi="宋体" w:eastAsia="宋体" w:cs="宋体"/>
                <w:color w:val="000000"/>
                <w:kern w:val="0"/>
                <w:szCs w:val="21"/>
              </w:rPr>
            </w:pPr>
          </w:p>
        </w:tc>
        <w:tc>
          <w:tcPr>
            <w:tcW w:w="1559" w:type="dxa"/>
            <w:tcBorders>
              <w:top w:val="nil"/>
              <w:left w:val="nil"/>
              <w:bottom w:val="single" w:color="auto" w:sz="4" w:space="0"/>
              <w:right w:val="single" w:color="auto" w:sz="4" w:space="0"/>
            </w:tcBorders>
            <w:vAlign w:val="center"/>
          </w:tcPr>
          <w:p w14:paraId="203EE84C">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历史接种记录查看</w:t>
            </w:r>
          </w:p>
        </w:tc>
        <w:tc>
          <w:tcPr>
            <w:tcW w:w="6140" w:type="dxa"/>
            <w:tcBorders>
              <w:top w:val="nil"/>
              <w:left w:val="nil"/>
              <w:bottom w:val="single" w:color="auto" w:sz="4" w:space="0"/>
              <w:right w:val="single" w:color="auto" w:sz="4" w:space="0"/>
            </w:tcBorders>
            <w:vAlign w:val="center"/>
          </w:tcPr>
          <w:p w14:paraId="3B74B207">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可查看居民历史所有的接种记录，包括接种时间、接种疫苗名称、接种机构、疫苗厂家、批次等内容。</w:t>
            </w:r>
          </w:p>
        </w:tc>
      </w:tr>
      <w:tr w14:paraId="5987B01C">
        <w:tblPrEx>
          <w:tblCellMar>
            <w:top w:w="0" w:type="dxa"/>
            <w:left w:w="108" w:type="dxa"/>
            <w:bottom w:w="0" w:type="dxa"/>
            <w:right w:w="108" w:type="dxa"/>
          </w:tblCellMar>
        </w:tblPrEx>
        <w:trPr>
          <w:trHeight w:val="560" w:hRule="atLeast"/>
        </w:trPr>
        <w:tc>
          <w:tcPr>
            <w:tcW w:w="638" w:type="dxa"/>
            <w:tcBorders>
              <w:top w:val="nil"/>
              <w:left w:val="single" w:color="auto" w:sz="4" w:space="0"/>
              <w:bottom w:val="single" w:color="auto" w:sz="4" w:space="0"/>
              <w:right w:val="single" w:color="auto" w:sz="4" w:space="0"/>
            </w:tcBorders>
            <w:noWrap/>
            <w:vAlign w:val="center"/>
          </w:tcPr>
          <w:p w14:paraId="060CDDF9">
            <w:pPr>
              <w:widowControl/>
              <w:jc w:val="center"/>
              <w:rPr>
                <w:rFonts w:ascii="宋体" w:hAnsi="宋体" w:eastAsia="宋体" w:cs="宋体"/>
                <w:color w:val="000000"/>
                <w:kern w:val="0"/>
                <w:szCs w:val="21"/>
              </w:rPr>
            </w:pPr>
            <w:r>
              <w:rPr>
                <w:rFonts w:ascii="宋体" w:hAnsi="宋体" w:eastAsia="宋体" w:cs="宋体"/>
                <w:color w:val="000000"/>
                <w:kern w:val="0"/>
                <w:szCs w:val="21"/>
              </w:rPr>
              <w:t>16</w:t>
            </w:r>
          </w:p>
        </w:tc>
        <w:tc>
          <w:tcPr>
            <w:tcW w:w="757" w:type="dxa"/>
            <w:vMerge w:val="restart"/>
            <w:tcBorders>
              <w:top w:val="nil"/>
              <w:left w:val="single" w:color="auto" w:sz="4" w:space="0"/>
              <w:bottom w:val="nil"/>
              <w:right w:val="single" w:color="auto" w:sz="4" w:space="0"/>
            </w:tcBorders>
            <w:noWrap/>
            <w:vAlign w:val="center"/>
          </w:tcPr>
          <w:p w14:paraId="36D6F0A0">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数智化监测</w:t>
            </w:r>
          </w:p>
        </w:tc>
        <w:tc>
          <w:tcPr>
            <w:tcW w:w="1559" w:type="dxa"/>
            <w:tcBorders>
              <w:top w:val="nil"/>
              <w:left w:val="nil"/>
              <w:bottom w:val="single" w:color="auto" w:sz="4" w:space="0"/>
              <w:right w:val="single" w:color="auto" w:sz="4" w:space="0"/>
            </w:tcBorders>
            <w:noWrap/>
            <w:vAlign w:val="center"/>
          </w:tcPr>
          <w:p w14:paraId="73541995">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成人非免疫规划疫苗转介监测</w:t>
            </w:r>
          </w:p>
        </w:tc>
        <w:tc>
          <w:tcPr>
            <w:tcW w:w="6140" w:type="dxa"/>
            <w:tcBorders>
              <w:top w:val="nil"/>
              <w:left w:val="nil"/>
              <w:bottom w:val="single" w:color="auto" w:sz="4" w:space="0"/>
              <w:right w:val="single" w:color="auto" w:sz="4" w:space="0"/>
            </w:tcBorders>
            <w:vAlign w:val="center"/>
          </w:tcPr>
          <w:p w14:paraId="1F51A449">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提供非免疫规划疫苗提醒以及接种情况实时监测服务，可按疫苗类型、社康机构、医生个人等多维度动态监测疫苗处方开具情况已疫苗转诊情况。</w:t>
            </w:r>
          </w:p>
        </w:tc>
      </w:tr>
      <w:tr w14:paraId="1E6E5071">
        <w:tblPrEx>
          <w:tblCellMar>
            <w:top w:w="0" w:type="dxa"/>
            <w:left w:w="108" w:type="dxa"/>
            <w:bottom w:w="0" w:type="dxa"/>
            <w:right w:w="108" w:type="dxa"/>
          </w:tblCellMar>
        </w:tblPrEx>
        <w:trPr>
          <w:trHeight w:val="560" w:hRule="atLeast"/>
        </w:trPr>
        <w:tc>
          <w:tcPr>
            <w:tcW w:w="638" w:type="dxa"/>
            <w:tcBorders>
              <w:top w:val="nil"/>
              <w:left w:val="single" w:color="auto" w:sz="4" w:space="0"/>
              <w:bottom w:val="single" w:color="auto" w:sz="4" w:space="0"/>
              <w:right w:val="single" w:color="auto" w:sz="4" w:space="0"/>
            </w:tcBorders>
            <w:noWrap/>
            <w:vAlign w:val="center"/>
          </w:tcPr>
          <w:p w14:paraId="2DA62F7F">
            <w:pPr>
              <w:widowControl/>
              <w:jc w:val="center"/>
              <w:rPr>
                <w:rFonts w:ascii="宋体" w:hAnsi="宋体" w:eastAsia="宋体" w:cs="宋体"/>
                <w:color w:val="000000"/>
                <w:kern w:val="0"/>
                <w:szCs w:val="21"/>
              </w:rPr>
            </w:pPr>
            <w:r>
              <w:rPr>
                <w:rFonts w:ascii="宋体" w:hAnsi="宋体" w:eastAsia="宋体" w:cs="宋体"/>
                <w:color w:val="000000"/>
                <w:kern w:val="0"/>
                <w:szCs w:val="21"/>
              </w:rPr>
              <w:t>17</w:t>
            </w:r>
          </w:p>
        </w:tc>
        <w:tc>
          <w:tcPr>
            <w:tcW w:w="757" w:type="dxa"/>
            <w:vMerge w:val="continue"/>
            <w:tcBorders>
              <w:top w:val="nil"/>
              <w:left w:val="single" w:color="auto" w:sz="4" w:space="0"/>
              <w:bottom w:val="nil"/>
              <w:right w:val="single" w:color="auto" w:sz="4" w:space="0"/>
            </w:tcBorders>
            <w:vAlign w:val="center"/>
          </w:tcPr>
          <w:p w14:paraId="05BFE8EC">
            <w:pPr>
              <w:widowControl/>
              <w:jc w:val="left"/>
              <w:rPr>
                <w:rFonts w:ascii="宋体" w:hAnsi="宋体" w:eastAsia="宋体" w:cs="宋体"/>
                <w:color w:val="000000"/>
                <w:kern w:val="0"/>
                <w:szCs w:val="21"/>
              </w:rPr>
            </w:pPr>
          </w:p>
        </w:tc>
        <w:tc>
          <w:tcPr>
            <w:tcW w:w="1559" w:type="dxa"/>
            <w:tcBorders>
              <w:top w:val="nil"/>
              <w:left w:val="nil"/>
              <w:bottom w:val="single" w:color="auto" w:sz="4" w:space="0"/>
              <w:right w:val="single" w:color="auto" w:sz="4" w:space="0"/>
            </w:tcBorders>
            <w:vAlign w:val="center"/>
          </w:tcPr>
          <w:p w14:paraId="7261F911">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成人非免疫规划疫苗门诊应开单人次数明细</w:t>
            </w:r>
          </w:p>
        </w:tc>
        <w:tc>
          <w:tcPr>
            <w:tcW w:w="6140" w:type="dxa"/>
            <w:tcBorders>
              <w:top w:val="nil"/>
              <w:left w:val="nil"/>
              <w:bottom w:val="single" w:color="auto" w:sz="4" w:space="0"/>
              <w:right w:val="single" w:color="auto" w:sz="4" w:space="0"/>
            </w:tcBorders>
            <w:vAlign w:val="center"/>
          </w:tcPr>
          <w:p w14:paraId="49AC16EC">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提供门诊应开单人次数明细查看服务，可查看门诊就诊人次数中可开具疫苗健康处方的居民基本信息、就诊信息，针对＜50岁带状疱疹未开单人员可进行数据过滤。</w:t>
            </w:r>
          </w:p>
        </w:tc>
      </w:tr>
      <w:tr w14:paraId="237FE8CD">
        <w:tblPrEx>
          <w:tblCellMar>
            <w:top w:w="0" w:type="dxa"/>
            <w:left w:w="108" w:type="dxa"/>
            <w:bottom w:w="0" w:type="dxa"/>
            <w:right w:w="108" w:type="dxa"/>
          </w:tblCellMar>
        </w:tblPrEx>
        <w:trPr>
          <w:trHeight w:val="840" w:hRule="atLeast"/>
        </w:trPr>
        <w:tc>
          <w:tcPr>
            <w:tcW w:w="638" w:type="dxa"/>
            <w:tcBorders>
              <w:top w:val="nil"/>
              <w:left w:val="single" w:color="auto" w:sz="4" w:space="0"/>
              <w:bottom w:val="single" w:color="auto" w:sz="4" w:space="0"/>
              <w:right w:val="single" w:color="auto" w:sz="4" w:space="0"/>
            </w:tcBorders>
            <w:noWrap/>
            <w:vAlign w:val="center"/>
          </w:tcPr>
          <w:p w14:paraId="0F4F6091">
            <w:pPr>
              <w:widowControl/>
              <w:jc w:val="center"/>
              <w:rPr>
                <w:rFonts w:ascii="宋体" w:hAnsi="宋体" w:eastAsia="宋体" w:cs="宋体"/>
                <w:color w:val="000000"/>
                <w:kern w:val="0"/>
                <w:szCs w:val="21"/>
              </w:rPr>
            </w:pPr>
            <w:r>
              <w:rPr>
                <w:rFonts w:ascii="宋体" w:hAnsi="宋体" w:eastAsia="宋体" w:cs="宋体"/>
                <w:color w:val="000000"/>
                <w:kern w:val="0"/>
                <w:szCs w:val="21"/>
              </w:rPr>
              <w:t>18</w:t>
            </w:r>
          </w:p>
        </w:tc>
        <w:tc>
          <w:tcPr>
            <w:tcW w:w="757" w:type="dxa"/>
            <w:vMerge w:val="continue"/>
            <w:tcBorders>
              <w:top w:val="nil"/>
              <w:left w:val="single" w:color="auto" w:sz="4" w:space="0"/>
              <w:bottom w:val="nil"/>
              <w:right w:val="single" w:color="auto" w:sz="4" w:space="0"/>
            </w:tcBorders>
            <w:vAlign w:val="center"/>
          </w:tcPr>
          <w:p w14:paraId="7C337BDE">
            <w:pPr>
              <w:widowControl/>
              <w:jc w:val="left"/>
              <w:rPr>
                <w:rFonts w:ascii="宋体" w:hAnsi="宋体" w:eastAsia="宋体" w:cs="宋体"/>
                <w:color w:val="000000"/>
                <w:kern w:val="0"/>
                <w:szCs w:val="21"/>
              </w:rPr>
            </w:pPr>
          </w:p>
        </w:tc>
        <w:tc>
          <w:tcPr>
            <w:tcW w:w="1559" w:type="dxa"/>
            <w:tcBorders>
              <w:top w:val="nil"/>
              <w:left w:val="nil"/>
              <w:bottom w:val="single" w:color="auto" w:sz="4" w:space="0"/>
              <w:right w:val="single" w:color="auto" w:sz="4" w:space="0"/>
            </w:tcBorders>
            <w:vAlign w:val="center"/>
          </w:tcPr>
          <w:p w14:paraId="7E524E36">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成人非免疫规划疫苗开具电子健康处方份数明细</w:t>
            </w:r>
          </w:p>
        </w:tc>
        <w:tc>
          <w:tcPr>
            <w:tcW w:w="6140" w:type="dxa"/>
            <w:tcBorders>
              <w:top w:val="nil"/>
              <w:left w:val="nil"/>
              <w:bottom w:val="single" w:color="auto" w:sz="4" w:space="0"/>
              <w:right w:val="single" w:color="auto" w:sz="4" w:space="0"/>
            </w:tcBorders>
            <w:vAlign w:val="center"/>
          </w:tcPr>
          <w:p w14:paraId="1993C351">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提供开具电子健康处方份数的居民明细查看服务，可查看在门诊就诊时有开具疫苗处方的居民明细数据，包括居民基本信息、就诊信息，疫苗处方开具信息，是否接种等内容，针对＜50岁带状疱疹未开单人员可进行数据过滤。</w:t>
            </w:r>
          </w:p>
        </w:tc>
      </w:tr>
      <w:tr w14:paraId="3749AC6F">
        <w:tblPrEx>
          <w:tblCellMar>
            <w:top w:w="0" w:type="dxa"/>
            <w:left w:w="108" w:type="dxa"/>
            <w:bottom w:w="0" w:type="dxa"/>
            <w:right w:w="108" w:type="dxa"/>
          </w:tblCellMar>
        </w:tblPrEx>
        <w:trPr>
          <w:trHeight w:val="840" w:hRule="atLeast"/>
        </w:trPr>
        <w:tc>
          <w:tcPr>
            <w:tcW w:w="638" w:type="dxa"/>
            <w:tcBorders>
              <w:top w:val="nil"/>
              <w:left w:val="single" w:color="auto" w:sz="4" w:space="0"/>
              <w:bottom w:val="single" w:color="auto" w:sz="4" w:space="0"/>
              <w:right w:val="single" w:color="auto" w:sz="4" w:space="0"/>
            </w:tcBorders>
            <w:noWrap/>
            <w:vAlign w:val="center"/>
          </w:tcPr>
          <w:p w14:paraId="5CB93A50">
            <w:pPr>
              <w:widowControl/>
              <w:jc w:val="center"/>
              <w:rPr>
                <w:rFonts w:ascii="宋体" w:hAnsi="宋体" w:eastAsia="宋体" w:cs="宋体"/>
                <w:color w:val="000000"/>
                <w:kern w:val="0"/>
                <w:szCs w:val="21"/>
              </w:rPr>
            </w:pPr>
            <w:r>
              <w:rPr>
                <w:rFonts w:ascii="宋体" w:hAnsi="宋体" w:eastAsia="宋体" w:cs="宋体"/>
                <w:color w:val="000000"/>
                <w:kern w:val="0"/>
                <w:szCs w:val="21"/>
              </w:rPr>
              <w:t>19</w:t>
            </w:r>
          </w:p>
        </w:tc>
        <w:tc>
          <w:tcPr>
            <w:tcW w:w="757" w:type="dxa"/>
            <w:vMerge w:val="continue"/>
            <w:tcBorders>
              <w:top w:val="nil"/>
              <w:left w:val="single" w:color="auto" w:sz="4" w:space="0"/>
              <w:bottom w:val="single" w:color="auto" w:sz="4" w:space="0"/>
              <w:right w:val="single" w:color="auto" w:sz="4" w:space="0"/>
            </w:tcBorders>
            <w:vAlign w:val="center"/>
          </w:tcPr>
          <w:p w14:paraId="345505A6">
            <w:pPr>
              <w:widowControl/>
              <w:jc w:val="left"/>
              <w:rPr>
                <w:rFonts w:ascii="宋体" w:hAnsi="宋体" w:eastAsia="宋体" w:cs="宋体"/>
                <w:color w:val="000000"/>
                <w:kern w:val="0"/>
                <w:szCs w:val="21"/>
              </w:rPr>
            </w:pPr>
          </w:p>
        </w:tc>
        <w:tc>
          <w:tcPr>
            <w:tcW w:w="1559" w:type="dxa"/>
            <w:tcBorders>
              <w:top w:val="nil"/>
              <w:left w:val="nil"/>
              <w:bottom w:val="single" w:color="auto" w:sz="4" w:space="0"/>
              <w:right w:val="single" w:color="auto" w:sz="4" w:space="0"/>
            </w:tcBorders>
            <w:vAlign w:val="center"/>
          </w:tcPr>
          <w:p w14:paraId="23A8DA97">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成人非免疫规划疫实际接种剂数明细</w:t>
            </w:r>
          </w:p>
        </w:tc>
        <w:tc>
          <w:tcPr>
            <w:tcW w:w="6140" w:type="dxa"/>
            <w:tcBorders>
              <w:top w:val="nil"/>
              <w:left w:val="nil"/>
              <w:bottom w:val="single" w:color="auto" w:sz="4" w:space="0"/>
              <w:right w:val="single" w:color="auto" w:sz="4" w:space="0"/>
            </w:tcBorders>
            <w:vAlign w:val="center"/>
          </w:tcPr>
          <w:p w14:paraId="6EA20360">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提供疫苗处方转介明细数据查看服务，可查看医生开具的疫苗处方转介成功的详细信息，开具疫苗30天内转介则算转介成功，不同医生给同一居民开具同一剂次的疫苗处方，则纳入到最新开单医生工作量。</w:t>
            </w:r>
          </w:p>
        </w:tc>
      </w:tr>
      <w:tr w14:paraId="256D40F9">
        <w:tblPrEx>
          <w:tblCellMar>
            <w:top w:w="0" w:type="dxa"/>
            <w:left w:w="108" w:type="dxa"/>
            <w:bottom w:w="0" w:type="dxa"/>
            <w:right w:w="108" w:type="dxa"/>
          </w:tblCellMar>
        </w:tblPrEx>
        <w:trPr>
          <w:trHeight w:val="560" w:hRule="atLeast"/>
        </w:trPr>
        <w:tc>
          <w:tcPr>
            <w:tcW w:w="638" w:type="dxa"/>
            <w:tcBorders>
              <w:top w:val="single" w:color="auto" w:sz="4" w:space="0"/>
              <w:left w:val="single" w:color="auto" w:sz="4" w:space="0"/>
              <w:bottom w:val="single" w:color="auto" w:sz="4" w:space="0"/>
              <w:right w:val="single" w:color="auto" w:sz="4" w:space="0"/>
            </w:tcBorders>
            <w:noWrap/>
            <w:vAlign w:val="center"/>
          </w:tcPr>
          <w:p w14:paraId="2C9C4787">
            <w:pPr>
              <w:widowControl/>
              <w:jc w:val="center"/>
              <w:rPr>
                <w:rFonts w:ascii="宋体" w:hAnsi="宋体" w:eastAsia="宋体" w:cs="宋体"/>
                <w:color w:val="000000"/>
                <w:kern w:val="0"/>
                <w:szCs w:val="21"/>
              </w:rPr>
            </w:pPr>
            <w:r>
              <w:rPr>
                <w:rFonts w:ascii="宋体" w:hAnsi="宋体" w:eastAsia="宋体" w:cs="宋体"/>
                <w:color w:val="000000"/>
                <w:kern w:val="0"/>
                <w:szCs w:val="21"/>
              </w:rPr>
              <w:t>20</w:t>
            </w:r>
          </w:p>
        </w:tc>
        <w:tc>
          <w:tcPr>
            <w:tcW w:w="757" w:type="dxa"/>
            <w:vMerge w:val="continue"/>
            <w:tcBorders>
              <w:top w:val="single" w:color="auto" w:sz="4" w:space="0"/>
              <w:left w:val="single" w:color="auto" w:sz="4" w:space="0"/>
              <w:bottom w:val="single" w:color="auto" w:sz="4" w:space="0"/>
              <w:right w:val="single" w:color="auto" w:sz="4" w:space="0"/>
            </w:tcBorders>
            <w:vAlign w:val="center"/>
          </w:tcPr>
          <w:p w14:paraId="40CA80FB">
            <w:pPr>
              <w:widowControl/>
              <w:jc w:val="left"/>
              <w:rPr>
                <w:rFonts w:ascii="宋体" w:hAnsi="宋体" w:eastAsia="宋体" w:cs="宋体"/>
                <w:color w:val="000000"/>
                <w:kern w:val="0"/>
                <w:szCs w:val="21"/>
              </w:rPr>
            </w:pPr>
          </w:p>
        </w:tc>
        <w:tc>
          <w:tcPr>
            <w:tcW w:w="1559" w:type="dxa"/>
            <w:tcBorders>
              <w:top w:val="single" w:color="auto" w:sz="4" w:space="0"/>
              <w:left w:val="nil"/>
              <w:bottom w:val="single" w:color="auto" w:sz="4" w:space="0"/>
              <w:right w:val="single" w:color="auto" w:sz="4" w:space="0"/>
            </w:tcBorders>
            <w:vAlign w:val="center"/>
          </w:tcPr>
          <w:p w14:paraId="35C8F66D">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疫苗处方监测数据查询与导出</w:t>
            </w:r>
          </w:p>
        </w:tc>
        <w:tc>
          <w:tcPr>
            <w:tcW w:w="6140" w:type="dxa"/>
            <w:tcBorders>
              <w:top w:val="single" w:color="auto" w:sz="4" w:space="0"/>
              <w:left w:val="nil"/>
              <w:bottom w:val="single" w:color="auto" w:sz="4" w:space="0"/>
              <w:right w:val="single" w:color="auto" w:sz="4" w:space="0"/>
            </w:tcBorders>
            <w:vAlign w:val="center"/>
          </w:tcPr>
          <w:p w14:paraId="0B31279F">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提供疫苗处方监测数据查询与导出服务，可按机构名称、姓名、疫苗类型、开具疫苗处方、处方类型等条件进行组合查询，并支持对结果数据及明细数据进行脱敏导出。</w:t>
            </w:r>
          </w:p>
        </w:tc>
      </w:tr>
    </w:tbl>
    <w:p w14:paraId="0CD2B385">
      <w:pPr>
        <w:rPr>
          <w:rFonts w:hint="default"/>
          <w:lang w:val="en-US" w:eastAsia="zh-CN"/>
        </w:rPr>
      </w:pPr>
    </w:p>
    <w:p w14:paraId="209977C8">
      <w:pPr>
        <w:rPr>
          <w:rFonts w:hint="eastAsia" w:asciiTheme="minorEastAsia" w:hAnsiTheme="minorEastAsia"/>
          <w:b/>
          <w:bCs/>
          <w:szCs w:val="21"/>
        </w:rPr>
      </w:pPr>
      <w:r>
        <w:rPr>
          <w:rFonts w:hint="eastAsia" w:asciiTheme="minorEastAsia" w:hAnsiTheme="minorEastAsia"/>
          <w:b/>
          <w:bCs/>
          <w:szCs w:val="21"/>
          <w:lang w:val="en-US" w:eastAsia="zh-CN"/>
        </w:rPr>
        <w:t>3.</w:t>
      </w:r>
      <w:r>
        <w:rPr>
          <w:rFonts w:hint="eastAsia" w:eastAsia="宋体"/>
          <w:b/>
          <w:bCs/>
          <w:color w:val="0000FF"/>
        </w:rPr>
        <w:t>服务工具</w:t>
      </w:r>
      <w:r>
        <w:rPr>
          <w:rFonts w:hint="eastAsia" w:asciiTheme="minorEastAsia" w:hAnsiTheme="minorEastAsia"/>
          <w:b/>
          <w:bCs/>
          <w:szCs w:val="21"/>
        </w:rPr>
        <w:t>演示内容：</w:t>
      </w:r>
    </w:p>
    <w:tbl>
      <w:tblPr>
        <w:tblStyle w:val="19"/>
        <w:tblW w:w="9082" w:type="dxa"/>
        <w:tblInd w:w="12" w:type="dxa"/>
        <w:tblLayout w:type="autofit"/>
        <w:tblCellMar>
          <w:top w:w="15" w:type="dxa"/>
          <w:left w:w="108" w:type="dxa"/>
          <w:bottom w:w="0" w:type="dxa"/>
          <w:right w:w="108" w:type="dxa"/>
        </w:tblCellMar>
      </w:tblPr>
      <w:tblGrid>
        <w:gridCol w:w="1553"/>
        <w:gridCol w:w="7529"/>
      </w:tblGrid>
      <w:tr w14:paraId="5F05D670">
        <w:tblPrEx>
          <w:tblCellMar>
            <w:top w:w="15" w:type="dxa"/>
            <w:left w:w="108" w:type="dxa"/>
            <w:bottom w:w="0" w:type="dxa"/>
            <w:right w:w="108" w:type="dxa"/>
          </w:tblCellMar>
        </w:tblPrEx>
        <w:trPr>
          <w:trHeight w:val="280" w:hRule="atLeast"/>
        </w:trPr>
        <w:tc>
          <w:tcPr>
            <w:tcW w:w="15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BC142B">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序号</w:t>
            </w:r>
          </w:p>
        </w:tc>
        <w:tc>
          <w:tcPr>
            <w:tcW w:w="7529" w:type="dxa"/>
            <w:tcBorders>
              <w:top w:val="single" w:color="auto" w:sz="4" w:space="0"/>
              <w:left w:val="nil"/>
              <w:bottom w:val="single" w:color="auto" w:sz="4" w:space="0"/>
              <w:right w:val="single" w:color="auto" w:sz="4" w:space="0"/>
            </w:tcBorders>
            <w:shd w:val="clear" w:color="auto" w:fill="auto"/>
            <w:noWrap/>
            <w:vAlign w:val="center"/>
          </w:tcPr>
          <w:p w14:paraId="2E5443E4">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详细演示要求</w:t>
            </w:r>
          </w:p>
        </w:tc>
      </w:tr>
      <w:tr w14:paraId="21A42BA9">
        <w:tblPrEx>
          <w:tblCellMar>
            <w:top w:w="15" w:type="dxa"/>
            <w:left w:w="108" w:type="dxa"/>
            <w:bottom w:w="0" w:type="dxa"/>
            <w:right w:w="108" w:type="dxa"/>
          </w:tblCellMar>
        </w:tblPrEx>
        <w:trPr>
          <w:trHeight w:val="690" w:hRule="atLeast"/>
        </w:trPr>
        <w:tc>
          <w:tcPr>
            <w:tcW w:w="1553" w:type="dxa"/>
            <w:vMerge w:val="restart"/>
            <w:tcBorders>
              <w:top w:val="nil"/>
              <w:left w:val="single" w:color="auto" w:sz="4" w:space="0"/>
              <w:bottom w:val="single" w:color="auto" w:sz="4" w:space="0"/>
              <w:right w:val="single" w:color="auto" w:sz="4" w:space="0"/>
            </w:tcBorders>
            <w:shd w:val="clear" w:color="auto" w:fill="auto"/>
            <w:noWrap/>
            <w:vAlign w:val="center"/>
          </w:tcPr>
          <w:p w14:paraId="0B217C6E">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演示第1项</w:t>
            </w:r>
          </w:p>
        </w:tc>
        <w:tc>
          <w:tcPr>
            <w:tcW w:w="7529" w:type="dxa"/>
            <w:vMerge w:val="restart"/>
            <w:tcBorders>
              <w:top w:val="nil"/>
              <w:left w:val="single" w:color="auto" w:sz="4" w:space="0"/>
              <w:bottom w:val="single" w:color="000000" w:sz="4" w:space="0"/>
              <w:right w:val="single" w:color="auto" w:sz="4" w:space="0"/>
            </w:tcBorders>
            <w:shd w:val="clear" w:color="auto" w:fill="auto"/>
            <w:vAlign w:val="center"/>
          </w:tcPr>
          <w:p w14:paraId="0A47B569">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演示疫苗处方提醒：</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展示可查看就诊当天所有疫苗处方提醒情况，方便医生快速识别哪些居民适宜接种、哪些不适宜接种，同时可对适宜接种居民的详细信息进行查看，并可通过居民姓名、服务机构、疫苗提醒类型、开具处方状态、处方类型等条件进行组合查询。）</w:t>
            </w:r>
          </w:p>
        </w:tc>
      </w:tr>
      <w:tr w14:paraId="3D3E63C2">
        <w:tblPrEx>
          <w:tblCellMar>
            <w:top w:w="15" w:type="dxa"/>
            <w:left w:w="108" w:type="dxa"/>
            <w:bottom w:w="0" w:type="dxa"/>
            <w:right w:w="108" w:type="dxa"/>
          </w:tblCellMar>
        </w:tblPrEx>
        <w:trPr>
          <w:trHeight w:val="690" w:hRule="atLeast"/>
        </w:trPr>
        <w:tc>
          <w:tcPr>
            <w:tcW w:w="1553" w:type="dxa"/>
            <w:vMerge w:val="continue"/>
            <w:tcBorders>
              <w:top w:val="nil"/>
              <w:left w:val="single" w:color="auto" w:sz="4" w:space="0"/>
              <w:bottom w:val="single" w:color="auto" w:sz="4" w:space="0"/>
              <w:right w:val="single" w:color="auto" w:sz="4" w:space="0"/>
            </w:tcBorders>
            <w:vAlign w:val="center"/>
          </w:tcPr>
          <w:p w14:paraId="118C64BC">
            <w:pPr>
              <w:widowControl/>
              <w:jc w:val="left"/>
              <w:rPr>
                <w:rFonts w:ascii="宋体" w:hAnsi="宋体" w:eastAsia="宋体" w:cs="宋体"/>
                <w:color w:val="000000"/>
                <w:kern w:val="0"/>
                <w:szCs w:val="21"/>
              </w:rPr>
            </w:pPr>
          </w:p>
        </w:tc>
        <w:tc>
          <w:tcPr>
            <w:tcW w:w="7529" w:type="dxa"/>
            <w:vMerge w:val="continue"/>
            <w:tcBorders>
              <w:top w:val="nil"/>
              <w:left w:val="single" w:color="auto" w:sz="4" w:space="0"/>
              <w:bottom w:val="single" w:color="000000" w:sz="4" w:space="0"/>
              <w:right w:val="single" w:color="auto" w:sz="4" w:space="0"/>
            </w:tcBorders>
            <w:vAlign w:val="center"/>
          </w:tcPr>
          <w:p w14:paraId="194557A5">
            <w:pPr>
              <w:widowControl/>
              <w:jc w:val="left"/>
              <w:rPr>
                <w:rFonts w:ascii="宋体" w:hAnsi="宋体" w:eastAsia="宋体" w:cs="宋体"/>
                <w:color w:val="000000"/>
                <w:kern w:val="0"/>
                <w:szCs w:val="21"/>
              </w:rPr>
            </w:pPr>
          </w:p>
        </w:tc>
      </w:tr>
      <w:tr w14:paraId="1C320E18">
        <w:tblPrEx>
          <w:tblCellMar>
            <w:top w:w="15" w:type="dxa"/>
            <w:left w:w="108" w:type="dxa"/>
            <w:bottom w:w="0" w:type="dxa"/>
            <w:right w:w="108" w:type="dxa"/>
          </w:tblCellMar>
        </w:tblPrEx>
        <w:trPr>
          <w:trHeight w:val="670" w:hRule="atLeast"/>
        </w:trPr>
        <w:tc>
          <w:tcPr>
            <w:tcW w:w="1553" w:type="dxa"/>
            <w:vMerge w:val="restart"/>
            <w:tcBorders>
              <w:top w:val="nil"/>
              <w:left w:val="single" w:color="auto" w:sz="4" w:space="0"/>
              <w:bottom w:val="single" w:color="auto" w:sz="4" w:space="0"/>
              <w:right w:val="single" w:color="auto" w:sz="4" w:space="0"/>
            </w:tcBorders>
            <w:shd w:val="clear" w:color="auto" w:fill="auto"/>
            <w:noWrap/>
            <w:vAlign w:val="center"/>
          </w:tcPr>
          <w:p w14:paraId="2E38AFE1">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演示第2项</w:t>
            </w:r>
          </w:p>
        </w:tc>
        <w:tc>
          <w:tcPr>
            <w:tcW w:w="7529" w:type="dxa"/>
            <w:vMerge w:val="restart"/>
            <w:tcBorders>
              <w:top w:val="nil"/>
              <w:left w:val="single" w:color="auto" w:sz="4" w:space="0"/>
              <w:bottom w:val="single" w:color="000000" w:sz="4" w:space="0"/>
              <w:right w:val="single" w:color="auto" w:sz="4" w:space="0"/>
            </w:tcBorders>
            <w:shd w:val="clear" w:color="auto" w:fill="auto"/>
            <w:vAlign w:val="center"/>
          </w:tcPr>
          <w:p w14:paraId="531B2AA9">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演示历史处方开具查看：</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（展示可查看居民非免疫规划疫苗处方历史开具情况以及处方转介情况，包括处方开具时间、疫苗类型、开具医生、开具机构、接种时间、接种机构。）</w:t>
            </w:r>
            <w:r>
              <w:rPr>
                <w:rFonts w:ascii="Times New Roman" w:hAnsi="Times New Roman" w:eastAsia="宋体" w:cs="Times New Roman"/>
                <w:color w:val="000000"/>
                <w:kern w:val="0"/>
                <w:szCs w:val="21"/>
              </w:rPr>
              <w:t xml:space="preserve"> </w:t>
            </w:r>
          </w:p>
        </w:tc>
      </w:tr>
      <w:tr w14:paraId="5C69CD7E">
        <w:tblPrEx>
          <w:tblCellMar>
            <w:top w:w="15" w:type="dxa"/>
            <w:left w:w="108" w:type="dxa"/>
            <w:bottom w:w="0" w:type="dxa"/>
            <w:right w:w="108" w:type="dxa"/>
          </w:tblCellMar>
        </w:tblPrEx>
        <w:trPr>
          <w:trHeight w:val="670" w:hRule="atLeast"/>
        </w:trPr>
        <w:tc>
          <w:tcPr>
            <w:tcW w:w="1553" w:type="dxa"/>
            <w:vMerge w:val="continue"/>
            <w:tcBorders>
              <w:top w:val="nil"/>
              <w:left w:val="single" w:color="auto" w:sz="4" w:space="0"/>
              <w:bottom w:val="single" w:color="auto" w:sz="4" w:space="0"/>
              <w:right w:val="single" w:color="auto" w:sz="4" w:space="0"/>
            </w:tcBorders>
            <w:vAlign w:val="center"/>
          </w:tcPr>
          <w:p w14:paraId="7A6E3F0A">
            <w:pPr>
              <w:widowControl/>
              <w:jc w:val="left"/>
              <w:rPr>
                <w:rFonts w:ascii="宋体" w:hAnsi="宋体" w:eastAsia="宋体" w:cs="宋体"/>
                <w:color w:val="000000"/>
                <w:kern w:val="0"/>
                <w:szCs w:val="21"/>
              </w:rPr>
            </w:pPr>
          </w:p>
        </w:tc>
        <w:tc>
          <w:tcPr>
            <w:tcW w:w="7529" w:type="dxa"/>
            <w:vMerge w:val="continue"/>
            <w:tcBorders>
              <w:top w:val="nil"/>
              <w:left w:val="single" w:color="auto" w:sz="4" w:space="0"/>
              <w:bottom w:val="single" w:color="000000" w:sz="4" w:space="0"/>
              <w:right w:val="single" w:color="auto" w:sz="4" w:space="0"/>
            </w:tcBorders>
            <w:vAlign w:val="center"/>
          </w:tcPr>
          <w:p w14:paraId="7D75FAED">
            <w:pPr>
              <w:widowControl/>
              <w:jc w:val="left"/>
              <w:rPr>
                <w:rFonts w:ascii="宋体" w:hAnsi="宋体" w:eastAsia="宋体" w:cs="宋体"/>
                <w:color w:val="000000"/>
                <w:kern w:val="0"/>
                <w:szCs w:val="21"/>
              </w:rPr>
            </w:pPr>
          </w:p>
        </w:tc>
      </w:tr>
      <w:tr w14:paraId="3634056E">
        <w:tblPrEx>
          <w:tblCellMar>
            <w:top w:w="15" w:type="dxa"/>
            <w:left w:w="108" w:type="dxa"/>
            <w:bottom w:w="0" w:type="dxa"/>
            <w:right w:w="108" w:type="dxa"/>
          </w:tblCellMar>
        </w:tblPrEx>
        <w:trPr>
          <w:trHeight w:val="880" w:hRule="atLeast"/>
        </w:trPr>
        <w:tc>
          <w:tcPr>
            <w:tcW w:w="1553" w:type="dxa"/>
            <w:vMerge w:val="restart"/>
            <w:tcBorders>
              <w:top w:val="nil"/>
              <w:left w:val="single" w:color="auto" w:sz="4" w:space="0"/>
              <w:bottom w:val="single" w:color="auto" w:sz="4" w:space="0"/>
              <w:right w:val="single" w:color="auto" w:sz="4" w:space="0"/>
            </w:tcBorders>
            <w:shd w:val="clear" w:color="auto" w:fill="auto"/>
            <w:noWrap/>
            <w:vAlign w:val="center"/>
          </w:tcPr>
          <w:p w14:paraId="3E9565FF">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演示第3项</w:t>
            </w:r>
          </w:p>
        </w:tc>
        <w:tc>
          <w:tcPr>
            <w:tcW w:w="7529" w:type="dxa"/>
            <w:vMerge w:val="restart"/>
            <w:tcBorders>
              <w:top w:val="nil"/>
              <w:left w:val="single" w:color="auto" w:sz="4" w:space="0"/>
              <w:bottom w:val="single" w:color="000000" w:sz="4" w:space="0"/>
              <w:right w:val="single" w:color="auto" w:sz="4" w:space="0"/>
            </w:tcBorders>
            <w:shd w:val="clear" w:color="auto" w:fill="auto"/>
            <w:vAlign w:val="center"/>
          </w:tcPr>
          <w:p w14:paraId="7D872C4C">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演示成人非免疫规划疫苗转介监测：</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（展示提供非免疫规划疫苗提醒以及接种情况实时监测服务，可按疫苗类型、社康机构、医生个人等多维度动态监测疫苗处方开具情况已疫苗转诊情况。）</w:t>
            </w:r>
          </w:p>
        </w:tc>
      </w:tr>
      <w:tr w14:paraId="49041C3B">
        <w:tblPrEx>
          <w:tblCellMar>
            <w:top w:w="15" w:type="dxa"/>
            <w:left w:w="108" w:type="dxa"/>
            <w:bottom w:w="0" w:type="dxa"/>
            <w:right w:w="108" w:type="dxa"/>
          </w:tblCellMar>
        </w:tblPrEx>
        <w:trPr>
          <w:trHeight w:val="880" w:hRule="atLeast"/>
        </w:trPr>
        <w:tc>
          <w:tcPr>
            <w:tcW w:w="1553" w:type="dxa"/>
            <w:vMerge w:val="continue"/>
            <w:tcBorders>
              <w:top w:val="nil"/>
              <w:left w:val="single" w:color="auto" w:sz="4" w:space="0"/>
              <w:bottom w:val="single" w:color="auto" w:sz="4" w:space="0"/>
              <w:right w:val="single" w:color="auto" w:sz="4" w:space="0"/>
            </w:tcBorders>
            <w:vAlign w:val="center"/>
          </w:tcPr>
          <w:p w14:paraId="0E790175">
            <w:pPr>
              <w:widowControl/>
              <w:jc w:val="left"/>
              <w:rPr>
                <w:rFonts w:ascii="宋体" w:hAnsi="宋体" w:eastAsia="宋体" w:cs="宋体"/>
                <w:color w:val="000000"/>
                <w:kern w:val="0"/>
                <w:szCs w:val="21"/>
              </w:rPr>
            </w:pPr>
          </w:p>
        </w:tc>
        <w:tc>
          <w:tcPr>
            <w:tcW w:w="7529" w:type="dxa"/>
            <w:vMerge w:val="continue"/>
            <w:tcBorders>
              <w:top w:val="nil"/>
              <w:left w:val="single" w:color="auto" w:sz="4" w:space="0"/>
              <w:bottom w:val="single" w:color="000000" w:sz="4" w:space="0"/>
              <w:right w:val="single" w:color="auto" w:sz="4" w:space="0"/>
            </w:tcBorders>
            <w:vAlign w:val="center"/>
          </w:tcPr>
          <w:p w14:paraId="7856D140">
            <w:pPr>
              <w:widowControl/>
              <w:jc w:val="left"/>
              <w:rPr>
                <w:rFonts w:ascii="宋体" w:hAnsi="宋体" w:eastAsia="宋体" w:cs="宋体"/>
                <w:color w:val="000000"/>
                <w:kern w:val="0"/>
                <w:szCs w:val="21"/>
              </w:rPr>
            </w:pPr>
          </w:p>
        </w:tc>
      </w:tr>
    </w:tbl>
    <w:p w14:paraId="6B939CDF">
      <w:pPr>
        <w:pStyle w:val="4"/>
      </w:pPr>
      <w:r>
        <w:rPr>
          <w:rFonts w:hint="eastAsia"/>
        </w:rPr>
        <w:t>二、商务要求：</w:t>
      </w:r>
    </w:p>
    <w:p w14:paraId="2897D985">
      <w:pPr>
        <w:numPr>
          <w:ilvl w:val="0"/>
          <w:numId w:val="1"/>
        </w:numPr>
        <w:spacing w:line="360" w:lineRule="auto"/>
        <w:ind w:firstLine="480" w:firstLineChars="200"/>
        <w:jc w:val="left"/>
        <w:rPr>
          <w:rFonts w:ascii="宋体" w:hAnsi="宋体"/>
          <w:sz w:val="24"/>
        </w:rPr>
      </w:pPr>
      <w:r>
        <w:rPr>
          <w:rFonts w:hint="eastAsia" w:ascii="宋体" w:hAnsi="宋体"/>
          <w:sz w:val="24"/>
        </w:rPr>
        <w:t>项目预算金额：</w:t>
      </w:r>
      <w:r>
        <w:rPr>
          <w:rFonts w:hint="eastAsia" w:ascii="宋体" w:hAnsi="宋体"/>
          <w:sz w:val="24"/>
          <w:lang w:val="en-US" w:eastAsia="zh-CN"/>
        </w:rPr>
        <w:t>壹拾伍万</w:t>
      </w:r>
      <w:r>
        <w:rPr>
          <w:rFonts w:hint="eastAsia" w:ascii="宋体" w:hAnsi="宋体"/>
          <w:sz w:val="24"/>
        </w:rPr>
        <w:t>元（¥</w:t>
      </w:r>
      <w:r>
        <w:rPr>
          <w:rFonts w:hint="eastAsia" w:ascii="宋体" w:hAnsi="宋体"/>
          <w:sz w:val="24"/>
          <w:lang w:val="en-US" w:eastAsia="zh-CN"/>
        </w:rPr>
        <w:t>150000</w:t>
      </w:r>
      <w:r>
        <w:rPr>
          <w:rFonts w:hint="eastAsia" w:ascii="宋体" w:hAnsi="宋体"/>
          <w:sz w:val="24"/>
        </w:rPr>
        <w:t>.00）元。</w:t>
      </w:r>
    </w:p>
    <w:p w14:paraId="162269FC">
      <w:pPr>
        <w:numPr>
          <w:ilvl w:val="0"/>
          <w:numId w:val="1"/>
        </w:numPr>
        <w:spacing w:line="360" w:lineRule="auto"/>
        <w:ind w:firstLine="480"/>
        <w:jc w:val="left"/>
        <w:rPr>
          <w:rFonts w:ascii="宋体" w:hAnsi="宋体"/>
          <w:sz w:val="24"/>
        </w:rPr>
      </w:pPr>
      <w:r>
        <w:rPr>
          <w:rFonts w:hint="eastAsia" w:ascii="宋体" w:hAnsi="宋体"/>
          <w:sz w:val="24"/>
        </w:rPr>
        <w:t>报价要求：</w:t>
      </w:r>
    </w:p>
    <w:p w14:paraId="7D92B923">
      <w:pPr>
        <w:spacing w:line="360" w:lineRule="auto"/>
        <w:ind w:firstLine="480" w:firstLineChars="200"/>
        <w:jc w:val="left"/>
        <w:rPr>
          <w:rFonts w:ascii="宋体" w:hAnsi="宋体"/>
          <w:sz w:val="24"/>
        </w:rPr>
      </w:pPr>
      <w:r>
        <w:rPr>
          <w:rFonts w:hint="eastAsia" w:ascii="宋体" w:hAnsi="宋体"/>
          <w:sz w:val="24"/>
        </w:rPr>
        <w:t>（1）本项目预算控制金额及最高投标限价为人民币</w:t>
      </w:r>
      <w:r>
        <w:rPr>
          <w:rFonts w:hint="eastAsia" w:ascii="宋体" w:hAnsi="宋体"/>
          <w:sz w:val="24"/>
          <w:lang w:val="en-US" w:eastAsia="zh-CN"/>
        </w:rPr>
        <w:t>150000</w:t>
      </w:r>
      <w:r>
        <w:rPr>
          <w:rFonts w:ascii="宋体" w:hAnsi="宋体"/>
          <w:sz w:val="24"/>
        </w:rPr>
        <w:t>.00</w:t>
      </w:r>
      <w:r>
        <w:rPr>
          <w:rFonts w:hint="eastAsia" w:ascii="宋体" w:hAnsi="宋体"/>
          <w:sz w:val="24"/>
        </w:rPr>
        <w:t>元。超出此预算控制金额或最高投标限价的作无效投</w:t>
      </w:r>
      <w:bookmarkStart w:id="186" w:name="_GoBack"/>
      <w:bookmarkEnd w:id="186"/>
      <w:r>
        <w:rPr>
          <w:rFonts w:hint="eastAsia" w:ascii="宋体" w:hAnsi="宋体"/>
          <w:sz w:val="24"/>
        </w:rPr>
        <w:t>标处理；</w:t>
      </w:r>
    </w:p>
    <w:p w14:paraId="10B8B3A1">
      <w:pPr>
        <w:spacing w:line="360" w:lineRule="auto"/>
        <w:ind w:firstLine="480" w:firstLineChars="200"/>
        <w:jc w:val="left"/>
        <w:rPr>
          <w:rFonts w:ascii="宋体" w:hAnsi="宋体"/>
          <w:sz w:val="24"/>
        </w:rPr>
      </w:pPr>
      <w:r>
        <w:rPr>
          <w:rFonts w:hint="eastAsia" w:ascii="宋体" w:hAnsi="宋体"/>
          <w:sz w:val="24"/>
        </w:rPr>
        <w:t>（2）本次采购报价币种为人民币，单位为元；</w:t>
      </w:r>
    </w:p>
    <w:p w14:paraId="2D5E9F12">
      <w:pPr>
        <w:spacing w:line="360" w:lineRule="auto"/>
        <w:ind w:firstLine="480" w:firstLineChars="200"/>
        <w:jc w:val="left"/>
        <w:rPr>
          <w:rFonts w:ascii="宋体" w:hAnsi="宋体"/>
          <w:sz w:val="24"/>
        </w:rPr>
      </w:pPr>
      <w:r>
        <w:rPr>
          <w:rFonts w:hint="eastAsia" w:ascii="宋体" w:hAnsi="宋体"/>
          <w:sz w:val="24"/>
        </w:rPr>
        <w:t>（3）本项目服务费用采用包干制，包括但不限于人工费、设备费等服务成本、管理费用、法定税费和利润等一切费用。投标人应自行承担未来时期人工工资上调、劳动合同补偿和物价上涨等因素对服务价格造成的影响及风险；</w:t>
      </w:r>
    </w:p>
    <w:p w14:paraId="778FFB86">
      <w:pPr>
        <w:spacing w:line="360" w:lineRule="auto"/>
        <w:ind w:firstLine="480" w:firstLineChars="200"/>
        <w:jc w:val="left"/>
        <w:rPr>
          <w:rFonts w:ascii="宋体" w:hAnsi="宋体"/>
          <w:sz w:val="24"/>
        </w:rPr>
      </w:pPr>
      <w:r>
        <w:rPr>
          <w:rFonts w:hint="eastAsia" w:ascii="宋体" w:hAnsi="宋体"/>
          <w:sz w:val="24"/>
        </w:rPr>
        <w:t>（4）投标人应根据本企业的成本自行决定报价。评标委员会认为投标人的报价明显低于其他通过符合性审查投标人的报价，有可能影响服务质量或不能诚信履约的，将会要求该投标人在评标现场合理的时间内提供书面说明，必要时提交相关证明材料。投标人不能证明其报价合理性的，评标委员会应将其作为无效投标处理。</w:t>
      </w:r>
    </w:p>
    <w:p w14:paraId="5D0DED87">
      <w:pPr>
        <w:spacing w:line="360" w:lineRule="auto"/>
        <w:ind w:firstLine="480" w:firstLineChars="200"/>
        <w:jc w:val="left"/>
        <w:rPr>
          <w:rFonts w:hint="eastAsia" w:ascii="宋体" w:hAnsi="宋体"/>
          <w:sz w:val="24"/>
        </w:rPr>
      </w:pPr>
      <w:r>
        <w:rPr>
          <w:rFonts w:hint="eastAsia" w:ascii="宋体" w:hAnsi="宋体"/>
          <w:sz w:val="24"/>
          <w:lang w:val="en-US" w:eastAsia="zh-CN"/>
        </w:rPr>
        <w:t>3.</w:t>
      </w:r>
      <w:r>
        <w:rPr>
          <w:rFonts w:hint="eastAsia" w:ascii="宋体" w:hAnsi="宋体"/>
          <w:sz w:val="24"/>
        </w:rPr>
        <w:t>合同服务期限：签订合同之日起一年。</w:t>
      </w:r>
    </w:p>
    <w:p w14:paraId="74658B38">
      <w:pPr>
        <w:spacing w:line="360" w:lineRule="auto"/>
        <w:ind w:firstLine="480" w:firstLineChars="200"/>
        <w:jc w:val="left"/>
        <w:rPr>
          <w:rFonts w:hint="eastAsia" w:ascii="宋体" w:hAnsi="宋体"/>
          <w:sz w:val="24"/>
        </w:rPr>
      </w:pPr>
      <w:r>
        <w:rPr>
          <w:rFonts w:hint="eastAsia" w:ascii="宋体" w:hAnsi="宋体"/>
          <w:sz w:val="24"/>
          <w:lang w:val="en-US" w:eastAsia="zh-CN"/>
        </w:rPr>
        <w:t>4.</w:t>
      </w:r>
      <w:r>
        <w:rPr>
          <w:rFonts w:hint="eastAsia" w:ascii="宋体" w:hAnsi="宋体"/>
          <w:sz w:val="24"/>
        </w:rPr>
        <w:t>验收方式：项目完成后，中标人整理形成项目验收报告，盖章后交由采购方签字确认，作为验收依据。</w:t>
      </w:r>
    </w:p>
    <w:p w14:paraId="0357C9F2">
      <w:pPr>
        <w:spacing w:line="360" w:lineRule="auto"/>
        <w:ind w:firstLine="480" w:firstLineChars="200"/>
        <w:jc w:val="left"/>
        <w:rPr>
          <w:rFonts w:hint="eastAsia" w:ascii="宋体" w:hAnsi="宋体"/>
          <w:sz w:val="24"/>
        </w:rPr>
      </w:pPr>
      <w:r>
        <w:rPr>
          <w:rFonts w:hint="eastAsia" w:ascii="宋体" w:hAnsi="宋体"/>
          <w:sz w:val="24"/>
          <w:lang w:val="en-US" w:eastAsia="zh-CN"/>
        </w:rPr>
        <w:t>5.</w:t>
      </w:r>
      <w:r>
        <w:rPr>
          <w:rFonts w:hint="eastAsia" w:ascii="宋体" w:hAnsi="宋体"/>
          <w:sz w:val="24"/>
        </w:rPr>
        <w:t>付款方式：合同签订后，采购人收到中标人提供有效发票后10个工作日内支付合同总价的70%；项目完成后，中标人整理形成项目验收报告，且经采购人验收合格后，收到中标人提供有效发票后10个工作日内支付合同总价的30%。</w:t>
      </w:r>
    </w:p>
    <w:p w14:paraId="724DA8D1">
      <w:pPr>
        <w:pStyle w:val="2"/>
        <w:spacing w:line="360" w:lineRule="auto"/>
        <w:ind w:firstLine="480" w:firstLineChars="200"/>
        <w:rPr>
          <w:rFonts w:hint="default" w:ascii="宋体" w:hAnsi="宋体" w:eastAsiaTheme="minorEastAsia" w:cstheme="minorBidi"/>
          <w:color w:val="FF0000"/>
          <w:kern w:val="2"/>
          <w:sz w:val="24"/>
          <w:szCs w:val="22"/>
          <w:lang w:val="en-US" w:eastAsia="zh-CN" w:bidi="ar-SA"/>
        </w:rPr>
      </w:pPr>
      <w:r>
        <w:rPr>
          <w:rFonts w:hint="eastAsia" w:ascii="宋体" w:hAnsi="宋体" w:eastAsiaTheme="minorEastAsia" w:cstheme="minorBidi"/>
          <w:color w:val="FF0000"/>
          <w:kern w:val="2"/>
          <w:sz w:val="24"/>
          <w:szCs w:val="22"/>
          <w:lang w:val="en-US" w:eastAsia="zh-CN" w:bidi="ar-SA"/>
        </w:rPr>
        <w:t>6.运维与培训要求：提供为期12个月的日常技术支持服务，含问题响应、服务优化与数据保障；提供完整的用户培训材料（线上或线下形式）。</w:t>
      </w:r>
    </w:p>
    <w:p w14:paraId="64626BA4">
      <w:pPr>
        <w:spacing w:line="360" w:lineRule="auto"/>
        <w:ind w:firstLine="480" w:firstLineChars="200"/>
        <w:jc w:val="left"/>
        <w:rPr>
          <w:rFonts w:ascii="宋体" w:hAnsi="宋体"/>
          <w:sz w:val="24"/>
        </w:rPr>
      </w:pPr>
    </w:p>
    <w:p w14:paraId="53A55366">
      <w:pPr>
        <w:pStyle w:val="4"/>
        <w:rPr>
          <w:rFonts w:ascii="仿宋" w:hAnsi="仿宋" w:eastAsia="仿宋"/>
          <w:b w:val="0"/>
          <w:color w:val="000000"/>
        </w:rPr>
      </w:pPr>
      <w:r>
        <w:rPr>
          <w:rFonts w:hint="eastAsia"/>
          <w:lang w:val="en-US" w:eastAsia="zh-CN"/>
        </w:rPr>
        <w:t>三</w:t>
      </w:r>
      <w:r>
        <w:rPr>
          <w:rFonts w:hint="eastAsia"/>
        </w:rPr>
        <w:t>、评审因素和评审标准</w:t>
      </w:r>
    </w:p>
    <w:p w14:paraId="075AF0E2">
      <w:pPr>
        <w:spacing w:line="360" w:lineRule="auto"/>
        <w:ind w:firstLine="480" w:firstLineChars="200"/>
        <w:jc w:val="left"/>
        <w:rPr>
          <w:rFonts w:hint="default" w:ascii="宋体" w:hAnsi="宋体"/>
          <w:sz w:val="24"/>
          <w:lang w:val="en-US" w:eastAsia="zh-CN"/>
        </w:rPr>
      </w:pPr>
    </w:p>
    <w:tbl>
      <w:tblPr>
        <w:tblStyle w:val="19"/>
        <w:tblW w:w="8369"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715"/>
        <w:gridCol w:w="1133"/>
        <w:gridCol w:w="4255"/>
        <w:gridCol w:w="1051"/>
        <w:gridCol w:w="1215"/>
      </w:tblGrid>
      <w:tr w14:paraId="6DCE23D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427" w:type="pct"/>
            <w:tcBorders>
              <w:top w:val="single" w:color="auto" w:sz="4" w:space="0"/>
              <w:left w:val="single" w:color="auto" w:sz="4" w:space="0"/>
              <w:bottom w:val="single" w:color="auto" w:sz="4" w:space="0"/>
              <w:right w:val="single" w:color="auto" w:sz="4" w:space="0"/>
            </w:tcBorders>
            <w:vAlign w:val="center"/>
          </w:tcPr>
          <w:p w14:paraId="5A67728C">
            <w:pPr>
              <w:jc w:val="center"/>
              <w:rPr>
                <w:rFonts w:cs="宋体" w:asciiTheme="minorEastAsia" w:hAnsiTheme="minorEastAsia"/>
                <w:b/>
                <w:color w:val="000000" w:themeColor="text1"/>
                <w:szCs w:val="21"/>
                <w14:textFill>
                  <w14:solidFill>
                    <w14:schemeClr w14:val="tx1"/>
                  </w14:solidFill>
                </w14:textFill>
              </w:rPr>
            </w:pPr>
            <w:r>
              <w:rPr>
                <w:rFonts w:hint="eastAsia" w:cs="宋体" w:asciiTheme="minorEastAsia" w:hAnsiTheme="minorEastAsia"/>
                <w:b/>
                <w:color w:val="000000" w:themeColor="text1"/>
                <w:szCs w:val="21"/>
                <w14:textFill>
                  <w14:solidFill>
                    <w14:schemeClr w14:val="tx1"/>
                  </w14:solidFill>
                </w14:textFill>
              </w:rPr>
              <w:t>评审部分</w:t>
            </w:r>
          </w:p>
        </w:tc>
        <w:tc>
          <w:tcPr>
            <w:tcW w:w="677" w:type="pct"/>
            <w:tcBorders>
              <w:top w:val="single" w:color="auto" w:sz="4" w:space="0"/>
              <w:left w:val="single" w:color="auto" w:sz="4" w:space="0"/>
              <w:bottom w:val="single" w:color="auto" w:sz="4" w:space="0"/>
              <w:right w:val="single" w:color="auto" w:sz="4" w:space="0"/>
            </w:tcBorders>
            <w:vAlign w:val="center"/>
          </w:tcPr>
          <w:p w14:paraId="4DA25C25">
            <w:pPr>
              <w:jc w:val="center"/>
              <w:rPr>
                <w:rFonts w:cs="宋体" w:asciiTheme="minorEastAsia" w:hAnsiTheme="minorEastAsia"/>
                <w:b/>
                <w:color w:val="000000" w:themeColor="text1"/>
                <w:szCs w:val="21"/>
                <w14:textFill>
                  <w14:solidFill>
                    <w14:schemeClr w14:val="tx1"/>
                  </w14:solidFill>
                </w14:textFill>
              </w:rPr>
            </w:pPr>
            <w:r>
              <w:rPr>
                <w:rFonts w:hint="eastAsia" w:cs="宋体" w:asciiTheme="minorEastAsia" w:hAnsiTheme="minorEastAsia"/>
                <w:b/>
                <w:color w:val="000000" w:themeColor="text1"/>
                <w:szCs w:val="21"/>
                <w14:textFill>
                  <w14:solidFill>
                    <w14:schemeClr w14:val="tx1"/>
                  </w14:solidFill>
                </w14:textFill>
              </w:rPr>
              <w:t>评审因素</w:t>
            </w:r>
          </w:p>
        </w:tc>
        <w:tc>
          <w:tcPr>
            <w:tcW w:w="2542" w:type="pct"/>
            <w:tcBorders>
              <w:top w:val="single" w:color="auto" w:sz="4" w:space="0"/>
              <w:left w:val="single" w:color="auto" w:sz="4" w:space="0"/>
              <w:bottom w:val="single" w:color="auto" w:sz="4" w:space="0"/>
              <w:right w:val="single" w:color="auto" w:sz="4" w:space="0"/>
            </w:tcBorders>
            <w:vAlign w:val="center"/>
          </w:tcPr>
          <w:p w14:paraId="68B5D7DF">
            <w:pPr>
              <w:jc w:val="center"/>
              <w:rPr>
                <w:rFonts w:cs="宋体" w:asciiTheme="minorEastAsia" w:hAnsiTheme="minorEastAsia"/>
                <w:b/>
                <w:color w:val="000000" w:themeColor="text1"/>
                <w:szCs w:val="21"/>
                <w14:textFill>
                  <w14:solidFill>
                    <w14:schemeClr w14:val="tx1"/>
                  </w14:solidFill>
                </w14:textFill>
              </w:rPr>
            </w:pPr>
            <w:r>
              <w:rPr>
                <w:rFonts w:hint="eastAsia" w:cs="宋体" w:asciiTheme="minorEastAsia" w:hAnsiTheme="minorEastAsia"/>
                <w:b/>
                <w:color w:val="000000" w:themeColor="text1"/>
                <w:szCs w:val="21"/>
                <w14:textFill>
                  <w14:solidFill>
                    <w14:schemeClr w14:val="tx1"/>
                  </w14:solidFill>
                </w14:textFill>
              </w:rPr>
              <w:t>评分细则</w:t>
            </w:r>
          </w:p>
        </w:tc>
        <w:tc>
          <w:tcPr>
            <w:tcW w:w="628" w:type="pct"/>
            <w:tcBorders>
              <w:top w:val="single" w:color="auto" w:sz="4" w:space="0"/>
              <w:left w:val="single" w:color="auto" w:sz="4" w:space="0"/>
              <w:bottom w:val="single" w:color="auto" w:sz="4" w:space="0"/>
              <w:right w:val="single" w:color="auto" w:sz="4" w:space="0"/>
            </w:tcBorders>
            <w:vAlign w:val="center"/>
          </w:tcPr>
          <w:p w14:paraId="23277D73">
            <w:pPr>
              <w:jc w:val="center"/>
              <w:rPr>
                <w:rFonts w:cs="宋体" w:asciiTheme="minorEastAsia" w:hAnsiTheme="minorEastAsia"/>
                <w:b/>
                <w:color w:val="000000" w:themeColor="text1"/>
                <w:szCs w:val="21"/>
                <w14:textFill>
                  <w14:solidFill>
                    <w14:schemeClr w14:val="tx1"/>
                  </w14:solidFill>
                </w14:textFill>
              </w:rPr>
            </w:pPr>
            <w:r>
              <w:rPr>
                <w:rFonts w:hint="eastAsia" w:cs="宋体" w:asciiTheme="minorEastAsia" w:hAnsiTheme="minorEastAsia"/>
                <w:b/>
                <w:color w:val="000000" w:themeColor="text1"/>
                <w:szCs w:val="21"/>
                <w14:textFill>
                  <w14:solidFill>
                    <w14:schemeClr w14:val="tx1"/>
                  </w14:solidFill>
                </w14:textFill>
              </w:rPr>
              <w:t>权重（%）</w:t>
            </w:r>
          </w:p>
        </w:tc>
        <w:tc>
          <w:tcPr>
            <w:tcW w:w="726" w:type="pct"/>
            <w:tcBorders>
              <w:top w:val="single" w:color="auto" w:sz="4" w:space="0"/>
              <w:left w:val="single" w:color="auto" w:sz="4" w:space="0"/>
              <w:bottom w:val="single" w:color="auto" w:sz="4" w:space="0"/>
              <w:right w:val="single" w:color="auto" w:sz="4" w:space="0"/>
            </w:tcBorders>
            <w:vAlign w:val="center"/>
          </w:tcPr>
          <w:p w14:paraId="3D046CC9">
            <w:pPr>
              <w:jc w:val="center"/>
              <w:rPr>
                <w:rFonts w:cs="宋体" w:asciiTheme="minorEastAsia" w:hAnsiTheme="minorEastAsia"/>
                <w:b/>
                <w:color w:val="000000" w:themeColor="text1"/>
                <w:szCs w:val="21"/>
                <w14:textFill>
                  <w14:solidFill>
                    <w14:schemeClr w14:val="tx1"/>
                  </w14:solidFill>
                </w14:textFill>
              </w:rPr>
            </w:pPr>
            <w:r>
              <w:rPr>
                <w:rFonts w:hint="eastAsia" w:cs="宋体" w:asciiTheme="minorEastAsia" w:hAnsiTheme="minorEastAsia"/>
                <w:b/>
                <w:color w:val="000000" w:themeColor="text1"/>
                <w:szCs w:val="21"/>
                <w14:textFill>
                  <w14:solidFill>
                    <w14:schemeClr w14:val="tx1"/>
                  </w14:solidFill>
                </w14:textFill>
              </w:rPr>
              <w:t>分值（分）</w:t>
            </w:r>
          </w:p>
        </w:tc>
      </w:tr>
      <w:tr w14:paraId="092BE5B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1" w:hRule="atLeast"/>
        </w:trPr>
        <w:tc>
          <w:tcPr>
            <w:tcW w:w="427" w:type="pct"/>
            <w:tcBorders>
              <w:top w:val="single" w:color="auto" w:sz="4" w:space="0"/>
              <w:left w:val="single" w:color="auto" w:sz="4" w:space="0"/>
              <w:bottom w:val="single" w:color="auto" w:sz="4" w:space="0"/>
              <w:right w:val="single" w:color="auto" w:sz="4" w:space="0"/>
            </w:tcBorders>
            <w:vAlign w:val="center"/>
          </w:tcPr>
          <w:p w14:paraId="18422AF4">
            <w:pPr>
              <w:jc w:val="center"/>
              <w:rPr>
                <w:rFonts w:cs="宋体" w:asciiTheme="minorEastAsia" w:hAnsiTheme="minorEastAsia"/>
                <w:b/>
                <w:color w:val="000000" w:themeColor="text1"/>
                <w:szCs w:val="21"/>
                <w14:textFill>
                  <w14:solidFill>
                    <w14:schemeClr w14:val="tx1"/>
                  </w14:solidFill>
                </w14:textFill>
              </w:rPr>
            </w:pPr>
            <w:r>
              <w:rPr>
                <w:rFonts w:hint="eastAsia" w:cs="宋体" w:asciiTheme="minorEastAsia" w:hAnsiTheme="minorEastAsia"/>
                <w:b/>
                <w:color w:val="000000" w:themeColor="text1"/>
                <w:szCs w:val="21"/>
                <w14:textFill>
                  <w14:solidFill>
                    <w14:schemeClr w14:val="tx1"/>
                  </w14:solidFill>
                </w14:textFill>
              </w:rPr>
              <w:t>一</w:t>
            </w:r>
          </w:p>
        </w:tc>
        <w:tc>
          <w:tcPr>
            <w:tcW w:w="4573" w:type="pct"/>
            <w:gridSpan w:val="4"/>
            <w:tcBorders>
              <w:top w:val="single" w:color="auto" w:sz="4" w:space="0"/>
              <w:left w:val="single" w:color="auto" w:sz="4" w:space="0"/>
              <w:bottom w:val="single" w:color="auto" w:sz="4" w:space="0"/>
              <w:right w:val="single" w:color="auto" w:sz="4" w:space="0"/>
            </w:tcBorders>
            <w:vAlign w:val="center"/>
          </w:tcPr>
          <w:p w14:paraId="3D769481">
            <w:pPr>
              <w:jc w:val="center"/>
              <w:rPr>
                <w:rFonts w:cs="宋体" w:asciiTheme="minorEastAsia" w:hAnsiTheme="minorEastAsia"/>
                <w:b/>
                <w:color w:val="000000" w:themeColor="text1"/>
                <w:szCs w:val="21"/>
                <w14:textFill>
                  <w14:solidFill>
                    <w14:schemeClr w14:val="tx1"/>
                  </w14:solidFill>
                </w14:textFill>
              </w:rPr>
            </w:pPr>
            <w:r>
              <w:rPr>
                <w:rFonts w:hint="eastAsia" w:cs="宋体" w:asciiTheme="minorEastAsia" w:hAnsiTheme="minorEastAsia"/>
                <w:b/>
                <w:color w:val="000000" w:themeColor="text1"/>
                <w:szCs w:val="21"/>
                <w14:textFill>
                  <w14:solidFill>
                    <w14:schemeClr w14:val="tx1"/>
                  </w14:solidFill>
                </w14:textFill>
              </w:rPr>
              <w:t>技术部分（4</w:t>
            </w:r>
            <w:r>
              <w:rPr>
                <w:rFonts w:cs="宋体" w:asciiTheme="minorEastAsia" w:hAnsiTheme="minorEastAsia"/>
                <w:b/>
                <w:color w:val="000000" w:themeColor="text1"/>
                <w:szCs w:val="21"/>
                <w14:textFill>
                  <w14:solidFill>
                    <w14:schemeClr w14:val="tx1"/>
                  </w14:solidFill>
                </w14:textFill>
              </w:rPr>
              <w:t>9</w:t>
            </w:r>
            <w:r>
              <w:rPr>
                <w:rFonts w:hint="eastAsia" w:cs="宋体" w:asciiTheme="minorEastAsia" w:hAnsiTheme="minorEastAsia"/>
                <w:b/>
                <w:color w:val="000000" w:themeColor="text1"/>
                <w:szCs w:val="21"/>
                <w14:textFill>
                  <w14:solidFill>
                    <w14:schemeClr w14:val="tx1"/>
                  </w14:solidFill>
                </w14:textFill>
              </w:rPr>
              <w:t>分）</w:t>
            </w:r>
          </w:p>
        </w:tc>
      </w:tr>
      <w:tr w14:paraId="5D89745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427" w:type="pct"/>
            <w:tcBorders>
              <w:top w:val="single" w:color="auto" w:sz="4" w:space="0"/>
              <w:left w:val="single" w:color="auto" w:sz="4" w:space="0"/>
              <w:bottom w:val="single" w:color="auto" w:sz="4" w:space="0"/>
              <w:right w:val="single" w:color="auto" w:sz="4" w:space="0"/>
            </w:tcBorders>
            <w:vAlign w:val="center"/>
          </w:tcPr>
          <w:p w14:paraId="74196B6F">
            <w:pPr>
              <w:pStyle w:val="51"/>
              <w:numPr>
                <w:ilvl w:val="0"/>
                <w:numId w:val="2"/>
              </w:numPr>
              <w:ind w:left="0" w:firstLine="0" w:firstLineChars="0"/>
              <w:jc w:val="right"/>
              <w:rPr>
                <w:rFonts w:cs="宋体" w:asciiTheme="minorEastAsia" w:hAnsiTheme="minorEastAsia" w:eastAsiaTheme="minorEastAsia"/>
                <w:color w:val="000000" w:themeColor="text1"/>
                <w14:textFill>
                  <w14:solidFill>
                    <w14:schemeClr w14:val="tx1"/>
                  </w14:solidFill>
                </w14:textFill>
              </w:rPr>
            </w:pPr>
          </w:p>
        </w:tc>
        <w:tc>
          <w:tcPr>
            <w:tcW w:w="677" w:type="pct"/>
            <w:tcBorders>
              <w:top w:val="single" w:color="auto" w:sz="4" w:space="0"/>
              <w:left w:val="single" w:color="auto" w:sz="4" w:space="0"/>
              <w:bottom w:val="single" w:color="auto" w:sz="4" w:space="0"/>
              <w:right w:val="single" w:color="auto" w:sz="4" w:space="0"/>
            </w:tcBorders>
            <w:vAlign w:val="center"/>
          </w:tcPr>
          <w:p w14:paraId="0E3B711F">
            <w:pPr>
              <w:snapToGrid w:val="0"/>
              <w:jc w:val="center"/>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项目建设方案</w:t>
            </w:r>
          </w:p>
        </w:tc>
        <w:tc>
          <w:tcPr>
            <w:tcW w:w="2542" w:type="pct"/>
            <w:tcBorders>
              <w:top w:val="single" w:color="auto" w:sz="4" w:space="0"/>
              <w:left w:val="single" w:color="auto" w:sz="4" w:space="0"/>
              <w:bottom w:val="single" w:color="auto" w:sz="4" w:space="0"/>
              <w:right w:val="single" w:color="auto" w:sz="4" w:space="0"/>
            </w:tcBorders>
            <w:vAlign w:val="center"/>
          </w:tcPr>
          <w:p w14:paraId="196F660A">
            <w:pPr>
              <w:wordWrap w:val="0"/>
              <w:snapToGrid w:val="0"/>
              <w:rPr>
                <w:rFonts w:cs="宋体" w:asciiTheme="minorEastAsia" w:hAnsiTheme="minorEastAsia"/>
                <w:b/>
                <w:bCs/>
                <w:color w:val="000000" w:themeColor="text1"/>
                <w:szCs w:val="21"/>
                <w14:textFill>
                  <w14:solidFill>
                    <w14:schemeClr w14:val="tx1"/>
                  </w14:solidFill>
                </w14:textFill>
              </w:rPr>
            </w:pPr>
            <w:r>
              <w:rPr>
                <w:rFonts w:hint="eastAsia" w:cs="宋体" w:asciiTheme="minorEastAsia" w:hAnsiTheme="minorEastAsia"/>
                <w:b/>
                <w:bCs/>
                <w:color w:val="000000" w:themeColor="text1"/>
                <w:szCs w:val="21"/>
                <w14:textFill>
                  <w14:solidFill>
                    <w14:schemeClr w14:val="tx1"/>
                  </w14:solidFill>
                </w14:textFill>
              </w:rPr>
              <w:t>（一）评审内容：</w:t>
            </w:r>
          </w:p>
          <w:p w14:paraId="61AA54D0">
            <w:pPr>
              <w:wordWrap w:val="0"/>
              <w:snapToGrid w:val="0"/>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根据投标人对本项目的理解程度进行评价：</w:t>
            </w:r>
          </w:p>
          <w:p w14:paraId="5E849ED4">
            <w:pPr>
              <w:pStyle w:val="33"/>
              <w:wordWrap w:val="0"/>
              <w:snapToGrid w:val="0"/>
              <w:ind w:firstLine="0" w:firstLineChars="0"/>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1.对本项目的建设背景、现状、业务需求等的理解程度，</w:t>
            </w:r>
          </w:p>
          <w:p w14:paraId="20CE211B">
            <w:pPr>
              <w:pStyle w:val="33"/>
              <w:wordWrap w:val="0"/>
              <w:snapToGrid w:val="0"/>
              <w:ind w:firstLine="0" w:firstLineChars="0"/>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2.对目前存在的问题以及业务需求、性能需求、本项目建设必要性等进行深入分析；</w:t>
            </w:r>
          </w:p>
          <w:p w14:paraId="1ED8C67A">
            <w:pPr>
              <w:wordWrap w:val="0"/>
              <w:snapToGrid w:val="0"/>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3.本项目采用的服务方案的介绍。</w:t>
            </w:r>
          </w:p>
          <w:p w14:paraId="7D42FC9A">
            <w:pPr>
              <w:wordWrap w:val="0"/>
              <w:snapToGrid w:val="0"/>
              <w:rPr>
                <w:rFonts w:cs="宋体" w:asciiTheme="minorEastAsia" w:hAnsiTheme="minorEastAsia"/>
                <w:b/>
                <w:bCs/>
                <w:color w:val="000000" w:themeColor="text1"/>
                <w:szCs w:val="21"/>
                <w14:textFill>
                  <w14:solidFill>
                    <w14:schemeClr w14:val="tx1"/>
                  </w14:solidFill>
                </w14:textFill>
              </w:rPr>
            </w:pPr>
            <w:r>
              <w:rPr>
                <w:rFonts w:hint="eastAsia" w:cs="宋体" w:asciiTheme="minorEastAsia" w:hAnsiTheme="minorEastAsia"/>
                <w:b/>
                <w:bCs/>
                <w:color w:val="000000" w:themeColor="text1"/>
                <w:szCs w:val="21"/>
                <w14:textFill>
                  <w14:solidFill>
                    <w14:schemeClr w14:val="tx1"/>
                  </w14:solidFill>
                </w14:textFill>
              </w:rPr>
              <w:t>（二）评审依据：</w:t>
            </w:r>
          </w:p>
          <w:p w14:paraId="0DE18853">
            <w:pPr>
              <w:wordWrap w:val="0"/>
              <w:snapToGrid w:val="0"/>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1.提供上述三项完整内容的得10分，两项内容的得7分；一项内容的得3分；</w:t>
            </w:r>
          </w:p>
          <w:p w14:paraId="20378CAE">
            <w:pPr>
              <w:wordWrap w:val="0"/>
              <w:snapToGrid w:val="0"/>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2.在此基础上，由评审委员进行评价：</w:t>
            </w:r>
          </w:p>
          <w:p w14:paraId="0E1CAF5A">
            <w:pPr>
              <w:wordWrap w:val="0"/>
              <w:snapToGrid w:val="0"/>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（1）方案整体科学合理、针对性强、可操作性强，评审为优加5分；</w:t>
            </w:r>
          </w:p>
          <w:p w14:paraId="7D7FD5C0">
            <w:pPr>
              <w:wordWrap w:val="0"/>
              <w:snapToGrid w:val="0"/>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（2）方案较合理、有一定针对性、一定可操作性，评审为良加3分；</w:t>
            </w:r>
          </w:p>
          <w:p w14:paraId="2C382096">
            <w:pPr>
              <w:wordWrap w:val="0"/>
              <w:snapToGrid w:val="0"/>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（3）方案不尽合理、针对性一般、可操作性一般，评审为中加2分；</w:t>
            </w:r>
          </w:p>
          <w:p w14:paraId="0046DB76">
            <w:pPr>
              <w:pStyle w:val="51"/>
              <w:snapToGrid w:val="0"/>
              <w:ind w:firstLine="0" w:firstLineChars="0"/>
              <w:rPr>
                <w:rFonts w:cs="宋体"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（4）方案不合理、无针对性、无可操作性，评审为差加1分。</w:t>
            </w:r>
          </w:p>
        </w:tc>
        <w:tc>
          <w:tcPr>
            <w:tcW w:w="628" w:type="pct"/>
            <w:tcBorders>
              <w:top w:val="single" w:color="auto" w:sz="4" w:space="0"/>
              <w:left w:val="single" w:color="auto" w:sz="4" w:space="0"/>
              <w:bottom w:val="single" w:color="auto" w:sz="4" w:space="0"/>
              <w:right w:val="single" w:color="auto" w:sz="4" w:space="0"/>
            </w:tcBorders>
            <w:vAlign w:val="center"/>
          </w:tcPr>
          <w:p w14:paraId="395DDD7D">
            <w:pPr>
              <w:snapToGrid w:val="0"/>
              <w:jc w:val="center"/>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15</w:t>
            </w:r>
          </w:p>
        </w:tc>
        <w:tc>
          <w:tcPr>
            <w:tcW w:w="726" w:type="pct"/>
            <w:tcBorders>
              <w:top w:val="single" w:color="auto" w:sz="4" w:space="0"/>
              <w:left w:val="single" w:color="auto" w:sz="4" w:space="0"/>
              <w:bottom w:val="single" w:color="auto" w:sz="4" w:space="0"/>
              <w:right w:val="single" w:color="auto" w:sz="4" w:space="0"/>
            </w:tcBorders>
            <w:vAlign w:val="center"/>
          </w:tcPr>
          <w:p w14:paraId="6106D0E9">
            <w:pPr>
              <w:snapToGrid w:val="0"/>
              <w:jc w:val="center"/>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15</w:t>
            </w:r>
          </w:p>
        </w:tc>
      </w:tr>
      <w:tr w14:paraId="07F7424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8" w:hRule="atLeast"/>
        </w:trPr>
        <w:tc>
          <w:tcPr>
            <w:tcW w:w="427" w:type="pct"/>
            <w:tcBorders>
              <w:top w:val="single" w:color="auto" w:sz="4" w:space="0"/>
              <w:left w:val="single" w:color="auto" w:sz="4" w:space="0"/>
              <w:bottom w:val="single" w:color="auto" w:sz="4" w:space="0"/>
              <w:right w:val="single" w:color="auto" w:sz="4" w:space="0"/>
            </w:tcBorders>
            <w:vAlign w:val="center"/>
          </w:tcPr>
          <w:p w14:paraId="7D4093C0">
            <w:pPr>
              <w:pStyle w:val="51"/>
              <w:numPr>
                <w:ilvl w:val="0"/>
                <w:numId w:val="2"/>
              </w:numPr>
              <w:ind w:left="0" w:firstLine="0" w:firstLineChars="0"/>
              <w:jc w:val="right"/>
              <w:rPr>
                <w:rFonts w:cs="宋体" w:asciiTheme="minorEastAsia" w:hAnsiTheme="minorEastAsia" w:eastAsiaTheme="minorEastAsia"/>
                <w:color w:val="000000" w:themeColor="text1"/>
                <w14:textFill>
                  <w14:solidFill>
                    <w14:schemeClr w14:val="tx1"/>
                  </w14:solidFill>
                </w14:textFill>
              </w:rPr>
            </w:pPr>
          </w:p>
        </w:tc>
        <w:tc>
          <w:tcPr>
            <w:tcW w:w="677" w:type="pct"/>
            <w:tcBorders>
              <w:top w:val="single" w:color="auto" w:sz="4" w:space="0"/>
              <w:left w:val="single" w:color="auto" w:sz="4" w:space="0"/>
              <w:bottom w:val="single" w:color="auto" w:sz="4" w:space="0"/>
              <w:right w:val="single" w:color="auto" w:sz="4" w:space="0"/>
            </w:tcBorders>
            <w:vAlign w:val="center"/>
          </w:tcPr>
          <w:p w14:paraId="317139C4">
            <w:pPr>
              <w:snapToGrid w:val="0"/>
              <w:jc w:val="center"/>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项目重点难点分析、应对措施及相关的合理化建议</w:t>
            </w:r>
          </w:p>
        </w:tc>
        <w:tc>
          <w:tcPr>
            <w:tcW w:w="2542" w:type="pct"/>
            <w:tcBorders>
              <w:top w:val="single" w:color="auto" w:sz="4" w:space="0"/>
              <w:left w:val="single" w:color="auto" w:sz="4" w:space="0"/>
              <w:bottom w:val="single" w:color="auto" w:sz="4" w:space="0"/>
              <w:right w:val="single" w:color="auto" w:sz="4" w:space="0"/>
            </w:tcBorders>
          </w:tcPr>
          <w:p w14:paraId="5FC1E859">
            <w:pPr>
              <w:pStyle w:val="17"/>
              <w:adjustRightInd w:val="0"/>
              <w:snapToGrid w:val="0"/>
              <w:spacing w:before="0" w:beforeAutospacing="0" w:after="0" w:afterAutospacing="0"/>
              <w:jc w:val="both"/>
              <w:textAlignment w:val="baseline"/>
              <w:rPr>
                <w:rFonts w:cs="宋体" w:asciiTheme="minorEastAsia" w:hAnsiTheme="minorEastAsia" w:eastAsiaTheme="minorEastAsia"/>
                <w:b/>
                <w:bCs/>
                <w:color w:val="000000" w:themeColor="text1"/>
                <w:kern w:val="2"/>
                <w:sz w:val="21"/>
                <w:szCs w:val="21"/>
                <w14:textFill>
                  <w14:solidFill>
                    <w14:schemeClr w14:val="tx1"/>
                  </w14:solidFill>
                </w14:textFill>
              </w:rPr>
            </w:pPr>
            <w:r>
              <w:rPr>
                <w:rFonts w:hint="eastAsia" w:cs="宋体" w:asciiTheme="minorEastAsia" w:hAnsiTheme="minorEastAsia" w:eastAsiaTheme="minorEastAsia"/>
                <w:b/>
                <w:bCs/>
                <w:color w:val="000000" w:themeColor="text1"/>
                <w:kern w:val="2"/>
                <w:sz w:val="21"/>
                <w:szCs w:val="21"/>
                <w14:textFill>
                  <w14:solidFill>
                    <w14:schemeClr w14:val="tx1"/>
                  </w14:solidFill>
                </w14:textFill>
              </w:rPr>
              <w:t>（一）评</w:t>
            </w:r>
            <w:r>
              <w:rPr>
                <w:rFonts w:hint="eastAsia" w:cs="宋体" w:asciiTheme="minorEastAsia" w:hAnsiTheme="minorEastAsia" w:eastAsiaTheme="minorEastAsia"/>
                <w:b/>
                <w:bCs/>
                <w:color w:val="000000" w:themeColor="text1"/>
                <w:sz w:val="21"/>
                <w:szCs w:val="21"/>
                <w14:textFill>
                  <w14:solidFill>
                    <w14:schemeClr w14:val="tx1"/>
                  </w14:solidFill>
                </w14:textFill>
              </w:rPr>
              <w:t>审</w:t>
            </w:r>
            <w:r>
              <w:rPr>
                <w:rFonts w:hint="eastAsia" w:cs="宋体" w:asciiTheme="minorEastAsia" w:hAnsiTheme="minorEastAsia" w:eastAsiaTheme="minorEastAsia"/>
                <w:b/>
                <w:bCs/>
                <w:color w:val="000000" w:themeColor="text1"/>
                <w:kern w:val="2"/>
                <w:sz w:val="21"/>
                <w:szCs w:val="21"/>
                <w14:textFill>
                  <w14:solidFill>
                    <w14:schemeClr w14:val="tx1"/>
                  </w14:solidFill>
                </w14:textFill>
              </w:rPr>
              <w:t>内容：</w:t>
            </w:r>
          </w:p>
          <w:p w14:paraId="2CFB7780">
            <w:pPr>
              <w:pStyle w:val="17"/>
              <w:adjustRightInd w:val="0"/>
              <w:snapToGrid w:val="0"/>
              <w:spacing w:before="0" w:beforeAutospacing="0" w:after="0" w:afterAutospacing="0"/>
              <w:textAlignment w:val="baseline"/>
              <w:rPr>
                <w:rFonts w:cs="宋体" w:asciiTheme="minorEastAsia" w:hAnsiTheme="minorEastAsia" w:eastAsiaTheme="minorEastAsia"/>
                <w:color w:val="000000" w:themeColor="text1"/>
                <w:kern w:val="2"/>
                <w:sz w:val="21"/>
                <w:szCs w:val="21"/>
                <w14:textFill>
                  <w14:solidFill>
                    <w14:schemeClr w14:val="tx1"/>
                  </w14:solidFill>
                </w14:textFill>
              </w:rPr>
            </w:pPr>
            <w:r>
              <w:rPr>
                <w:rFonts w:hint="eastAsia" w:cs="宋体" w:asciiTheme="minorEastAsia" w:hAnsiTheme="minorEastAsia" w:eastAsiaTheme="minorEastAsia"/>
                <w:color w:val="000000" w:themeColor="text1"/>
                <w:kern w:val="2"/>
                <w:sz w:val="21"/>
                <w:szCs w:val="21"/>
                <w14:textFill>
                  <w14:solidFill>
                    <w14:schemeClr w14:val="tx1"/>
                  </w14:solidFill>
                </w14:textFill>
              </w:rPr>
              <w:t>根据投标人对重点难点分析、应对措施及相关的合理化建议进行评审，方案内容包括以下内容：</w:t>
            </w:r>
          </w:p>
          <w:p w14:paraId="462422D2">
            <w:pPr>
              <w:pStyle w:val="17"/>
              <w:wordWrap w:val="0"/>
              <w:adjustRightInd w:val="0"/>
              <w:snapToGrid w:val="0"/>
              <w:spacing w:before="0" w:beforeAutospacing="0" w:after="0" w:afterAutospacing="0"/>
              <w:jc w:val="both"/>
              <w:textAlignment w:val="baseline"/>
              <w:rPr>
                <w:rFonts w:cs="宋体" w:asciiTheme="minorEastAsia" w:hAnsiTheme="minorEastAsia" w:eastAsiaTheme="minorEastAsia"/>
                <w:color w:val="000000" w:themeColor="text1"/>
                <w:kern w:val="2"/>
                <w:sz w:val="21"/>
                <w:szCs w:val="21"/>
                <w14:textFill>
                  <w14:solidFill>
                    <w14:schemeClr w14:val="tx1"/>
                  </w14:solidFill>
                </w14:textFill>
              </w:rPr>
            </w:pPr>
            <w:r>
              <w:rPr>
                <w:rFonts w:hint="eastAsia" w:cs="宋体" w:asciiTheme="minorEastAsia" w:hAnsiTheme="minorEastAsia" w:eastAsiaTheme="minorEastAsia"/>
                <w:color w:val="000000" w:themeColor="text1"/>
                <w:kern w:val="2"/>
                <w:sz w:val="21"/>
                <w:szCs w:val="21"/>
                <w14:textFill>
                  <w14:solidFill>
                    <w14:schemeClr w14:val="tx1"/>
                  </w14:solidFill>
                </w14:textFill>
              </w:rPr>
              <w:t>1.项目重点难点进行分析；</w:t>
            </w:r>
          </w:p>
          <w:p w14:paraId="7358AA67">
            <w:pPr>
              <w:pStyle w:val="17"/>
              <w:wordWrap w:val="0"/>
              <w:adjustRightInd w:val="0"/>
              <w:snapToGrid w:val="0"/>
              <w:spacing w:before="0" w:beforeAutospacing="0" w:after="0" w:afterAutospacing="0"/>
              <w:jc w:val="both"/>
              <w:textAlignment w:val="baseline"/>
              <w:rPr>
                <w:rFonts w:cs="宋体" w:asciiTheme="minorEastAsia" w:hAnsiTheme="minorEastAsia" w:eastAsiaTheme="minorEastAsia"/>
                <w:color w:val="000000" w:themeColor="text1"/>
                <w:kern w:val="2"/>
                <w:sz w:val="21"/>
                <w:szCs w:val="21"/>
                <w14:textFill>
                  <w14:solidFill>
                    <w14:schemeClr w14:val="tx1"/>
                  </w14:solidFill>
                </w14:textFill>
              </w:rPr>
            </w:pPr>
            <w:r>
              <w:rPr>
                <w:rFonts w:hint="eastAsia" w:cs="宋体" w:asciiTheme="minorEastAsia" w:hAnsiTheme="minorEastAsia" w:eastAsiaTheme="minorEastAsia"/>
                <w:color w:val="000000" w:themeColor="text1"/>
                <w:kern w:val="2"/>
                <w:sz w:val="21"/>
                <w:szCs w:val="21"/>
                <w14:textFill>
                  <w14:solidFill>
                    <w14:schemeClr w14:val="tx1"/>
                  </w14:solidFill>
                </w14:textFill>
              </w:rPr>
              <w:t>2.针对重、难点的相关提供应对措施；</w:t>
            </w:r>
          </w:p>
          <w:p w14:paraId="2B8E22A3">
            <w:pPr>
              <w:pStyle w:val="17"/>
              <w:wordWrap w:val="0"/>
              <w:adjustRightInd w:val="0"/>
              <w:snapToGrid w:val="0"/>
              <w:spacing w:before="0" w:beforeAutospacing="0" w:after="0" w:afterAutospacing="0"/>
              <w:jc w:val="both"/>
              <w:textAlignment w:val="baseline"/>
              <w:rPr>
                <w:rFonts w:cs="宋体" w:asciiTheme="minorEastAsia" w:hAnsiTheme="minorEastAsia" w:eastAsiaTheme="minorEastAsia"/>
                <w:color w:val="000000" w:themeColor="text1"/>
                <w:kern w:val="2"/>
                <w:sz w:val="21"/>
                <w:szCs w:val="21"/>
                <w14:textFill>
                  <w14:solidFill>
                    <w14:schemeClr w14:val="tx1"/>
                  </w14:solidFill>
                </w14:textFill>
              </w:rPr>
            </w:pPr>
            <w:r>
              <w:rPr>
                <w:rFonts w:hint="eastAsia" w:cs="宋体" w:asciiTheme="minorEastAsia" w:hAnsiTheme="minorEastAsia" w:eastAsiaTheme="minorEastAsia"/>
                <w:color w:val="000000" w:themeColor="text1"/>
                <w:kern w:val="2"/>
                <w:sz w:val="21"/>
                <w:szCs w:val="21"/>
                <w14:textFill>
                  <w14:solidFill>
                    <w14:schemeClr w14:val="tx1"/>
                  </w14:solidFill>
                </w14:textFill>
              </w:rPr>
              <w:t>3.合理化建议。</w:t>
            </w:r>
          </w:p>
          <w:p w14:paraId="06D38C61">
            <w:pPr>
              <w:pStyle w:val="17"/>
              <w:wordWrap w:val="0"/>
              <w:adjustRightInd w:val="0"/>
              <w:snapToGrid w:val="0"/>
              <w:spacing w:before="0" w:beforeAutospacing="0" w:after="0" w:afterAutospacing="0"/>
              <w:jc w:val="both"/>
              <w:textAlignment w:val="baseline"/>
              <w:rPr>
                <w:rFonts w:cs="宋体" w:asciiTheme="minorEastAsia" w:hAnsiTheme="minorEastAsia" w:eastAsiaTheme="minorEastAsia"/>
                <w:b/>
                <w:bCs/>
                <w:color w:val="000000" w:themeColor="text1"/>
                <w:kern w:val="2"/>
                <w:sz w:val="21"/>
                <w:szCs w:val="21"/>
                <w14:textFill>
                  <w14:solidFill>
                    <w14:schemeClr w14:val="tx1"/>
                  </w14:solidFill>
                </w14:textFill>
              </w:rPr>
            </w:pPr>
            <w:r>
              <w:rPr>
                <w:rFonts w:hint="eastAsia" w:cs="宋体" w:asciiTheme="minorEastAsia" w:hAnsiTheme="minorEastAsia" w:eastAsiaTheme="minorEastAsia"/>
                <w:b/>
                <w:bCs/>
                <w:color w:val="000000" w:themeColor="text1"/>
                <w:kern w:val="2"/>
                <w:sz w:val="21"/>
                <w:szCs w:val="21"/>
                <w14:textFill>
                  <w14:solidFill>
                    <w14:schemeClr w14:val="tx1"/>
                  </w14:solidFill>
                </w14:textFill>
              </w:rPr>
              <w:t>（二）评</w:t>
            </w:r>
            <w:r>
              <w:rPr>
                <w:rFonts w:hint="eastAsia" w:cs="宋体" w:asciiTheme="minorEastAsia" w:hAnsiTheme="minorEastAsia" w:eastAsiaTheme="minorEastAsia"/>
                <w:b/>
                <w:bCs/>
                <w:color w:val="000000" w:themeColor="text1"/>
                <w:sz w:val="21"/>
                <w:szCs w:val="21"/>
                <w14:textFill>
                  <w14:solidFill>
                    <w14:schemeClr w14:val="tx1"/>
                  </w14:solidFill>
                </w14:textFill>
              </w:rPr>
              <w:t>审</w:t>
            </w:r>
            <w:r>
              <w:rPr>
                <w:rFonts w:hint="eastAsia" w:cs="宋体" w:asciiTheme="minorEastAsia" w:hAnsiTheme="minorEastAsia" w:eastAsiaTheme="minorEastAsia"/>
                <w:b/>
                <w:bCs/>
                <w:color w:val="000000" w:themeColor="text1"/>
                <w:kern w:val="2"/>
                <w:sz w:val="21"/>
                <w:szCs w:val="21"/>
                <w14:textFill>
                  <w14:solidFill>
                    <w14:schemeClr w14:val="tx1"/>
                  </w14:solidFill>
                </w14:textFill>
              </w:rPr>
              <w:t>依据：</w:t>
            </w:r>
          </w:p>
          <w:p w14:paraId="7CBD0B73">
            <w:pPr>
              <w:pStyle w:val="17"/>
              <w:wordWrap w:val="0"/>
              <w:adjustRightInd w:val="0"/>
              <w:snapToGrid w:val="0"/>
              <w:spacing w:before="0" w:beforeAutospacing="0" w:after="0" w:afterAutospacing="0"/>
              <w:jc w:val="both"/>
              <w:textAlignment w:val="baseline"/>
              <w:rPr>
                <w:rFonts w:cs="宋体" w:asciiTheme="minorEastAsia" w:hAnsiTheme="minorEastAsia" w:eastAsiaTheme="minorEastAsia"/>
                <w:color w:val="000000" w:themeColor="text1"/>
                <w:kern w:val="2"/>
                <w:sz w:val="21"/>
                <w:szCs w:val="21"/>
                <w14:textFill>
                  <w14:solidFill>
                    <w14:schemeClr w14:val="tx1"/>
                  </w14:solidFill>
                </w14:textFill>
              </w:rPr>
            </w:pPr>
            <w:r>
              <w:rPr>
                <w:rFonts w:hint="eastAsia" w:cs="宋体" w:asciiTheme="minorEastAsia" w:hAnsiTheme="minorEastAsia" w:eastAsiaTheme="minorEastAsia"/>
                <w:color w:val="000000" w:themeColor="text1"/>
                <w:kern w:val="2"/>
                <w:sz w:val="21"/>
                <w:szCs w:val="21"/>
                <w14:textFill>
                  <w14:solidFill>
                    <w14:schemeClr w14:val="tx1"/>
                  </w14:solidFill>
                </w14:textFill>
              </w:rPr>
              <w:t>1.提供上述三项完整内容的得7分，二项内容的得3分；一项内容的得1分；</w:t>
            </w:r>
          </w:p>
          <w:p w14:paraId="7B6D2D0A">
            <w:pPr>
              <w:pStyle w:val="17"/>
              <w:wordWrap w:val="0"/>
              <w:adjustRightInd w:val="0"/>
              <w:snapToGrid w:val="0"/>
              <w:spacing w:before="0" w:beforeAutospacing="0" w:after="0" w:afterAutospacing="0"/>
              <w:jc w:val="both"/>
              <w:textAlignment w:val="baseline"/>
              <w:rPr>
                <w:rFonts w:cs="宋体" w:asciiTheme="minorEastAsia" w:hAnsiTheme="minorEastAsia" w:eastAsiaTheme="minorEastAsia"/>
                <w:color w:val="000000" w:themeColor="text1"/>
                <w:kern w:val="2"/>
                <w:sz w:val="21"/>
                <w:szCs w:val="21"/>
                <w14:textFill>
                  <w14:solidFill>
                    <w14:schemeClr w14:val="tx1"/>
                  </w14:solidFill>
                </w14:textFill>
              </w:rPr>
            </w:pPr>
            <w:r>
              <w:rPr>
                <w:rFonts w:hint="eastAsia" w:cs="宋体" w:asciiTheme="minorEastAsia" w:hAnsiTheme="minorEastAsia" w:eastAsiaTheme="minorEastAsia"/>
                <w:color w:val="000000" w:themeColor="text1"/>
                <w:kern w:val="2"/>
                <w:sz w:val="21"/>
                <w:szCs w:val="21"/>
                <w14:textFill>
                  <w14:solidFill>
                    <w14:schemeClr w14:val="tx1"/>
                  </w14:solidFill>
                </w14:textFill>
              </w:rPr>
              <w:t>2.在此基础上，由评审委员进行评价：</w:t>
            </w:r>
          </w:p>
          <w:p w14:paraId="2665D8FD">
            <w:pPr>
              <w:pStyle w:val="17"/>
              <w:wordWrap w:val="0"/>
              <w:adjustRightInd w:val="0"/>
              <w:snapToGrid w:val="0"/>
              <w:spacing w:before="0" w:beforeAutospacing="0" w:after="0" w:afterAutospacing="0"/>
              <w:jc w:val="both"/>
              <w:textAlignment w:val="baseline"/>
              <w:rPr>
                <w:rFonts w:cs="宋体" w:asciiTheme="minorEastAsia" w:hAnsiTheme="minorEastAsia" w:eastAsiaTheme="minorEastAsia"/>
                <w:color w:val="000000" w:themeColor="text1"/>
                <w:kern w:val="2"/>
                <w:sz w:val="21"/>
                <w:szCs w:val="21"/>
                <w14:textFill>
                  <w14:solidFill>
                    <w14:schemeClr w14:val="tx1"/>
                  </w14:solidFill>
                </w14:textFill>
              </w:rPr>
            </w:pPr>
            <w:r>
              <w:rPr>
                <w:rFonts w:hint="eastAsia" w:cs="宋体" w:asciiTheme="minorEastAsia" w:hAnsiTheme="minorEastAsia" w:eastAsiaTheme="minorEastAsia"/>
                <w:color w:val="000000" w:themeColor="text1"/>
                <w:kern w:val="2"/>
                <w:sz w:val="21"/>
                <w:szCs w:val="21"/>
                <w14:textFill>
                  <w14:solidFill>
                    <w14:schemeClr w14:val="tx1"/>
                  </w14:solidFill>
                </w14:textFill>
              </w:rPr>
              <w:t>（1）方案整体科学合理、针对性强、可操作性强，评审为优加5分；</w:t>
            </w:r>
          </w:p>
          <w:p w14:paraId="2C421B3B">
            <w:pPr>
              <w:pStyle w:val="17"/>
              <w:wordWrap w:val="0"/>
              <w:adjustRightInd w:val="0"/>
              <w:snapToGrid w:val="0"/>
              <w:spacing w:before="0" w:beforeAutospacing="0" w:after="0" w:afterAutospacing="0"/>
              <w:jc w:val="both"/>
              <w:textAlignment w:val="baseline"/>
              <w:rPr>
                <w:rFonts w:cs="宋体" w:asciiTheme="minorEastAsia" w:hAnsiTheme="minorEastAsia" w:eastAsiaTheme="minorEastAsia"/>
                <w:color w:val="000000" w:themeColor="text1"/>
                <w:kern w:val="2"/>
                <w:sz w:val="21"/>
                <w:szCs w:val="21"/>
                <w14:textFill>
                  <w14:solidFill>
                    <w14:schemeClr w14:val="tx1"/>
                  </w14:solidFill>
                </w14:textFill>
              </w:rPr>
            </w:pPr>
            <w:r>
              <w:rPr>
                <w:rFonts w:hint="eastAsia" w:cs="宋体" w:asciiTheme="minorEastAsia" w:hAnsiTheme="minorEastAsia" w:eastAsiaTheme="minorEastAsia"/>
                <w:color w:val="000000" w:themeColor="text1"/>
                <w:kern w:val="2"/>
                <w:sz w:val="21"/>
                <w:szCs w:val="21"/>
                <w14:textFill>
                  <w14:solidFill>
                    <w14:schemeClr w14:val="tx1"/>
                  </w14:solidFill>
                </w14:textFill>
              </w:rPr>
              <w:t>（2）方案较合理、有一定针对性、一定可操作性，评审为良加3分；</w:t>
            </w:r>
          </w:p>
          <w:p w14:paraId="7F1B7E8C">
            <w:pPr>
              <w:pStyle w:val="17"/>
              <w:wordWrap w:val="0"/>
              <w:adjustRightInd w:val="0"/>
              <w:snapToGrid w:val="0"/>
              <w:spacing w:before="0" w:beforeAutospacing="0" w:after="0" w:afterAutospacing="0"/>
              <w:jc w:val="both"/>
              <w:textAlignment w:val="baseline"/>
              <w:rPr>
                <w:rFonts w:cs="宋体" w:asciiTheme="minorEastAsia" w:hAnsiTheme="minorEastAsia" w:eastAsiaTheme="minorEastAsia"/>
                <w:color w:val="000000" w:themeColor="text1"/>
                <w:kern w:val="2"/>
                <w:sz w:val="21"/>
                <w:szCs w:val="21"/>
                <w14:textFill>
                  <w14:solidFill>
                    <w14:schemeClr w14:val="tx1"/>
                  </w14:solidFill>
                </w14:textFill>
              </w:rPr>
            </w:pPr>
            <w:r>
              <w:rPr>
                <w:rFonts w:hint="eastAsia" w:cs="宋体" w:asciiTheme="minorEastAsia" w:hAnsiTheme="minorEastAsia" w:eastAsiaTheme="minorEastAsia"/>
                <w:color w:val="000000" w:themeColor="text1"/>
                <w:kern w:val="2"/>
                <w:sz w:val="21"/>
                <w:szCs w:val="21"/>
                <w14:textFill>
                  <w14:solidFill>
                    <w14:schemeClr w14:val="tx1"/>
                  </w14:solidFill>
                </w14:textFill>
              </w:rPr>
              <w:t>（3）方案不尽合理、针对性一般、可操作性一般，评审为中加2分；</w:t>
            </w:r>
          </w:p>
          <w:p w14:paraId="5CD2B213">
            <w:pPr>
              <w:pStyle w:val="51"/>
              <w:snapToGrid w:val="0"/>
              <w:ind w:firstLine="0" w:firstLineChars="0"/>
              <w:rPr>
                <w:rFonts w:cs="宋体"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（4）方案不合理、无针对性、无可操作性，评审为差加1分</w:t>
            </w:r>
          </w:p>
        </w:tc>
        <w:tc>
          <w:tcPr>
            <w:tcW w:w="628" w:type="pct"/>
            <w:tcBorders>
              <w:top w:val="single" w:color="auto" w:sz="4" w:space="0"/>
              <w:left w:val="single" w:color="auto" w:sz="4" w:space="0"/>
              <w:bottom w:val="single" w:color="auto" w:sz="4" w:space="0"/>
              <w:right w:val="single" w:color="auto" w:sz="4" w:space="0"/>
            </w:tcBorders>
            <w:vAlign w:val="center"/>
          </w:tcPr>
          <w:p w14:paraId="1A066E6D">
            <w:pPr>
              <w:snapToGrid w:val="0"/>
              <w:jc w:val="center"/>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12</w:t>
            </w:r>
          </w:p>
        </w:tc>
        <w:tc>
          <w:tcPr>
            <w:tcW w:w="726" w:type="pct"/>
            <w:tcBorders>
              <w:top w:val="single" w:color="auto" w:sz="4" w:space="0"/>
              <w:left w:val="single" w:color="auto" w:sz="4" w:space="0"/>
              <w:bottom w:val="single" w:color="auto" w:sz="4" w:space="0"/>
              <w:right w:val="single" w:color="auto" w:sz="4" w:space="0"/>
            </w:tcBorders>
            <w:vAlign w:val="center"/>
          </w:tcPr>
          <w:p w14:paraId="03C7182E">
            <w:pPr>
              <w:snapToGrid w:val="0"/>
              <w:jc w:val="center"/>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12</w:t>
            </w:r>
          </w:p>
        </w:tc>
      </w:tr>
      <w:tr w14:paraId="512E040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427" w:type="pct"/>
            <w:tcBorders>
              <w:top w:val="single" w:color="auto" w:sz="4" w:space="0"/>
              <w:left w:val="single" w:color="auto" w:sz="4" w:space="0"/>
              <w:bottom w:val="single" w:color="auto" w:sz="4" w:space="0"/>
              <w:right w:val="single" w:color="auto" w:sz="4" w:space="0"/>
            </w:tcBorders>
            <w:vAlign w:val="center"/>
          </w:tcPr>
          <w:p w14:paraId="33B56B2A">
            <w:pPr>
              <w:pStyle w:val="51"/>
              <w:numPr>
                <w:ilvl w:val="0"/>
                <w:numId w:val="2"/>
              </w:numPr>
              <w:ind w:left="0" w:firstLine="0" w:firstLineChars="0"/>
              <w:jc w:val="right"/>
              <w:rPr>
                <w:rFonts w:cs="宋体" w:asciiTheme="minorEastAsia" w:hAnsiTheme="minorEastAsia" w:eastAsiaTheme="minorEastAsia"/>
                <w:color w:val="000000" w:themeColor="text1"/>
                <w14:textFill>
                  <w14:solidFill>
                    <w14:schemeClr w14:val="tx1"/>
                  </w14:solidFill>
                </w14:textFill>
              </w:rPr>
            </w:pPr>
          </w:p>
        </w:tc>
        <w:tc>
          <w:tcPr>
            <w:tcW w:w="677" w:type="pct"/>
            <w:tcBorders>
              <w:top w:val="single" w:color="auto" w:sz="4" w:space="0"/>
              <w:left w:val="single" w:color="auto" w:sz="4" w:space="0"/>
              <w:bottom w:val="single" w:color="auto" w:sz="4" w:space="0"/>
              <w:right w:val="single" w:color="auto" w:sz="4" w:space="0"/>
            </w:tcBorders>
            <w:vAlign w:val="center"/>
          </w:tcPr>
          <w:p w14:paraId="51DD02E6">
            <w:pPr>
              <w:snapToGrid w:val="0"/>
              <w:jc w:val="center"/>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项目实施方案</w:t>
            </w:r>
          </w:p>
        </w:tc>
        <w:tc>
          <w:tcPr>
            <w:tcW w:w="2542" w:type="pct"/>
            <w:tcBorders>
              <w:top w:val="single" w:color="auto" w:sz="4" w:space="0"/>
              <w:left w:val="single" w:color="auto" w:sz="4" w:space="0"/>
              <w:bottom w:val="single" w:color="auto" w:sz="4" w:space="0"/>
              <w:right w:val="single" w:color="auto" w:sz="4" w:space="0"/>
            </w:tcBorders>
            <w:vAlign w:val="center"/>
          </w:tcPr>
          <w:p w14:paraId="26C506D3">
            <w:pPr>
              <w:pStyle w:val="17"/>
              <w:wordWrap w:val="0"/>
              <w:adjustRightInd w:val="0"/>
              <w:snapToGrid w:val="0"/>
              <w:spacing w:before="0" w:beforeAutospacing="0" w:after="0" w:afterAutospacing="0"/>
              <w:textAlignment w:val="baseline"/>
              <w:rPr>
                <w:rFonts w:cs="宋体" w:asciiTheme="minorEastAsia" w:hAnsiTheme="minorEastAsia" w:eastAsiaTheme="minorEastAsia"/>
                <w:b/>
                <w:bCs/>
                <w:color w:val="000000" w:themeColor="text1"/>
                <w:kern w:val="2"/>
                <w:sz w:val="21"/>
                <w:szCs w:val="21"/>
                <w14:textFill>
                  <w14:solidFill>
                    <w14:schemeClr w14:val="tx1"/>
                  </w14:solidFill>
                </w14:textFill>
              </w:rPr>
            </w:pPr>
            <w:r>
              <w:rPr>
                <w:rFonts w:hint="eastAsia" w:cs="宋体" w:asciiTheme="minorEastAsia" w:hAnsiTheme="minorEastAsia" w:eastAsiaTheme="minorEastAsia"/>
                <w:b/>
                <w:bCs/>
                <w:color w:val="000000" w:themeColor="text1"/>
                <w:kern w:val="2"/>
                <w:sz w:val="21"/>
                <w:szCs w:val="21"/>
                <w14:textFill>
                  <w14:solidFill>
                    <w14:schemeClr w14:val="tx1"/>
                  </w14:solidFill>
                </w14:textFill>
              </w:rPr>
              <w:t>（一）评</w:t>
            </w:r>
            <w:r>
              <w:rPr>
                <w:rFonts w:hint="eastAsia" w:cs="宋体" w:asciiTheme="minorEastAsia" w:hAnsiTheme="minorEastAsia" w:eastAsiaTheme="minorEastAsia"/>
                <w:b/>
                <w:bCs/>
                <w:color w:val="000000" w:themeColor="text1"/>
                <w:sz w:val="21"/>
                <w:szCs w:val="21"/>
                <w14:textFill>
                  <w14:solidFill>
                    <w14:schemeClr w14:val="tx1"/>
                  </w14:solidFill>
                </w14:textFill>
              </w:rPr>
              <w:t>审</w:t>
            </w:r>
            <w:r>
              <w:rPr>
                <w:rFonts w:hint="eastAsia" w:cs="宋体" w:asciiTheme="minorEastAsia" w:hAnsiTheme="minorEastAsia" w:eastAsiaTheme="minorEastAsia"/>
                <w:b/>
                <w:bCs/>
                <w:color w:val="000000" w:themeColor="text1"/>
                <w:kern w:val="2"/>
                <w:sz w:val="21"/>
                <w:szCs w:val="21"/>
                <w14:textFill>
                  <w14:solidFill>
                    <w14:schemeClr w14:val="tx1"/>
                  </w14:solidFill>
                </w14:textFill>
              </w:rPr>
              <w:t>内容：</w:t>
            </w:r>
          </w:p>
          <w:p w14:paraId="6FA39B40">
            <w:pPr>
              <w:pStyle w:val="17"/>
              <w:wordWrap w:val="0"/>
              <w:adjustRightInd w:val="0"/>
              <w:snapToGrid w:val="0"/>
              <w:spacing w:before="0" w:beforeAutospacing="0" w:after="0" w:afterAutospacing="0"/>
              <w:textAlignment w:val="baseline"/>
              <w:rPr>
                <w:rFonts w:cs="宋体" w:asciiTheme="minorEastAsia" w:hAnsiTheme="minorEastAsia" w:eastAsiaTheme="minorEastAsia"/>
                <w:color w:val="000000" w:themeColor="text1"/>
                <w:kern w:val="2"/>
                <w:sz w:val="21"/>
                <w:szCs w:val="21"/>
                <w14:textFill>
                  <w14:solidFill>
                    <w14:schemeClr w14:val="tx1"/>
                  </w14:solidFill>
                </w14:textFill>
              </w:rPr>
            </w:pPr>
            <w:r>
              <w:rPr>
                <w:rFonts w:hint="eastAsia" w:cs="宋体" w:asciiTheme="minorEastAsia" w:hAnsiTheme="minorEastAsia" w:eastAsiaTheme="minorEastAsia"/>
                <w:color w:val="000000" w:themeColor="text1"/>
                <w:kern w:val="2"/>
                <w:sz w:val="21"/>
                <w:szCs w:val="21"/>
                <w14:textFill>
                  <w14:solidFill>
                    <w14:schemeClr w14:val="tx1"/>
                  </w14:solidFill>
                </w14:textFill>
              </w:rPr>
              <w:t>考察投标人对本项目的实施方案设计情况。供应商需根据项目建设内容，提供详细合理的实施方案，包含：</w:t>
            </w:r>
          </w:p>
          <w:p w14:paraId="7287D4D7">
            <w:pPr>
              <w:pStyle w:val="17"/>
              <w:wordWrap w:val="0"/>
              <w:adjustRightInd w:val="0"/>
              <w:snapToGrid w:val="0"/>
              <w:spacing w:before="0" w:beforeAutospacing="0" w:after="0" w:afterAutospacing="0"/>
              <w:textAlignment w:val="baseline"/>
              <w:rPr>
                <w:rFonts w:cs="宋体" w:asciiTheme="minorEastAsia" w:hAnsiTheme="minorEastAsia" w:eastAsiaTheme="minorEastAsia"/>
                <w:color w:val="000000" w:themeColor="text1"/>
                <w:kern w:val="2"/>
                <w:sz w:val="21"/>
                <w:szCs w:val="21"/>
                <w14:textFill>
                  <w14:solidFill>
                    <w14:schemeClr w14:val="tx1"/>
                  </w14:solidFill>
                </w14:textFill>
              </w:rPr>
            </w:pPr>
            <w:r>
              <w:rPr>
                <w:rFonts w:hint="eastAsia" w:cs="宋体" w:asciiTheme="minorEastAsia" w:hAnsiTheme="minorEastAsia" w:eastAsiaTheme="minorEastAsia"/>
                <w:color w:val="000000" w:themeColor="text1"/>
                <w:kern w:val="2"/>
                <w:sz w:val="21"/>
                <w:szCs w:val="21"/>
                <w14:textFill>
                  <w14:solidFill>
                    <w14:schemeClr w14:val="tx1"/>
                  </w14:solidFill>
                </w14:textFill>
              </w:rPr>
              <w:t>1.针对本项目的实施方案，内容全面、具体；</w:t>
            </w:r>
          </w:p>
          <w:p w14:paraId="5FFD4034">
            <w:pPr>
              <w:pStyle w:val="17"/>
              <w:wordWrap w:val="0"/>
              <w:adjustRightInd w:val="0"/>
              <w:snapToGrid w:val="0"/>
              <w:spacing w:before="0" w:beforeAutospacing="0" w:after="0" w:afterAutospacing="0"/>
              <w:textAlignment w:val="baseline"/>
              <w:rPr>
                <w:rFonts w:cs="宋体" w:asciiTheme="minorEastAsia" w:hAnsiTheme="minorEastAsia" w:eastAsiaTheme="minorEastAsia"/>
                <w:color w:val="000000" w:themeColor="text1"/>
                <w:kern w:val="2"/>
                <w:sz w:val="21"/>
                <w:szCs w:val="21"/>
                <w14:textFill>
                  <w14:solidFill>
                    <w14:schemeClr w14:val="tx1"/>
                  </w14:solidFill>
                </w14:textFill>
              </w:rPr>
            </w:pPr>
            <w:r>
              <w:rPr>
                <w:rFonts w:hint="eastAsia" w:cs="宋体" w:asciiTheme="minorEastAsia" w:hAnsiTheme="minorEastAsia" w:eastAsiaTheme="minorEastAsia"/>
                <w:color w:val="000000" w:themeColor="text1"/>
                <w:kern w:val="2"/>
                <w:sz w:val="21"/>
                <w:szCs w:val="21"/>
                <w14:textFill>
                  <w14:solidFill>
                    <w14:schemeClr w14:val="tx1"/>
                  </w14:solidFill>
                </w14:textFill>
              </w:rPr>
              <w:t>2.对本项目项目管理、项目培训等内容的安排情况，根据项目建设内容，提供详细的建设计划或进度安排；</w:t>
            </w:r>
          </w:p>
          <w:p w14:paraId="1194EDB9">
            <w:pPr>
              <w:pStyle w:val="17"/>
              <w:wordWrap w:val="0"/>
              <w:adjustRightInd w:val="0"/>
              <w:snapToGrid w:val="0"/>
              <w:spacing w:before="0" w:beforeAutospacing="0" w:after="0" w:afterAutospacing="0"/>
              <w:textAlignment w:val="baseline"/>
              <w:rPr>
                <w:rFonts w:cs="宋体" w:asciiTheme="minorEastAsia" w:hAnsiTheme="minorEastAsia" w:eastAsiaTheme="minorEastAsia"/>
                <w:color w:val="000000" w:themeColor="text1"/>
                <w:kern w:val="2"/>
                <w:sz w:val="21"/>
                <w:szCs w:val="21"/>
                <w14:textFill>
                  <w14:solidFill>
                    <w14:schemeClr w14:val="tx1"/>
                  </w14:solidFill>
                </w14:textFill>
              </w:rPr>
            </w:pPr>
            <w:r>
              <w:rPr>
                <w:rFonts w:hint="eastAsia" w:cs="宋体" w:asciiTheme="minorEastAsia" w:hAnsiTheme="minorEastAsia" w:eastAsiaTheme="minorEastAsia"/>
                <w:color w:val="000000" w:themeColor="text1"/>
                <w:kern w:val="2"/>
                <w:sz w:val="21"/>
                <w:szCs w:val="21"/>
                <w14:textFill>
                  <w14:solidFill>
                    <w14:schemeClr w14:val="tx1"/>
                  </w14:solidFill>
                </w14:textFill>
              </w:rPr>
              <w:t>3.对本项目提供的售后服务方案情况，提供详细的售后服务方案和培训方案。</w:t>
            </w:r>
          </w:p>
          <w:p w14:paraId="19709C17">
            <w:pPr>
              <w:pStyle w:val="17"/>
              <w:wordWrap w:val="0"/>
              <w:adjustRightInd w:val="0"/>
              <w:snapToGrid w:val="0"/>
              <w:spacing w:before="0" w:beforeAutospacing="0" w:after="0" w:afterAutospacing="0"/>
              <w:textAlignment w:val="baseline"/>
              <w:rPr>
                <w:rFonts w:cs="宋体" w:asciiTheme="minorEastAsia" w:hAnsiTheme="minorEastAsia" w:eastAsiaTheme="minorEastAsia"/>
                <w:b/>
                <w:bCs/>
                <w:color w:val="000000" w:themeColor="text1"/>
                <w:kern w:val="2"/>
                <w:sz w:val="21"/>
                <w:szCs w:val="21"/>
                <w14:textFill>
                  <w14:solidFill>
                    <w14:schemeClr w14:val="tx1"/>
                  </w14:solidFill>
                </w14:textFill>
              </w:rPr>
            </w:pPr>
            <w:r>
              <w:rPr>
                <w:rFonts w:hint="eastAsia" w:cs="宋体" w:asciiTheme="minorEastAsia" w:hAnsiTheme="minorEastAsia" w:eastAsiaTheme="minorEastAsia"/>
                <w:b/>
                <w:bCs/>
                <w:color w:val="000000" w:themeColor="text1"/>
                <w:kern w:val="2"/>
                <w:sz w:val="21"/>
                <w:szCs w:val="21"/>
                <w14:textFill>
                  <w14:solidFill>
                    <w14:schemeClr w14:val="tx1"/>
                  </w14:solidFill>
                </w14:textFill>
              </w:rPr>
              <w:t>（二）评</w:t>
            </w:r>
            <w:r>
              <w:rPr>
                <w:rFonts w:hint="eastAsia" w:cs="宋体" w:asciiTheme="minorEastAsia" w:hAnsiTheme="minorEastAsia" w:eastAsiaTheme="minorEastAsia"/>
                <w:b/>
                <w:bCs/>
                <w:color w:val="000000" w:themeColor="text1"/>
                <w:sz w:val="21"/>
                <w:szCs w:val="21"/>
                <w14:textFill>
                  <w14:solidFill>
                    <w14:schemeClr w14:val="tx1"/>
                  </w14:solidFill>
                </w14:textFill>
              </w:rPr>
              <w:t>审</w:t>
            </w:r>
            <w:r>
              <w:rPr>
                <w:rFonts w:hint="eastAsia" w:cs="宋体" w:asciiTheme="minorEastAsia" w:hAnsiTheme="minorEastAsia" w:eastAsiaTheme="minorEastAsia"/>
                <w:b/>
                <w:bCs/>
                <w:color w:val="000000" w:themeColor="text1"/>
                <w:kern w:val="2"/>
                <w:sz w:val="21"/>
                <w:szCs w:val="21"/>
                <w14:textFill>
                  <w14:solidFill>
                    <w14:schemeClr w14:val="tx1"/>
                  </w14:solidFill>
                </w14:textFill>
              </w:rPr>
              <w:t>依据：</w:t>
            </w:r>
          </w:p>
          <w:p w14:paraId="1020D595">
            <w:pPr>
              <w:pStyle w:val="17"/>
              <w:wordWrap w:val="0"/>
              <w:adjustRightInd w:val="0"/>
              <w:snapToGrid w:val="0"/>
              <w:spacing w:before="0" w:beforeAutospacing="0" w:after="0" w:afterAutospacing="0"/>
              <w:textAlignment w:val="baseline"/>
              <w:rPr>
                <w:rFonts w:cs="宋体" w:asciiTheme="minorEastAsia" w:hAnsiTheme="minorEastAsia" w:eastAsiaTheme="minorEastAsia"/>
                <w:color w:val="000000" w:themeColor="text1"/>
                <w:kern w:val="2"/>
                <w:sz w:val="21"/>
                <w:szCs w:val="21"/>
                <w14:textFill>
                  <w14:solidFill>
                    <w14:schemeClr w14:val="tx1"/>
                  </w14:solidFill>
                </w14:textFill>
              </w:rPr>
            </w:pPr>
            <w:r>
              <w:rPr>
                <w:rFonts w:hint="eastAsia" w:cs="宋体" w:asciiTheme="minorEastAsia" w:hAnsiTheme="minorEastAsia" w:eastAsiaTheme="minorEastAsia"/>
                <w:color w:val="000000" w:themeColor="text1"/>
                <w:kern w:val="2"/>
                <w:sz w:val="21"/>
                <w:szCs w:val="21"/>
                <w14:textFill>
                  <w14:solidFill>
                    <w14:schemeClr w14:val="tx1"/>
                  </w14:solidFill>
                </w14:textFill>
              </w:rPr>
              <w:t>1.提供上述三项完整内容的得7分，二项内容的得3分；一项内容的得1分；</w:t>
            </w:r>
          </w:p>
          <w:p w14:paraId="56AE6395">
            <w:pPr>
              <w:pStyle w:val="17"/>
              <w:wordWrap w:val="0"/>
              <w:adjustRightInd w:val="0"/>
              <w:snapToGrid w:val="0"/>
              <w:spacing w:before="0" w:beforeAutospacing="0" w:after="0" w:afterAutospacing="0"/>
              <w:textAlignment w:val="baseline"/>
              <w:rPr>
                <w:rFonts w:cs="宋体" w:asciiTheme="minorEastAsia" w:hAnsiTheme="minorEastAsia" w:eastAsiaTheme="minorEastAsia"/>
                <w:color w:val="000000" w:themeColor="text1"/>
                <w:kern w:val="2"/>
                <w:sz w:val="21"/>
                <w:szCs w:val="21"/>
                <w14:textFill>
                  <w14:solidFill>
                    <w14:schemeClr w14:val="tx1"/>
                  </w14:solidFill>
                </w14:textFill>
              </w:rPr>
            </w:pPr>
            <w:r>
              <w:rPr>
                <w:rFonts w:hint="eastAsia" w:cs="宋体" w:asciiTheme="minorEastAsia" w:hAnsiTheme="minorEastAsia" w:eastAsiaTheme="minorEastAsia"/>
                <w:color w:val="000000" w:themeColor="text1"/>
                <w:kern w:val="2"/>
                <w:sz w:val="21"/>
                <w:szCs w:val="21"/>
                <w14:textFill>
                  <w14:solidFill>
                    <w14:schemeClr w14:val="tx1"/>
                  </w14:solidFill>
                </w14:textFill>
              </w:rPr>
              <w:t>2.在此基础上，由评审委员进行评价：</w:t>
            </w:r>
          </w:p>
          <w:p w14:paraId="7B2F3CA4">
            <w:pPr>
              <w:pStyle w:val="17"/>
              <w:wordWrap w:val="0"/>
              <w:adjustRightInd w:val="0"/>
              <w:snapToGrid w:val="0"/>
              <w:spacing w:before="0" w:beforeAutospacing="0" w:after="0" w:afterAutospacing="0"/>
              <w:textAlignment w:val="baseline"/>
              <w:rPr>
                <w:rFonts w:cs="宋体" w:asciiTheme="minorEastAsia" w:hAnsiTheme="minorEastAsia" w:eastAsiaTheme="minorEastAsia"/>
                <w:color w:val="000000" w:themeColor="text1"/>
                <w:kern w:val="2"/>
                <w:sz w:val="21"/>
                <w:szCs w:val="21"/>
                <w14:textFill>
                  <w14:solidFill>
                    <w14:schemeClr w14:val="tx1"/>
                  </w14:solidFill>
                </w14:textFill>
              </w:rPr>
            </w:pPr>
            <w:r>
              <w:rPr>
                <w:rFonts w:hint="eastAsia" w:cs="宋体" w:asciiTheme="minorEastAsia" w:hAnsiTheme="minorEastAsia" w:eastAsiaTheme="minorEastAsia"/>
                <w:color w:val="000000" w:themeColor="text1"/>
                <w:kern w:val="2"/>
                <w:sz w:val="21"/>
                <w:szCs w:val="21"/>
                <w14:textFill>
                  <w14:solidFill>
                    <w14:schemeClr w14:val="tx1"/>
                  </w14:solidFill>
                </w14:textFill>
              </w:rPr>
              <w:t>（1）方案整体科学合理、针对性强、可操作性强，评审为优加6分；</w:t>
            </w:r>
          </w:p>
          <w:p w14:paraId="5E3666E6">
            <w:pPr>
              <w:pStyle w:val="17"/>
              <w:wordWrap w:val="0"/>
              <w:adjustRightInd w:val="0"/>
              <w:snapToGrid w:val="0"/>
              <w:spacing w:before="0" w:beforeAutospacing="0" w:after="0" w:afterAutospacing="0"/>
              <w:textAlignment w:val="baseline"/>
              <w:rPr>
                <w:rFonts w:cs="宋体" w:asciiTheme="minorEastAsia" w:hAnsiTheme="minorEastAsia" w:eastAsiaTheme="minorEastAsia"/>
                <w:color w:val="000000" w:themeColor="text1"/>
                <w:kern w:val="2"/>
                <w:sz w:val="21"/>
                <w:szCs w:val="21"/>
                <w14:textFill>
                  <w14:solidFill>
                    <w14:schemeClr w14:val="tx1"/>
                  </w14:solidFill>
                </w14:textFill>
              </w:rPr>
            </w:pPr>
            <w:r>
              <w:rPr>
                <w:rFonts w:hint="eastAsia" w:cs="宋体" w:asciiTheme="minorEastAsia" w:hAnsiTheme="minorEastAsia" w:eastAsiaTheme="minorEastAsia"/>
                <w:color w:val="000000" w:themeColor="text1"/>
                <w:kern w:val="2"/>
                <w:sz w:val="21"/>
                <w:szCs w:val="21"/>
                <w14:textFill>
                  <w14:solidFill>
                    <w14:schemeClr w14:val="tx1"/>
                  </w14:solidFill>
                </w14:textFill>
              </w:rPr>
              <w:t>（2）方案较合理、有一定针对性、一定可操作性，评审为良加3分；</w:t>
            </w:r>
          </w:p>
          <w:p w14:paraId="68166131">
            <w:pPr>
              <w:pStyle w:val="17"/>
              <w:wordWrap w:val="0"/>
              <w:adjustRightInd w:val="0"/>
              <w:snapToGrid w:val="0"/>
              <w:spacing w:before="0" w:beforeAutospacing="0" w:after="0" w:afterAutospacing="0"/>
              <w:textAlignment w:val="baseline"/>
              <w:rPr>
                <w:rFonts w:cs="宋体" w:asciiTheme="minorEastAsia" w:hAnsiTheme="minorEastAsia" w:eastAsiaTheme="minorEastAsia"/>
                <w:color w:val="000000" w:themeColor="text1"/>
                <w:kern w:val="2"/>
                <w:sz w:val="21"/>
                <w:szCs w:val="21"/>
                <w14:textFill>
                  <w14:solidFill>
                    <w14:schemeClr w14:val="tx1"/>
                  </w14:solidFill>
                </w14:textFill>
              </w:rPr>
            </w:pPr>
            <w:r>
              <w:rPr>
                <w:rFonts w:hint="eastAsia" w:cs="宋体" w:asciiTheme="minorEastAsia" w:hAnsiTheme="minorEastAsia" w:eastAsiaTheme="minorEastAsia"/>
                <w:color w:val="000000" w:themeColor="text1"/>
                <w:kern w:val="2"/>
                <w:sz w:val="21"/>
                <w:szCs w:val="21"/>
                <w14:textFill>
                  <w14:solidFill>
                    <w14:schemeClr w14:val="tx1"/>
                  </w14:solidFill>
                </w14:textFill>
              </w:rPr>
              <w:t>（3）方案不尽合理、针对性一般、可操作性一般，评审为中加2分；</w:t>
            </w:r>
          </w:p>
          <w:p w14:paraId="3D9B7443">
            <w:pPr>
              <w:pStyle w:val="51"/>
              <w:snapToGrid w:val="0"/>
              <w:ind w:firstLine="0" w:firstLineChars="0"/>
              <w:rPr>
                <w:rFonts w:cs="宋体"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（4）方案不合理、无针对性、无可操作性，评审为差加1分。</w:t>
            </w:r>
          </w:p>
        </w:tc>
        <w:tc>
          <w:tcPr>
            <w:tcW w:w="628" w:type="pct"/>
            <w:tcBorders>
              <w:top w:val="single" w:color="auto" w:sz="4" w:space="0"/>
              <w:left w:val="single" w:color="auto" w:sz="4" w:space="0"/>
              <w:bottom w:val="single" w:color="auto" w:sz="4" w:space="0"/>
              <w:right w:val="single" w:color="auto" w:sz="4" w:space="0"/>
            </w:tcBorders>
            <w:vAlign w:val="center"/>
          </w:tcPr>
          <w:p w14:paraId="0FC7F18E">
            <w:pPr>
              <w:snapToGrid w:val="0"/>
              <w:jc w:val="center"/>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13</w:t>
            </w:r>
          </w:p>
        </w:tc>
        <w:tc>
          <w:tcPr>
            <w:tcW w:w="726" w:type="pct"/>
            <w:tcBorders>
              <w:top w:val="single" w:color="auto" w:sz="4" w:space="0"/>
              <w:left w:val="single" w:color="auto" w:sz="4" w:space="0"/>
              <w:bottom w:val="single" w:color="auto" w:sz="4" w:space="0"/>
              <w:right w:val="single" w:color="auto" w:sz="4" w:space="0"/>
            </w:tcBorders>
            <w:vAlign w:val="center"/>
          </w:tcPr>
          <w:p w14:paraId="048A8571">
            <w:pPr>
              <w:snapToGrid w:val="0"/>
              <w:jc w:val="center"/>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13</w:t>
            </w:r>
          </w:p>
        </w:tc>
      </w:tr>
      <w:tr w14:paraId="1203A55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427" w:type="pct"/>
            <w:tcBorders>
              <w:top w:val="single" w:color="auto" w:sz="4" w:space="0"/>
              <w:left w:val="single" w:color="auto" w:sz="4" w:space="0"/>
              <w:bottom w:val="single" w:color="auto" w:sz="4" w:space="0"/>
              <w:right w:val="single" w:color="auto" w:sz="4" w:space="0"/>
            </w:tcBorders>
            <w:vAlign w:val="center"/>
          </w:tcPr>
          <w:p w14:paraId="6D5CB743">
            <w:pPr>
              <w:pStyle w:val="51"/>
              <w:numPr>
                <w:ilvl w:val="0"/>
                <w:numId w:val="2"/>
              </w:numPr>
              <w:ind w:left="0" w:firstLine="0" w:firstLineChars="0"/>
              <w:jc w:val="right"/>
              <w:rPr>
                <w:rFonts w:cs="宋体" w:asciiTheme="minorEastAsia" w:hAnsiTheme="minorEastAsia" w:eastAsiaTheme="minorEastAsia"/>
                <w:color w:val="000000" w:themeColor="text1"/>
                <w14:textFill>
                  <w14:solidFill>
                    <w14:schemeClr w14:val="tx1"/>
                  </w14:solidFill>
                </w14:textFill>
              </w:rPr>
            </w:pPr>
          </w:p>
        </w:tc>
        <w:tc>
          <w:tcPr>
            <w:tcW w:w="677" w:type="pct"/>
            <w:tcBorders>
              <w:top w:val="single" w:color="auto" w:sz="4" w:space="0"/>
              <w:left w:val="single" w:color="auto" w:sz="4" w:space="0"/>
              <w:bottom w:val="single" w:color="auto" w:sz="4" w:space="0"/>
              <w:right w:val="single" w:color="auto" w:sz="4" w:space="0"/>
            </w:tcBorders>
            <w:vAlign w:val="center"/>
          </w:tcPr>
          <w:p w14:paraId="18EF6CD2">
            <w:pPr>
              <w:snapToGrid w:val="0"/>
              <w:jc w:val="center"/>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现场演示</w:t>
            </w:r>
          </w:p>
        </w:tc>
        <w:tc>
          <w:tcPr>
            <w:tcW w:w="2542" w:type="pct"/>
            <w:tcBorders>
              <w:top w:val="single" w:color="auto" w:sz="4" w:space="0"/>
              <w:left w:val="single" w:color="auto" w:sz="4" w:space="0"/>
              <w:bottom w:val="single" w:color="auto" w:sz="4" w:space="0"/>
              <w:right w:val="single" w:color="auto" w:sz="4" w:space="0"/>
            </w:tcBorders>
            <w:vAlign w:val="center"/>
          </w:tcPr>
          <w:p w14:paraId="00360D23">
            <w:pPr>
              <w:adjustRightInd w:val="0"/>
              <w:snapToGrid w:val="0"/>
              <w:jc w:val="left"/>
              <w:rPr>
                <w:rFonts w:ascii="宋体" w:hAnsi="宋体"/>
                <w:b/>
                <w:bCs/>
              </w:rPr>
            </w:pPr>
            <w:r>
              <w:rPr>
                <w:rFonts w:hint="eastAsia" w:ascii="宋体" w:hAnsi="宋体"/>
                <w:b/>
                <w:bCs/>
              </w:rPr>
              <w:t>（一）评审标准：</w:t>
            </w:r>
          </w:p>
          <w:p w14:paraId="34A296A9">
            <w:pPr>
              <w:adjustRightInd w:val="0"/>
              <w:snapToGrid w:val="0"/>
              <w:jc w:val="left"/>
              <w:rPr>
                <w:rFonts w:ascii="宋体" w:hAnsi="宋体"/>
              </w:rPr>
            </w:pPr>
            <w:r>
              <w:rPr>
                <w:rFonts w:hint="eastAsia" w:ascii="宋体" w:hAnsi="宋体"/>
              </w:rPr>
              <w:t>投标人按照要求的演示内容进行系统详细演示：</w:t>
            </w:r>
          </w:p>
          <w:p w14:paraId="5C7AABE8">
            <w:pPr>
              <w:adjustRightInd w:val="0"/>
              <w:snapToGrid w:val="0"/>
              <w:jc w:val="left"/>
              <w:rPr>
                <w:rFonts w:ascii="宋体" w:hAnsi="宋体"/>
              </w:rPr>
            </w:pPr>
            <w:r>
              <w:rPr>
                <w:rFonts w:hint="eastAsia" w:ascii="宋体" w:hAnsi="宋体"/>
              </w:rPr>
              <w:t>1.演示</w:t>
            </w:r>
            <w:r>
              <w:rPr>
                <w:rFonts w:hint="eastAsia" w:cs="宋体" w:asciiTheme="minorEastAsia" w:hAnsiTheme="minorEastAsia"/>
                <w:color w:val="000000" w:themeColor="text1"/>
                <w:szCs w:val="21"/>
                <w14:textFill>
                  <w14:solidFill>
                    <w14:schemeClr w14:val="tx1"/>
                  </w14:solidFill>
                </w14:textFill>
              </w:rPr>
              <w:t>疫苗处方提醒</w:t>
            </w:r>
            <w:r>
              <w:rPr>
                <w:rFonts w:hint="eastAsia" w:ascii="宋体" w:hAnsi="宋体"/>
              </w:rPr>
              <w:t>；</w:t>
            </w:r>
          </w:p>
          <w:p w14:paraId="6921DBB0">
            <w:pPr>
              <w:adjustRightInd w:val="0"/>
              <w:snapToGrid w:val="0"/>
              <w:jc w:val="left"/>
              <w:rPr>
                <w:rFonts w:ascii="宋体" w:hAnsi="宋体"/>
              </w:rPr>
            </w:pPr>
            <w:r>
              <w:rPr>
                <w:rFonts w:hint="eastAsia" w:ascii="宋体" w:hAnsi="宋体"/>
              </w:rPr>
              <w:t>2.演示</w:t>
            </w:r>
            <w:r>
              <w:rPr>
                <w:rFonts w:hint="eastAsia" w:cs="宋体" w:asciiTheme="minorEastAsia" w:hAnsiTheme="minorEastAsia"/>
                <w:color w:val="000000" w:themeColor="text1"/>
                <w:szCs w:val="21"/>
                <w14:textFill>
                  <w14:solidFill>
                    <w14:schemeClr w14:val="tx1"/>
                  </w14:solidFill>
                </w14:textFill>
              </w:rPr>
              <w:t>历史处方开具查看</w:t>
            </w:r>
            <w:r>
              <w:rPr>
                <w:rFonts w:hint="eastAsia" w:ascii="宋体" w:hAnsi="宋体"/>
              </w:rPr>
              <w:t>；</w:t>
            </w:r>
          </w:p>
          <w:p w14:paraId="52F5EB2B">
            <w:pPr>
              <w:adjustRightInd w:val="0"/>
              <w:snapToGrid w:val="0"/>
              <w:jc w:val="left"/>
              <w:rPr>
                <w:rFonts w:ascii="宋体" w:hAnsi="宋体"/>
              </w:rPr>
            </w:pPr>
            <w:r>
              <w:rPr>
                <w:rFonts w:hint="eastAsia" w:ascii="宋体" w:hAnsi="宋体"/>
              </w:rPr>
              <w:t>3.演示</w:t>
            </w:r>
            <w:r>
              <w:rPr>
                <w:rFonts w:hint="eastAsia" w:cs="宋体" w:asciiTheme="minorEastAsia" w:hAnsiTheme="minorEastAsia"/>
                <w:color w:val="000000" w:themeColor="text1"/>
                <w:szCs w:val="21"/>
                <w14:textFill>
                  <w14:solidFill>
                    <w14:schemeClr w14:val="tx1"/>
                  </w14:solidFill>
                </w14:textFill>
              </w:rPr>
              <w:t>成人非免疫规划疫苗转介监测</w:t>
            </w:r>
            <w:r>
              <w:rPr>
                <w:rFonts w:hint="eastAsia" w:ascii="宋体" w:hAnsi="宋体"/>
              </w:rPr>
              <w:t>；</w:t>
            </w:r>
          </w:p>
          <w:p w14:paraId="3F4BB09B">
            <w:pPr>
              <w:adjustRightInd w:val="0"/>
              <w:snapToGrid w:val="0"/>
              <w:jc w:val="left"/>
              <w:rPr>
                <w:rFonts w:ascii="宋体" w:hAnsi="宋体"/>
                <w:b/>
                <w:bCs/>
              </w:rPr>
            </w:pPr>
            <w:r>
              <w:rPr>
                <w:rFonts w:hint="eastAsia" w:ascii="宋体" w:hAnsi="宋体"/>
                <w:b/>
                <w:bCs/>
              </w:rPr>
              <w:t>（二）评审依据：</w:t>
            </w:r>
          </w:p>
          <w:p w14:paraId="55C2F7EF">
            <w:pPr>
              <w:adjustRightInd w:val="0"/>
              <w:snapToGrid w:val="0"/>
              <w:jc w:val="left"/>
              <w:rPr>
                <w:rFonts w:ascii="宋体" w:hAnsi="宋体"/>
              </w:rPr>
            </w:pPr>
            <w:r>
              <w:rPr>
                <w:rFonts w:hint="eastAsia" w:ascii="宋体" w:hAnsi="宋体"/>
              </w:rPr>
              <w:t>1.评审委员会根据投标人项目演示内容满足情况进行评分：</w:t>
            </w:r>
          </w:p>
          <w:p w14:paraId="33AE6C8F">
            <w:pPr>
              <w:snapToGrid w:val="0"/>
              <w:jc w:val="left"/>
              <w:rPr>
                <w:rFonts w:ascii="宋体" w:hAnsi="宋体"/>
              </w:rPr>
            </w:pPr>
            <w:r>
              <w:rPr>
                <w:rFonts w:hint="eastAsia" w:ascii="宋体" w:hAnsi="宋体"/>
              </w:rPr>
              <w:t>投标人能清晰呈现操作过程，顺利完成演示以上三项内容的，得9分；</w:t>
            </w:r>
            <w:r>
              <w:rPr>
                <w:rFonts w:hint="eastAsia"/>
              </w:rPr>
              <w:t>演示满足以上二项内容得6</w:t>
            </w:r>
            <w:r>
              <w:rPr>
                <w:rFonts w:hint="eastAsia" w:ascii="宋体" w:hAnsi="宋体" w:cs="宋体"/>
              </w:rPr>
              <w:t>分；演示满足以上一项内容得3分</w:t>
            </w:r>
            <w:r>
              <w:rPr>
                <w:rFonts w:hint="eastAsia"/>
              </w:rPr>
              <w:t>；</w:t>
            </w:r>
            <w:r>
              <w:rPr>
                <w:rFonts w:hint="eastAsia" w:ascii="宋体" w:hAnsi="宋体"/>
              </w:rPr>
              <w:t>无演示不得分。</w:t>
            </w:r>
          </w:p>
          <w:p w14:paraId="45877088">
            <w:pPr>
              <w:adjustRightInd w:val="0"/>
              <w:snapToGrid w:val="0"/>
              <w:jc w:val="left"/>
              <w:rPr>
                <w:rFonts w:ascii="宋体" w:hAnsi="宋体"/>
              </w:rPr>
            </w:pPr>
            <w:r>
              <w:rPr>
                <w:rFonts w:hint="eastAsia" w:ascii="宋体" w:hAnsi="宋体"/>
              </w:rPr>
              <w:t>2.现场演示时间不超过15分钟（演示期间评委将进行提问，并有权酌情延长时间）。</w:t>
            </w:r>
          </w:p>
          <w:p w14:paraId="6ADBFCA5">
            <w:pPr>
              <w:pStyle w:val="51"/>
              <w:snapToGrid w:val="0"/>
              <w:ind w:firstLine="0" w:firstLineChars="0"/>
              <w:rPr>
                <w:rFonts w:cs="宋体" w:asciiTheme="minorEastAsia" w:hAnsiTheme="minorEastAsia" w:eastAsiaTheme="minorEastAsia"/>
                <w:color w:val="000000" w:themeColor="text1"/>
                <w14:textFill>
                  <w14:solidFill>
                    <w14:schemeClr w14:val="tx1"/>
                  </w14:solidFill>
                </w14:textFill>
              </w:rPr>
            </w:pPr>
            <w:r>
              <w:rPr>
                <w:rFonts w:hint="eastAsia" w:ascii="宋体" w:hAnsi="宋体"/>
              </w:rPr>
              <w:t>3.不提供或无法演示导致专家无法判断的不得分。</w:t>
            </w:r>
          </w:p>
        </w:tc>
        <w:tc>
          <w:tcPr>
            <w:tcW w:w="628" w:type="pct"/>
            <w:tcBorders>
              <w:top w:val="single" w:color="auto" w:sz="4" w:space="0"/>
              <w:left w:val="single" w:color="auto" w:sz="4" w:space="0"/>
              <w:bottom w:val="single" w:color="auto" w:sz="4" w:space="0"/>
              <w:right w:val="single" w:color="auto" w:sz="4" w:space="0"/>
            </w:tcBorders>
            <w:vAlign w:val="center"/>
          </w:tcPr>
          <w:p w14:paraId="14782E8B">
            <w:pPr>
              <w:snapToGrid w:val="0"/>
              <w:jc w:val="center"/>
              <w:rPr>
                <w:rFonts w:cs="宋体" w:asciiTheme="minorEastAsia" w:hAnsiTheme="minorEastAsia"/>
                <w:color w:val="000000" w:themeColor="text1"/>
                <w:szCs w:val="21"/>
                <w14:textFill>
                  <w14:solidFill>
                    <w14:schemeClr w14:val="tx1"/>
                  </w14:solidFill>
                </w14:textFill>
              </w:rPr>
            </w:pPr>
            <w:r>
              <w:rPr>
                <w:rFonts w:cs="宋体" w:asciiTheme="minorEastAsia" w:hAnsiTheme="minorEastAsia"/>
                <w:color w:val="000000" w:themeColor="text1"/>
                <w:szCs w:val="21"/>
                <w14:textFill>
                  <w14:solidFill>
                    <w14:schemeClr w14:val="tx1"/>
                  </w14:solidFill>
                </w14:textFill>
              </w:rPr>
              <w:t>9</w:t>
            </w:r>
          </w:p>
        </w:tc>
        <w:tc>
          <w:tcPr>
            <w:tcW w:w="726" w:type="pct"/>
            <w:tcBorders>
              <w:top w:val="single" w:color="auto" w:sz="4" w:space="0"/>
              <w:left w:val="single" w:color="auto" w:sz="4" w:space="0"/>
              <w:bottom w:val="single" w:color="auto" w:sz="4" w:space="0"/>
              <w:right w:val="single" w:color="auto" w:sz="4" w:space="0"/>
            </w:tcBorders>
            <w:vAlign w:val="center"/>
          </w:tcPr>
          <w:p w14:paraId="619E53D9">
            <w:pPr>
              <w:snapToGrid w:val="0"/>
              <w:jc w:val="center"/>
              <w:rPr>
                <w:rFonts w:cs="宋体" w:asciiTheme="minorEastAsia" w:hAnsiTheme="minorEastAsia"/>
                <w:color w:val="000000" w:themeColor="text1"/>
                <w:szCs w:val="21"/>
                <w14:textFill>
                  <w14:solidFill>
                    <w14:schemeClr w14:val="tx1"/>
                  </w14:solidFill>
                </w14:textFill>
              </w:rPr>
            </w:pPr>
            <w:r>
              <w:rPr>
                <w:rFonts w:cs="宋体" w:asciiTheme="minorEastAsia" w:hAnsiTheme="minorEastAsia"/>
                <w:color w:val="000000" w:themeColor="text1"/>
                <w:szCs w:val="21"/>
                <w14:textFill>
                  <w14:solidFill>
                    <w14:schemeClr w14:val="tx1"/>
                  </w14:solidFill>
                </w14:textFill>
              </w:rPr>
              <w:t>9</w:t>
            </w:r>
          </w:p>
        </w:tc>
      </w:tr>
      <w:tr w14:paraId="5FAA94E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87" w:hRule="atLeast"/>
        </w:trPr>
        <w:tc>
          <w:tcPr>
            <w:tcW w:w="427" w:type="pct"/>
            <w:tcBorders>
              <w:top w:val="single" w:color="auto" w:sz="4" w:space="0"/>
              <w:left w:val="single" w:color="auto" w:sz="4" w:space="0"/>
              <w:bottom w:val="single" w:color="auto" w:sz="4" w:space="0"/>
              <w:right w:val="single" w:color="auto" w:sz="4" w:space="0"/>
            </w:tcBorders>
            <w:vAlign w:val="center"/>
          </w:tcPr>
          <w:p w14:paraId="67210156">
            <w:pPr>
              <w:jc w:val="center"/>
              <w:rPr>
                <w:rFonts w:cs="宋体" w:asciiTheme="minorEastAsia" w:hAnsiTheme="minorEastAsia"/>
                <w:b/>
                <w:color w:val="000000" w:themeColor="text1"/>
                <w:szCs w:val="21"/>
                <w14:textFill>
                  <w14:solidFill>
                    <w14:schemeClr w14:val="tx1"/>
                  </w14:solidFill>
                </w14:textFill>
              </w:rPr>
            </w:pPr>
            <w:r>
              <w:rPr>
                <w:rFonts w:hint="eastAsia" w:cs="宋体" w:asciiTheme="minorEastAsia" w:hAnsiTheme="minorEastAsia"/>
                <w:b/>
                <w:color w:val="000000" w:themeColor="text1"/>
                <w:szCs w:val="21"/>
                <w14:textFill>
                  <w14:solidFill>
                    <w14:schemeClr w14:val="tx1"/>
                  </w14:solidFill>
                </w14:textFill>
              </w:rPr>
              <w:t>二</w:t>
            </w:r>
          </w:p>
        </w:tc>
        <w:tc>
          <w:tcPr>
            <w:tcW w:w="4573" w:type="pct"/>
            <w:gridSpan w:val="4"/>
            <w:tcBorders>
              <w:top w:val="single" w:color="auto" w:sz="4" w:space="0"/>
              <w:left w:val="single" w:color="auto" w:sz="4" w:space="0"/>
              <w:bottom w:val="single" w:color="auto" w:sz="4" w:space="0"/>
              <w:right w:val="single" w:color="auto" w:sz="4" w:space="0"/>
            </w:tcBorders>
            <w:vAlign w:val="center"/>
          </w:tcPr>
          <w:p w14:paraId="783D386D">
            <w:pPr>
              <w:jc w:val="center"/>
              <w:rPr>
                <w:rFonts w:cs="宋体" w:asciiTheme="minorEastAsia" w:hAnsiTheme="minorEastAsia"/>
                <w:b/>
                <w:color w:val="000000" w:themeColor="text1"/>
                <w:szCs w:val="21"/>
                <w14:textFill>
                  <w14:solidFill>
                    <w14:schemeClr w14:val="tx1"/>
                  </w14:solidFill>
                </w14:textFill>
              </w:rPr>
            </w:pPr>
            <w:r>
              <w:rPr>
                <w:rFonts w:hint="eastAsia" w:cs="宋体" w:asciiTheme="minorEastAsia" w:hAnsiTheme="minorEastAsia"/>
                <w:b/>
                <w:color w:val="000000" w:themeColor="text1"/>
                <w:szCs w:val="21"/>
                <w14:textFill>
                  <w14:solidFill>
                    <w14:schemeClr w14:val="tx1"/>
                  </w14:solidFill>
                </w14:textFill>
              </w:rPr>
              <w:t>商务部分（4</w:t>
            </w:r>
            <w:r>
              <w:rPr>
                <w:rFonts w:cs="宋体" w:asciiTheme="minorEastAsia" w:hAnsiTheme="minorEastAsia"/>
                <w:b/>
                <w:color w:val="000000" w:themeColor="text1"/>
                <w:szCs w:val="21"/>
                <w14:textFill>
                  <w14:solidFill>
                    <w14:schemeClr w14:val="tx1"/>
                  </w14:solidFill>
                </w14:textFill>
              </w:rPr>
              <w:t>1</w:t>
            </w:r>
            <w:r>
              <w:rPr>
                <w:rFonts w:hint="eastAsia" w:cs="宋体" w:asciiTheme="minorEastAsia" w:hAnsiTheme="minorEastAsia"/>
                <w:b/>
                <w:color w:val="000000" w:themeColor="text1"/>
                <w:szCs w:val="21"/>
                <w14:textFill>
                  <w14:solidFill>
                    <w14:schemeClr w14:val="tx1"/>
                  </w14:solidFill>
                </w14:textFill>
              </w:rPr>
              <w:t>分）</w:t>
            </w:r>
          </w:p>
        </w:tc>
      </w:tr>
      <w:tr w14:paraId="05E4835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427" w:type="pct"/>
            <w:tcBorders>
              <w:top w:val="single" w:color="auto" w:sz="4" w:space="0"/>
              <w:left w:val="single" w:color="auto" w:sz="4" w:space="0"/>
              <w:bottom w:val="single" w:color="auto" w:sz="4" w:space="0"/>
              <w:right w:val="single" w:color="auto" w:sz="4" w:space="0"/>
            </w:tcBorders>
            <w:vAlign w:val="center"/>
          </w:tcPr>
          <w:p w14:paraId="2E200E28">
            <w:pPr>
              <w:pStyle w:val="51"/>
              <w:numPr>
                <w:ilvl w:val="0"/>
                <w:numId w:val="3"/>
              </w:numPr>
              <w:ind w:left="0" w:firstLine="0" w:firstLineChars="0"/>
              <w:jc w:val="center"/>
              <w:rPr>
                <w:rFonts w:cs="宋体" w:asciiTheme="minorEastAsia" w:hAnsiTheme="minorEastAsia" w:eastAsiaTheme="minorEastAsia"/>
                <w:color w:val="000000" w:themeColor="text1"/>
                <w14:textFill>
                  <w14:solidFill>
                    <w14:schemeClr w14:val="tx1"/>
                  </w14:solidFill>
                </w14:textFill>
              </w:rPr>
            </w:pPr>
          </w:p>
        </w:tc>
        <w:tc>
          <w:tcPr>
            <w:tcW w:w="677" w:type="pct"/>
            <w:tcBorders>
              <w:top w:val="single" w:color="auto" w:sz="4" w:space="0"/>
              <w:left w:val="single" w:color="auto" w:sz="4" w:space="0"/>
              <w:bottom w:val="single" w:color="auto" w:sz="4" w:space="0"/>
              <w:right w:val="single" w:color="auto" w:sz="4" w:space="0"/>
            </w:tcBorders>
            <w:vAlign w:val="center"/>
          </w:tcPr>
          <w:p w14:paraId="1ECBE801">
            <w:pPr>
              <w:snapToGrid w:val="0"/>
              <w:jc w:val="center"/>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拟安排的项目负责人情况（仅限一人）</w:t>
            </w:r>
          </w:p>
        </w:tc>
        <w:tc>
          <w:tcPr>
            <w:tcW w:w="2542" w:type="pct"/>
            <w:tcBorders>
              <w:top w:val="single" w:color="auto" w:sz="4" w:space="0"/>
              <w:left w:val="single" w:color="auto" w:sz="4" w:space="0"/>
              <w:bottom w:val="single" w:color="auto" w:sz="4" w:space="0"/>
              <w:right w:val="single" w:color="auto" w:sz="4" w:space="0"/>
            </w:tcBorders>
            <w:vAlign w:val="center"/>
          </w:tcPr>
          <w:p w14:paraId="0F902F2E">
            <w:pPr>
              <w:wordWrap w:val="0"/>
              <w:snapToGrid w:val="0"/>
              <w:jc w:val="left"/>
              <w:rPr>
                <w:rFonts w:cs="宋体" w:asciiTheme="minorEastAsia" w:hAnsiTheme="minorEastAsia"/>
                <w:b/>
                <w:bCs/>
                <w:color w:val="000000" w:themeColor="text1"/>
                <w:szCs w:val="21"/>
                <w14:textFill>
                  <w14:solidFill>
                    <w14:schemeClr w14:val="tx1"/>
                  </w14:solidFill>
                </w14:textFill>
              </w:rPr>
            </w:pPr>
            <w:r>
              <w:rPr>
                <w:rFonts w:hint="eastAsia" w:cs="宋体" w:asciiTheme="minorEastAsia" w:hAnsiTheme="minorEastAsia"/>
                <w:b/>
                <w:bCs/>
                <w:color w:val="000000" w:themeColor="text1"/>
                <w:szCs w:val="21"/>
                <w14:textFill>
                  <w14:solidFill>
                    <w14:schemeClr w14:val="tx1"/>
                  </w14:solidFill>
                </w14:textFill>
              </w:rPr>
              <w:t>（一）评审标准：</w:t>
            </w:r>
          </w:p>
          <w:p w14:paraId="296EAFC2">
            <w:pPr>
              <w:wordWrap w:val="0"/>
              <w:snapToGrid w:val="0"/>
              <w:jc w:val="left"/>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b/>
                <w:bCs/>
                <w:color w:val="000000" w:themeColor="text1"/>
                <w:szCs w:val="21"/>
                <w14:textFill>
                  <w14:solidFill>
                    <w14:schemeClr w14:val="tx1"/>
                  </w14:solidFill>
                </w14:textFill>
              </w:rPr>
              <w:t>拟安排的项目负责人（仅限1人）</w:t>
            </w:r>
            <w:r>
              <w:rPr>
                <w:rFonts w:hint="eastAsia" w:cs="宋体" w:asciiTheme="minorEastAsia" w:hAnsiTheme="minorEastAsia"/>
                <w:color w:val="000000" w:themeColor="text1"/>
                <w:szCs w:val="21"/>
                <w14:textFill>
                  <w14:solidFill>
                    <w14:schemeClr w14:val="tx1"/>
                  </w14:solidFill>
                </w14:textFill>
              </w:rPr>
              <w:t>需为投标人正式</w:t>
            </w:r>
            <w:r>
              <w:rPr>
                <w:rFonts w:hint="eastAsia" w:cs="宋体" w:asciiTheme="minorEastAsia" w:hAnsiTheme="minorEastAsia"/>
                <w:bCs/>
                <w:color w:val="000000" w:themeColor="text1"/>
                <w:szCs w:val="21"/>
                <w14:textFill>
                  <w14:solidFill>
                    <w14:schemeClr w14:val="tx1"/>
                  </w14:solidFill>
                </w14:textFill>
              </w:rPr>
              <w:t>聘任</w:t>
            </w:r>
            <w:r>
              <w:rPr>
                <w:rFonts w:hint="eastAsia" w:cs="宋体" w:asciiTheme="minorEastAsia" w:hAnsiTheme="minorEastAsia"/>
                <w:color w:val="000000" w:themeColor="text1"/>
                <w:szCs w:val="21"/>
                <w14:textFill>
                  <w14:solidFill>
                    <w14:schemeClr w14:val="tx1"/>
                  </w14:solidFill>
                </w14:textFill>
              </w:rPr>
              <w:t>员工（</w:t>
            </w:r>
            <w:r>
              <w:rPr>
                <w:rFonts w:hint="eastAsia" w:cs="宋体" w:asciiTheme="minorEastAsia" w:hAnsiTheme="minorEastAsia"/>
                <w:bCs/>
                <w:color w:val="000000" w:themeColor="text1"/>
                <w:szCs w:val="21"/>
                <w14:textFill>
                  <w14:solidFill>
                    <w14:schemeClr w14:val="tx1"/>
                  </w14:solidFill>
                </w14:textFill>
              </w:rPr>
              <w:t>要求提供</w:t>
            </w:r>
            <w:r>
              <w:rPr>
                <w:rFonts w:hint="eastAsia" w:cs="宋体" w:asciiTheme="minorEastAsia" w:hAnsiTheme="minorEastAsia"/>
                <w:color w:val="000000" w:themeColor="text1"/>
                <w:szCs w:val="21"/>
                <w14:textFill>
                  <w14:solidFill>
                    <w14:schemeClr w14:val="tx1"/>
                  </w14:solidFill>
                </w14:textFill>
              </w:rPr>
              <w:t>社保</w:t>
            </w:r>
            <w:r>
              <w:rPr>
                <w:rFonts w:hint="eastAsia" w:cs="宋体" w:asciiTheme="minorEastAsia" w:hAnsiTheme="minorEastAsia"/>
                <w:bCs/>
                <w:color w:val="000000" w:themeColor="text1"/>
                <w:szCs w:val="21"/>
                <w14:textFill>
                  <w14:solidFill>
                    <w14:schemeClr w14:val="tx1"/>
                  </w14:solidFill>
                </w14:textFill>
              </w:rPr>
              <w:t>证明</w:t>
            </w:r>
            <w:r>
              <w:rPr>
                <w:rFonts w:hint="eastAsia" w:cs="宋体" w:asciiTheme="minorEastAsia" w:hAnsiTheme="minorEastAsia"/>
                <w:color w:val="000000" w:themeColor="text1"/>
                <w:szCs w:val="21"/>
                <w14:textFill>
                  <w14:solidFill>
                    <w14:schemeClr w14:val="tx1"/>
                  </w14:solidFill>
                </w14:textFill>
              </w:rPr>
              <w:t>），否则本项不得分。在此基础上，按以下标准评分：</w:t>
            </w:r>
          </w:p>
          <w:p w14:paraId="16597A39">
            <w:pPr>
              <w:wordWrap w:val="0"/>
              <w:snapToGrid w:val="0"/>
              <w:jc w:val="left"/>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1.具有信息电子类专业或计算机类相关专业本科（或以上）学历，得4分；</w:t>
            </w:r>
          </w:p>
          <w:p w14:paraId="01B2A0E5">
            <w:pPr>
              <w:wordWrap w:val="0"/>
              <w:snapToGrid w:val="0"/>
              <w:jc w:val="left"/>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2.具有项目管理协会（PMI）颁发的PMP证书，得4分。</w:t>
            </w:r>
          </w:p>
          <w:p w14:paraId="3CD32FE8">
            <w:pPr>
              <w:wordWrap w:val="0"/>
              <w:snapToGrid w:val="0"/>
              <w:jc w:val="left"/>
              <w:rPr>
                <w:rFonts w:cs="宋体" w:asciiTheme="minorEastAsia" w:hAnsiTheme="minorEastAsia"/>
                <w:b/>
                <w:bCs/>
                <w:color w:val="000000" w:themeColor="text1"/>
                <w:szCs w:val="21"/>
                <w14:textFill>
                  <w14:solidFill>
                    <w14:schemeClr w14:val="tx1"/>
                  </w14:solidFill>
                </w14:textFill>
              </w:rPr>
            </w:pPr>
            <w:r>
              <w:rPr>
                <w:rFonts w:hint="eastAsia" w:cs="宋体" w:asciiTheme="minorEastAsia" w:hAnsiTheme="minorEastAsia"/>
                <w:b/>
                <w:bCs/>
                <w:color w:val="000000" w:themeColor="text1"/>
                <w:szCs w:val="21"/>
                <w14:textFill>
                  <w14:solidFill>
                    <w14:schemeClr w14:val="tx1"/>
                  </w14:solidFill>
                </w14:textFill>
              </w:rPr>
              <w:t>（二）评审依据：</w:t>
            </w:r>
          </w:p>
          <w:p w14:paraId="0CE1B266">
            <w:pPr>
              <w:wordWrap w:val="0"/>
              <w:snapToGrid w:val="0"/>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1.提供</w:t>
            </w:r>
            <w:r>
              <w:rPr>
                <w:rFonts w:hint="eastAsia" w:cs="宋体" w:asciiTheme="minorEastAsia" w:hAnsiTheme="minorEastAsia"/>
                <w:bCs/>
                <w:color w:val="000000" w:themeColor="text1"/>
                <w:szCs w:val="21"/>
                <w14:textFill>
                  <w14:solidFill>
                    <w14:schemeClr w14:val="tx1"/>
                  </w14:solidFill>
                </w14:textFill>
              </w:rPr>
              <w:t>项目</w:t>
            </w:r>
            <w:r>
              <w:rPr>
                <w:rFonts w:hint="eastAsia" w:cs="宋体" w:asciiTheme="minorEastAsia" w:hAnsiTheme="minorEastAsia"/>
                <w:color w:val="000000" w:themeColor="text1"/>
                <w:szCs w:val="21"/>
                <w14:textFill>
                  <w14:solidFill>
                    <w14:schemeClr w14:val="tx1"/>
                  </w14:solidFill>
                </w14:textFill>
              </w:rPr>
              <w:t>负责人通过投标人单位缴纳的</w:t>
            </w:r>
            <w:r>
              <w:rPr>
                <w:rFonts w:hint="eastAsia" w:cs="宋体" w:asciiTheme="minorEastAsia" w:hAnsiTheme="minorEastAsia"/>
                <w:bCs/>
                <w:color w:val="000000" w:themeColor="text1"/>
                <w:szCs w:val="21"/>
                <w14:textFill>
                  <w14:solidFill>
                    <w14:schemeClr w14:val="tx1"/>
                  </w14:solidFill>
                </w14:textFill>
              </w:rPr>
              <w:t>载有政府部门印章的</w:t>
            </w:r>
            <w:r>
              <w:rPr>
                <w:rFonts w:hint="eastAsia" w:cs="宋体" w:asciiTheme="minorEastAsia" w:hAnsiTheme="minorEastAsia"/>
                <w:color w:val="000000" w:themeColor="text1"/>
                <w:szCs w:val="21"/>
                <w14:textFill>
                  <w14:solidFill>
                    <w14:schemeClr w14:val="tx1"/>
                  </w14:solidFill>
                </w14:textFill>
              </w:rPr>
              <w:t>近三个月任意一个月的社保证明</w:t>
            </w:r>
            <w:r>
              <w:rPr>
                <w:rFonts w:hint="eastAsia" w:cs="宋体" w:asciiTheme="minorEastAsia" w:hAnsiTheme="minorEastAsia"/>
                <w:bCs/>
                <w:color w:val="000000" w:themeColor="text1"/>
                <w:szCs w:val="21"/>
                <w14:textFill>
                  <w14:solidFill>
                    <w14:schemeClr w14:val="tx1"/>
                  </w14:solidFill>
                </w14:textFill>
              </w:rPr>
              <w:t>（社保资料必须至少包含养老保险信息）</w:t>
            </w:r>
            <w:r>
              <w:rPr>
                <w:rFonts w:hint="eastAsia" w:cs="宋体" w:asciiTheme="minorEastAsia" w:hAnsiTheme="minorEastAsia"/>
                <w:color w:val="000000" w:themeColor="text1"/>
                <w:szCs w:val="21"/>
                <w14:textFill>
                  <w14:solidFill>
                    <w14:schemeClr w14:val="tx1"/>
                  </w14:solidFill>
                </w14:textFill>
              </w:rPr>
              <w:t>作为本单位员工的证明依据。若投标人成立不足三个月的，</w:t>
            </w:r>
            <w:r>
              <w:rPr>
                <w:rFonts w:hint="eastAsia" w:cs="宋体" w:asciiTheme="minorEastAsia" w:hAnsiTheme="minorEastAsia"/>
                <w:bCs/>
                <w:color w:val="000000" w:themeColor="text1"/>
                <w:szCs w:val="21"/>
                <w14:textFill>
                  <w14:solidFill>
                    <w14:schemeClr w14:val="tx1"/>
                  </w14:solidFill>
                </w14:textFill>
              </w:rPr>
              <w:t>可提供加盖公章的情况说明或者证明材料亦视为符合。</w:t>
            </w:r>
            <w:r>
              <w:rPr>
                <w:rFonts w:hint="eastAsia" w:cs="宋体" w:asciiTheme="minorEastAsia" w:hAnsiTheme="minorEastAsia"/>
                <w:color w:val="000000" w:themeColor="text1"/>
                <w:szCs w:val="21"/>
                <w14:textFill>
                  <w14:solidFill>
                    <w14:schemeClr w14:val="tx1"/>
                  </w14:solidFill>
                </w14:textFill>
              </w:rPr>
              <w:t>若为退休返聘人员，需提供</w:t>
            </w:r>
            <w:r>
              <w:rPr>
                <w:rFonts w:hint="eastAsia" w:cs="宋体" w:asciiTheme="minorEastAsia" w:hAnsiTheme="minorEastAsia"/>
                <w:bCs/>
                <w:color w:val="000000" w:themeColor="text1"/>
                <w:szCs w:val="21"/>
                <w14:textFill>
                  <w14:solidFill>
                    <w14:schemeClr w14:val="tx1"/>
                  </w14:solidFill>
                </w14:textFill>
              </w:rPr>
              <w:t>加盖公章的</w:t>
            </w:r>
            <w:r>
              <w:rPr>
                <w:rFonts w:hint="eastAsia" w:cs="宋体" w:asciiTheme="minorEastAsia" w:hAnsiTheme="minorEastAsia"/>
                <w:color w:val="000000" w:themeColor="text1"/>
                <w:szCs w:val="21"/>
                <w14:textFill>
                  <w14:solidFill>
                    <w14:schemeClr w14:val="tx1"/>
                  </w14:solidFill>
                </w14:textFill>
              </w:rPr>
              <w:t>说明函（格式自拟），无需提供相关人员社保，亦可得分。</w:t>
            </w:r>
          </w:p>
          <w:p w14:paraId="4985B8BD">
            <w:pPr>
              <w:wordWrap w:val="0"/>
              <w:snapToGrid w:val="0"/>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2.境内学历要求提供学历证书复印件和学信网查询截图（对于较早颁发的学历证书，学信网无法查询的，要求提供学历证书复印件和毕业院校、人社部门等颁发机构或监管机构等单位出具的证明）；境外学历学位相关证书要求提供教育部留学服务中心出具的国外学历学位认证书复印件或教育部留学服务中心网站（http://zwfw.cscse.edu.cn/）在线查询截图。</w:t>
            </w:r>
          </w:p>
          <w:p w14:paraId="2A0D01A7">
            <w:pPr>
              <w:wordWrap w:val="0"/>
              <w:snapToGrid w:val="0"/>
              <w:jc w:val="left"/>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3.提供有效期内项目管理协会（PMI）颁发的PMP证书复印件。如证书颁发单位为相关行业协会（或学会）的，则需同时提供证书颁发单位在“中国社会组织政务服务平台”或“中国国家认证认可监督管理委员会”等合法查询渠道的的信息查询截图（截图需显示发证单位状态为正常）。如为《中华人民共和国境外非政府组织境内活动管理法》规定的“离岸社团”“山寨社团”，《取缔非法民间组织暂行办法》（民政部令第21号）规定的“非法社会组织”颁发的证书或出具的报告，均不得分。</w:t>
            </w:r>
          </w:p>
          <w:p w14:paraId="50053916">
            <w:pPr>
              <w:pStyle w:val="51"/>
              <w:snapToGrid w:val="0"/>
              <w:ind w:firstLine="0" w:firstLineChars="0"/>
              <w:rPr>
                <w:rFonts w:cs="宋体" w:asciiTheme="minorEastAsia" w:hAnsiTheme="minorEastAsia" w:eastAsiaTheme="minorEastAsia"/>
                <w:color w:val="000000" w:themeColor="text1"/>
                <w:kern w:val="0"/>
                <w:lang w:bidi="ar"/>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4.证明材料均提供复印件并加盖投标人公章。评分中出现无证明资料或者评审委员会无法凭所提供资料判断是否得分的情况，一律做不得分处理。</w:t>
            </w:r>
          </w:p>
        </w:tc>
        <w:tc>
          <w:tcPr>
            <w:tcW w:w="628" w:type="pct"/>
            <w:tcBorders>
              <w:top w:val="single" w:color="auto" w:sz="4" w:space="0"/>
              <w:left w:val="single" w:color="auto" w:sz="4" w:space="0"/>
              <w:bottom w:val="single" w:color="auto" w:sz="4" w:space="0"/>
              <w:right w:val="single" w:color="auto" w:sz="4" w:space="0"/>
            </w:tcBorders>
            <w:vAlign w:val="center"/>
          </w:tcPr>
          <w:p w14:paraId="736BDD87">
            <w:pPr>
              <w:snapToGrid w:val="0"/>
              <w:jc w:val="center"/>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8</w:t>
            </w:r>
          </w:p>
        </w:tc>
        <w:tc>
          <w:tcPr>
            <w:tcW w:w="726" w:type="pct"/>
            <w:tcBorders>
              <w:top w:val="single" w:color="auto" w:sz="4" w:space="0"/>
              <w:left w:val="single" w:color="auto" w:sz="4" w:space="0"/>
              <w:bottom w:val="single" w:color="auto" w:sz="4" w:space="0"/>
              <w:right w:val="single" w:color="auto" w:sz="4" w:space="0"/>
            </w:tcBorders>
            <w:vAlign w:val="center"/>
          </w:tcPr>
          <w:p w14:paraId="0C1E6A66">
            <w:pPr>
              <w:snapToGrid w:val="0"/>
              <w:jc w:val="center"/>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8</w:t>
            </w:r>
          </w:p>
        </w:tc>
      </w:tr>
      <w:tr w14:paraId="3B552ED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427" w:type="pct"/>
            <w:tcBorders>
              <w:top w:val="single" w:color="auto" w:sz="4" w:space="0"/>
              <w:left w:val="single" w:color="auto" w:sz="4" w:space="0"/>
              <w:bottom w:val="single" w:color="auto" w:sz="4" w:space="0"/>
              <w:right w:val="single" w:color="auto" w:sz="4" w:space="0"/>
            </w:tcBorders>
            <w:vAlign w:val="center"/>
          </w:tcPr>
          <w:p w14:paraId="2A8EF0CE">
            <w:pPr>
              <w:pStyle w:val="51"/>
              <w:numPr>
                <w:ilvl w:val="0"/>
                <w:numId w:val="3"/>
              </w:numPr>
              <w:ind w:left="0" w:firstLine="0" w:firstLineChars="0"/>
              <w:jc w:val="center"/>
              <w:rPr>
                <w:rFonts w:cs="宋体" w:asciiTheme="minorEastAsia" w:hAnsiTheme="minorEastAsia" w:eastAsiaTheme="minorEastAsia"/>
                <w:color w:val="000000" w:themeColor="text1"/>
                <w14:textFill>
                  <w14:solidFill>
                    <w14:schemeClr w14:val="tx1"/>
                  </w14:solidFill>
                </w14:textFill>
              </w:rPr>
            </w:pPr>
          </w:p>
        </w:tc>
        <w:tc>
          <w:tcPr>
            <w:tcW w:w="677" w:type="pct"/>
            <w:tcBorders>
              <w:top w:val="single" w:color="auto" w:sz="4" w:space="0"/>
              <w:left w:val="single" w:color="auto" w:sz="4" w:space="0"/>
              <w:bottom w:val="single" w:color="auto" w:sz="4" w:space="0"/>
              <w:right w:val="single" w:color="auto" w:sz="4" w:space="0"/>
            </w:tcBorders>
            <w:vAlign w:val="center"/>
          </w:tcPr>
          <w:p w14:paraId="48B8C6A8">
            <w:pPr>
              <w:snapToGrid w:val="0"/>
              <w:jc w:val="center"/>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拟安排的项目主要团队成员情况（项目负责人除外）</w:t>
            </w:r>
          </w:p>
        </w:tc>
        <w:tc>
          <w:tcPr>
            <w:tcW w:w="2542" w:type="pct"/>
            <w:tcBorders>
              <w:top w:val="single" w:color="auto" w:sz="4" w:space="0"/>
              <w:left w:val="single" w:color="auto" w:sz="4" w:space="0"/>
              <w:bottom w:val="single" w:color="auto" w:sz="4" w:space="0"/>
              <w:right w:val="single" w:color="auto" w:sz="4" w:space="0"/>
            </w:tcBorders>
            <w:vAlign w:val="center"/>
          </w:tcPr>
          <w:p w14:paraId="73AA013B">
            <w:pPr>
              <w:wordWrap w:val="0"/>
              <w:jc w:val="left"/>
              <w:rPr>
                <w:rFonts w:cs="宋体" w:asciiTheme="minorEastAsia" w:hAnsiTheme="minorEastAsia"/>
                <w:b/>
                <w:bCs/>
                <w:color w:val="000000" w:themeColor="text1"/>
                <w:szCs w:val="21"/>
                <w14:textFill>
                  <w14:solidFill>
                    <w14:schemeClr w14:val="tx1"/>
                  </w14:solidFill>
                </w14:textFill>
              </w:rPr>
            </w:pPr>
            <w:r>
              <w:rPr>
                <w:rFonts w:hint="eastAsia" w:cs="宋体" w:asciiTheme="minorEastAsia" w:hAnsiTheme="minorEastAsia"/>
                <w:b/>
                <w:bCs/>
                <w:color w:val="000000" w:themeColor="text1"/>
                <w:szCs w:val="21"/>
                <w14:textFill>
                  <w14:solidFill>
                    <w14:schemeClr w14:val="tx1"/>
                  </w14:solidFill>
                </w14:textFill>
              </w:rPr>
              <w:t>（一）评审标准：</w:t>
            </w:r>
          </w:p>
          <w:p w14:paraId="5BFE2B58">
            <w:pPr>
              <w:wordWrap w:val="0"/>
              <w:jc w:val="left"/>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拟安排项目主要团队成员不少于</w:t>
            </w:r>
            <w:r>
              <w:rPr>
                <w:rFonts w:cs="宋体" w:asciiTheme="minorEastAsia" w:hAnsiTheme="minorEastAsia"/>
                <w:color w:val="000000" w:themeColor="text1"/>
                <w:szCs w:val="21"/>
                <w14:textFill>
                  <w14:solidFill>
                    <w14:schemeClr w14:val="tx1"/>
                  </w14:solidFill>
                </w14:textFill>
              </w:rPr>
              <w:t>4</w:t>
            </w:r>
            <w:r>
              <w:rPr>
                <w:rFonts w:hint="eastAsia" w:cs="宋体" w:asciiTheme="minorEastAsia" w:hAnsiTheme="minorEastAsia"/>
                <w:color w:val="000000" w:themeColor="text1"/>
                <w:szCs w:val="21"/>
                <w14:textFill>
                  <w14:solidFill>
                    <w14:schemeClr w14:val="tx1"/>
                  </w14:solidFill>
                </w14:textFill>
              </w:rPr>
              <w:t>人（项目负责人除外），均须为投标人</w:t>
            </w:r>
            <w:r>
              <w:rPr>
                <w:rFonts w:hint="eastAsia" w:cs="宋体" w:asciiTheme="minorEastAsia" w:hAnsiTheme="minorEastAsia"/>
                <w:bCs/>
                <w:color w:val="000000" w:themeColor="text1"/>
                <w:szCs w:val="21"/>
                <w14:textFill>
                  <w14:solidFill>
                    <w14:schemeClr w14:val="tx1"/>
                  </w14:solidFill>
                </w14:textFill>
              </w:rPr>
              <w:t>正式聘任</w:t>
            </w:r>
            <w:r>
              <w:rPr>
                <w:rFonts w:hint="eastAsia" w:cs="宋体" w:asciiTheme="minorEastAsia" w:hAnsiTheme="minorEastAsia"/>
                <w:color w:val="000000" w:themeColor="text1"/>
                <w:szCs w:val="21"/>
                <w14:textFill>
                  <w14:solidFill>
                    <w14:schemeClr w14:val="tx1"/>
                  </w14:solidFill>
                </w14:textFill>
              </w:rPr>
              <w:t>员工（</w:t>
            </w:r>
            <w:r>
              <w:rPr>
                <w:rFonts w:hint="eastAsia" w:cs="宋体" w:asciiTheme="minorEastAsia" w:hAnsiTheme="minorEastAsia"/>
                <w:bCs/>
                <w:color w:val="000000" w:themeColor="text1"/>
                <w:szCs w:val="21"/>
                <w14:textFill>
                  <w14:solidFill>
                    <w14:schemeClr w14:val="tx1"/>
                  </w14:solidFill>
                </w14:textFill>
              </w:rPr>
              <w:t>要求提供</w:t>
            </w:r>
            <w:r>
              <w:rPr>
                <w:rFonts w:hint="eastAsia" w:cs="宋体" w:asciiTheme="minorEastAsia" w:hAnsiTheme="minorEastAsia"/>
                <w:color w:val="000000" w:themeColor="text1"/>
                <w:szCs w:val="21"/>
                <w14:textFill>
                  <w14:solidFill>
                    <w14:schemeClr w14:val="tx1"/>
                  </w14:solidFill>
                </w14:textFill>
              </w:rPr>
              <w:t>社保</w:t>
            </w:r>
            <w:r>
              <w:rPr>
                <w:rFonts w:hint="eastAsia" w:cs="宋体" w:asciiTheme="minorEastAsia" w:hAnsiTheme="minorEastAsia"/>
                <w:bCs/>
                <w:color w:val="000000" w:themeColor="text1"/>
                <w:szCs w:val="21"/>
                <w14:textFill>
                  <w14:solidFill>
                    <w14:schemeClr w14:val="tx1"/>
                  </w14:solidFill>
                </w14:textFill>
              </w:rPr>
              <w:t>证明</w:t>
            </w:r>
            <w:r>
              <w:rPr>
                <w:rFonts w:hint="eastAsia" w:cs="宋体" w:asciiTheme="minorEastAsia" w:hAnsiTheme="minorEastAsia"/>
                <w:color w:val="000000" w:themeColor="text1"/>
                <w:szCs w:val="21"/>
                <w14:textFill>
                  <w14:solidFill>
                    <w14:schemeClr w14:val="tx1"/>
                  </w14:solidFill>
                </w14:textFill>
              </w:rPr>
              <w:t>），否则本项不得分。在此基础上，按以下标准评分：</w:t>
            </w:r>
          </w:p>
          <w:p w14:paraId="40D1B300">
            <w:pPr>
              <w:wordWrap w:val="0"/>
              <w:jc w:val="left"/>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（1）具有信息电子类专业或计算机类相关专业本科（或以上）学历，提供一人得</w:t>
            </w:r>
            <w:r>
              <w:rPr>
                <w:rFonts w:cs="宋体" w:asciiTheme="minorEastAsia" w:hAnsiTheme="minorEastAsia"/>
                <w:color w:val="000000" w:themeColor="text1"/>
                <w:szCs w:val="21"/>
                <w14:textFill>
                  <w14:solidFill>
                    <w14:schemeClr w14:val="tx1"/>
                  </w14:solidFill>
                </w14:textFill>
              </w:rPr>
              <w:t>2.5</w:t>
            </w:r>
            <w:r>
              <w:rPr>
                <w:rFonts w:hint="eastAsia" w:cs="宋体" w:asciiTheme="minorEastAsia" w:hAnsiTheme="minorEastAsia"/>
                <w:color w:val="000000" w:themeColor="text1"/>
                <w:szCs w:val="21"/>
                <w14:textFill>
                  <w14:solidFill>
                    <w14:schemeClr w14:val="tx1"/>
                  </w14:solidFill>
                </w14:textFill>
              </w:rPr>
              <w:t>分，最高得1</w:t>
            </w:r>
            <w:r>
              <w:rPr>
                <w:rFonts w:cs="宋体" w:asciiTheme="minorEastAsia" w:hAnsiTheme="minorEastAsia"/>
                <w:color w:val="000000" w:themeColor="text1"/>
                <w:szCs w:val="21"/>
                <w14:textFill>
                  <w14:solidFill>
                    <w14:schemeClr w14:val="tx1"/>
                  </w14:solidFill>
                </w14:textFill>
              </w:rPr>
              <w:t>0</w:t>
            </w:r>
            <w:r>
              <w:rPr>
                <w:rFonts w:hint="eastAsia" w:cs="宋体" w:asciiTheme="minorEastAsia" w:hAnsiTheme="minorEastAsia"/>
                <w:color w:val="000000" w:themeColor="text1"/>
                <w:szCs w:val="21"/>
                <w14:textFill>
                  <w14:solidFill>
                    <w14:schemeClr w14:val="tx1"/>
                  </w14:solidFill>
                </w14:textFill>
              </w:rPr>
              <w:t>分。</w:t>
            </w:r>
          </w:p>
          <w:p w14:paraId="47CCCD48">
            <w:pPr>
              <w:wordWrap w:val="0"/>
              <w:jc w:val="left"/>
              <w:rPr>
                <w:rFonts w:cs="宋体" w:asciiTheme="minorEastAsia" w:hAnsiTheme="minorEastAsia"/>
                <w:b/>
                <w:bCs/>
                <w:color w:val="000000" w:themeColor="text1"/>
                <w:szCs w:val="21"/>
                <w14:textFill>
                  <w14:solidFill>
                    <w14:schemeClr w14:val="tx1"/>
                  </w14:solidFill>
                </w14:textFill>
              </w:rPr>
            </w:pPr>
            <w:r>
              <w:rPr>
                <w:rFonts w:hint="eastAsia" w:cs="宋体" w:asciiTheme="minorEastAsia" w:hAnsiTheme="minorEastAsia"/>
                <w:b/>
                <w:bCs/>
                <w:color w:val="000000" w:themeColor="text1"/>
                <w:szCs w:val="21"/>
                <w14:textFill>
                  <w14:solidFill>
                    <w14:schemeClr w14:val="tx1"/>
                  </w14:solidFill>
                </w14:textFill>
              </w:rPr>
              <w:t>（二）评审依据：</w:t>
            </w:r>
          </w:p>
          <w:p w14:paraId="16EC2B89">
            <w:pPr>
              <w:wordWrap w:val="0"/>
              <w:jc w:val="left"/>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1.提供</w:t>
            </w:r>
            <w:r>
              <w:rPr>
                <w:rFonts w:hint="eastAsia" w:cs="宋体" w:asciiTheme="minorEastAsia" w:hAnsiTheme="minorEastAsia"/>
                <w:bCs/>
                <w:color w:val="000000" w:themeColor="text1"/>
                <w:szCs w:val="21"/>
                <w14:textFill>
                  <w14:solidFill>
                    <w14:schemeClr w14:val="tx1"/>
                  </w14:solidFill>
                </w14:textFill>
              </w:rPr>
              <w:t>团队成员</w:t>
            </w:r>
            <w:r>
              <w:rPr>
                <w:rFonts w:hint="eastAsia" w:cs="宋体" w:asciiTheme="minorEastAsia" w:hAnsiTheme="minorEastAsia"/>
                <w:color w:val="000000" w:themeColor="text1"/>
                <w:szCs w:val="21"/>
                <w14:textFill>
                  <w14:solidFill>
                    <w14:schemeClr w14:val="tx1"/>
                  </w14:solidFill>
                </w14:textFill>
              </w:rPr>
              <w:t>通过投标人单位缴纳的</w:t>
            </w:r>
            <w:r>
              <w:rPr>
                <w:rFonts w:hint="eastAsia" w:cs="宋体" w:asciiTheme="minorEastAsia" w:hAnsiTheme="minorEastAsia"/>
                <w:bCs/>
                <w:color w:val="000000" w:themeColor="text1"/>
                <w:szCs w:val="21"/>
                <w14:textFill>
                  <w14:solidFill>
                    <w14:schemeClr w14:val="tx1"/>
                  </w14:solidFill>
                </w14:textFill>
              </w:rPr>
              <w:t>载有政府部门印章的</w:t>
            </w:r>
            <w:r>
              <w:rPr>
                <w:rFonts w:hint="eastAsia" w:cs="宋体" w:asciiTheme="minorEastAsia" w:hAnsiTheme="minorEastAsia"/>
                <w:color w:val="000000" w:themeColor="text1"/>
                <w:szCs w:val="21"/>
                <w14:textFill>
                  <w14:solidFill>
                    <w14:schemeClr w14:val="tx1"/>
                  </w14:solidFill>
                </w14:textFill>
              </w:rPr>
              <w:t>近三个月任意一个月的社保证明</w:t>
            </w:r>
            <w:r>
              <w:rPr>
                <w:rFonts w:hint="eastAsia" w:cs="宋体" w:asciiTheme="minorEastAsia" w:hAnsiTheme="minorEastAsia"/>
                <w:bCs/>
                <w:color w:val="000000" w:themeColor="text1"/>
                <w:szCs w:val="21"/>
                <w14:textFill>
                  <w14:solidFill>
                    <w14:schemeClr w14:val="tx1"/>
                  </w14:solidFill>
                </w14:textFill>
              </w:rPr>
              <w:t>（社保资料必须至少包含养老保险信息）</w:t>
            </w:r>
            <w:r>
              <w:rPr>
                <w:rFonts w:hint="eastAsia" w:cs="宋体" w:asciiTheme="minorEastAsia" w:hAnsiTheme="minorEastAsia"/>
                <w:color w:val="000000" w:themeColor="text1"/>
                <w:szCs w:val="21"/>
                <w14:textFill>
                  <w14:solidFill>
                    <w14:schemeClr w14:val="tx1"/>
                  </w14:solidFill>
                </w14:textFill>
              </w:rPr>
              <w:t>作为本单位员工的证明依据。若投标人成立不足三个月的，</w:t>
            </w:r>
            <w:r>
              <w:rPr>
                <w:rFonts w:hint="eastAsia" w:cs="宋体" w:asciiTheme="minorEastAsia" w:hAnsiTheme="minorEastAsia"/>
                <w:bCs/>
                <w:color w:val="000000" w:themeColor="text1"/>
                <w:szCs w:val="21"/>
                <w14:textFill>
                  <w14:solidFill>
                    <w14:schemeClr w14:val="tx1"/>
                  </w14:solidFill>
                </w14:textFill>
              </w:rPr>
              <w:t>可提供加盖公章的情况说明或者证明材料亦视为符合。</w:t>
            </w:r>
            <w:r>
              <w:rPr>
                <w:rFonts w:hint="eastAsia" w:cs="宋体" w:asciiTheme="minorEastAsia" w:hAnsiTheme="minorEastAsia"/>
                <w:color w:val="000000" w:themeColor="text1"/>
                <w:szCs w:val="21"/>
                <w14:textFill>
                  <w14:solidFill>
                    <w14:schemeClr w14:val="tx1"/>
                  </w14:solidFill>
                </w14:textFill>
              </w:rPr>
              <w:t>若为退休返聘人员，需提供</w:t>
            </w:r>
            <w:r>
              <w:rPr>
                <w:rFonts w:hint="eastAsia" w:cs="宋体" w:asciiTheme="minorEastAsia" w:hAnsiTheme="minorEastAsia"/>
                <w:bCs/>
                <w:color w:val="000000" w:themeColor="text1"/>
                <w:szCs w:val="21"/>
                <w14:textFill>
                  <w14:solidFill>
                    <w14:schemeClr w14:val="tx1"/>
                  </w14:solidFill>
                </w14:textFill>
              </w:rPr>
              <w:t>加盖公章的</w:t>
            </w:r>
            <w:r>
              <w:rPr>
                <w:rFonts w:hint="eastAsia" w:cs="宋体" w:asciiTheme="minorEastAsia" w:hAnsiTheme="minorEastAsia"/>
                <w:color w:val="000000" w:themeColor="text1"/>
                <w:szCs w:val="21"/>
                <w14:textFill>
                  <w14:solidFill>
                    <w14:schemeClr w14:val="tx1"/>
                  </w14:solidFill>
                </w14:textFill>
              </w:rPr>
              <w:t>说明函（格式自拟），无需提供相关人员社保，亦可得分。</w:t>
            </w:r>
          </w:p>
          <w:p w14:paraId="7D4EDB37">
            <w:pPr>
              <w:wordWrap w:val="0"/>
              <w:jc w:val="left"/>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2.境内学历要求提供学历证书复印件和学信网查询截图（对于较早颁发的学历证书，学信网无法查询的，要求提供学历证书复印件和毕业院校、人社部门等颁发机构或监管机构等单位出具的证明）；境外学历学位相关证书要求提供教育部留学服务中心出具的国外学历学位认证书复印件或教育部留学服务中心网站（http://zwfw.cscse.edu.cn/）在线查询截图。</w:t>
            </w:r>
          </w:p>
          <w:p w14:paraId="553CD2E0">
            <w:pPr>
              <w:adjustRightInd w:val="0"/>
              <w:snapToGrid w:val="0"/>
              <w:jc w:val="left"/>
              <w:rPr>
                <w:rFonts w:cs="宋体" w:asciiTheme="minorEastAsia" w:hAnsiTheme="minorEastAsia"/>
                <w:b/>
                <w:bCs/>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3.证明材料均提供复印件并加盖投标人公章。评分中出现无证明资料或者评审委员会无法凭所提供资料判断是否得分的情况，一律做不得分处理。</w:t>
            </w:r>
          </w:p>
        </w:tc>
        <w:tc>
          <w:tcPr>
            <w:tcW w:w="628" w:type="pct"/>
            <w:tcBorders>
              <w:top w:val="single" w:color="auto" w:sz="4" w:space="0"/>
              <w:left w:val="single" w:color="auto" w:sz="4" w:space="0"/>
              <w:bottom w:val="single" w:color="auto" w:sz="4" w:space="0"/>
              <w:right w:val="single" w:color="auto" w:sz="4" w:space="0"/>
            </w:tcBorders>
            <w:vAlign w:val="center"/>
          </w:tcPr>
          <w:p w14:paraId="1972CBFF">
            <w:pPr>
              <w:snapToGrid w:val="0"/>
              <w:jc w:val="center"/>
              <w:rPr>
                <w:rFonts w:cs="宋体" w:asciiTheme="minorEastAsia" w:hAnsiTheme="minorEastAsia"/>
                <w:color w:val="000000" w:themeColor="text1"/>
                <w:szCs w:val="21"/>
                <w14:textFill>
                  <w14:solidFill>
                    <w14:schemeClr w14:val="tx1"/>
                  </w14:solidFill>
                </w14:textFill>
              </w:rPr>
            </w:pPr>
            <w:r>
              <w:rPr>
                <w:rFonts w:cs="宋体" w:asciiTheme="minorEastAsia" w:hAnsiTheme="minorEastAsia"/>
                <w:color w:val="000000" w:themeColor="text1"/>
                <w:szCs w:val="21"/>
                <w14:textFill>
                  <w14:solidFill>
                    <w14:schemeClr w14:val="tx1"/>
                  </w14:solidFill>
                </w14:textFill>
              </w:rPr>
              <w:t>10</w:t>
            </w:r>
          </w:p>
        </w:tc>
        <w:tc>
          <w:tcPr>
            <w:tcW w:w="726" w:type="pct"/>
            <w:tcBorders>
              <w:top w:val="single" w:color="auto" w:sz="4" w:space="0"/>
              <w:left w:val="single" w:color="auto" w:sz="4" w:space="0"/>
              <w:bottom w:val="single" w:color="auto" w:sz="4" w:space="0"/>
              <w:right w:val="single" w:color="auto" w:sz="4" w:space="0"/>
            </w:tcBorders>
            <w:vAlign w:val="center"/>
          </w:tcPr>
          <w:p w14:paraId="6408A956">
            <w:pPr>
              <w:snapToGrid w:val="0"/>
              <w:jc w:val="center"/>
              <w:rPr>
                <w:rFonts w:cs="宋体" w:asciiTheme="minorEastAsia" w:hAnsiTheme="minorEastAsia"/>
                <w:color w:val="000000" w:themeColor="text1"/>
                <w:szCs w:val="21"/>
                <w14:textFill>
                  <w14:solidFill>
                    <w14:schemeClr w14:val="tx1"/>
                  </w14:solidFill>
                </w14:textFill>
              </w:rPr>
            </w:pPr>
            <w:r>
              <w:rPr>
                <w:rFonts w:cs="宋体" w:asciiTheme="minorEastAsia" w:hAnsiTheme="minorEastAsia"/>
                <w:color w:val="000000" w:themeColor="text1"/>
                <w:szCs w:val="21"/>
                <w14:textFill>
                  <w14:solidFill>
                    <w14:schemeClr w14:val="tx1"/>
                  </w14:solidFill>
                </w14:textFill>
              </w:rPr>
              <w:t>10</w:t>
            </w:r>
          </w:p>
        </w:tc>
      </w:tr>
      <w:tr w14:paraId="4DEB7F5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427" w:type="pct"/>
            <w:tcBorders>
              <w:top w:val="single" w:color="auto" w:sz="4" w:space="0"/>
              <w:left w:val="single" w:color="auto" w:sz="4" w:space="0"/>
              <w:bottom w:val="single" w:color="auto" w:sz="4" w:space="0"/>
              <w:right w:val="single" w:color="auto" w:sz="4" w:space="0"/>
            </w:tcBorders>
            <w:vAlign w:val="center"/>
          </w:tcPr>
          <w:p w14:paraId="4DF1FB51">
            <w:pPr>
              <w:pStyle w:val="51"/>
              <w:numPr>
                <w:ilvl w:val="0"/>
                <w:numId w:val="3"/>
              </w:numPr>
              <w:ind w:left="0" w:firstLine="0" w:firstLineChars="0"/>
              <w:jc w:val="center"/>
              <w:rPr>
                <w:rFonts w:cs="宋体" w:asciiTheme="minorEastAsia" w:hAnsiTheme="minorEastAsia" w:eastAsiaTheme="minorEastAsia"/>
                <w:color w:val="000000" w:themeColor="text1"/>
                <w14:textFill>
                  <w14:solidFill>
                    <w14:schemeClr w14:val="tx1"/>
                  </w14:solidFill>
                </w14:textFill>
              </w:rPr>
            </w:pPr>
          </w:p>
        </w:tc>
        <w:tc>
          <w:tcPr>
            <w:tcW w:w="677" w:type="pct"/>
            <w:tcBorders>
              <w:top w:val="single" w:color="auto" w:sz="4" w:space="0"/>
              <w:left w:val="single" w:color="auto" w:sz="4" w:space="0"/>
              <w:bottom w:val="single" w:color="auto" w:sz="4" w:space="0"/>
              <w:right w:val="single" w:color="auto" w:sz="4" w:space="0"/>
            </w:tcBorders>
            <w:vAlign w:val="center"/>
          </w:tcPr>
          <w:p w14:paraId="574321C6">
            <w:pPr>
              <w:snapToGrid w:val="0"/>
              <w:jc w:val="center"/>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投标人通过相关认证情况</w:t>
            </w:r>
          </w:p>
        </w:tc>
        <w:tc>
          <w:tcPr>
            <w:tcW w:w="2542" w:type="pct"/>
            <w:tcBorders>
              <w:top w:val="single" w:color="auto" w:sz="4" w:space="0"/>
              <w:left w:val="single" w:color="auto" w:sz="4" w:space="0"/>
              <w:bottom w:val="single" w:color="auto" w:sz="4" w:space="0"/>
              <w:right w:val="single" w:color="auto" w:sz="4" w:space="0"/>
            </w:tcBorders>
          </w:tcPr>
          <w:p w14:paraId="4573907B">
            <w:pPr>
              <w:wordWrap w:val="0"/>
              <w:jc w:val="left"/>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b/>
                <w:bCs/>
                <w:color w:val="000000" w:themeColor="text1"/>
                <w:szCs w:val="21"/>
                <w14:textFill>
                  <w14:solidFill>
                    <w14:schemeClr w14:val="tx1"/>
                  </w14:solidFill>
                </w14:textFill>
              </w:rPr>
              <w:t>（一）评审标准：</w:t>
            </w:r>
          </w:p>
          <w:p w14:paraId="7D7A9991">
            <w:pPr>
              <w:wordWrap w:val="0"/>
              <w:jc w:val="left"/>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提供“质量管理体系认证证书”得</w:t>
            </w:r>
            <w:r>
              <w:rPr>
                <w:rFonts w:cs="宋体" w:asciiTheme="minorEastAsia" w:hAnsiTheme="minorEastAsia"/>
                <w:color w:val="000000" w:themeColor="text1"/>
                <w:szCs w:val="21"/>
                <w14:textFill>
                  <w14:solidFill>
                    <w14:schemeClr w14:val="tx1"/>
                  </w14:solidFill>
                </w14:textFill>
              </w:rPr>
              <w:t>4</w:t>
            </w:r>
            <w:r>
              <w:rPr>
                <w:rFonts w:hint="eastAsia" w:cs="宋体" w:asciiTheme="minorEastAsia" w:hAnsiTheme="minorEastAsia"/>
                <w:color w:val="000000" w:themeColor="text1"/>
                <w:szCs w:val="21"/>
                <w14:textFill>
                  <w14:solidFill>
                    <w14:schemeClr w14:val="tx1"/>
                  </w14:solidFill>
                </w14:textFill>
              </w:rPr>
              <w:t>分。</w:t>
            </w:r>
          </w:p>
          <w:p w14:paraId="4E663483">
            <w:pPr>
              <w:wordWrap w:val="0"/>
              <w:jc w:val="left"/>
              <w:rPr>
                <w:rFonts w:cs="宋体" w:asciiTheme="minorEastAsia" w:hAnsiTheme="minorEastAsia"/>
                <w:color w:val="000000" w:themeColor="text1"/>
                <w:szCs w:val="21"/>
                <w14:textFill>
                  <w14:solidFill>
                    <w14:schemeClr w14:val="tx1"/>
                  </w14:solidFill>
                </w14:textFill>
              </w:rPr>
            </w:pPr>
            <w:r>
              <w:rPr>
                <w:rFonts w:hint="eastAsia" w:ascii="宋体" w:hAnsi="宋体"/>
              </w:rPr>
              <w:t>提供“信息安全管理体系认证证书”得</w:t>
            </w:r>
            <w:r>
              <w:rPr>
                <w:rFonts w:ascii="宋体" w:hAnsi="宋体"/>
              </w:rPr>
              <w:t>4</w:t>
            </w:r>
            <w:r>
              <w:rPr>
                <w:rFonts w:hint="eastAsia" w:ascii="宋体" w:hAnsi="宋体"/>
              </w:rPr>
              <w:t>分。</w:t>
            </w:r>
          </w:p>
          <w:p w14:paraId="63625C8A">
            <w:pPr>
              <w:wordWrap w:val="0"/>
              <w:jc w:val="left"/>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b/>
                <w:bCs/>
                <w:color w:val="000000" w:themeColor="text1"/>
                <w:szCs w:val="21"/>
                <w14:textFill>
                  <w14:solidFill>
                    <w14:schemeClr w14:val="tx1"/>
                  </w14:solidFill>
                </w14:textFill>
              </w:rPr>
              <w:t>（二）评审依据：</w:t>
            </w:r>
          </w:p>
          <w:p w14:paraId="4F85068E">
            <w:pPr>
              <w:wordWrap w:val="0"/>
              <w:jc w:val="left"/>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投标人需同时提供由合法登记并设立的认证机构颁发的有效期内（认证证书在开标当天仍处于有效状态）的认证证书复印件及通过国家认证认可监督管理委员会官方网站（https://www.cnca.gov.cn/）查询的对应证书界面截图（截图需显示证书编号及证书状态为“有效”，截图证书编号须与证书复印件一致），否则不得分。投标人因成立不足三个月，而未取得质量管理体系认证的，亦视为符合。</w:t>
            </w:r>
          </w:p>
          <w:p w14:paraId="3D59490E">
            <w:pPr>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备注：</w:t>
            </w:r>
          </w:p>
          <w:p w14:paraId="25548544">
            <w:pPr>
              <w:snapToGrid w:val="0"/>
              <w:jc w:val="left"/>
              <w:rPr>
                <w:rFonts w:cs="宋体" w:asciiTheme="minorEastAsia" w:hAnsiTheme="minorEastAsia"/>
                <w:b/>
                <w:bCs/>
                <w:color w:val="000000" w:themeColor="text1"/>
                <w:kern w:val="0"/>
                <w:szCs w:val="21"/>
                <w:lang w:bidi="ar"/>
                <w14:textFill>
                  <w14:solidFill>
                    <w14:schemeClr w14:val="tx1"/>
                  </w14:solidFill>
                </w14:textFill>
              </w:rPr>
            </w:pPr>
            <w:r>
              <w:rPr>
                <w:rFonts w:hint="eastAsia" w:cs="宋体" w:asciiTheme="minorEastAsia" w:hAnsiTheme="minorEastAsia"/>
                <w:b/>
                <w:bCs/>
                <w:color w:val="000000" w:themeColor="text1"/>
                <w:kern w:val="0"/>
                <w:szCs w:val="21"/>
                <w14:textFill>
                  <w14:solidFill>
                    <w14:schemeClr w14:val="tx1"/>
                  </w14:solidFill>
                </w14:textFill>
              </w:rPr>
              <w:t>证明材料均须加盖投标人公章。</w:t>
            </w:r>
            <w:r>
              <w:rPr>
                <w:rFonts w:hint="eastAsia" w:cs="宋体" w:asciiTheme="minorEastAsia" w:hAnsiTheme="minorEastAsia"/>
                <w:color w:val="000000" w:themeColor="text1"/>
                <w:szCs w:val="21"/>
                <w14:textFill>
                  <w14:solidFill>
                    <w14:schemeClr w14:val="tx1"/>
                  </w14:solidFill>
                </w14:textFill>
              </w:rPr>
              <w:t>评分中出现无证明资料或者评审委员会无法凭所提供资料判断是否得分的情况，一律做不得分处理。</w:t>
            </w:r>
          </w:p>
        </w:tc>
        <w:tc>
          <w:tcPr>
            <w:tcW w:w="628" w:type="pct"/>
            <w:tcBorders>
              <w:top w:val="single" w:color="auto" w:sz="4" w:space="0"/>
              <w:left w:val="single" w:color="auto" w:sz="4" w:space="0"/>
              <w:bottom w:val="single" w:color="auto" w:sz="4" w:space="0"/>
              <w:right w:val="single" w:color="auto" w:sz="4" w:space="0"/>
            </w:tcBorders>
            <w:vAlign w:val="center"/>
          </w:tcPr>
          <w:p w14:paraId="368939C0">
            <w:pPr>
              <w:snapToGrid w:val="0"/>
              <w:jc w:val="center"/>
              <w:rPr>
                <w:rFonts w:cs="宋体" w:asciiTheme="minorEastAsia" w:hAnsiTheme="minorEastAsia"/>
                <w:color w:val="000000" w:themeColor="text1"/>
                <w:szCs w:val="21"/>
                <w14:textFill>
                  <w14:solidFill>
                    <w14:schemeClr w14:val="tx1"/>
                  </w14:solidFill>
                </w14:textFill>
              </w:rPr>
            </w:pPr>
            <w:r>
              <w:rPr>
                <w:rFonts w:cs="宋体" w:asciiTheme="minorEastAsia" w:hAnsiTheme="minorEastAsia"/>
                <w:color w:val="000000" w:themeColor="text1"/>
                <w:szCs w:val="21"/>
                <w14:textFill>
                  <w14:solidFill>
                    <w14:schemeClr w14:val="tx1"/>
                  </w14:solidFill>
                </w14:textFill>
              </w:rPr>
              <w:t>8</w:t>
            </w:r>
          </w:p>
        </w:tc>
        <w:tc>
          <w:tcPr>
            <w:tcW w:w="726" w:type="pct"/>
            <w:tcBorders>
              <w:top w:val="single" w:color="auto" w:sz="4" w:space="0"/>
              <w:left w:val="single" w:color="auto" w:sz="4" w:space="0"/>
              <w:bottom w:val="single" w:color="auto" w:sz="4" w:space="0"/>
              <w:right w:val="single" w:color="auto" w:sz="4" w:space="0"/>
            </w:tcBorders>
            <w:vAlign w:val="center"/>
          </w:tcPr>
          <w:p w14:paraId="49794F7E">
            <w:pPr>
              <w:snapToGrid w:val="0"/>
              <w:jc w:val="center"/>
              <w:rPr>
                <w:rFonts w:cs="宋体" w:asciiTheme="minorEastAsia" w:hAnsiTheme="minorEastAsia"/>
                <w:color w:val="000000" w:themeColor="text1"/>
                <w:szCs w:val="21"/>
                <w14:textFill>
                  <w14:solidFill>
                    <w14:schemeClr w14:val="tx1"/>
                  </w14:solidFill>
                </w14:textFill>
              </w:rPr>
            </w:pPr>
            <w:r>
              <w:rPr>
                <w:rFonts w:cs="宋体" w:asciiTheme="minorEastAsia" w:hAnsiTheme="minorEastAsia"/>
                <w:color w:val="000000" w:themeColor="text1"/>
                <w:szCs w:val="21"/>
                <w14:textFill>
                  <w14:solidFill>
                    <w14:schemeClr w14:val="tx1"/>
                  </w14:solidFill>
                </w14:textFill>
              </w:rPr>
              <w:t>8</w:t>
            </w:r>
          </w:p>
        </w:tc>
      </w:tr>
      <w:tr w14:paraId="5FDD3D4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427" w:type="pct"/>
            <w:tcBorders>
              <w:top w:val="single" w:color="auto" w:sz="4" w:space="0"/>
              <w:left w:val="single" w:color="auto" w:sz="4" w:space="0"/>
              <w:bottom w:val="single" w:color="auto" w:sz="4" w:space="0"/>
              <w:right w:val="single" w:color="auto" w:sz="4" w:space="0"/>
            </w:tcBorders>
            <w:vAlign w:val="center"/>
          </w:tcPr>
          <w:p w14:paraId="5E8051DE">
            <w:pPr>
              <w:pStyle w:val="51"/>
              <w:numPr>
                <w:ilvl w:val="0"/>
                <w:numId w:val="3"/>
              </w:numPr>
              <w:ind w:left="0" w:firstLine="0" w:firstLineChars="0"/>
              <w:jc w:val="center"/>
              <w:rPr>
                <w:rFonts w:cs="宋体" w:asciiTheme="minorEastAsia" w:hAnsiTheme="minorEastAsia" w:eastAsiaTheme="minorEastAsia"/>
                <w:color w:val="000000" w:themeColor="text1"/>
                <w14:textFill>
                  <w14:solidFill>
                    <w14:schemeClr w14:val="tx1"/>
                  </w14:solidFill>
                </w14:textFill>
              </w:rPr>
            </w:pPr>
          </w:p>
        </w:tc>
        <w:tc>
          <w:tcPr>
            <w:tcW w:w="677" w:type="pct"/>
            <w:tcBorders>
              <w:top w:val="single" w:color="auto" w:sz="4" w:space="0"/>
              <w:left w:val="single" w:color="auto" w:sz="4" w:space="0"/>
              <w:bottom w:val="single" w:color="auto" w:sz="4" w:space="0"/>
              <w:right w:val="single" w:color="auto" w:sz="4" w:space="0"/>
            </w:tcBorders>
            <w:vAlign w:val="center"/>
          </w:tcPr>
          <w:p w14:paraId="7BD18CC2">
            <w:pPr>
              <w:snapToGrid w:val="0"/>
              <w:jc w:val="center"/>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投标人同类项目业绩情况</w:t>
            </w:r>
          </w:p>
        </w:tc>
        <w:tc>
          <w:tcPr>
            <w:tcW w:w="2542" w:type="pct"/>
            <w:tcBorders>
              <w:top w:val="single" w:color="auto" w:sz="4" w:space="0"/>
              <w:left w:val="single" w:color="auto" w:sz="4" w:space="0"/>
              <w:bottom w:val="single" w:color="auto" w:sz="4" w:space="0"/>
              <w:right w:val="single" w:color="auto" w:sz="4" w:space="0"/>
            </w:tcBorders>
            <w:vAlign w:val="center"/>
          </w:tcPr>
          <w:p w14:paraId="3111E9E2">
            <w:pPr>
              <w:wordWrap w:val="0"/>
              <w:snapToGrid w:val="0"/>
              <w:rPr>
                <w:rFonts w:cs="宋体" w:asciiTheme="minorEastAsia" w:hAnsiTheme="minorEastAsia"/>
                <w:b/>
                <w:bCs/>
                <w:color w:val="000000" w:themeColor="text1"/>
                <w:szCs w:val="21"/>
                <w14:textFill>
                  <w14:solidFill>
                    <w14:schemeClr w14:val="tx1"/>
                  </w14:solidFill>
                </w14:textFill>
              </w:rPr>
            </w:pPr>
            <w:r>
              <w:rPr>
                <w:rFonts w:hint="eastAsia" w:cs="宋体" w:asciiTheme="minorEastAsia" w:hAnsiTheme="minorEastAsia"/>
                <w:b/>
                <w:bCs/>
                <w:color w:val="000000" w:themeColor="text1"/>
                <w:szCs w:val="21"/>
                <w14:textFill>
                  <w14:solidFill>
                    <w14:schemeClr w14:val="tx1"/>
                  </w14:solidFill>
                </w14:textFill>
              </w:rPr>
              <w:t>（一）评分内容：</w:t>
            </w:r>
          </w:p>
          <w:p w14:paraId="1746633D">
            <w:pPr>
              <w:wordWrap w:val="0"/>
              <w:snapToGrid w:val="0"/>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提供投标人202</w:t>
            </w:r>
            <w:r>
              <w:rPr>
                <w:rFonts w:cs="宋体" w:asciiTheme="minorEastAsia" w:hAnsiTheme="minorEastAsia"/>
                <w:color w:val="000000" w:themeColor="text1"/>
                <w:kern w:val="0"/>
                <w:szCs w:val="21"/>
                <w14:textFill>
                  <w14:solidFill>
                    <w14:schemeClr w14:val="tx1"/>
                  </w14:solidFill>
                </w14:textFill>
              </w:rPr>
              <w:t>2</w:t>
            </w:r>
            <w:r>
              <w:rPr>
                <w:rFonts w:hint="eastAsia" w:cs="宋体" w:asciiTheme="minorEastAsia" w:hAnsiTheme="minorEastAsia"/>
                <w:color w:val="000000" w:themeColor="text1"/>
                <w:kern w:val="0"/>
                <w:szCs w:val="21"/>
                <w14:textFill>
                  <w14:solidFill>
                    <w14:schemeClr w14:val="tx1"/>
                  </w14:solidFill>
                </w14:textFill>
              </w:rPr>
              <w:t>年1月1日至本项目投标截止之日（以合同签订时间为准）</w:t>
            </w:r>
            <w:r>
              <w:rPr>
                <w:rFonts w:hint="eastAsia" w:cs="宋体" w:asciiTheme="minorEastAsia" w:hAnsiTheme="minorEastAsia"/>
                <w:color w:val="000000" w:themeColor="text1"/>
                <w:szCs w:val="21"/>
                <w14:textFill>
                  <w14:solidFill>
                    <w14:schemeClr w14:val="tx1"/>
                  </w14:solidFill>
                </w14:textFill>
              </w:rPr>
              <w:t>预防接种服务提醒</w:t>
            </w:r>
            <w:r>
              <w:rPr>
                <w:rFonts w:hint="eastAsia" w:cs="宋体" w:asciiTheme="minorEastAsia" w:hAnsiTheme="minorEastAsia"/>
                <w:color w:val="000000" w:themeColor="text1"/>
                <w:kern w:val="0"/>
                <w:szCs w:val="21"/>
                <w14:textFill>
                  <w14:solidFill>
                    <w14:schemeClr w14:val="tx1"/>
                  </w14:solidFill>
                </w14:textFill>
              </w:rPr>
              <w:t>等同类项目业绩，每提供1个业绩的得5分，最高得10分。</w:t>
            </w:r>
          </w:p>
          <w:p w14:paraId="0259D05D">
            <w:pPr>
              <w:wordWrap w:val="0"/>
              <w:snapToGrid w:val="0"/>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注：同一业绩满足多个类别要求时不可累计得分。同一项目续签不重复计算。</w:t>
            </w:r>
          </w:p>
          <w:p w14:paraId="4A9B31E9">
            <w:pPr>
              <w:wordWrap w:val="0"/>
              <w:snapToGrid w:val="0"/>
              <w:rPr>
                <w:rFonts w:cs="宋体" w:asciiTheme="minorEastAsia" w:hAnsiTheme="minorEastAsia"/>
                <w:b/>
                <w:bCs/>
                <w:color w:val="000000" w:themeColor="text1"/>
                <w:kern w:val="0"/>
                <w:szCs w:val="21"/>
                <w14:textFill>
                  <w14:solidFill>
                    <w14:schemeClr w14:val="tx1"/>
                  </w14:solidFill>
                </w14:textFill>
              </w:rPr>
            </w:pPr>
            <w:r>
              <w:rPr>
                <w:rFonts w:hint="eastAsia" w:cs="宋体" w:asciiTheme="minorEastAsia" w:hAnsiTheme="minorEastAsia"/>
                <w:b/>
                <w:bCs/>
                <w:color w:val="000000" w:themeColor="text1"/>
                <w:kern w:val="0"/>
                <w:szCs w:val="21"/>
                <w14:textFill>
                  <w14:solidFill>
                    <w14:schemeClr w14:val="tx1"/>
                  </w14:solidFill>
                </w14:textFill>
              </w:rPr>
              <w:t>（二）评分依据：</w:t>
            </w:r>
          </w:p>
          <w:p w14:paraId="3ED6A558">
            <w:pPr>
              <w:wordWrap w:val="0"/>
              <w:snapToGrid w:val="0"/>
              <w:jc w:val="left"/>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1.要求提供合同关键信息页作为得分依据（关键信息页包括但不仅限于合同首页、合作内容（标的）页、合同时间页、合同双方盖章页）。</w:t>
            </w:r>
          </w:p>
          <w:p w14:paraId="4B91E873">
            <w:pPr>
              <w:wordWrap w:val="0"/>
              <w:snapToGrid w:val="0"/>
              <w:jc w:val="left"/>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2.通过合同关键信息无法判断是否得分的，还须同时提供能证明得分的其它证明资料，如项目报告或合同甲方出具的证明文件（均需加盖合同甲方公章或合同甲方业务章）。</w:t>
            </w:r>
          </w:p>
          <w:p w14:paraId="378F688F">
            <w:pPr>
              <w:wordWrap w:val="0"/>
              <w:snapToGrid w:val="0"/>
              <w:jc w:val="left"/>
              <w:rPr>
                <w:rFonts w:cs="宋体" w:asciiTheme="minorEastAsia" w:hAnsiTheme="minorEastAsia"/>
                <w:b/>
                <w:bCs/>
                <w:color w:val="000000" w:themeColor="text1"/>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注：证明材料复印件均须加盖投标人公章。</w:t>
            </w:r>
            <w:r>
              <w:rPr>
                <w:rFonts w:hint="eastAsia" w:cs="宋体" w:asciiTheme="minorEastAsia" w:hAnsiTheme="minorEastAsia"/>
                <w:color w:val="000000" w:themeColor="text1"/>
                <w:szCs w:val="21"/>
                <w14:textFill>
                  <w14:solidFill>
                    <w14:schemeClr w14:val="tx1"/>
                  </w14:solidFill>
                </w14:textFill>
              </w:rPr>
              <w:t>评分中出现无证明资料或者评审委员会无法凭所提供资料判断是否得分的情况，一律做不得分处理。</w:t>
            </w:r>
          </w:p>
        </w:tc>
        <w:tc>
          <w:tcPr>
            <w:tcW w:w="628" w:type="pct"/>
            <w:tcBorders>
              <w:top w:val="single" w:color="auto" w:sz="4" w:space="0"/>
              <w:left w:val="single" w:color="auto" w:sz="4" w:space="0"/>
              <w:bottom w:val="single" w:color="auto" w:sz="4" w:space="0"/>
              <w:right w:val="single" w:color="auto" w:sz="4" w:space="0"/>
            </w:tcBorders>
            <w:vAlign w:val="center"/>
          </w:tcPr>
          <w:p w14:paraId="13AAF531">
            <w:pPr>
              <w:snapToGrid w:val="0"/>
              <w:jc w:val="center"/>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10</w:t>
            </w:r>
          </w:p>
        </w:tc>
        <w:tc>
          <w:tcPr>
            <w:tcW w:w="726" w:type="pct"/>
            <w:tcBorders>
              <w:top w:val="single" w:color="auto" w:sz="4" w:space="0"/>
              <w:left w:val="single" w:color="auto" w:sz="4" w:space="0"/>
              <w:bottom w:val="single" w:color="auto" w:sz="4" w:space="0"/>
              <w:right w:val="single" w:color="auto" w:sz="4" w:space="0"/>
            </w:tcBorders>
            <w:vAlign w:val="center"/>
          </w:tcPr>
          <w:p w14:paraId="208D17F8">
            <w:pPr>
              <w:snapToGrid w:val="0"/>
              <w:jc w:val="center"/>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10</w:t>
            </w:r>
          </w:p>
        </w:tc>
      </w:tr>
      <w:tr w14:paraId="0109E95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427" w:type="pct"/>
            <w:tcBorders>
              <w:top w:val="single" w:color="auto" w:sz="4" w:space="0"/>
              <w:left w:val="single" w:color="auto" w:sz="4" w:space="0"/>
              <w:bottom w:val="single" w:color="auto" w:sz="4" w:space="0"/>
              <w:right w:val="single" w:color="auto" w:sz="4" w:space="0"/>
            </w:tcBorders>
            <w:vAlign w:val="center"/>
          </w:tcPr>
          <w:p w14:paraId="64F25AD6">
            <w:pPr>
              <w:pStyle w:val="51"/>
              <w:numPr>
                <w:ilvl w:val="0"/>
                <w:numId w:val="3"/>
              </w:numPr>
              <w:ind w:left="0" w:firstLine="0" w:firstLineChars="0"/>
              <w:rPr>
                <w:rFonts w:cs="宋体" w:asciiTheme="minorEastAsia" w:hAnsiTheme="minorEastAsia" w:eastAsiaTheme="minorEastAsia"/>
                <w:color w:val="000000" w:themeColor="text1"/>
                <w14:textFill>
                  <w14:solidFill>
                    <w14:schemeClr w14:val="tx1"/>
                  </w14:solidFill>
                </w14:textFill>
              </w:rPr>
            </w:pPr>
          </w:p>
        </w:tc>
        <w:tc>
          <w:tcPr>
            <w:tcW w:w="677" w:type="pct"/>
            <w:tcBorders>
              <w:top w:val="single" w:color="auto" w:sz="4" w:space="0"/>
              <w:left w:val="single" w:color="auto" w:sz="4" w:space="0"/>
              <w:bottom w:val="single" w:color="auto" w:sz="4" w:space="0"/>
              <w:right w:val="single" w:color="auto" w:sz="4" w:space="0"/>
            </w:tcBorders>
            <w:vAlign w:val="center"/>
          </w:tcPr>
          <w:p w14:paraId="4093B8EF">
            <w:pPr>
              <w:jc w:val="center"/>
              <w:rPr>
                <w:rFonts w:cs="宋体" w:asciiTheme="minorEastAsia" w:hAnsiTheme="minorEastAsia"/>
                <w:bCs/>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诚信</w:t>
            </w:r>
          </w:p>
        </w:tc>
        <w:tc>
          <w:tcPr>
            <w:tcW w:w="2542" w:type="pct"/>
            <w:tcBorders>
              <w:top w:val="single" w:color="auto" w:sz="4" w:space="0"/>
              <w:left w:val="single" w:color="auto" w:sz="4" w:space="0"/>
              <w:bottom w:val="single" w:color="auto" w:sz="4" w:space="0"/>
              <w:right w:val="single" w:color="auto" w:sz="4" w:space="0"/>
            </w:tcBorders>
            <w:vAlign w:val="center"/>
          </w:tcPr>
          <w:p w14:paraId="7E2A7699">
            <w:pPr>
              <w:jc w:val="left"/>
              <w:rPr>
                <w:rFonts w:cs="宋体" w:asciiTheme="minorEastAsia" w:hAnsiTheme="minorEastAsia"/>
                <w:b/>
                <w:bCs/>
                <w:color w:val="000000" w:themeColor="text1"/>
                <w:szCs w:val="21"/>
                <w14:textFill>
                  <w14:solidFill>
                    <w14:schemeClr w14:val="tx1"/>
                  </w14:solidFill>
                </w14:textFill>
              </w:rPr>
            </w:pPr>
            <w:r>
              <w:rPr>
                <w:rFonts w:hint="eastAsia" w:cs="宋体" w:asciiTheme="minorEastAsia" w:hAnsiTheme="minorEastAsia"/>
                <w:b/>
                <w:bCs/>
                <w:color w:val="000000" w:themeColor="text1"/>
                <w:szCs w:val="21"/>
                <w14:textFill>
                  <w14:solidFill>
                    <w14:schemeClr w14:val="tx1"/>
                  </w14:solidFill>
                </w14:textFill>
              </w:rPr>
              <w:t>（一）评分内容</w:t>
            </w:r>
          </w:p>
          <w:p w14:paraId="3E14BA40">
            <w:pPr>
              <w:jc w:val="left"/>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投标人存在《深圳市财政局政府采购供应商信用信息管理办法》（深财规〔2023〕3号）列明的一般行政处罚信息、一般违法失信记录信息的，本项不得分，不存在上述情形的本项得5分。投标人无需提供任何证明材料，评标过程中由工作人员向评审委员会提供供应商诚信查询结果。</w:t>
            </w:r>
          </w:p>
          <w:p w14:paraId="3C3A0E07">
            <w:pPr>
              <w:jc w:val="left"/>
              <w:rPr>
                <w:rFonts w:cs="宋体" w:asciiTheme="minorEastAsia" w:hAnsiTheme="minorEastAsia"/>
                <w:b/>
                <w:bCs/>
                <w:color w:val="000000" w:themeColor="text1"/>
                <w:szCs w:val="21"/>
                <w14:textFill>
                  <w14:solidFill>
                    <w14:schemeClr w14:val="tx1"/>
                  </w14:solidFill>
                </w14:textFill>
              </w:rPr>
            </w:pPr>
            <w:r>
              <w:rPr>
                <w:rFonts w:hint="eastAsia" w:cs="宋体" w:asciiTheme="minorEastAsia" w:hAnsiTheme="minorEastAsia"/>
                <w:b/>
                <w:bCs/>
                <w:color w:val="000000" w:themeColor="text1"/>
                <w:szCs w:val="21"/>
                <w14:textFill>
                  <w14:solidFill>
                    <w14:schemeClr w14:val="tx1"/>
                  </w14:solidFill>
                </w14:textFill>
              </w:rPr>
              <w:t>（二）评分依据</w:t>
            </w:r>
          </w:p>
          <w:p w14:paraId="1A390826">
            <w:pPr>
              <w:jc w:val="left"/>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查询渠道：通过“信用中国”（www.creditchina.gov.cn）、“中国政府采购网”（www.ccgp.gov.cn）、“深圳市政府采购监管网”（http://zfcg.sz.gov.cn）以及财政主管部门认定的其他渠道查询供应商信用信息，信用信息以开标当日的查询结果为准。</w:t>
            </w:r>
          </w:p>
        </w:tc>
        <w:tc>
          <w:tcPr>
            <w:tcW w:w="628" w:type="pct"/>
            <w:tcBorders>
              <w:top w:val="single" w:color="auto" w:sz="4" w:space="0"/>
              <w:left w:val="single" w:color="auto" w:sz="4" w:space="0"/>
              <w:bottom w:val="single" w:color="auto" w:sz="4" w:space="0"/>
              <w:right w:val="single" w:color="auto" w:sz="4" w:space="0"/>
            </w:tcBorders>
            <w:vAlign w:val="center"/>
          </w:tcPr>
          <w:p w14:paraId="18FA58F9">
            <w:pPr>
              <w:jc w:val="center"/>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5</w:t>
            </w:r>
          </w:p>
        </w:tc>
        <w:tc>
          <w:tcPr>
            <w:tcW w:w="726" w:type="pct"/>
            <w:tcBorders>
              <w:top w:val="single" w:color="auto" w:sz="4" w:space="0"/>
              <w:left w:val="single" w:color="auto" w:sz="4" w:space="0"/>
              <w:bottom w:val="single" w:color="auto" w:sz="4" w:space="0"/>
              <w:right w:val="single" w:color="auto" w:sz="4" w:space="0"/>
            </w:tcBorders>
            <w:vAlign w:val="center"/>
          </w:tcPr>
          <w:p w14:paraId="573400A7">
            <w:pPr>
              <w:jc w:val="center"/>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5</w:t>
            </w:r>
          </w:p>
        </w:tc>
      </w:tr>
      <w:tr w14:paraId="3B1731A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7" w:hRule="atLeast"/>
        </w:trPr>
        <w:tc>
          <w:tcPr>
            <w:tcW w:w="427" w:type="pct"/>
            <w:tcBorders>
              <w:top w:val="single" w:color="auto" w:sz="4" w:space="0"/>
              <w:left w:val="single" w:color="auto" w:sz="4" w:space="0"/>
              <w:bottom w:val="single" w:color="auto" w:sz="4" w:space="0"/>
              <w:right w:val="single" w:color="auto" w:sz="4" w:space="0"/>
            </w:tcBorders>
            <w:vAlign w:val="center"/>
          </w:tcPr>
          <w:p w14:paraId="7449DDA3">
            <w:pPr>
              <w:jc w:val="center"/>
              <w:rPr>
                <w:rFonts w:cs="宋体" w:asciiTheme="minorEastAsia" w:hAnsiTheme="minorEastAsia"/>
                <w:b/>
                <w:color w:val="000000" w:themeColor="text1"/>
                <w:szCs w:val="21"/>
                <w14:textFill>
                  <w14:solidFill>
                    <w14:schemeClr w14:val="tx1"/>
                  </w14:solidFill>
                </w14:textFill>
              </w:rPr>
            </w:pPr>
            <w:r>
              <w:rPr>
                <w:rFonts w:hint="eastAsia" w:cs="宋体" w:asciiTheme="minorEastAsia" w:hAnsiTheme="minorEastAsia"/>
                <w:b/>
                <w:color w:val="000000" w:themeColor="text1"/>
                <w:szCs w:val="21"/>
                <w14:textFill>
                  <w14:solidFill>
                    <w14:schemeClr w14:val="tx1"/>
                  </w14:solidFill>
                </w14:textFill>
              </w:rPr>
              <w:t>三</w:t>
            </w:r>
          </w:p>
        </w:tc>
        <w:tc>
          <w:tcPr>
            <w:tcW w:w="4573" w:type="pct"/>
            <w:gridSpan w:val="4"/>
            <w:tcBorders>
              <w:top w:val="single" w:color="auto" w:sz="4" w:space="0"/>
              <w:left w:val="single" w:color="auto" w:sz="4" w:space="0"/>
              <w:bottom w:val="single" w:color="auto" w:sz="4" w:space="0"/>
              <w:right w:val="single" w:color="auto" w:sz="4" w:space="0"/>
            </w:tcBorders>
            <w:vAlign w:val="center"/>
          </w:tcPr>
          <w:p w14:paraId="50C89C0B">
            <w:pPr>
              <w:jc w:val="center"/>
              <w:rPr>
                <w:rFonts w:cs="宋体" w:asciiTheme="minorEastAsia" w:hAnsiTheme="minorEastAsia"/>
                <w:b/>
                <w:color w:val="000000" w:themeColor="text1"/>
                <w:szCs w:val="21"/>
                <w14:textFill>
                  <w14:solidFill>
                    <w14:schemeClr w14:val="tx1"/>
                  </w14:solidFill>
                </w14:textFill>
              </w:rPr>
            </w:pPr>
            <w:r>
              <w:rPr>
                <w:rFonts w:hint="eastAsia" w:cs="宋体" w:asciiTheme="minorEastAsia" w:hAnsiTheme="minorEastAsia"/>
                <w:b/>
                <w:color w:val="000000" w:themeColor="text1"/>
                <w:szCs w:val="21"/>
                <w14:textFill>
                  <w14:solidFill>
                    <w14:schemeClr w14:val="tx1"/>
                  </w14:solidFill>
                </w14:textFill>
              </w:rPr>
              <w:t>价格部分（10分）</w:t>
            </w:r>
          </w:p>
        </w:tc>
      </w:tr>
      <w:tr w14:paraId="0A75861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0" w:hRule="atLeast"/>
        </w:trPr>
        <w:tc>
          <w:tcPr>
            <w:tcW w:w="427" w:type="pct"/>
            <w:tcBorders>
              <w:top w:val="single" w:color="auto" w:sz="4" w:space="0"/>
              <w:left w:val="single" w:color="auto" w:sz="4" w:space="0"/>
              <w:bottom w:val="single" w:color="auto" w:sz="4" w:space="0"/>
              <w:right w:val="single" w:color="auto" w:sz="4" w:space="0"/>
            </w:tcBorders>
            <w:vAlign w:val="center"/>
          </w:tcPr>
          <w:p w14:paraId="03D9B855">
            <w:pPr>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1.</w:t>
            </w:r>
          </w:p>
        </w:tc>
        <w:tc>
          <w:tcPr>
            <w:tcW w:w="677" w:type="pct"/>
            <w:tcBorders>
              <w:top w:val="single" w:color="auto" w:sz="4" w:space="0"/>
              <w:left w:val="single" w:color="auto" w:sz="4" w:space="0"/>
              <w:bottom w:val="single" w:color="auto" w:sz="4" w:space="0"/>
              <w:right w:val="single" w:color="auto" w:sz="4" w:space="0"/>
            </w:tcBorders>
            <w:vAlign w:val="center"/>
          </w:tcPr>
          <w:p w14:paraId="5281395E">
            <w:pPr>
              <w:jc w:val="center"/>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投标报价</w:t>
            </w:r>
          </w:p>
        </w:tc>
        <w:tc>
          <w:tcPr>
            <w:tcW w:w="2542" w:type="pct"/>
            <w:tcBorders>
              <w:top w:val="single" w:color="auto" w:sz="4" w:space="0"/>
              <w:left w:val="single" w:color="auto" w:sz="4" w:space="0"/>
              <w:bottom w:val="single" w:color="auto" w:sz="4" w:space="0"/>
              <w:right w:val="single" w:color="auto" w:sz="4" w:space="0"/>
            </w:tcBorders>
            <w:vAlign w:val="center"/>
          </w:tcPr>
          <w:p w14:paraId="4282B699">
            <w:pPr>
              <w:autoSpaceDE w:val="0"/>
              <w:autoSpaceDN w:val="0"/>
              <w:adjustRightInd w:val="0"/>
              <w:snapToGrid w:val="0"/>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价格分应当采用低价优先法计算，即满足招标文件要求且投标价格最低的投标报价为评标基准价，其价格分为满分。其他投标人的价格分统一按照下列公式计算：</w:t>
            </w:r>
          </w:p>
          <w:p w14:paraId="2BA3D131">
            <w:pPr>
              <w:widowControl/>
              <w:jc w:val="left"/>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投标报价得分=（评标基准价／投标报价）×100×权重</w:t>
            </w:r>
          </w:p>
          <w:p w14:paraId="469D14D3">
            <w:pPr>
              <w:widowControl/>
              <w:jc w:val="left"/>
              <w:rPr>
                <w:rFonts w:cs="宋体" w:asciiTheme="minorEastAsia" w:hAnsiTheme="minorEastAsia"/>
                <w:bCs/>
                <w:color w:val="000000" w:themeColor="text1"/>
                <w:szCs w:val="21"/>
                <w14:textFill>
                  <w14:solidFill>
                    <w14:schemeClr w14:val="tx1"/>
                  </w14:solidFill>
                </w14:textFill>
              </w:rPr>
            </w:pPr>
            <w:r>
              <w:rPr>
                <w:rFonts w:hint="eastAsia" w:cs="宋体" w:asciiTheme="minorEastAsia" w:hAnsiTheme="minorEastAsia"/>
                <w:bCs/>
                <w:color w:val="000000" w:themeColor="text1"/>
                <w:szCs w:val="21"/>
                <w14:textFill>
                  <w14:solidFill>
                    <w14:schemeClr w14:val="tx1"/>
                  </w14:solidFill>
                </w14:textFill>
              </w:rPr>
              <w:t>备注：</w:t>
            </w:r>
          </w:p>
          <w:p w14:paraId="1334BC32">
            <w:pPr>
              <w:rPr>
                <w:rStyle w:val="23"/>
                <w:rFonts w:cs="宋体" w:asciiTheme="minorEastAsia" w:hAnsiTheme="minorEastAsia"/>
                <w:color w:val="000000" w:themeColor="text1"/>
                <w14:textFill>
                  <w14:solidFill>
                    <w14:schemeClr w14:val="tx1"/>
                  </w14:solidFill>
                </w14:textFill>
              </w:rPr>
            </w:pPr>
            <w:r>
              <w:rPr>
                <w:rFonts w:hint="eastAsia" w:cs="宋体" w:asciiTheme="minorEastAsia" w:hAnsiTheme="minorEastAsia"/>
                <w:bCs/>
                <w:color w:val="000000" w:themeColor="text1"/>
                <w:szCs w:val="21"/>
                <w14:textFill>
                  <w14:solidFill>
                    <w14:schemeClr w14:val="tx1"/>
                  </w14:solidFill>
                </w14:textFill>
              </w:rPr>
              <w:t>1、投标报价得分四舍五入后，</w:t>
            </w:r>
            <w:r>
              <w:rPr>
                <w:rFonts w:hint="eastAsia" w:cs="宋体" w:asciiTheme="minorEastAsia" w:hAnsiTheme="minorEastAsia"/>
                <w:color w:val="000000" w:themeColor="text1"/>
                <w:szCs w:val="21"/>
                <w14:textFill>
                  <w14:solidFill>
                    <w14:schemeClr w14:val="tx1"/>
                  </w14:solidFill>
                </w14:textFill>
              </w:rPr>
              <w:t>小数点后保留两位有效数</w:t>
            </w:r>
            <w:r>
              <w:rPr>
                <w:rFonts w:hint="eastAsia" w:cs="宋体" w:asciiTheme="minorEastAsia" w:hAnsiTheme="minorEastAsia"/>
                <w:bCs/>
                <w:color w:val="000000" w:themeColor="text1"/>
                <w:szCs w:val="21"/>
                <w14:textFill>
                  <w14:solidFill>
                    <w14:schemeClr w14:val="tx1"/>
                  </w14:solidFill>
                </w14:textFill>
              </w:rPr>
              <w:t>。</w:t>
            </w:r>
          </w:p>
          <w:p w14:paraId="69247FF6">
            <w:pPr>
              <w:rPr>
                <w:rStyle w:val="23"/>
                <w:rFonts w:cs="宋体" w:asciiTheme="minorEastAsia" w:hAnsiTheme="minorEastAsia"/>
                <w:color w:val="000000" w:themeColor="text1"/>
                <w14:textFill>
                  <w14:solidFill>
                    <w14:schemeClr w14:val="tx1"/>
                  </w14:solidFill>
                </w14:textFill>
              </w:rPr>
            </w:pPr>
            <w:r>
              <w:rPr>
                <w:rStyle w:val="23"/>
                <w:rFonts w:hint="eastAsia" w:cs="宋体" w:asciiTheme="minorEastAsia" w:hAnsiTheme="minorEastAsia"/>
                <w:color w:val="000000" w:themeColor="text1"/>
                <w14:textFill>
                  <w14:solidFill>
                    <w14:schemeClr w14:val="tx1"/>
                  </w14:solidFill>
                </w14:textFill>
              </w:rPr>
              <w:t>2、因落实政府采购政策进行价格调整的，以调整后的价格计算评标基准价和投标报价，详见《价格扣除》。</w:t>
            </w:r>
          </w:p>
        </w:tc>
        <w:tc>
          <w:tcPr>
            <w:tcW w:w="628" w:type="pct"/>
            <w:tcBorders>
              <w:top w:val="single" w:color="auto" w:sz="4" w:space="0"/>
              <w:left w:val="single" w:color="auto" w:sz="4" w:space="0"/>
              <w:bottom w:val="single" w:color="auto" w:sz="4" w:space="0"/>
              <w:right w:val="single" w:color="auto" w:sz="4" w:space="0"/>
            </w:tcBorders>
            <w:vAlign w:val="center"/>
          </w:tcPr>
          <w:p w14:paraId="384DEA3E">
            <w:pPr>
              <w:jc w:val="center"/>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10</w:t>
            </w:r>
          </w:p>
        </w:tc>
        <w:tc>
          <w:tcPr>
            <w:tcW w:w="726" w:type="pct"/>
            <w:tcBorders>
              <w:top w:val="single" w:color="auto" w:sz="4" w:space="0"/>
              <w:left w:val="single" w:color="auto" w:sz="4" w:space="0"/>
              <w:bottom w:val="single" w:color="auto" w:sz="4" w:space="0"/>
              <w:right w:val="single" w:color="auto" w:sz="4" w:space="0"/>
            </w:tcBorders>
            <w:vAlign w:val="center"/>
          </w:tcPr>
          <w:p w14:paraId="20201941">
            <w:pPr>
              <w:jc w:val="center"/>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10</w:t>
            </w:r>
          </w:p>
        </w:tc>
      </w:tr>
      <w:tr w14:paraId="699A087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23" w:hRule="atLeast"/>
        </w:trPr>
        <w:tc>
          <w:tcPr>
            <w:tcW w:w="3646" w:type="pct"/>
            <w:gridSpan w:val="3"/>
            <w:tcBorders>
              <w:top w:val="single" w:color="auto" w:sz="4" w:space="0"/>
              <w:left w:val="single" w:color="auto" w:sz="4" w:space="0"/>
              <w:bottom w:val="single" w:color="auto" w:sz="4" w:space="0"/>
              <w:right w:val="single" w:color="auto" w:sz="4" w:space="0"/>
            </w:tcBorders>
            <w:vAlign w:val="center"/>
          </w:tcPr>
          <w:p w14:paraId="59A5F207">
            <w:pPr>
              <w:jc w:val="center"/>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合计</w:t>
            </w:r>
          </w:p>
        </w:tc>
        <w:tc>
          <w:tcPr>
            <w:tcW w:w="628" w:type="pct"/>
            <w:tcBorders>
              <w:top w:val="single" w:color="auto" w:sz="4" w:space="0"/>
              <w:left w:val="single" w:color="auto" w:sz="4" w:space="0"/>
              <w:bottom w:val="single" w:color="auto" w:sz="4" w:space="0"/>
              <w:right w:val="single" w:color="auto" w:sz="4" w:space="0"/>
            </w:tcBorders>
            <w:vAlign w:val="center"/>
          </w:tcPr>
          <w:p w14:paraId="4E42CFEF">
            <w:pPr>
              <w:jc w:val="center"/>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100</w:t>
            </w:r>
          </w:p>
        </w:tc>
        <w:tc>
          <w:tcPr>
            <w:tcW w:w="726" w:type="pct"/>
            <w:tcBorders>
              <w:top w:val="single" w:color="auto" w:sz="4" w:space="0"/>
              <w:left w:val="single" w:color="auto" w:sz="4" w:space="0"/>
              <w:bottom w:val="single" w:color="auto" w:sz="4" w:space="0"/>
              <w:right w:val="single" w:color="auto" w:sz="4" w:space="0"/>
            </w:tcBorders>
            <w:vAlign w:val="center"/>
          </w:tcPr>
          <w:p w14:paraId="742FD20C">
            <w:pPr>
              <w:jc w:val="center"/>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100</w:t>
            </w:r>
          </w:p>
        </w:tc>
      </w:tr>
    </w:tbl>
    <w:p w14:paraId="7C05CEB3">
      <w:pPr>
        <w:spacing w:line="360" w:lineRule="auto"/>
        <w:ind w:firstLine="480" w:firstLineChars="200"/>
        <w:jc w:val="left"/>
        <w:rPr>
          <w:rFonts w:ascii="宋体" w:hAnsi="宋体"/>
          <w:sz w:val="24"/>
        </w:rPr>
        <w:sectPr>
          <w:pgSz w:w="11906" w:h="16838"/>
          <w:pgMar w:top="1418" w:right="1474" w:bottom="1418" w:left="1474" w:header="851" w:footer="992" w:gutter="0"/>
          <w:cols w:space="425" w:num="1"/>
          <w:docGrid w:type="lines" w:linePitch="312" w:charSpace="0"/>
        </w:sectPr>
      </w:pPr>
    </w:p>
    <w:bookmarkEnd w:id="9"/>
    <w:bookmarkEnd w:id="10"/>
    <w:p w14:paraId="38E41DA7">
      <w:pPr>
        <w:pStyle w:val="3"/>
      </w:pPr>
      <w:bookmarkStart w:id="11" w:name="_Toc61880306"/>
      <w:bookmarkStart w:id="12" w:name="_Toc61539110"/>
      <w:r>
        <w:rPr>
          <w:rFonts w:hint="eastAsia"/>
        </w:rPr>
        <w:t>第三章  投标人须知</w:t>
      </w:r>
      <w:bookmarkEnd w:id="11"/>
      <w:bookmarkEnd w:id="12"/>
    </w:p>
    <w:p w14:paraId="4F04929E">
      <w:pPr>
        <w:pStyle w:val="6"/>
        <w:ind w:firstLine="482"/>
      </w:pPr>
      <w:bookmarkStart w:id="13" w:name="_Toc55548492"/>
      <w:r>
        <w:t>一、说明</w:t>
      </w:r>
      <w:bookmarkEnd w:id="13"/>
    </w:p>
    <w:p w14:paraId="31367706">
      <w:pPr>
        <w:pStyle w:val="5"/>
        <w:spacing w:line="360" w:lineRule="auto"/>
        <w:ind w:firstLine="482"/>
      </w:pPr>
      <w:bookmarkStart w:id="14" w:name="_Toc55548493"/>
      <w:bookmarkStart w:id="15" w:name="_Toc18091"/>
      <w:r>
        <w:t>招标人及资金来源</w:t>
      </w:r>
      <w:bookmarkEnd w:id="14"/>
      <w:bookmarkEnd w:id="15"/>
    </w:p>
    <w:p w14:paraId="3787679F">
      <w:pPr>
        <w:spacing w:line="360" w:lineRule="auto"/>
        <w:ind w:firstLine="420" w:firstLineChars="200"/>
        <w:rPr>
          <w:rFonts w:asciiTheme="minorEastAsia" w:hAnsiTheme="minorEastAsia"/>
          <w:szCs w:val="21"/>
        </w:rPr>
      </w:pPr>
      <w:bookmarkStart w:id="16" w:name="_Ref179620507"/>
      <w:r>
        <w:rPr>
          <w:rFonts w:asciiTheme="minorEastAsia" w:hAnsiTheme="minorEastAsia"/>
          <w:szCs w:val="21"/>
        </w:rPr>
        <w:t>招标人已拥有一笔资金/</w:t>
      </w:r>
      <w:r>
        <w:rPr>
          <w:rFonts w:hint="eastAsia" w:asciiTheme="minorEastAsia" w:hAnsiTheme="minorEastAsia"/>
          <w:szCs w:val="21"/>
        </w:rPr>
        <w:t>货</w:t>
      </w:r>
      <w:r>
        <w:rPr>
          <w:rFonts w:asciiTheme="minorEastAsia" w:hAnsiTheme="minorEastAsia"/>
          <w:szCs w:val="21"/>
        </w:rPr>
        <w:t>款。招标人计划将一部分资金/贷款用于支付本次招标后所签订合同项下的款项，资金来源</w:t>
      </w:r>
      <w:r>
        <w:rPr>
          <w:rFonts w:hint="eastAsia" w:asciiTheme="minorEastAsia" w:hAnsiTheme="minorEastAsia"/>
          <w:szCs w:val="21"/>
        </w:rPr>
        <w:t>为：</w:t>
      </w:r>
      <w:r>
        <w:rPr>
          <w:rFonts w:asciiTheme="minorEastAsia" w:hAnsiTheme="minorEastAsia"/>
          <w:szCs w:val="21"/>
        </w:rPr>
        <w:t>财政资金。</w:t>
      </w:r>
      <w:bookmarkEnd w:id="16"/>
    </w:p>
    <w:p w14:paraId="234442F0">
      <w:pPr>
        <w:pStyle w:val="5"/>
        <w:spacing w:line="360" w:lineRule="auto"/>
        <w:ind w:firstLine="482"/>
      </w:pPr>
      <w:bookmarkStart w:id="17" w:name="_Toc55548494"/>
      <w:bookmarkStart w:id="18" w:name="_Toc29370"/>
      <w:r>
        <w:t>合格的投标人</w:t>
      </w:r>
      <w:bookmarkEnd w:id="17"/>
      <w:bookmarkEnd w:id="18"/>
    </w:p>
    <w:p w14:paraId="5A8E12BB">
      <w:pPr>
        <w:spacing w:line="360" w:lineRule="auto"/>
        <w:ind w:firstLine="420" w:firstLineChars="200"/>
        <w:rPr>
          <w:rFonts w:asciiTheme="minorEastAsia" w:hAnsiTheme="minorEastAsia"/>
          <w:szCs w:val="21"/>
        </w:rPr>
      </w:pPr>
      <w:bookmarkStart w:id="19" w:name="_Ref179620057"/>
      <w:r>
        <w:rPr>
          <w:rFonts w:asciiTheme="minorEastAsia" w:hAnsiTheme="minorEastAsia"/>
          <w:szCs w:val="21"/>
        </w:rPr>
        <w:t>合格的投标人</w:t>
      </w:r>
      <w:bookmarkEnd w:id="19"/>
    </w:p>
    <w:p w14:paraId="463FE8BF">
      <w:pPr>
        <w:spacing w:line="360" w:lineRule="auto"/>
        <w:ind w:firstLine="420" w:firstLineChars="200"/>
        <w:rPr>
          <w:rFonts w:asciiTheme="minorEastAsia" w:hAnsiTheme="minorEastAsia"/>
          <w:szCs w:val="21"/>
        </w:rPr>
      </w:pPr>
      <w:r>
        <w:rPr>
          <w:rFonts w:asciiTheme="minorEastAsia" w:hAnsiTheme="minorEastAsia"/>
          <w:szCs w:val="21"/>
        </w:rPr>
        <w:t>除非下文另有规定，凡是在中华人民共和国境内注册且为人民币流通区域内的供货人均可投标。</w:t>
      </w:r>
    </w:p>
    <w:p w14:paraId="6EA2AFAA">
      <w:pPr>
        <w:spacing w:line="360" w:lineRule="auto"/>
        <w:ind w:firstLine="420" w:firstLineChars="200"/>
        <w:rPr>
          <w:rFonts w:asciiTheme="minorEastAsia" w:hAnsiTheme="minorEastAsia"/>
          <w:szCs w:val="21"/>
        </w:rPr>
      </w:pPr>
      <w:r>
        <w:rPr>
          <w:rFonts w:asciiTheme="minorEastAsia" w:hAnsiTheme="minorEastAsia"/>
          <w:szCs w:val="21"/>
        </w:rPr>
        <w:t>只有在法律上和财务上独立、合法运作并独立于招标人的供货人才能参加投标。</w:t>
      </w:r>
    </w:p>
    <w:p w14:paraId="77ABD3C9">
      <w:pPr>
        <w:spacing w:line="360" w:lineRule="auto"/>
        <w:ind w:firstLine="420" w:firstLineChars="200"/>
        <w:rPr>
          <w:rFonts w:asciiTheme="minorEastAsia" w:hAnsiTheme="minorEastAsia"/>
          <w:szCs w:val="21"/>
        </w:rPr>
      </w:pPr>
      <w:r>
        <w:rPr>
          <w:rFonts w:asciiTheme="minorEastAsia" w:hAnsiTheme="minorEastAsia"/>
          <w:szCs w:val="21"/>
        </w:rPr>
        <w:t>投标人不得直接或间接地与招标人为采购本次招标的货物进行设计、编制规范和其他文件所委托的咨询公司或其附属机构有任何关联。</w:t>
      </w:r>
    </w:p>
    <w:p w14:paraId="29AA69A9">
      <w:pPr>
        <w:pStyle w:val="5"/>
        <w:spacing w:line="360" w:lineRule="auto"/>
        <w:ind w:firstLine="482"/>
      </w:pPr>
      <w:bookmarkStart w:id="20" w:name="_Toc55548495"/>
      <w:bookmarkStart w:id="21" w:name="_Toc12412"/>
      <w:r>
        <w:t>合格的货物和服务</w:t>
      </w:r>
      <w:bookmarkEnd w:id="20"/>
      <w:bookmarkEnd w:id="21"/>
    </w:p>
    <w:p w14:paraId="129F2A51">
      <w:pPr>
        <w:spacing w:line="360" w:lineRule="auto"/>
        <w:ind w:firstLine="420" w:firstLineChars="200"/>
        <w:rPr>
          <w:rFonts w:asciiTheme="minorEastAsia" w:hAnsiTheme="minorEastAsia"/>
          <w:szCs w:val="21"/>
        </w:rPr>
      </w:pPr>
      <w:r>
        <w:rPr>
          <w:rFonts w:asciiTheme="minorEastAsia" w:hAnsiTheme="minorEastAsia"/>
          <w:szCs w:val="21"/>
        </w:rPr>
        <w:t>必须是全新的货物，如安装或配置了软件的，须为正版软件。</w:t>
      </w:r>
    </w:p>
    <w:p w14:paraId="2DBA14FC">
      <w:pPr>
        <w:spacing w:line="360" w:lineRule="auto"/>
        <w:ind w:firstLine="420" w:firstLineChars="200"/>
        <w:rPr>
          <w:rFonts w:asciiTheme="minorEastAsia" w:hAnsiTheme="minorEastAsia"/>
          <w:szCs w:val="21"/>
        </w:rPr>
      </w:pPr>
      <w:r>
        <w:rPr>
          <w:rFonts w:asciiTheme="minorEastAsia" w:hAnsiTheme="minorEastAsia"/>
          <w:szCs w:val="21"/>
        </w:rPr>
        <w:t>产品及相关的服务必须符合中华人民共和国的设计和制造生产或行业标准。</w:t>
      </w:r>
    </w:p>
    <w:p w14:paraId="5B2FF5D7">
      <w:pPr>
        <w:spacing w:line="360" w:lineRule="auto"/>
        <w:ind w:firstLine="420" w:firstLineChars="200"/>
        <w:rPr>
          <w:rFonts w:asciiTheme="minorEastAsia" w:hAnsiTheme="minorEastAsia"/>
          <w:szCs w:val="21"/>
        </w:rPr>
      </w:pPr>
      <w:r>
        <w:rPr>
          <w:rFonts w:asciiTheme="minorEastAsia" w:hAnsiTheme="minorEastAsia"/>
          <w:szCs w:val="21"/>
        </w:rPr>
        <w:t>进口的货物必须是具有合法的进口手续和途径并通过了中华人民共和国商检部门检验。</w:t>
      </w:r>
    </w:p>
    <w:p w14:paraId="00E9CCDA">
      <w:pPr>
        <w:spacing w:line="360" w:lineRule="auto"/>
        <w:ind w:firstLine="420" w:firstLineChars="200"/>
        <w:rPr>
          <w:rFonts w:asciiTheme="minorEastAsia" w:hAnsiTheme="minorEastAsia"/>
          <w:szCs w:val="21"/>
        </w:rPr>
      </w:pPr>
      <w:r>
        <w:rPr>
          <w:rFonts w:asciiTheme="minorEastAsia" w:hAnsiTheme="minorEastAsia"/>
          <w:szCs w:val="21"/>
        </w:rPr>
        <w:t>投标人应保证，采购人在中华人民共和国使用该产品的任何一部分时，免受第三方提出的包括但不限于侵犯其专利权、商标权或工业设计权等知识产权和抵押权在内的担保物权的起诉。</w:t>
      </w:r>
    </w:p>
    <w:p w14:paraId="1C0A75ED">
      <w:pPr>
        <w:spacing w:line="360" w:lineRule="auto"/>
        <w:ind w:firstLine="420" w:firstLineChars="200"/>
        <w:rPr>
          <w:rFonts w:asciiTheme="minorEastAsia" w:hAnsiTheme="minorEastAsia"/>
          <w:szCs w:val="21"/>
        </w:rPr>
      </w:pPr>
      <w:r>
        <w:rPr>
          <w:rFonts w:asciiTheme="minorEastAsia" w:hAnsiTheme="minorEastAsia"/>
          <w:szCs w:val="21"/>
        </w:rPr>
        <w:t>投标人应保证，其所提供的货物应具有行政主管部门颁发的资质证书或国家质量监督部门的产品《检验报告》。设备到货验收时，还必须提供设备的产品合格证、质量保证文件。若中标后，除非另有约定，必须按合同规定完成设备的安装，并达到验收标准。</w:t>
      </w:r>
    </w:p>
    <w:p w14:paraId="3D25837E">
      <w:pPr>
        <w:pStyle w:val="5"/>
        <w:spacing w:line="360" w:lineRule="auto"/>
        <w:ind w:firstLine="482"/>
      </w:pPr>
      <w:bookmarkStart w:id="22" w:name="_Toc25686"/>
      <w:bookmarkStart w:id="23" w:name="_Toc55548496"/>
      <w:r>
        <w:t>投标费用</w:t>
      </w:r>
      <w:bookmarkEnd w:id="22"/>
      <w:bookmarkEnd w:id="23"/>
    </w:p>
    <w:p w14:paraId="703B9CF6">
      <w:pPr>
        <w:spacing w:line="360" w:lineRule="auto"/>
        <w:ind w:firstLine="420" w:firstLineChars="200"/>
        <w:rPr>
          <w:rFonts w:asciiTheme="minorEastAsia" w:hAnsiTheme="minorEastAsia"/>
          <w:szCs w:val="21"/>
        </w:rPr>
      </w:pPr>
      <w:r>
        <w:rPr>
          <w:rFonts w:asciiTheme="minorEastAsia" w:hAnsiTheme="minorEastAsia"/>
          <w:szCs w:val="21"/>
        </w:rPr>
        <w:t>投标人应承担所有与准备和参加投标有关的费用。不论投标的结果如何，招标人均无义务和责任承担这些费用。</w:t>
      </w:r>
    </w:p>
    <w:p w14:paraId="0893EA32">
      <w:pPr>
        <w:pStyle w:val="5"/>
        <w:spacing w:line="360" w:lineRule="auto"/>
        <w:ind w:firstLine="482"/>
      </w:pPr>
      <w:bookmarkStart w:id="24" w:name="_Toc10390"/>
      <w:bookmarkStart w:id="25" w:name="_Toc55548497"/>
      <w:r>
        <w:t>踏勘现场</w:t>
      </w:r>
      <w:bookmarkEnd w:id="24"/>
      <w:bookmarkEnd w:id="25"/>
    </w:p>
    <w:p w14:paraId="3CFF8099">
      <w:pPr>
        <w:spacing w:line="360" w:lineRule="auto"/>
        <w:ind w:firstLine="420" w:firstLineChars="200"/>
        <w:rPr>
          <w:rFonts w:asciiTheme="minorEastAsia" w:hAnsiTheme="minorEastAsia"/>
          <w:szCs w:val="21"/>
        </w:rPr>
      </w:pPr>
      <w:bookmarkStart w:id="26" w:name="_Ref179620557"/>
      <w:r>
        <w:rPr>
          <w:rFonts w:asciiTheme="minorEastAsia" w:hAnsiTheme="minorEastAsia"/>
          <w:szCs w:val="21"/>
        </w:rPr>
        <w:t>如有必要，</w:t>
      </w:r>
      <w:r>
        <w:rPr>
          <w:rFonts w:hint="eastAsia" w:asciiTheme="minorEastAsia" w:hAnsiTheme="minorEastAsia"/>
          <w:szCs w:val="21"/>
        </w:rPr>
        <w:t>本中心</w:t>
      </w:r>
      <w:r>
        <w:rPr>
          <w:rFonts w:asciiTheme="minorEastAsia" w:hAnsiTheme="minorEastAsia"/>
          <w:szCs w:val="21"/>
        </w:rPr>
        <w:t>将组织投标人对项目现场及周围环境进行踏勘，以便投标人获取须自己负责的有关编制投标文件和签署合同所需的所有资料。踏勘现场所发生的费用由投标人自己承担。</w:t>
      </w:r>
      <w:bookmarkEnd w:id="26"/>
    </w:p>
    <w:p w14:paraId="3804655B">
      <w:pPr>
        <w:spacing w:line="360" w:lineRule="auto"/>
        <w:ind w:firstLine="420" w:firstLineChars="200"/>
        <w:rPr>
          <w:rFonts w:asciiTheme="minorEastAsia" w:hAnsiTheme="minorEastAsia"/>
          <w:szCs w:val="21"/>
        </w:rPr>
      </w:pPr>
      <w:r>
        <w:rPr>
          <w:rFonts w:asciiTheme="minorEastAsia" w:hAnsiTheme="minorEastAsia"/>
          <w:szCs w:val="21"/>
        </w:rPr>
        <w:t>招标人向投标人提供的有关现场的资料和数据，是招标人现有的能使投标人利用的资料。招标人对投标人由此而做出的推论、理解和结论概不负责。</w:t>
      </w:r>
    </w:p>
    <w:p w14:paraId="4F98EF45">
      <w:pPr>
        <w:spacing w:line="360" w:lineRule="auto"/>
        <w:ind w:firstLine="420" w:firstLineChars="200"/>
        <w:rPr>
          <w:rFonts w:asciiTheme="minorEastAsia" w:hAnsiTheme="minorEastAsia"/>
          <w:szCs w:val="21"/>
        </w:rPr>
      </w:pPr>
      <w:r>
        <w:rPr>
          <w:rFonts w:asciiTheme="minorEastAsia" w:hAnsiTheme="minorEastAsia"/>
          <w:szCs w:val="21"/>
        </w:rPr>
        <w:t>投标人及其人员经过招标人的允许，可为踏勘目的进入招标人的工程现场，但投标人及其人员不得因此使招标人及其人员承担有关的责任和蒙受损失。投标人并应对由此次踏勘现场而造成的死亡、人身伤害、财产损失、损害以及任何其它损失、损害和引起的费用和开支承担责任。</w:t>
      </w:r>
    </w:p>
    <w:p w14:paraId="71E9CEF5">
      <w:pPr>
        <w:spacing w:line="360" w:lineRule="auto"/>
        <w:ind w:firstLine="420" w:firstLineChars="200"/>
        <w:rPr>
          <w:rFonts w:asciiTheme="minorEastAsia" w:hAnsiTheme="minorEastAsia"/>
          <w:szCs w:val="21"/>
        </w:rPr>
      </w:pPr>
      <w:r>
        <w:rPr>
          <w:rFonts w:asciiTheme="minorEastAsia" w:hAnsiTheme="minorEastAsia"/>
          <w:szCs w:val="21"/>
        </w:rPr>
        <w:t>如果投标人认为需要再次进行现场踏勘，招标人将予以支持，费用自理。</w:t>
      </w:r>
    </w:p>
    <w:p w14:paraId="5BDF5F9C">
      <w:pPr>
        <w:pStyle w:val="6"/>
        <w:ind w:firstLine="482"/>
      </w:pPr>
      <w:bookmarkStart w:id="27" w:name="_Toc6043"/>
      <w:bookmarkStart w:id="28" w:name="_Toc1751"/>
      <w:bookmarkStart w:id="29" w:name="_Toc55548498"/>
      <w:r>
        <w:t>二、招标文件</w:t>
      </w:r>
      <w:bookmarkEnd w:id="27"/>
      <w:bookmarkEnd w:id="28"/>
      <w:bookmarkEnd w:id="29"/>
    </w:p>
    <w:p w14:paraId="776EDB93">
      <w:pPr>
        <w:pStyle w:val="5"/>
        <w:spacing w:line="360" w:lineRule="auto"/>
        <w:ind w:firstLine="482"/>
      </w:pPr>
      <w:bookmarkStart w:id="30" w:name="_Toc55548499"/>
      <w:bookmarkStart w:id="31" w:name="_Toc19397"/>
      <w:r>
        <w:t>招标文件的构成</w:t>
      </w:r>
      <w:bookmarkEnd w:id="30"/>
      <w:bookmarkEnd w:id="31"/>
    </w:p>
    <w:p w14:paraId="1FA675C2">
      <w:pPr>
        <w:spacing w:line="360" w:lineRule="auto"/>
        <w:ind w:firstLine="420" w:firstLineChars="200"/>
        <w:rPr>
          <w:rFonts w:asciiTheme="minorEastAsia" w:hAnsiTheme="minorEastAsia"/>
          <w:szCs w:val="21"/>
        </w:rPr>
      </w:pPr>
      <w:r>
        <w:rPr>
          <w:rFonts w:asciiTheme="minorEastAsia" w:hAnsiTheme="minorEastAsia"/>
          <w:szCs w:val="21"/>
        </w:rPr>
        <w:t>第</w:t>
      </w:r>
      <w:r>
        <w:rPr>
          <w:rFonts w:hint="eastAsia" w:asciiTheme="minorEastAsia" w:hAnsiTheme="minorEastAsia"/>
          <w:szCs w:val="21"/>
        </w:rPr>
        <w:t>一</w:t>
      </w:r>
      <w:r>
        <w:rPr>
          <w:rFonts w:asciiTheme="minorEastAsia" w:hAnsiTheme="minorEastAsia"/>
          <w:szCs w:val="21"/>
        </w:rPr>
        <w:t xml:space="preserve">章 </w:t>
      </w:r>
      <w:r>
        <w:rPr>
          <w:rFonts w:hint="eastAsia" w:asciiTheme="minorEastAsia" w:hAnsiTheme="minorEastAsia"/>
          <w:szCs w:val="21"/>
        </w:rPr>
        <w:t>招标公告</w:t>
      </w:r>
    </w:p>
    <w:p w14:paraId="19108E8E">
      <w:pPr>
        <w:spacing w:line="360" w:lineRule="auto"/>
        <w:ind w:firstLine="420" w:firstLineChars="200"/>
        <w:rPr>
          <w:rFonts w:asciiTheme="minorEastAsia" w:hAnsiTheme="minorEastAsia"/>
          <w:szCs w:val="21"/>
        </w:rPr>
      </w:pPr>
      <w:r>
        <w:rPr>
          <w:rFonts w:asciiTheme="minorEastAsia" w:hAnsiTheme="minorEastAsia"/>
          <w:szCs w:val="21"/>
        </w:rPr>
        <w:t>第</w:t>
      </w:r>
      <w:r>
        <w:rPr>
          <w:rFonts w:hint="eastAsia" w:asciiTheme="minorEastAsia" w:hAnsiTheme="minorEastAsia"/>
          <w:szCs w:val="21"/>
        </w:rPr>
        <w:t>二</w:t>
      </w:r>
      <w:r>
        <w:rPr>
          <w:rFonts w:asciiTheme="minorEastAsia" w:hAnsiTheme="minorEastAsia"/>
          <w:szCs w:val="21"/>
        </w:rPr>
        <w:t>章 用户需求书</w:t>
      </w:r>
    </w:p>
    <w:p w14:paraId="1E499C65">
      <w:pPr>
        <w:spacing w:line="360" w:lineRule="auto"/>
        <w:ind w:firstLine="420" w:firstLineChars="200"/>
        <w:rPr>
          <w:rFonts w:asciiTheme="minorEastAsia" w:hAnsiTheme="minorEastAsia"/>
          <w:szCs w:val="21"/>
        </w:rPr>
      </w:pPr>
      <w:r>
        <w:rPr>
          <w:rFonts w:hint="eastAsia" w:asciiTheme="minorEastAsia" w:hAnsiTheme="minorEastAsia"/>
          <w:szCs w:val="21"/>
        </w:rPr>
        <w:t>第三章 投标人须知</w:t>
      </w:r>
    </w:p>
    <w:p w14:paraId="4B590FAD">
      <w:pPr>
        <w:spacing w:line="360" w:lineRule="auto"/>
        <w:ind w:firstLine="420" w:firstLineChars="200"/>
        <w:rPr>
          <w:rFonts w:asciiTheme="minorEastAsia" w:hAnsiTheme="minorEastAsia"/>
          <w:szCs w:val="21"/>
        </w:rPr>
      </w:pPr>
      <w:r>
        <w:rPr>
          <w:rFonts w:hint="eastAsia" w:asciiTheme="minorEastAsia" w:hAnsiTheme="minorEastAsia"/>
          <w:szCs w:val="21"/>
        </w:rPr>
        <w:t>第四章 附件-</w:t>
      </w:r>
      <w:r>
        <w:rPr>
          <w:rFonts w:asciiTheme="minorEastAsia" w:hAnsiTheme="minorEastAsia"/>
          <w:szCs w:val="21"/>
        </w:rPr>
        <w:t>投标文件格式</w:t>
      </w:r>
    </w:p>
    <w:p w14:paraId="2CD8DFFB">
      <w:pPr>
        <w:spacing w:line="360" w:lineRule="auto"/>
        <w:ind w:firstLine="420" w:firstLineChars="200"/>
        <w:rPr>
          <w:rFonts w:asciiTheme="minorEastAsia" w:hAnsiTheme="minorEastAsia"/>
          <w:szCs w:val="21"/>
        </w:rPr>
      </w:pPr>
      <w:r>
        <w:rPr>
          <w:rFonts w:asciiTheme="minorEastAsia" w:hAnsiTheme="minorEastAsia"/>
          <w:szCs w:val="21"/>
        </w:rPr>
        <w:t>投标人应认真阅读招标文件中所有的事项、格式、条款和技术规格等。投标人没有按照招标文件要求提交全部资料，或者投标没有对招标文件在各方面都作出实质性响应是投标人的风险，并可能导致其投标被拒绝。</w:t>
      </w:r>
    </w:p>
    <w:p w14:paraId="6993B9F4">
      <w:pPr>
        <w:pStyle w:val="5"/>
        <w:spacing w:line="360" w:lineRule="auto"/>
        <w:ind w:firstLine="482"/>
      </w:pPr>
      <w:bookmarkStart w:id="32" w:name="_Toc31711"/>
      <w:bookmarkStart w:id="33" w:name="_Toc55548500"/>
      <w:r>
        <w:t>招标文件的澄清</w:t>
      </w:r>
      <w:bookmarkEnd w:id="32"/>
      <w:bookmarkEnd w:id="33"/>
    </w:p>
    <w:p w14:paraId="7D5FA6E5">
      <w:pPr>
        <w:spacing w:line="360" w:lineRule="auto"/>
        <w:ind w:firstLine="420" w:firstLineChars="200"/>
        <w:rPr>
          <w:rFonts w:asciiTheme="minorEastAsia" w:hAnsiTheme="minorEastAsia"/>
          <w:szCs w:val="21"/>
        </w:rPr>
      </w:pPr>
      <w:r>
        <w:rPr>
          <w:rFonts w:asciiTheme="minorEastAsia" w:hAnsiTheme="minorEastAsia"/>
          <w:szCs w:val="21"/>
        </w:rPr>
        <w:t>任何要求对招标文件进行澄清的潜在投标人，均应以书面形式通知招标人。</w:t>
      </w:r>
      <w:r>
        <w:rPr>
          <w:rFonts w:hint="eastAsia" w:asciiTheme="minorEastAsia" w:hAnsiTheme="minorEastAsia"/>
          <w:szCs w:val="21"/>
        </w:rPr>
        <w:t>本中心</w:t>
      </w:r>
      <w:r>
        <w:rPr>
          <w:rFonts w:asciiTheme="minorEastAsia" w:hAnsiTheme="minorEastAsia"/>
          <w:szCs w:val="21"/>
        </w:rPr>
        <w:t>对其在投标截止期五日以前收到的对招标文件的澄清要求均以书面形式予以答复，同时将书面答复方式发给每个购买招标文件的潜在投标人(答复中不包括问题的来源)。</w:t>
      </w:r>
    </w:p>
    <w:p w14:paraId="3EA76CAB">
      <w:pPr>
        <w:pStyle w:val="5"/>
        <w:spacing w:line="360" w:lineRule="auto"/>
        <w:ind w:firstLine="482"/>
      </w:pPr>
      <w:bookmarkStart w:id="34" w:name="_Toc55548501"/>
      <w:bookmarkStart w:id="35" w:name="_Toc21781"/>
      <w:bookmarkStart w:id="36" w:name="_Ref179619612"/>
      <w:r>
        <w:t>招标文件的修改</w:t>
      </w:r>
      <w:bookmarkEnd w:id="34"/>
      <w:bookmarkEnd w:id="35"/>
      <w:bookmarkEnd w:id="36"/>
    </w:p>
    <w:p w14:paraId="09FFEAC6">
      <w:pPr>
        <w:spacing w:line="360" w:lineRule="auto"/>
        <w:ind w:firstLine="420" w:firstLineChars="200"/>
        <w:rPr>
          <w:rFonts w:asciiTheme="minorEastAsia" w:hAnsiTheme="minorEastAsia"/>
          <w:szCs w:val="21"/>
        </w:rPr>
      </w:pPr>
      <w:r>
        <w:rPr>
          <w:rFonts w:asciiTheme="minorEastAsia" w:hAnsiTheme="minorEastAsia"/>
          <w:szCs w:val="21"/>
        </w:rPr>
        <w:t>在投标截止时间三日前，招标人可主动地或在解答潜在投标人提出的澄清问题时对招标文件进行修改。澄清或修改时间不足三日的，</w:t>
      </w:r>
      <w:r>
        <w:rPr>
          <w:rFonts w:hint="eastAsia" w:asciiTheme="minorEastAsia" w:hAnsiTheme="minorEastAsia"/>
          <w:szCs w:val="21"/>
        </w:rPr>
        <w:t>本中心</w:t>
      </w:r>
      <w:r>
        <w:rPr>
          <w:rFonts w:asciiTheme="minorEastAsia" w:hAnsiTheme="minorEastAsia"/>
          <w:szCs w:val="21"/>
        </w:rPr>
        <w:t>在征得已获取招标文件的供应商同意并书面确认后，可不改变投标截至时间。</w:t>
      </w:r>
    </w:p>
    <w:p w14:paraId="51C3E332">
      <w:pPr>
        <w:spacing w:line="360" w:lineRule="auto"/>
        <w:ind w:firstLine="420" w:firstLineChars="200"/>
        <w:rPr>
          <w:rFonts w:asciiTheme="minorEastAsia" w:hAnsiTheme="minorEastAsia"/>
          <w:szCs w:val="21"/>
        </w:rPr>
      </w:pPr>
      <w:bookmarkStart w:id="37" w:name="_Ref179619147"/>
      <w:r>
        <w:rPr>
          <w:rFonts w:asciiTheme="minorEastAsia" w:hAnsiTheme="minorEastAsia"/>
          <w:szCs w:val="21"/>
        </w:rPr>
        <w:t>招标文件的修改是招标文件的组成部分，招标文件的修改均在</w:t>
      </w:r>
      <w:r>
        <w:rPr>
          <w:rFonts w:hint="eastAsia" w:asciiTheme="minorEastAsia" w:hAnsiTheme="minorEastAsia"/>
          <w:kern w:val="0"/>
          <w:szCs w:val="21"/>
        </w:rPr>
        <w:t>(深圳市宝安区疾病预防控制中心官网)</w:t>
      </w:r>
      <w:r>
        <w:rPr>
          <w:rFonts w:asciiTheme="minorEastAsia" w:hAnsiTheme="minorEastAsia"/>
          <w:szCs w:val="21"/>
        </w:rPr>
        <w:t>以网上公告形式发布，并对投标人具有约束力，招标期间，投标人有义务上网查看，公告一经上网发布，即视为送达。</w:t>
      </w:r>
      <w:bookmarkEnd w:id="37"/>
    </w:p>
    <w:p w14:paraId="7F3CB7A2">
      <w:pPr>
        <w:spacing w:line="360" w:lineRule="auto"/>
        <w:ind w:firstLine="420" w:firstLineChars="200"/>
        <w:rPr>
          <w:rFonts w:asciiTheme="minorEastAsia" w:hAnsiTheme="minorEastAsia"/>
          <w:szCs w:val="21"/>
        </w:rPr>
      </w:pPr>
      <w:r>
        <w:rPr>
          <w:rFonts w:asciiTheme="minorEastAsia" w:hAnsiTheme="minorEastAsia"/>
          <w:szCs w:val="21"/>
        </w:rPr>
        <w:t>为使投标人准备投标时有充分时间对招标文件的修改部分进行研究，招标人可适当推迟投标截止期。</w:t>
      </w:r>
    </w:p>
    <w:p w14:paraId="11D4584F">
      <w:pPr>
        <w:pStyle w:val="6"/>
        <w:ind w:firstLine="482"/>
      </w:pPr>
      <w:bookmarkStart w:id="38" w:name="_Toc20164"/>
      <w:bookmarkStart w:id="39" w:name="_Toc55548502"/>
      <w:bookmarkStart w:id="40" w:name="_Toc6740"/>
      <w:r>
        <w:t>三、投标文件的编制</w:t>
      </w:r>
      <w:bookmarkEnd w:id="38"/>
      <w:bookmarkEnd w:id="39"/>
      <w:bookmarkEnd w:id="40"/>
    </w:p>
    <w:p w14:paraId="6A2278E6">
      <w:pPr>
        <w:pStyle w:val="5"/>
        <w:spacing w:line="360" w:lineRule="auto"/>
        <w:ind w:firstLine="482"/>
      </w:pPr>
      <w:bookmarkStart w:id="41" w:name="_Toc55548503"/>
      <w:bookmarkStart w:id="42" w:name="_Toc28578"/>
      <w:r>
        <w:t>投标的语言</w:t>
      </w:r>
      <w:bookmarkEnd w:id="41"/>
      <w:bookmarkEnd w:id="42"/>
    </w:p>
    <w:p w14:paraId="11ACD2DD">
      <w:pPr>
        <w:spacing w:line="360" w:lineRule="auto"/>
        <w:ind w:firstLine="420" w:firstLineChars="200"/>
        <w:rPr>
          <w:rFonts w:asciiTheme="minorEastAsia" w:hAnsiTheme="minorEastAsia"/>
          <w:szCs w:val="21"/>
        </w:rPr>
      </w:pPr>
      <w:bookmarkStart w:id="43" w:name="_Ref179620571"/>
      <w:r>
        <w:rPr>
          <w:rFonts w:asciiTheme="minorEastAsia" w:hAnsiTheme="minorEastAsia"/>
          <w:szCs w:val="21"/>
        </w:rPr>
        <w:t>投标人提交的投标文件以及投标人与招标人就有关投标的所有来往函电均应使用</w:t>
      </w:r>
      <w:r>
        <w:rPr>
          <w:rFonts w:hint="eastAsia" w:asciiTheme="minorEastAsia" w:hAnsiTheme="minorEastAsia"/>
          <w:b/>
          <w:szCs w:val="21"/>
        </w:rPr>
        <w:t>中文</w:t>
      </w:r>
      <w:r>
        <w:rPr>
          <w:rFonts w:asciiTheme="minorEastAsia" w:hAnsiTheme="minorEastAsia"/>
          <w:szCs w:val="21"/>
        </w:rPr>
        <w:t>书写。投标人提交的支持资料和已印刷的文献可以用另一种语言，但相应内容应附有</w:t>
      </w:r>
      <w:r>
        <w:rPr>
          <w:rFonts w:hint="eastAsia" w:asciiTheme="minorEastAsia" w:hAnsiTheme="minorEastAsia"/>
          <w:b/>
          <w:szCs w:val="21"/>
        </w:rPr>
        <w:t>中文</w:t>
      </w:r>
      <w:r>
        <w:rPr>
          <w:rFonts w:asciiTheme="minorEastAsia" w:hAnsiTheme="minorEastAsia"/>
          <w:szCs w:val="21"/>
        </w:rPr>
        <w:t>的翻译本，在解释投标文件时以翻译本为准。</w:t>
      </w:r>
      <w:bookmarkEnd w:id="43"/>
    </w:p>
    <w:p w14:paraId="2AE8796F">
      <w:pPr>
        <w:pStyle w:val="5"/>
        <w:spacing w:line="360" w:lineRule="auto"/>
        <w:ind w:firstLine="482"/>
      </w:pPr>
      <w:bookmarkStart w:id="44" w:name="_Toc55548504"/>
      <w:bookmarkStart w:id="45" w:name="_Toc31114"/>
      <w:r>
        <w:t>投标范围及投标文件中计量单位的使用</w:t>
      </w:r>
      <w:bookmarkEnd w:id="44"/>
      <w:bookmarkEnd w:id="45"/>
    </w:p>
    <w:p w14:paraId="7F41EDA4">
      <w:pPr>
        <w:spacing w:line="360" w:lineRule="auto"/>
        <w:ind w:firstLine="420" w:firstLineChars="200"/>
        <w:rPr>
          <w:rFonts w:asciiTheme="minorEastAsia" w:hAnsiTheme="minorEastAsia"/>
          <w:szCs w:val="21"/>
        </w:rPr>
      </w:pPr>
      <w:r>
        <w:rPr>
          <w:rFonts w:asciiTheme="minorEastAsia" w:hAnsiTheme="minorEastAsia"/>
          <w:szCs w:val="21"/>
        </w:rPr>
        <w:t>投标人可对招标文件中“用户需求书”中所述的所有货物</w:t>
      </w:r>
      <w:r>
        <w:rPr>
          <w:rFonts w:hint="eastAsia" w:asciiTheme="minorEastAsia" w:hAnsiTheme="minorEastAsia"/>
          <w:szCs w:val="21"/>
        </w:rPr>
        <w:t>或者</w:t>
      </w:r>
      <w:r>
        <w:rPr>
          <w:rFonts w:asciiTheme="minorEastAsia" w:hAnsiTheme="minorEastAsia"/>
          <w:szCs w:val="21"/>
        </w:rPr>
        <w:t>服务进行投标，也可以只对其中一包或几包货物进行投标，但不得将一包中的内容拆开投标。</w:t>
      </w:r>
    </w:p>
    <w:p w14:paraId="59E736F5">
      <w:pPr>
        <w:spacing w:line="360" w:lineRule="auto"/>
        <w:ind w:firstLine="420" w:firstLineChars="200"/>
        <w:rPr>
          <w:rFonts w:asciiTheme="minorEastAsia" w:hAnsiTheme="minorEastAsia"/>
          <w:szCs w:val="21"/>
        </w:rPr>
      </w:pPr>
      <w:r>
        <w:rPr>
          <w:rFonts w:asciiTheme="minorEastAsia" w:hAnsiTheme="minorEastAsia"/>
          <w:szCs w:val="21"/>
        </w:rPr>
        <w:t>投标文件中所使用的计量单位，除招标文件中有特殊要求外，应采用中华人民共和国法定计量单位。</w:t>
      </w:r>
    </w:p>
    <w:p w14:paraId="439A47C0">
      <w:pPr>
        <w:spacing w:line="360" w:lineRule="auto"/>
        <w:ind w:firstLine="420" w:firstLineChars="200"/>
        <w:rPr>
          <w:rFonts w:asciiTheme="minorEastAsia" w:hAnsiTheme="minorEastAsia"/>
          <w:szCs w:val="21"/>
        </w:rPr>
      </w:pPr>
      <w:r>
        <w:rPr>
          <w:rFonts w:asciiTheme="minorEastAsia" w:hAnsiTheme="minorEastAsia"/>
          <w:szCs w:val="21"/>
        </w:rPr>
        <w:t>除非另有说明，本招标文件中所称“日”均指日历日，投标文件中需以日历日对招标文件作出响应。评审时，对投标中出现的“工作日”按五个工作日折合七个日历日计算，且评标委员会可能会就有关日期作出对该投标人不利的折算或量化，投标人不得对此提出异议，否则其投标将被拒绝。</w:t>
      </w:r>
    </w:p>
    <w:p w14:paraId="387F25D0">
      <w:pPr>
        <w:pStyle w:val="5"/>
        <w:spacing w:line="360" w:lineRule="auto"/>
        <w:ind w:firstLine="482"/>
      </w:pPr>
      <w:bookmarkStart w:id="46" w:name="_Toc55548505"/>
      <w:bookmarkStart w:id="47" w:name="_Toc4999"/>
      <w:r>
        <w:t>投标文件的构成</w:t>
      </w:r>
      <w:bookmarkEnd w:id="46"/>
      <w:bookmarkEnd w:id="47"/>
    </w:p>
    <w:p w14:paraId="3EEC42B1">
      <w:pPr>
        <w:spacing w:line="360" w:lineRule="auto"/>
        <w:ind w:firstLine="420" w:firstLineChars="200"/>
        <w:rPr>
          <w:rFonts w:asciiTheme="minorEastAsia" w:hAnsiTheme="minorEastAsia"/>
          <w:szCs w:val="21"/>
        </w:rPr>
      </w:pPr>
      <w:r>
        <w:rPr>
          <w:rFonts w:asciiTheme="minorEastAsia" w:hAnsiTheme="minorEastAsia"/>
          <w:szCs w:val="21"/>
        </w:rPr>
        <w:t>投标人应完整地按招标文件提供的投标文件格式制作投标文件。</w:t>
      </w:r>
    </w:p>
    <w:p w14:paraId="18671161">
      <w:pPr>
        <w:pStyle w:val="5"/>
        <w:spacing w:line="360" w:lineRule="auto"/>
        <w:ind w:firstLine="482"/>
      </w:pPr>
      <w:bookmarkStart w:id="48" w:name="_Toc24290"/>
      <w:bookmarkStart w:id="49" w:name="_Toc55548506"/>
      <w:r>
        <w:t>投标文件电子文档</w:t>
      </w:r>
      <w:bookmarkEnd w:id="48"/>
      <w:bookmarkEnd w:id="49"/>
    </w:p>
    <w:p w14:paraId="145B3DEE">
      <w:pPr>
        <w:spacing w:line="360" w:lineRule="auto"/>
        <w:ind w:firstLine="420" w:firstLineChars="200"/>
        <w:rPr>
          <w:rFonts w:asciiTheme="minorEastAsia" w:hAnsiTheme="minorEastAsia"/>
          <w:szCs w:val="21"/>
        </w:rPr>
      </w:pPr>
      <w:r>
        <w:rPr>
          <w:rFonts w:asciiTheme="minorEastAsia" w:hAnsiTheme="minorEastAsia"/>
          <w:szCs w:val="21"/>
          <w:highlight w:val="yellow"/>
        </w:rPr>
        <w:t>投标人在提交书面投标文件的同时，</w:t>
      </w:r>
      <w:r>
        <w:fldChar w:fldCharType="begin"/>
      </w:r>
      <w:r>
        <w:instrText xml:space="preserve"> HYPERLINK "mailto:应提交该投标文件的电子文档（格式为盖章版扫描件）于指定时间发送至568711397@qq.com" </w:instrText>
      </w:r>
      <w:r>
        <w:fldChar w:fldCharType="separate"/>
      </w:r>
      <w:r>
        <w:rPr>
          <w:rStyle w:val="22"/>
          <w:rFonts w:asciiTheme="minorEastAsia" w:hAnsiTheme="minorEastAsia"/>
          <w:szCs w:val="21"/>
          <w:highlight w:val="yellow"/>
        </w:rPr>
        <w:t>应提交该投标文件的电子文档于指定时间发送至</w:t>
      </w:r>
      <w:r>
        <w:rPr>
          <w:rStyle w:val="22"/>
          <w:rFonts w:hint="eastAsia" w:eastAsia="宋体" w:cs="Times New Roman" w:asciiTheme="minorEastAsia" w:hAnsiTheme="minorEastAsia"/>
          <w:szCs w:val="21"/>
          <w:highlight w:val="yellow"/>
        </w:rPr>
        <w:t>bacdcxxk@baoan.gov.cn</w:t>
      </w:r>
      <w:r>
        <w:rPr>
          <w:rStyle w:val="22"/>
          <w:rFonts w:hint="eastAsia" w:eastAsia="宋体" w:cs="Times New Roman" w:asciiTheme="minorEastAsia" w:hAnsiTheme="minorEastAsia"/>
          <w:szCs w:val="21"/>
          <w:highlight w:val="yellow"/>
        </w:rPr>
        <w:fldChar w:fldCharType="end"/>
      </w:r>
      <w:r>
        <w:rPr>
          <w:rFonts w:hint="eastAsia" w:asciiTheme="minorEastAsia" w:hAnsiTheme="minorEastAsia"/>
          <w:szCs w:val="21"/>
          <w:highlight w:val="yellow"/>
        </w:rPr>
        <w:t>邮箱</w:t>
      </w:r>
      <w:r>
        <w:rPr>
          <w:rFonts w:asciiTheme="minorEastAsia" w:hAnsiTheme="minorEastAsia"/>
          <w:szCs w:val="21"/>
          <w:highlight w:val="yellow"/>
        </w:rPr>
        <w:t>。</w:t>
      </w:r>
    </w:p>
    <w:p w14:paraId="2623EC98">
      <w:pPr>
        <w:spacing w:line="360" w:lineRule="auto"/>
        <w:ind w:firstLine="420" w:firstLineChars="200"/>
        <w:rPr>
          <w:rFonts w:asciiTheme="minorEastAsia" w:hAnsiTheme="minorEastAsia"/>
          <w:szCs w:val="21"/>
        </w:rPr>
      </w:pPr>
      <w:r>
        <w:rPr>
          <w:rFonts w:asciiTheme="minorEastAsia" w:hAnsiTheme="minorEastAsia"/>
          <w:szCs w:val="21"/>
        </w:rPr>
        <w:t>电子文档的格式要求：投标文件电子文档应统一</w:t>
      </w:r>
      <w:r>
        <w:rPr>
          <w:rFonts w:hint="eastAsia" w:asciiTheme="minorEastAsia" w:hAnsiTheme="minorEastAsia"/>
          <w:szCs w:val="21"/>
        </w:rPr>
        <w:t>为投标文件盖章后扫描件</w:t>
      </w:r>
      <w:r>
        <w:rPr>
          <w:rFonts w:asciiTheme="minorEastAsia" w:hAnsiTheme="minorEastAsia"/>
          <w:szCs w:val="21"/>
        </w:rPr>
        <w:t>。</w:t>
      </w:r>
    </w:p>
    <w:p w14:paraId="45E806E5">
      <w:pPr>
        <w:spacing w:line="360" w:lineRule="auto"/>
        <w:ind w:firstLine="420" w:firstLineChars="200"/>
        <w:rPr>
          <w:rFonts w:asciiTheme="minorEastAsia" w:hAnsiTheme="minorEastAsia"/>
          <w:szCs w:val="21"/>
        </w:rPr>
      </w:pPr>
      <w:r>
        <w:rPr>
          <w:rFonts w:asciiTheme="minorEastAsia" w:hAnsiTheme="minorEastAsia"/>
          <w:szCs w:val="21"/>
        </w:rPr>
        <w:t>投标人提交的书面投标文件的实质内容应与提交的电子文档的实质内容完全一致。如果评标委员会发现两者的实质内容不一致，将按不利于投标人的原则予以处置。因此产生的一切责任均由投标人承担。</w:t>
      </w:r>
    </w:p>
    <w:p w14:paraId="0DACE8CE">
      <w:pPr>
        <w:pStyle w:val="5"/>
        <w:spacing w:line="360" w:lineRule="auto"/>
        <w:ind w:firstLine="482"/>
      </w:pPr>
      <w:bookmarkStart w:id="50" w:name="_Toc55548507"/>
      <w:bookmarkStart w:id="51" w:name="_Toc12177"/>
      <w:r>
        <w:t>投标文件的编写</w:t>
      </w:r>
      <w:bookmarkEnd w:id="50"/>
      <w:bookmarkEnd w:id="51"/>
    </w:p>
    <w:p w14:paraId="56323769">
      <w:pPr>
        <w:spacing w:line="360" w:lineRule="auto"/>
        <w:ind w:firstLine="420" w:firstLineChars="200"/>
        <w:rPr>
          <w:rFonts w:asciiTheme="minorEastAsia" w:hAnsiTheme="minorEastAsia"/>
          <w:szCs w:val="21"/>
        </w:rPr>
      </w:pPr>
      <w:r>
        <w:rPr>
          <w:rFonts w:asciiTheme="minorEastAsia" w:hAnsiTheme="minorEastAsia"/>
          <w:szCs w:val="21"/>
        </w:rPr>
        <w:t>投标人应按招标文件的规定，及附件要求的内容和格式完整地填写和提供资料，并保证所提供的全部资料的真实性。</w:t>
      </w:r>
    </w:p>
    <w:p w14:paraId="46B0D6F5">
      <w:pPr>
        <w:pStyle w:val="5"/>
        <w:spacing w:line="360" w:lineRule="auto"/>
        <w:ind w:firstLine="482"/>
      </w:pPr>
      <w:bookmarkStart w:id="52" w:name="_Toc26930"/>
      <w:bookmarkStart w:id="53" w:name="_Toc55548508"/>
      <w:r>
        <w:t>投标报价</w:t>
      </w:r>
      <w:bookmarkEnd w:id="52"/>
      <w:bookmarkEnd w:id="53"/>
    </w:p>
    <w:p w14:paraId="0C9B5D62">
      <w:pPr>
        <w:spacing w:line="360" w:lineRule="auto"/>
        <w:ind w:firstLine="420" w:firstLineChars="200"/>
        <w:rPr>
          <w:rFonts w:asciiTheme="minorEastAsia" w:hAnsiTheme="minorEastAsia"/>
          <w:szCs w:val="21"/>
        </w:rPr>
      </w:pPr>
      <w:r>
        <w:rPr>
          <w:rFonts w:asciiTheme="minorEastAsia" w:hAnsiTheme="minorEastAsia"/>
          <w:szCs w:val="21"/>
        </w:rPr>
        <w:t>所有投标均以人民币报价。投标人的投标报价应符合《中华人民共和国价格法》的有关规定。</w:t>
      </w:r>
    </w:p>
    <w:p w14:paraId="6BE628E3">
      <w:pPr>
        <w:spacing w:line="360" w:lineRule="auto"/>
        <w:ind w:firstLine="420" w:firstLineChars="200"/>
        <w:rPr>
          <w:rFonts w:asciiTheme="minorEastAsia" w:hAnsiTheme="minorEastAsia"/>
          <w:szCs w:val="21"/>
        </w:rPr>
      </w:pPr>
      <w:bookmarkStart w:id="54" w:name="_Ref179619251"/>
      <w:r>
        <w:rPr>
          <w:rFonts w:asciiTheme="minorEastAsia" w:hAnsiTheme="minorEastAsia"/>
          <w:szCs w:val="21"/>
        </w:rPr>
        <w:t>投标人应在投标分项报价表上标明投标货物及相关服务的单价(如适用)和总价，并由法定代表人或其授权代表签署。投标总价中不得包含招标文件要求以外的内容，否则，在评标时不予核减。</w:t>
      </w:r>
      <w:bookmarkEnd w:id="54"/>
    </w:p>
    <w:p w14:paraId="59D57023">
      <w:pPr>
        <w:spacing w:line="360" w:lineRule="auto"/>
        <w:ind w:firstLine="420" w:firstLineChars="200"/>
        <w:rPr>
          <w:rFonts w:asciiTheme="minorEastAsia" w:hAnsiTheme="minorEastAsia"/>
          <w:szCs w:val="21"/>
        </w:rPr>
      </w:pPr>
      <w:bookmarkStart w:id="55" w:name="_Ref179620595"/>
      <w:r>
        <w:rPr>
          <w:rFonts w:asciiTheme="minorEastAsia" w:hAnsiTheme="minorEastAsia"/>
          <w:szCs w:val="21"/>
        </w:rPr>
        <w:t>投标人的投标报价，应完整的包含所有采购内容，且不得以任何理由重复，每一项目只允许有一个报价，任何有选择的报价将不予接受。</w:t>
      </w:r>
      <w:bookmarkEnd w:id="55"/>
    </w:p>
    <w:p w14:paraId="45900059">
      <w:pPr>
        <w:spacing w:line="360" w:lineRule="auto"/>
        <w:ind w:firstLine="420" w:firstLineChars="200"/>
        <w:rPr>
          <w:rFonts w:asciiTheme="minorEastAsia" w:hAnsiTheme="minorEastAsia"/>
          <w:szCs w:val="21"/>
        </w:rPr>
      </w:pPr>
      <w:r>
        <w:rPr>
          <w:rFonts w:asciiTheme="minorEastAsia" w:hAnsiTheme="minorEastAsia"/>
          <w:szCs w:val="21"/>
        </w:rPr>
        <w:t>投标分项报价上的价格应按下列方式填写：</w:t>
      </w:r>
    </w:p>
    <w:p w14:paraId="0E1D5F5E">
      <w:pPr>
        <w:spacing w:line="360" w:lineRule="auto"/>
        <w:ind w:firstLine="420" w:firstLineChars="200"/>
        <w:rPr>
          <w:rFonts w:asciiTheme="minorEastAsia" w:hAnsiTheme="minorEastAsia"/>
          <w:szCs w:val="21"/>
        </w:rPr>
      </w:pPr>
      <w:r>
        <w:rPr>
          <w:rFonts w:asciiTheme="minorEastAsia" w:hAnsiTheme="minorEastAsia"/>
          <w:szCs w:val="21"/>
        </w:rPr>
        <w:t>投标货物</w:t>
      </w:r>
      <w:r>
        <w:rPr>
          <w:rFonts w:hint="eastAsia" w:asciiTheme="minorEastAsia" w:hAnsiTheme="minorEastAsia"/>
          <w:szCs w:val="21"/>
        </w:rPr>
        <w:t>或</w:t>
      </w:r>
      <w:r>
        <w:rPr>
          <w:rFonts w:asciiTheme="minorEastAsia" w:hAnsiTheme="minorEastAsia"/>
          <w:szCs w:val="21"/>
        </w:rPr>
        <w:t>服务包括标准附件、备品备件、专用工具等的出厂价(包括已在中国国内的进口货物完税后的仓库交货价、展室交货价或货架交货价)，投标货物安装、调试、检验、技术服务和培训等费用；</w:t>
      </w:r>
    </w:p>
    <w:p w14:paraId="1B57D206">
      <w:pPr>
        <w:spacing w:line="360" w:lineRule="auto"/>
        <w:ind w:firstLine="420" w:firstLineChars="200"/>
        <w:rPr>
          <w:rFonts w:asciiTheme="minorEastAsia" w:hAnsiTheme="minorEastAsia"/>
          <w:szCs w:val="21"/>
        </w:rPr>
      </w:pPr>
      <w:r>
        <w:rPr>
          <w:rFonts w:asciiTheme="minorEastAsia" w:hAnsiTheme="minorEastAsia"/>
          <w:szCs w:val="21"/>
        </w:rPr>
        <w:t>货物运至最终目的地并安装调试完毕的运输费和保险费用和伴随货物交运的有关费用；</w:t>
      </w:r>
    </w:p>
    <w:p w14:paraId="6CF80BC4">
      <w:pPr>
        <w:spacing w:line="360" w:lineRule="auto"/>
        <w:ind w:firstLine="420" w:firstLineChars="200"/>
        <w:rPr>
          <w:rFonts w:asciiTheme="minorEastAsia" w:hAnsiTheme="minorEastAsia"/>
          <w:szCs w:val="21"/>
        </w:rPr>
      </w:pPr>
      <w:bookmarkStart w:id="56" w:name="_Ref179620755"/>
      <w:r>
        <w:rPr>
          <w:rFonts w:asciiTheme="minorEastAsia" w:hAnsiTheme="minorEastAsia"/>
          <w:szCs w:val="21"/>
        </w:rPr>
        <w:t>其他伴随服务的费用(如有)。</w:t>
      </w:r>
      <w:bookmarkEnd w:id="56"/>
    </w:p>
    <w:p w14:paraId="525C2370">
      <w:pPr>
        <w:spacing w:line="360" w:lineRule="auto"/>
        <w:ind w:firstLine="420" w:firstLineChars="200"/>
        <w:rPr>
          <w:rFonts w:asciiTheme="minorEastAsia" w:hAnsiTheme="minorEastAsia"/>
          <w:szCs w:val="21"/>
        </w:rPr>
      </w:pPr>
      <w:r>
        <w:rPr>
          <w:rFonts w:asciiTheme="minorEastAsia" w:hAnsiTheme="minorEastAsia"/>
          <w:szCs w:val="21"/>
        </w:rPr>
        <w:t xml:space="preserve">投标人根据本须知的规定将投标价分成几部分，只是为了方便招标人对投标文件进行比较，并不限制招标人以上述任何条件订立合同的权力。 </w:t>
      </w:r>
    </w:p>
    <w:p w14:paraId="070003BC">
      <w:pPr>
        <w:spacing w:line="360" w:lineRule="auto"/>
        <w:ind w:firstLine="420" w:firstLineChars="200"/>
        <w:rPr>
          <w:rFonts w:asciiTheme="minorEastAsia" w:hAnsiTheme="minorEastAsia"/>
          <w:szCs w:val="21"/>
        </w:rPr>
      </w:pPr>
      <w:r>
        <w:rPr>
          <w:rFonts w:asciiTheme="minorEastAsia" w:hAnsiTheme="minorEastAsia"/>
          <w:szCs w:val="21"/>
        </w:rPr>
        <w:t>投标人所报的投标价在合同执行过程中是固定不变的，不得以任何理由予以变更。任何包含价格调整要求的投标，被认为是非实质性响应投标而予以拒绝。</w:t>
      </w:r>
    </w:p>
    <w:p w14:paraId="022459EA">
      <w:pPr>
        <w:pStyle w:val="5"/>
        <w:spacing w:line="360" w:lineRule="auto"/>
        <w:ind w:firstLine="482"/>
      </w:pPr>
      <w:bookmarkStart w:id="57" w:name="_Toc55548509"/>
      <w:bookmarkStart w:id="58" w:name="_Toc11635"/>
      <w:r>
        <w:t>证明投标人合格和资格的文件</w:t>
      </w:r>
      <w:bookmarkEnd w:id="57"/>
      <w:bookmarkEnd w:id="58"/>
      <w:r>
        <w:t xml:space="preserve"> </w:t>
      </w:r>
    </w:p>
    <w:p w14:paraId="2D12E1F0">
      <w:pPr>
        <w:spacing w:line="360" w:lineRule="auto"/>
        <w:ind w:firstLine="420" w:firstLineChars="200"/>
        <w:rPr>
          <w:rFonts w:asciiTheme="minorEastAsia" w:hAnsiTheme="minorEastAsia"/>
          <w:szCs w:val="21"/>
        </w:rPr>
      </w:pPr>
      <w:r>
        <w:rPr>
          <w:rFonts w:asciiTheme="minorEastAsia" w:hAnsiTheme="minorEastAsia"/>
          <w:szCs w:val="21"/>
        </w:rPr>
        <w:t>投标人应提交证明其有资格参加投标和中标后有能力履行合同的文件。</w:t>
      </w:r>
    </w:p>
    <w:p w14:paraId="1807A2A9">
      <w:pPr>
        <w:spacing w:line="360" w:lineRule="auto"/>
        <w:ind w:firstLine="420" w:firstLineChars="200"/>
        <w:rPr>
          <w:rFonts w:asciiTheme="minorEastAsia" w:hAnsiTheme="minorEastAsia"/>
          <w:szCs w:val="21"/>
        </w:rPr>
      </w:pPr>
      <w:r>
        <w:rPr>
          <w:rFonts w:asciiTheme="minorEastAsia" w:hAnsiTheme="minorEastAsia"/>
          <w:szCs w:val="21"/>
        </w:rPr>
        <w:t>招标文件允许联合体投标时，投标人始得组建联合体。联合体投标时，应提交各方的资格证明文件、联合体协议并注明主办人；联合体各方签订共同投标协议后，不得再以自己的名义单独在同一项目中投标，也不得组成新的联合体参加同一项目投标。违反上述规定的联合体投标将导致其投标被拒绝。</w:t>
      </w:r>
    </w:p>
    <w:p w14:paraId="2FCF63CA">
      <w:pPr>
        <w:spacing w:line="360" w:lineRule="auto"/>
        <w:ind w:firstLine="420" w:firstLineChars="200"/>
        <w:rPr>
          <w:rFonts w:asciiTheme="minorEastAsia" w:hAnsiTheme="minorEastAsia"/>
          <w:szCs w:val="21"/>
        </w:rPr>
      </w:pPr>
      <w:r>
        <w:rPr>
          <w:rFonts w:asciiTheme="minorEastAsia" w:hAnsiTheme="minorEastAsia"/>
          <w:szCs w:val="21"/>
        </w:rPr>
        <w:t xml:space="preserve">投标人提交的证明其中标后能履行合同的资格证明文件应包括下列文件： </w:t>
      </w:r>
    </w:p>
    <w:p w14:paraId="09AD9E82">
      <w:pPr>
        <w:spacing w:line="360" w:lineRule="auto"/>
        <w:ind w:firstLine="420" w:firstLineChars="200"/>
        <w:rPr>
          <w:rFonts w:asciiTheme="minorEastAsia" w:hAnsiTheme="minorEastAsia"/>
          <w:szCs w:val="21"/>
        </w:rPr>
      </w:pPr>
      <w:r>
        <w:rPr>
          <w:rFonts w:asciiTheme="minorEastAsia" w:hAnsiTheme="minorEastAsia"/>
          <w:szCs w:val="21"/>
        </w:rPr>
        <w:t>证明投标人销售资格的证明文件：制造商参加投标时，需在投标文件中注明其制造商身份；代理商参加投标时则须提交相应授权文件，授权文件包括制造商或上级代理商授权（上级代理商授权文件应可追溯至制造商授权文件，并有完整的证明资料）；招标文件对授权文件有特殊要求的，从其规定；</w:t>
      </w:r>
    </w:p>
    <w:p w14:paraId="0F4027D4">
      <w:pPr>
        <w:spacing w:line="360" w:lineRule="auto"/>
        <w:ind w:firstLine="420" w:firstLineChars="200"/>
        <w:rPr>
          <w:rFonts w:asciiTheme="minorEastAsia" w:hAnsiTheme="minorEastAsia"/>
          <w:szCs w:val="21"/>
        </w:rPr>
      </w:pPr>
      <w:r>
        <w:rPr>
          <w:rFonts w:asciiTheme="minorEastAsia" w:hAnsiTheme="minorEastAsia"/>
          <w:szCs w:val="21"/>
        </w:rPr>
        <w:t xml:space="preserve">证明投标人已具备履行合同所需的财务、技术和生产能力的文件； </w:t>
      </w:r>
    </w:p>
    <w:p w14:paraId="2F0683BC">
      <w:pPr>
        <w:spacing w:line="360" w:lineRule="auto"/>
        <w:ind w:firstLine="420" w:firstLineChars="200"/>
        <w:rPr>
          <w:rFonts w:asciiTheme="minorEastAsia" w:hAnsiTheme="minorEastAsia"/>
          <w:szCs w:val="21"/>
        </w:rPr>
      </w:pPr>
      <w:r>
        <w:rPr>
          <w:rFonts w:asciiTheme="minorEastAsia" w:hAnsiTheme="minorEastAsia"/>
          <w:szCs w:val="21"/>
        </w:rPr>
        <w:t>证明投标人满足招标文件业绩要求的文件；</w:t>
      </w:r>
    </w:p>
    <w:p w14:paraId="0E51FB5A">
      <w:pPr>
        <w:spacing w:line="360" w:lineRule="auto"/>
        <w:ind w:firstLine="420" w:firstLineChars="200"/>
        <w:rPr>
          <w:rFonts w:asciiTheme="minorEastAsia" w:hAnsiTheme="minorEastAsia"/>
          <w:szCs w:val="21"/>
        </w:rPr>
      </w:pPr>
      <w:bookmarkStart w:id="59" w:name="_Ref179620846"/>
      <w:r>
        <w:rPr>
          <w:rFonts w:asciiTheme="minorEastAsia" w:hAnsiTheme="minorEastAsia"/>
          <w:szCs w:val="21"/>
        </w:rPr>
        <w:t>投标资料表要求的其它资格证明文件。</w:t>
      </w:r>
      <w:bookmarkEnd w:id="59"/>
    </w:p>
    <w:p w14:paraId="7A33CFD6">
      <w:pPr>
        <w:pStyle w:val="5"/>
        <w:spacing w:line="360" w:lineRule="auto"/>
        <w:ind w:firstLine="482"/>
      </w:pPr>
      <w:bookmarkStart w:id="60" w:name="_Toc28857"/>
      <w:bookmarkStart w:id="61" w:name="_Toc55548510"/>
      <w:r>
        <w:t>证明货物的合格性和符合招标文件规定的文件</w:t>
      </w:r>
      <w:bookmarkEnd w:id="60"/>
      <w:bookmarkEnd w:id="61"/>
    </w:p>
    <w:p w14:paraId="7B108F5F">
      <w:pPr>
        <w:spacing w:line="360" w:lineRule="auto"/>
        <w:ind w:firstLine="420" w:firstLineChars="200"/>
        <w:rPr>
          <w:rFonts w:asciiTheme="minorEastAsia" w:hAnsiTheme="minorEastAsia"/>
          <w:szCs w:val="21"/>
        </w:rPr>
      </w:pPr>
      <w:r>
        <w:rPr>
          <w:rFonts w:asciiTheme="minorEastAsia" w:hAnsiTheme="minorEastAsia"/>
          <w:szCs w:val="21"/>
        </w:rPr>
        <w:t>投标人应提交证明文件，证明其拟供的合同项下的货物和服务的合格性符合招标文件规定。该证明文件作为投标文件的一部分。</w:t>
      </w:r>
    </w:p>
    <w:p w14:paraId="42A91C1D">
      <w:pPr>
        <w:spacing w:line="360" w:lineRule="auto"/>
        <w:ind w:firstLine="420" w:firstLineChars="200"/>
        <w:rPr>
          <w:rFonts w:asciiTheme="minorEastAsia" w:hAnsiTheme="minorEastAsia"/>
          <w:szCs w:val="21"/>
        </w:rPr>
      </w:pPr>
      <w:r>
        <w:rPr>
          <w:rFonts w:asciiTheme="minorEastAsia" w:hAnsiTheme="minorEastAsia"/>
          <w:szCs w:val="21"/>
        </w:rPr>
        <w:t>上述所述的证明文件，可以是文字资料、图纸和数据，它包括：</w:t>
      </w:r>
    </w:p>
    <w:p w14:paraId="19820C77">
      <w:pPr>
        <w:spacing w:line="360" w:lineRule="auto"/>
        <w:ind w:firstLine="420" w:firstLineChars="200"/>
        <w:rPr>
          <w:rFonts w:asciiTheme="minorEastAsia" w:hAnsiTheme="minorEastAsia"/>
          <w:szCs w:val="21"/>
        </w:rPr>
      </w:pPr>
      <w:r>
        <w:rPr>
          <w:rFonts w:asciiTheme="minorEastAsia" w:hAnsiTheme="minorEastAsia"/>
          <w:szCs w:val="21"/>
        </w:rPr>
        <w:t>货物主要技术指标和性能的详细说明；</w:t>
      </w:r>
    </w:p>
    <w:p w14:paraId="2613B8C9">
      <w:pPr>
        <w:spacing w:line="360" w:lineRule="auto"/>
        <w:ind w:firstLine="420" w:firstLineChars="200"/>
        <w:rPr>
          <w:rFonts w:asciiTheme="minorEastAsia" w:hAnsiTheme="minorEastAsia"/>
          <w:szCs w:val="21"/>
        </w:rPr>
      </w:pPr>
      <w:r>
        <w:rPr>
          <w:rFonts w:asciiTheme="minorEastAsia" w:hAnsiTheme="minorEastAsia"/>
          <w:szCs w:val="21"/>
        </w:rPr>
        <w:t>货物从招标人验收后开始使用至招标文件规定的保质期内正常、连续地使用所必须的备件和专用工具清单，包括备件和专用工具的货源及现行价格；</w:t>
      </w:r>
    </w:p>
    <w:p w14:paraId="442DBCCE">
      <w:pPr>
        <w:spacing w:line="360" w:lineRule="auto"/>
        <w:ind w:firstLine="420" w:firstLineChars="200"/>
        <w:rPr>
          <w:rFonts w:asciiTheme="minorEastAsia" w:hAnsiTheme="minorEastAsia"/>
          <w:szCs w:val="21"/>
        </w:rPr>
      </w:pPr>
      <w:r>
        <w:rPr>
          <w:rFonts w:asciiTheme="minorEastAsia" w:hAnsiTheme="minorEastAsia"/>
          <w:szCs w:val="21"/>
        </w:rPr>
        <w:t>对照招标文件技术规格，逐条说明所提供货物和服务已对招标文件的技术规格做出了实质性的响应，并申明与技术规格条文的偏差和例外。特别对有具体参数要求的指标，投标人必须提供所投设备的具体参数值。</w:t>
      </w:r>
    </w:p>
    <w:p w14:paraId="702E926F">
      <w:pPr>
        <w:spacing w:line="360" w:lineRule="auto"/>
        <w:ind w:firstLine="420" w:firstLineChars="200"/>
        <w:rPr>
          <w:rFonts w:asciiTheme="minorEastAsia" w:hAnsiTheme="minorEastAsia"/>
          <w:szCs w:val="21"/>
        </w:rPr>
      </w:pPr>
      <w:r>
        <w:rPr>
          <w:rFonts w:asciiTheme="minorEastAsia" w:hAnsiTheme="minorEastAsia"/>
          <w:szCs w:val="21"/>
        </w:rPr>
        <w:t>投标人应注意招标文件的技术规格中指出的工艺、材料和设备的标准以及参照的品牌或型号仅起说明作用，并没有任何限制性。投标人在投标中可以选用替代标准、品牌或型号，但这些替代要实质上满足或超过招标文件的要求。</w:t>
      </w:r>
    </w:p>
    <w:p w14:paraId="05253BF3">
      <w:pPr>
        <w:pStyle w:val="5"/>
        <w:spacing w:line="360" w:lineRule="auto"/>
        <w:ind w:firstLine="482"/>
      </w:pPr>
      <w:bookmarkStart w:id="62" w:name="_Toc55548511"/>
      <w:bookmarkStart w:id="63" w:name="_Toc1901"/>
      <w:r>
        <w:t>投标有效期</w:t>
      </w:r>
      <w:bookmarkEnd w:id="62"/>
      <w:bookmarkEnd w:id="63"/>
    </w:p>
    <w:p w14:paraId="2FA842E1">
      <w:pPr>
        <w:spacing w:line="360" w:lineRule="auto"/>
        <w:ind w:firstLine="420" w:firstLineChars="200"/>
        <w:rPr>
          <w:rFonts w:asciiTheme="minorEastAsia" w:hAnsiTheme="minorEastAsia"/>
          <w:szCs w:val="21"/>
        </w:rPr>
      </w:pPr>
      <w:bookmarkStart w:id="64" w:name="_Ref179620893"/>
      <w:r>
        <w:rPr>
          <w:rFonts w:asciiTheme="minorEastAsia" w:hAnsiTheme="minorEastAsia"/>
          <w:szCs w:val="21"/>
        </w:rPr>
        <w:t>投标有效期不足的投标将被视为非实质性响应，并予以拒绝。</w:t>
      </w:r>
      <w:bookmarkEnd w:id="64"/>
    </w:p>
    <w:p w14:paraId="0BDE098B">
      <w:pPr>
        <w:spacing w:line="360" w:lineRule="auto"/>
        <w:ind w:firstLine="420" w:firstLineChars="200"/>
        <w:rPr>
          <w:rFonts w:asciiTheme="minorEastAsia" w:hAnsiTheme="minorEastAsia"/>
          <w:szCs w:val="21"/>
        </w:rPr>
      </w:pPr>
      <w:r>
        <w:rPr>
          <w:rFonts w:asciiTheme="minorEastAsia" w:hAnsiTheme="minorEastAsia"/>
          <w:szCs w:val="21"/>
        </w:rPr>
        <w:t>特殊情况下，在原投标有效期截止之前，招标</w:t>
      </w:r>
      <w:r>
        <w:rPr>
          <w:rFonts w:hint="eastAsia" w:asciiTheme="minorEastAsia" w:hAnsiTheme="minorEastAsia"/>
          <w:szCs w:val="21"/>
        </w:rPr>
        <w:t>人</w:t>
      </w:r>
      <w:r>
        <w:rPr>
          <w:rFonts w:asciiTheme="minorEastAsia" w:hAnsiTheme="minorEastAsia"/>
          <w:szCs w:val="21"/>
        </w:rPr>
        <w:t>可要求投标人延长投标有效期。该要求与答复均应以书面形式提交。投标人可拒绝</w:t>
      </w:r>
      <w:r>
        <w:rPr>
          <w:rFonts w:hint="eastAsia" w:asciiTheme="minorEastAsia" w:hAnsiTheme="minorEastAsia"/>
          <w:szCs w:val="21"/>
        </w:rPr>
        <w:t>招标人</w:t>
      </w:r>
      <w:r>
        <w:rPr>
          <w:rFonts w:asciiTheme="minorEastAsia" w:hAnsiTheme="minorEastAsia"/>
          <w:szCs w:val="21"/>
        </w:rPr>
        <w:t>的这种要求，其投标保证金将不会被没收，但其投标在原投标有效期期满后将不再有效。同意延长投标有效期的投标人将不会被要求和允许修正其投标，而只会被要求相应地延长其投标保证金的有效期。且本须知有关投标保证金要求将在延长了的有效期内继续有效。</w:t>
      </w:r>
    </w:p>
    <w:p w14:paraId="23195359">
      <w:pPr>
        <w:pStyle w:val="5"/>
        <w:spacing w:line="360" w:lineRule="auto"/>
        <w:ind w:firstLine="482"/>
      </w:pPr>
      <w:bookmarkStart w:id="65" w:name="_Toc55548512"/>
      <w:bookmarkStart w:id="66" w:name="_Toc28446"/>
      <w:r>
        <w:t>投标文件的式样和签署</w:t>
      </w:r>
      <w:bookmarkEnd w:id="65"/>
      <w:bookmarkEnd w:id="66"/>
    </w:p>
    <w:p w14:paraId="1A14888E">
      <w:pPr>
        <w:spacing w:line="360" w:lineRule="auto"/>
        <w:ind w:firstLine="420" w:firstLineChars="200"/>
        <w:rPr>
          <w:rFonts w:asciiTheme="minorEastAsia" w:hAnsiTheme="minorEastAsia"/>
          <w:szCs w:val="21"/>
          <w:highlight w:val="yellow"/>
        </w:rPr>
      </w:pPr>
      <w:bookmarkStart w:id="67" w:name="_Ref179620912"/>
      <w:r>
        <w:rPr>
          <w:rFonts w:asciiTheme="minorEastAsia" w:hAnsiTheme="minorEastAsia"/>
          <w:szCs w:val="21"/>
          <w:highlight w:val="yellow"/>
        </w:rPr>
        <w:t>投标人应准备</w:t>
      </w:r>
      <w:r>
        <w:rPr>
          <w:rFonts w:asciiTheme="minorEastAsia" w:hAnsiTheme="minorEastAsia"/>
          <w:b/>
          <w:szCs w:val="21"/>
          <w:highlight w:val="yellow"/>
        </w:rPr>
        <w:t>一份</w:t>
      </w:r>
      <w:r>
        <w:rPr>
          <w:rFonts w:asciiTheme="minorEastAsia" w:hAnsiTheme="minorEastAsia"/>
          <w:szCs w:val="21"/>
          <w:highlight w:val="yellow"/>
        </w:rPr>
        <w:t>投标文件正本和</w:t>
      </w:r>
      <w:r>
        <w:rPr>
          <w:rFonts w:hint="eastAsia" w:asciiTheme="minorEastAsia" w:hAnsiTheme="minorEastAsia"/>
          <w:b/>
          <w:szCs w:val="21"/>
          <w:highlight w:val="yellow"/>
        </w:rPr>
        <w:t>两份</w:t>
      </w:r>
      <w:r>
        <w:rPr>
          <w:rFonts w:asciiTheme="minorEastAsia" w:hAnsiTheme="minorEastAsia"/>
          <w:szCs w:val="21"/>
          <w:highlight w:val="yellow"/>
        </w:rPr>
        <w:t>副本，每套投标文件须清楚地标明“正本”或“副本”。若副本与正本不符，以正本为准。</w:t>
      </w:r>
      <w:bookmarkEnd w:id="67"/>
    </w:p>
    <w:p w14:paraId="203C7AB1">
      <w:pPr>
        <w:spacing w:line="360" w:lineRule="auto"/>
        <w:ind w:firstLine="420" w:firstLineChars="200"/>
        <w:rPr>
          <w:rFonts w:asciiTheme="minorEastAsia" w:hAnsiTheme="minorEastAsia"/>
          <w:szCs w:val="21"/>
          <w:highlight w:val="yellow"/>
        </w:rPr>
      </w:pPr>
      <w:r>
        <w:rPr>
          <w:rFonts w:asciiTheme="minorEastAsia" w:hAnsiTheme="minorEastAsia"/>
          <w:szCs w:val="21"/>
          <w:highlight w:val="yellow"/>
        </w:rPr>
        <w:t>投标文件的正本需打印或用不褪色墨水书写，并由法定代表人或经其正式授权的代表签字并加盖单位印章。授权代表须持有书面的《法定代表人授权书》，并将其附在投标文件中。投标文件的副本可采用正本的复印件。</w:t>
      </w:r>
    </w:p>
    <w:p w14:paraId="478225DE">
      <w:pPr>
        <w:spacing w:line="360" w:lineRule="auto"/>
        <w:ind w:firstLine="420" w:firstLineChars="200"/>
        <w:rPr>
          <w:rFonts w:asciiTheme="minorEastAsia" w:hAnsiTheme="minorEastAsia"/>
          <w:szCs w:val="21"/>
        </w:rPr>
      </w:pPr>
      <w:r>
        <w:rPr>
          <w:rFonts w:asciiTheme="minorEastAsia" w:hAnsiTheme="minorEastAsia"/>
          <w:szCs w:val="21"/>
          <w:highlight w:val="yellow"/>
        </w:rPr>
        <w:t>任何行间插字、涂改和增删，必须由投标文件签字人用姓或首字母在旁边签字或由投标单位加盖公章才有效。</w:t>
      </w:r>
    </w:p>
    <w:p w14:paraId="76BA778A">
      <w:pPr>
        <w:pStyle w:val="5"/>
        <w:spacing w:line="360" w:lineRule="auto"/>
        <w:ind w:firstLine="482"/>
      </w:pPr>
      <w:bookmarkStart w:id="68" w:name="_Toc9436"/>
      <w:bookmarkStart w:id="69" w:name="_Toc55548513"/>
      <w:bookmarkStart w:id="70" w:name="_Toc26845"/>
      <w:r>
        <w:t>四、投标文件的递交</w:t>
      </w:r>
      <w:bookmarkEnd w:id="68"/>
      <w:bookmarkEnd w:id="69"/>
      <w:bookmarkEnd w:id="70"/>
    </w:p>
    <w:p w14:paraId="3145064B">
      <w:pPr>
        <w:pStyle w:val="5"/>
        <w:spacing w:line="360" w:lineRule="auto"/>
        <w:ind w:firstLine="482"/>
      </w:pPr>
      <w:bookmarkStart w:id="71" w:name="_Toc6626"/>
      <w:bookmarkStart w:id="72" w:name="_Toc55548514"/>
      <w:r>
        <w:t>投标文件的密封和标记</w:t>
      </w:r>
      <w:bookmarkEnd w:id="71"/>
      <w:bookmarkEnd w:id="72"/>
    </w:p>
    <w:p w14:paraId="2EE8B38F">
      <w:pPr>
        <w:spacing w:line="360" w:lineRule="auto"/>
        <w:ind w:firstLine="420" w:firstLineChars="200"/>
        <w:rPr>
          <w:rFonts w:asciiTheme="minorEastAsia" w:hAnsiTheme="minorEastAsia"/>
          <w:szCs w:val="21"/>
          <w:highlight w:val="yellow"/>
        </w:rPr>
      </w:pPr>
      <w:bookmarkStart w:id="73" w:name="_Ref179620969"/>
      <w:r>
        <w:rPr>
          <w:rFonts w:asciiTheme="minorEastAsia" w:hAnsiTheme="minorEastAsia"/>
          <w:szCs w:val="21"/>
          <w:highlight w:val="yellow"/>
        </w:rPr>
        <w:t>投标人应将投标文件正本和所有的副本封装在一个信封中</w:t>
      </w:r>
      <w:r>
        <w:rPr>
          <w:rFonts w:hint="eastAsia" w:asciiTheme="minorEastAsia" w:hAnsiTheme="minorEastAsia"/>
          <w:szCs w:val="21"/>
          <w:highlight w:val="yellow"/>
        </w:rPr>
        <w:t>，</w:t>
      </w:r>
      <w:r>
        <w:rPr>
          <w:rFonts w:asciiTheme="minorEastAsia" w:hAnsiTheme="minorEastAsia"/>
          <w:szCs w:val="21"/>
          <w:highlight w:val="yellow"/>
        </w:rPr>
        <w:t>信封均应：</w:t>
      </w:r>
      <w:bookmarkEnd w:id="73"/>
      <w:r>
        <w:rPr>
          <w:rFonts w:asciiTheme="minorEastAsia" w:hAnsiTheme="minorEastAsia"/>
          <w:szCs w:val="21"/>
          <w:highlight w:val="yellow"/>
        </w:rPr>
        <w:t xml:space="preserve"> </w:t>
      </w:r>
    </w:p>
    <w:p w14:paraId="585675B7">
      <w:pPr>
        <w:spacing w:line="360" w:lineRule="auto"/>
        <w:ind w:firstLine="420" w:firstLineChars="200"/>
        <w:rPr>
          <w:rFonts w:asciiTheme="minorEastAsia" w:hAnsiTheme="minorEastAsia"/>
          <w:szCs w:val="21"/>
          <w:highlight w:val="yellow"/>
        </w:rPr>
      </w:pPr>
      <w:r>
        <w:rPr>
          <w:rFonts w:asciiTheme="minorEastAsia" w:hAnsiTheme="minorEastAsia"/>
          <w:szCs w:val="21"/>
          <w:highlight w:val="yellow"/>
        </w:rPr>
        <w:t>1) 清楚标明递交至</w:t>
      </w:r>
      <w:r>
        <w:rPr>
          <w:rFonts w:hint="eastAsia" w:asciiTheme="minorEastAsia" w:hAnsiTheme="minorEastAsia"/>
          <w:b/>
          <w:szCs w:val="21"/>
          <w:highlight w:val="yellow"/>
        </w:rPr>
        <w:t>招标公告</w:t>
      </w:r>
      <w:r>
        <w:rPr>
          <w:rFonts w:asciiTheme="minorEastAsia" w:hAnsiTheme="minorEastAsia"/>
          <w:szCs w:val="21"/>
          <w:highlight w:val="yellow"/>
        </w:rPr>
        <w:t>指明的地址。</w:t>
      </w:r>
    </w:p>
    <w:p w14:paraId="61B0BE2A">
      <w:pPr>
        <w:spacing w:line="360" w:lineRule="auto"/>
        <w:ind w:firstLine="420" w:firstLineChars="200"/>
        <w:rPr>
          <w:rFonts w:asciiTheme="minorEastAsia" w:hAnsiTheme="minorEastAsia"/>
          <w:szCs w:val="21"/>
          <w:highlight w:val="yellow"/>
        </w:rPr>
      </w:pPr>
      <w:r>
        <w:rPr>
          <w:rFonts w:asciiTheme="minorEastAsia" w:hAnsiTheme="minorEastAsia"/>
          <w:szCs w:val="21"/>
          <w:highlight w:val="yellow"/>
        </w:rPr>
        <w:t>2) 清楚标明</w:t>
      </w:r>
      <w:r>
        <w:rPr>
          <w:rFonts w:hint="eastAsia" w:asciiTheme="minorEastAsia" w:hAnsiTheme="minorEastAsia"/>
          <w:b/>
          <w:szCs w:val="21"/>
          <w:highlight w:val="yellow"/>
        </w:rPr>
        <w:t>招标公告</w:t>
      </w:r>
      <w:r>
        <w:rPr>
          <w:rFonts w:asciiTheme="minorEastAsia" w:hAnsiTheme="minorEastAsia"/>
          <w:szCs w:val="21"/>
          <w:highlight w:val="yellow"/>
        </w:rPr>
        <w:t>中指明的项目名称、包号（如果分包的话）、招标编号和“在</w:t>
      </w:r>
      <w:r>
        <w:rPr>
          <w:rFonts w:asciiTheme="minorEastAsia" w:hAnsiTheme="minorEastAsia"/>
          <w:i/>
          <w:szCs w:val="21"/>
          <w:highlight w:val="yellow"/>
          <w:u w:val="single"/>
        </w:rPr>
        <w:t>(开标日期、时间)</w:t>
      </w:r>
      <w:r>
        <w:rPr>
          <w:rFonts w:asciiTheme="minorEastAsia" w:hAnsiTheme="minorEastAsia"/>
          <w:szCs w:val="21"/>
          <w:highlight w:val="yellow"/>
        </w:rPr>
        <w:t>之前不得启封”的字样，并填入</w:t>
      </w:r>
      <w:r>
        <w:rPr>
          <w:rFonts w:hint="eastAsia" w:asciiTheme="minorEastAsia" w:hAnsiTheme="minorEastAsia"/>
          <w:b/>
          <w:szCs w:val="21"/>
          <w:highlight w:val="yellow"/>
        </w:rPr>
        <w:t>招标公告</w:t>
      </w:r>
      <w:r>
        <w:rPr>
          <w:rFonts w:asciiTheme="minorEastAsia" w:hAnsiTheme="minorEastAsia"/>
          <w:szCs w:val="21"/>
          <w:highlight w:val="yellow"/>
        </w:rPr>
        <w:t>中规定的开标日期和时间。</w:t>
      </w:r>
    </w:p>
    <w:p w14:paraId="20D43801">
      <w:pPr>
        <w:spacing w:line="360" w:lineRule="auto"/>
        <w:ind w:firstLine="420" w:firstLineChars="200"/>
        <w:rPr>
          <w:rFonts w:asciiTheme="minorEastAsia" w:hAnsiTheme="minorEastAsia"/>
          <w:szCs w:val="21"/>
          <w:highlight w:val="yellow"/>
        </w:rPr>
      </w:pPr>
      <w:r>
        <w:rPr>
          <w:rFonts w:asciiTheme="minorEastAsia" w:hAnsiTheme="minorEastAsia"/>
          <w:szCs w:val="21"/>
          <w:highlight w:val="yellow"/>
        </w:rPr>
        <w:t>3) 清楚标明投标单位名称并在信封的封装处加盖投标人公章。</w:t>
      </w:r>
    </w:p>
    <w:p w14:paraId="3CBCF552">
      <w:pPr>
        <w:spacing w:line="360" w:lineRule="auto"/>
        <w:ind w:firstLine="420" w:firstLineChars="200"/>
        <w:rPr>
          <w:rFonts w:asciiTheme="minorEastAsia" w:hAnsiTheme="minorEastAsia"/>
          <w:szCs w:val="21"/>
        </w:rPr>
      </w:pPr>
      <w:r>
        <w:rPr>
          <w:rFonts w:asciiTheme="minorEastAsia" w:hAnsiTheme="minorEastAsia"/>
          <w:szCs w:val="21"/>
          <w:highlight w:val="yellow"/>
        </w:rPr>
        <w:t>内层信封应写明投标人名称和地址，以便将迟交的投标文件能原封退回。</w:t>
      </w:r>
    </w:p>
    <w:p w14:paraId="080BD6AB">
      <w:pPr>
        <w:spacing w:line="360" w:lineRule="auto"/>
        <w:ind w:firstLine="420" w:firstLineChars="200"/>
        <w:rPr>
          <w:rFonts w:asciiTheme="minorEastAsia" w:hAnsiTheme="minorEastAsia"/>
          <w:szCs w:val="21"/>
        </w:rPr>
      </w:pPr>
      <w:r>
        <w:rPr>
          <w:rFonts w:asciiTheme="minorEastAsia" w:hAnsiTheme="minorEastAsia"/>
          <w:szCs w:val="21"/>
        </w:rPr>
        <w:t>如果投标人未按本须知要求加写标记和密封，招标</w:t>
      </w:r>
      <w:r>
        <w:rPr>
          <w:rFonts w:hint="eastAsia" w:asciiTheme="minorEastAsia" w:hAnsiTheme="minorEastAsia"/>
          <w:szCs w:val="21"/>
        </w:rPr>
        <w:t>人</w:t>
      </w:r>
      <w:r>
        <w:rPr>
          <w:rFonts w:asciiTheme="minorEastAsia" w:hAnsiTheme="minorEastAsia"/>
          <w:szCs w:val="21"/>
        </w:rPr>
        <w:t>对投标文件的误投或提前启封概不负责。</w:t>
      </w:r>
    </w:p>
    <w:p w14:paraId="5968FF57">
      <w:pPr>
        <w:spacing w:line="360" w:lineRule="auto"/>
        <w:ind w:firstLine="420" w:firstLineChars="200"/>
        <w:rPr>
          <w:rFonts w:asciiTheme="minorEastAsia" w:hAnsiTheme="minorEastAsia"/>
          <w:szCs w:val="21"/>
        </w:rPr>
      </w:pPr>
      <w:r>
        <w:rPr>
          <w:rFonts w:asciiTheme="minorEastAsia" w:hAnsiTheme="minorEastAsia"/>
          <w:szCs w:val="21"/>
        </w:rPr>
        <w:t>投标人同时参加几个包投标时必须按招标文件要求按包号分别制作投标文件，分别密封递交。</w:t>
      </w:r>
    </w:p>
    <w:p w14:paraId="30D2A2B7">
      <w:pPr>
        <w:pStyle w:val="5"/>
        <w:spacing w:line="360" w:lineRule="auto"/>
        <w:ind w:firstLine="482"/>
      </w:pPr>
      <w:bookmarkStart w:id="74" w:name="_Toc8701"/>
      <w:bookmarkStart w:id="75" w:name="_Toc55548515"/>
      <w:r>
        <w:t>投标样品</w:t>
      </w:r>
      <w:bookmarkEnd w:id="74"/>
      <w:bookmarkEnd w:id="75"/>
    </w:p>
    <w:p w14:paraId="065E3659">
      <w:pPr>
        <w:spacing w:line="360" w:lineRule="auto"/>
        <w:ind w:firstLine="420" w:firstLineChars="200"/>
        <w:rPr>
          <w:rFonts w:asciiTheme="minorEastAsia" w:hAnsiTheme="minorEastAsia"/>
          <w:szCs w:val="21"/>
        </w:rPr>
      </w:pPr>
      <w:r>
        <w:rPr>
          <w:rFonts w:asciiTheme="minorEastAsia" w:hAnsiTheme="minorEastAsia"/>
          <w:szCs w:val="21"/>
        </w:rPr>
        <w:t>如有必要，招标</w:t>
      </w:r>
      <w:r>
        <w:rPr>
          <w:rFonts w:hint="eastAsia" w:asciiTheme="minorEastAsia" w:hAnsiTheme="minorEastAsia"/>
          <w:szCs w:val="21"/>
        </w:rPr>
        <w:t>人</w:t>
      </w:r>
      <w:r>
        <w:rPr>
          <w:rFonts w:asciiTheme="minorEastAsia" w:hAnsiTheme="minorEastAsia"/>
          <w:szCs w:val="21"/>
        </w:rPr>
        <w:t>可以要求投标人提供能反映货物材质或关键部分的极少部分的尺寸、价值不大的样品，投标人在投标时应提交《样品清单》。</w:t>
      </w:r>
    </w:p>
    <w:p w14:paraId="58062B83">
      <w:pPr>
        <w:spacing w:line="360" w:lineRule="auto"/>
        <w:ind w:firstLine="420" w:firstLineChars="200"/>
        <w:rPr>
          <w:rFonts w:asciiTheme="minorEastAsia" w:hAnsiTheme="minorEastAsia"/>
          <w:szCs w:val="21"/>
        </w:rPr>
      </w:pPr>
      <w:r>
        <w:rPr>
          <w:rFonts w:asciiTheme="minorEastAsia" w:hAnsiTheme="minorEastAsia"/>
          <w:szCs w:val="21"/>
        </w:rPr>
        <w:t>为方便评标，投标人在提供样品时，应使用透明的外包装或尽量少用外包装，但必须在所提供的样品表面显著位置标注投标人的名称、包号、样品名称、招标文件规定的货物编号。</w:t>
      </w:r>
    </w:p>
    <w:p w14:paraId="6AAE22CB">
      <w:pPr>
        <w:spacing w:line="360" w:lineRule="auto"/>
        <w:ind w:firstLine="420" w:firstLineChars="200"/>
        <w:rPr>
          <w:rFonts w:asciiTheme="minorEastAsia" w:hAnsiTheme="minorEastAsia"/>
          <w:szCs w:val="21"/>
        </w:rPr>
      </w:pPr>
      <w:r>
        <w:rPr>
          <w:rFonts w:asciiTheme="minorEastAsia" w:hAnsiTheme="minorEastAsia"/>
          <w:szCs w:val="21"/>
        </w:rPr>
        <w:t>样品作为投标文件的一部分，除非另有说明，中标单位的样品不再退还，未中标单位须在中标公告发布后五个工作日内，前往</w:t>
      </w:r>
      <w:r>
        <w:rPr>
          <w:rFonts w:hint="eastAsia" w:asciiTheme="minorEastAsia" w:hAnsiTheme="minorEastAsia"/>
          <w:szCs w:val="21"/>
        </w:rPr>
        <w:t>本中心</w:t>
      </w:r>
      <w:r>
        <w:rPr>
          <w:rFonts w:asciiTheme="minorEastAsia" w:hAnsiTheme="minorEastAsia"/>
          <w:szCs w:val="21"/>
        </w:rPr>
        <w:t>领取投标样品，逾期不领，</w:t>
      </w:r>
      <w:r>
        <w:rPr>
          <w:rFonts w:hint="eastAsia" w:asciiTheme="minorEastAsia" w:hAnsiTheme="minorEastAsia"/>
          <w:szCs w:val="21"/>
        </w:rPr>
        <w:t>本中心</w:t>
      </w:r>
      <w:r>
        <w:rPr>
          <w:rFonts w:asciiTheme="minorEastAsia" w:hAnsiTheme="minorEastAsia"/>
          <w:szCs w:val="21"/>
        </w:rPr>
        <w:t>将不承担样品的保管责任，由此引发的样品丢失、毁损，招标</w:t>
      </w:r>
      <w:r>
        <w:rPr>
          <w:rFonts w:hint="eastAsia" w:asciiTheme="minorEastAsia" w:hAnsiTheme="minorEastAsia"/>
          <w:szCs w:val="21"/>
        </w:rPr>
        <w:t>人</w:t>
      </w:r>
      <w:r>
        <w:rPr>
          <w:rFonts w:asciiTheme="minorEastAsia" w:hAnsiTheme="minorEastAsia"/>
          <w:szCs w:val="21"/>
        </w:rPr>
        <w:t>不予负责。</w:t>
      </w:r>
    </w:p>
    <w:p w14:paraId="4F401A2C">
      <w:pPr>
        <w:pStyle w:val="5"/>
        <w:spacing w:line="360" w:lineRule="auto"/>
        <w:ind w:firstLine="482"/>
      </w:pPr>
      <w:bookmarkStart w:id="76" w:name="_Toc55548516"/>
      <w:bookmarkStart w:id="77" w:name="_Ref179619638"/>
      <w:bookmarkStart w:id="78" w:name="_Toc5724"/>
      <w:r>
        <w:t>投标截止期</w:t>
      </w:r>
      <w:bookmarkEnd w:id="76"/>
      <w:bookmarkEnd w:id="77"/>
      <w:bookmarkEnd w:id="78"/>
    </w:p>
    <w:p w14:paraId="10D242EB">
      <w:pPr>
        <w:spacing w:line="360" w:lineRule="auto"/>
        <w:ind w:firstLine="420" w:firstLineChars="200"/>
        <w:rPr>
          <w:rFonts w:asciiTheme="minorEastAsia" w:hAnsiTheme="minorEastAsia"/>
          <w:szCs w:val="21"/>
        </w:rPr>
      </w:pPr>
      <w:bookmarkStart w:id="79" w:name="_Ref179621022"/>
      <w:r>
        <w:rPr>
          <w:rFonts w:asciiTheme="minorEastAsia" w:hAnsiTheme="minorEastAsia"/>
          <w:szCs w:val="21"/>
        </w:rPr>
        <w:t>投标人应在不迟于</w:t>
      </w:r>
      <w:r>
        <w:rPr>
          <w:rFonts w:hint="eastAsia" w:asciiTheme="minorEastAsia" w:hAnsiTheme="minorEastAsia"/>
          <w:b/>
          <w:szCs w:val="21"/>
        </w:rPr>
        <w:t>招标公告</w:t>
      </w:r>
      <w:r>
        <w:rPr>
          <w:rFonts w:asciiTheme="minorEastAsia" w:hAnsiTheme="minorEastAsia"/>
          <w:szCs w:val="21"/>
        </w:rPr>
        <w:t>中规定的截止日期和时间将投标文件递交至</w:t>
      </w:r>
      <w:r>
        <w:rPr>
          <w:rFonts w:hint="eastAsia" w:asciiTheme="minorEastAsia" w:hAnsiTheme="minorEastAsia"/>
          <w:szCs w:val="21"/>
        </w:rPr>
        <w:t>本中心</w:t>
      </w:r>
      <w:r>
        <w:rPr>
          <w:rFonts w:asciiTheme="minorEastAsia" w:hAnsiTheme="minorEastAsia"/>
          <w:szCs w:val="21"/>
        </w:rPr>
        <w:t>，递交地点应是</w:t>
      </w:r>
      <w:r>
        <w:rPr>
          <w:rFonts w:hint="eastAsia" w:asciiTheme="minorEastAsia" w:hAnsiTheme="minorEastAsia"/>
          <w:b/>
          <w:szCs w:val="21"/>
        </w:rPr>
        <w:t>招标公告</w:t>
      </w:r>
      <w:r>
        <w:rPr>
          <w:rFonts w:asciiTheme="minorEastAsia" w:hAnsiTheme="minorEastAsia"/>
          <w:szCs w:val="21"/>
        </w:rPr>
        <w:t>中指明的地址。</w:t>
      </w:r>
      <w:bookmarkEnd w:id="79"/>
    </w:p>
    <w:p w14:paraId="30D090F6">
      <w:pPr>
        <w:spacing w:line="360" w:lineRule="auto"/>
        <w:ind w:firstLine="420" w:firstLineChars="200"/>
        <w:rPr>
          <w:rFonts w:asciiTheme="minorEastAsia" w:hAnsiTheme="minorEastAsia"/>
          <w:szCs w:val="21"/>
        </w:rPr>
      </w:pPr>
      <w:r>
        <w:rPr>
          <w:rFonts w:hint="eastAsia" w:asciiTheme="minorEastAsia" w:hAnsiTheme="minorEastAsia"/>
          <w:szCs w:val="21"/>
        </w:rPr>
        <w:t>本中心</w:t>
      </w:r>
      <w:r>
        <w:rPr>
          <w:rFonts w:asciiTheme="minorEastAsia" w:hAnsiTheme="minorEastAsia"/>
          <w:szCs w:val="21"/>
        </w:rPr>
        <w:t xml:space="preserve">可以通过修改招标文件自行决定酌情推迟投标截止期。在此情况下，招标人和投标人受投标截止期制约的所有权利和义务均应延长至新的截止期。 </w:t>
      </w:r>
    </w:p>
    <w:p w14:paraId="5F01FF06">
      <w:pPr>
        <w:pStyle w:val="5"/>
        <w:spacing w:line="360" w:lineRule="auto"/>
        <w:ind w:firstLine="482"/>
      </w:pPr>
      <w:bookmarkStart w:id="80" w:name="_Toc3231"/>
      <w:bookmarkStart w:id="81" w:name="_Toc55548517"/>
      <w:bookmarkStart w:id="82" w:name="_Ref179619679"/>
      <w:r>
        <w:t>迟交的投标文件</w:t>
      </w:r>
      <w:bookmarkEnd w:id="80"/>
      <w:bookmarkEnd w:id="81"/>
      <w:bookmarkEnd w:id="82"/>
    </w:p>
    <w:p w14:paraId="54F26FC7">
      <w:pPr>
        <w:spacing w:line="360" w:lineRule="auto"/>
        <w:ind w:firstLine="420" w:firstLineChars="200"/>
        <w:rPr>
          <w:rFonts w:asciiTheme="minorEastAsia" w:hAnsiTheme="minorEastAsia"/>
          <w:szCs w:val="21"/>
        </w:rPr>
      </w:pPr>
      <w:r>
        <w:rPr>
          <w:rFonts w:hint="eastAsia" w:asciiTheme="minorEastAsia" w:hAnsiTheme="minorEastAsia"/>
          <w:szCs w:val="21"/>
        </w:rPr>
        <w:t>本中心</w:t>
      </w:r>
      <w:r>
        <w:rPr>
          <w:rFonts w:asciiTheme="minorEastAsia" w:hAnsiTheme="minorEastAsia"/>
          <w:szCs w:val="21"/>
        </w:rPr>
        <w:t>将拒绝并原封退回在</w:t>
      </w:r>
      <w:r>
        <w:rPr>
          <w:rFonts w:hint="eastAsia" w:asciiTheme="minorEastAsia" w:hAnsiTheme="minorEastAsia"/>
          <w:szCs w:val="21"/>
        </w:rPr>
        <w:t>招标公告</w:t>
      </w:r>
      <w:r>
        <w:rPr>
          <w:rFonts w:asciiTheme="minorEastAsia" w:hAnsiTheme="minorEastAsia"/>
          <w:szCs w:val="21"/>
        </w:rPr>
        <w:t>的截止期后收到的任何投标文件。</w:t>
      </w:r>
    </w:p>
    <w:p w14:paraId="774CC11D">
      <w:pPr>
        <w:pStyle w:val="5"/>
        <w:spacing w:line="360" w:lineRule="auto"/>
        <w:ind w:firstLine="482"/>
      </w:pPr>
      <w:bookmarkStart w:id="83" w:name="_Toc865"/>
      <w:bookmarkStart w:id="84" w:name="_Toc55548518"/>
      <w:bookmarkStart w:id="85" w:name="_Ref179619013"/>
      <w:r>
        <w:t>投标文件的修改与撤回</w:t>
      </w:r>
      <w:bookmarkEnd w:id="83"/>
      <w:bookmarkEnd w:id="84"/>
      <w:bookmarkEnd w:id="85"/>
    </w:p>
    <w:p w14:paraId="0817E485">
      <w:pPr>
        <w:spacing w:line="360" w:lineRule="auto"/>
        <w:ind w:firstLine="420" w:firstLineChars="200"/>
        <w:rPr>
          <w:rFonts w:asciiTheme="minorEastAsia" w:hAnsiTheme="minorEastAsia"/>
          <w:szCs w:val="21"/>
        </w:rPr>
      </w:pPr>
      <w:r>
        <w:rPr>
          <w:rFonts w:asciiTheme="minorEastAsia" w:hAnsiTheme="minorEastAsia"/>
          <w:szCs w:val="21"/>
        </w:rPr>
        <w:t>投标人在递交投标文件后，可以修改或撤回其投标，但投标人必须在规定的投标截止期之前将修改或撤回的书面通知递交到</w:t>
      </w:r>
      <w:r>
        <w:rPr>
          <w:rFonts w:hint="eastAsia" w:asciiTheme="minorEastAsia" w:hAnsiTheme="minorEastAsia"/>
          <w:szCs w:val="21"/>
        </w:rPr>
        <w:t>本中心</w:t>
      </w:r>
      <w:r>
        <w:rPr>
          <w:rFonts w:asciiTheme="minorEastAsia" w:hAnsiTheme="minorEastAsia"/>
          <w:szCs w:val="21"/>
        </w:rPr>
        <w:t>。</w:t>
      </w:r>
    </w:p>
    <w:p w14:paraId="1654E996">
      <w:pPr>
        <w:spacing w:line="360" w:lineRule="auto"/>
        <w:ind w:firstLine="420" w:firstLineChars="200"/>
        <w:rPr>
          <w:rFonts w:asciiTheme="minorEastAsia" w:hAnsiTheme="minorEastAsia"/>
          <w:szCs w:val="21"/>
        </w:rPr>
      </w:pPr>
      <w:r>
        <w:rPr>
          <w:rFonts w:asciiTheme="minorEastAsia" w:hAnsiTheme="minorEastAsia"/>
          <w:szCs w:val="21"/>
        </w:rPr>
        <w:t>投标人的修改或撤回通知应按本须知规定编制、密封、标记和递交。</w:t>
      </w:r>
    </w:p>
    <w:p w14:paraId="33A495E3">
      <w:pPr>
        <w:spacing w:line="360" w:lineRule="auto"/>
        <w:ind w:firstLine="420" w:firstLineChars="200"/>
        <w:rPr>
          <w:rFonts w:asciiTheme="minorEastAsia" w:hAnsiTheme="minorEastAsia"/>
          <w:szCs w:val="21"/>
        </w:rPr>
      </w:pPr>
      <w:r>
        <w:rPr>
          <w:rFonts w:asciiTheme="minorEastAsia" w:hAnsiTheme="minorEastAsia"/>
          <w:szCs w:val="21"/>
        </w:rPr>
        <w:t>在投标截止期之后，投标人不得对其投标做任何修改。</w:t>
      </w:r>
    </w:p>
    <w:p w14:paraId="530BE2FA">
      <w:pPr>
        <w:spacing w:line="360" w:lineRule="auto"/>
        <w:ind w:firstLine="420" w:firstLineChars="200"/>
        <w:rPr>
          <w:rFonts w:asciiTheme="minorEastAsia" w:hAnsiTheme="minorEastAsia"/>
          <w:szCs w:val="21"/>
        </w:rPr>
      </w:pPr>
      <w:r>
        <w:rPr>
          <w:rFonts w:asciiTheme="minorEastAsia" w:hAnsiTheme="minorEastAsia"/>
          <w:szCs w:val="21"/>
        </w:rPr>
        <w:t>从投标截止期至投标人在投标书中确定的投标有效期期满的这段时间内，投标人不得撤回其投标，否则其投标保证金将按照本须知的规定被没收。</w:t>
      </w:r>
    </w:p>
    <w:p w14:paraId="415F8CFD">
      <w:pPr>
        <w:pStyle w:val="5"/>
        <w:spacing w:line="360" w:lineRule="auto"/>
        <w:ind w:firstLine="482"/>
      </w:pPr>
      <w:bookmarkStart w:id="86" w:name="_Toc55548519"/>
      <w:bookmarkStart w:id="87" w:name="_Toc22375"/>
      <w:r>
        <w:t>投标文件的退还</w:t>
      </w:r>
      <w:bookmarkEnd w:id="86"/>
      <w:bookmarkEnd w:id="87"/>
    </w:p>
    <w:p w14:paraId="002C2F2A">
      <w:pPr>
        <w:spacing w:line="360" w:lineRule="auto"/>
        <w:ind w:firstLine="420" w:firstLineChars="200"/>
        <w:rPr>
          <w:rFonts w:asciiTheme="minorEastAsia" w:hAnsiTheme="minorEastAsia"/>
          <w:szCs w:val="21"/>
        </w:rPr>
      </w:pPr>
      <w:r>
        <w:rPr>
          <w:rFonts w:asciiTheme="minorEastAsia" w:hAnsiTheme="minorEastAsia"/>
          <w:szCs w:val="21"/>
        </w:rPr>
        <w:t>除非招标文件另有规定或说明，投标文件一律不予退还。</w:t>
      </w:r>
    </w:p>
    <w:p w14:paraId="162F5B8B">
      <w:pPr>
        <w:pStyle w:val="6"/>
        <w:ind w:firstLine="482"/>
      </w:pPr>
      <w:bookmarkStart w:id="88" w:name="_Toc55548520"/>
      <w:bookmarkStart w:id="89" w:name="_Toc9126"/>
      <w:bookmarkStart w:id="90" w:name="_Toc27271"/>
      <w:r>
        <w:t>五、开标与评标</w:t>
      </w:r>
      <w:bookmarkEnd w:id="88"/>
      <w:bookmarkEnd w:id="89"/>
      <w:bookmarkEnd w:id="90"/>
    </w:p>
    <w:p w14:paraId="6F0EF604">
      <w:pPr>
        <w:pStyle w:val="5"/>
        <w:spacing w:line="360" w:lineRule="auto"/>
        <w:ind w:firstLine="482"/>
      </w:pPr>
      <w:bookmarkStart w:id="91" w:name="_Toc55548521"/>
      <w:bookmarkStart w:id="92" w:name="_Toc21095"/>
      <w:r>
        <w:t>开标</w:t>
      </w:r>
      <w:bookmarkEnd w:id="91"/>
      <w:bookmarkEnd w:id="92"/>
    </w:p>
    <w:p w14:paraId="55DF3336">
      <w:pPr>
        <w:spacing w:line="360" w:lineRule="auto"/>
        <w:ind w:firstLine="420" w:firstLineChars="200"/>
        <w:rPr>
          <w:rFonts w:asciiTheme="minorEastAsia" w:hAnsiTheme="minorEastAsia"/>
          <w:szCs w:val="21"/>
        </w:rPr>
      </w:pPr>
      <w:bookmarkStart w:id="93" w:name="_Ref179621054"/>
      <w:r>
        <w:rPr>
          <w:rFonts w:hint="eastAsia" w:asciiTheme="minorEastAsia" w:hAnsiTheme="minorEastAsia"/>
          <w:szCs w:val="21"/>
        </w:rPr>
        <w:t>本中心</w:t>
      </w:r>
      <w:r>
        <w:rPr>
          <w:rFonts w:asciiTheme="minorEastAsia" w:hAnsiTheme="minorEastAsia"/>
          <w:szCs w:val="21"/>
        </w:rPr>
        <w:t>在</w:t>
      </w:r>
      <w:r>
        <w:rPr>
          <w:rFonts w:hint="eastAsia" w:asciiTheme="minorEastAsia" w:hAnsiTheme="minorEastAsia"/>
          <w:b/>
          <w:szCs w:val="21"/>
        </w:rPr>
        <w:t>招标公告</w:t>
      </w:r>
      <w:r>
        <w:rPr>
          <w:rFonts w:asciiTheme="minorEastAsia" w:hAnsiTheme="minorEastAsia"/>
          <w:szCs w:val="21"/>
        </w:rPr>
        <w:t>中规定的日期、时间和地点组织公开开标。投标人代表均须按时参加开标会。参加开标的投标人代表应签名报到以证明其出席。</w:t>
      </w:r>
      <w:bookmarkEnd w:id="93"/>
    </w:p>
    <w:p w14:paraId="1A186C7A">
      <w:pPr>
        <w:spacing w:line="360" w:lineRule="auto"/>
        <w:ind w:firstLine="420" w:firstLineChars="200"/>
        <w:rPr>
          <w:rFonts w:asciiTheme="minorEastAsia" w:hAnsiTheme="minorEastAsia"/>
          <w:szCs w:val="21"/>
        </w:rPr>
      </w:pPr>
      <w:r>
        <w:rPr>
          <w:rFonts w:asciiTheme="minorEastAsia" w:hAnsiTheme="minorEastAsia"/>
          <w:szCs w:val="21"/>
        </w:rPr>
        <w:t>开标时，招标</w:t>
      </w:r>
      <w:r>
        <w:rPr>
          <w:rFonts w:hint="eastAsia" w:asciiTheme="minorEastAsia" w:hAnsiTheme="minorEastAsia"/>
          <w:szCs w:val="21"/>
        </w:rPr>
        <w:t>人</w:t>
      </w:r>
      <w:r>
        <w:rPr>
          <w:rFonts w:asciiTheme="minorEastAsia" w:hAnsiTheme="minorEastAsia"/>
          <w:szCs w:val="21"/>
        </w:rPr>
        <w:t>当众宣读投标人名称、修改和撤回投标的通知、投标价格、是否提交了投标保证金，以及招标</w:t>
      </w:r>
      <w:r>
        <w:rPr>
          <w:rFonts w:hint="eastAsia" w:asciiTheme="minorEastAsia" w:hAnsiTheme="minorEastAsia"/>
          <w:szCs w:val="21"/>
        </w:rPr>
        <w:t>人</w:t>
      </w:r>
      <w:r>
        <w:rPr>
          <w:rFonts w:asciiTheme="minorEastAsia" w:hAnsiTheme="minorEastAsia"/>
          <w:szCs w:val="21"/>
        </w:rPr>
        <w:t>认为合适的其他内容。除了按照本须知的规定原封退回迟到的投标之外，开标时将不得拒绝任何已购买招标文件的投标人的投标。</w:t>
      </w:r>
    </w:p>
    <w:p w14:paraId="5AE18406">
      <w:pPr>
        <w:pStyle w:val="5"/>
        <w:spacing w:line="360" w:lineRule="auto"/>
        <w:ind w:firstLine="482"/>
      </w:pPr>
      <w:bookmarkStart w:id="94" w:name="_Toc55548522"/>
      <w:bookmarkStart w:id="95" w:name="_Toc1622"/>
      <w:r>
        <w:t>资格核查</w:t>
      </w:r>
      <w:bookmarkEnd w:id="94"/>
      <w:bookmarkEnd w:id="95"/>
    </w:p>
    <w:p w14:paraId="1C9AF257">
      <w:pPr>
        <w:spacing w:line="360" w:lineRule="auto"/>
        <w:ind w:firstLine="420" w:firstLineChars="200"/>
        <w:rPr>
          <w:rFonts w:asciiTheme="minorEastAsia" w:hAnsiTheme="minorEastAsia"/>
          <w:szCs w:val="21"/>
        </w:rPr>
      </w:pPr>
      <w:r>
        <w:rPr>
          <w:rFonts w:asciiTheme="minorEastAsia" w:hAnsiTheme="minorEastAsia"/>
          <w:szCs w:val="21"/>
        </w:rPr>
        <w:t>开标后，招标</w:t>
      </w:r>
      <w:r>
        <w:rPr>
          <w:rFonts w:hint="eastAsia" w:asciiTheme="minorEastAsia" w:hAnsiTheme="minorEastAsia"/>
          <w:szCs w:val="21"/>
        </w:rPr>
        <w:t>人</w:t>
      </w:r>
      <w:r>
        <w:rPr>
          <w:rFonts w:asciiTheme="minorEastAsia" w:hAnsiTheme="minorEastAsia"/>
          <w:szCs w:val="21"/>
        </w:rPr>
        <w:t>就投标文件中的资格证明等内容对投标供应商进行资格核查，核查不合格的，认定其投标无效。核查合格的投标文件提交评标委员会进行评审。</w:t>
      </w:r>
    </w:p>
    <w:p w14:paraId="5D70CF71">
      <w:pPr>
        <w:spacing w:line="360" w:lineRule="auto"/>
        <w:ind w:firstLine="422" w:firstLineChars="200"/>
        <w:rPr>
          <w:rFonts w:asciiTheme="minorEastAsia" w:hAnsiTheme="minorEastAsia"/>
          <w:b/>
          <w:szCs w:val="21"/>
        </w:rPr>
      </w:pPr>
      <w:r>
        <w:rPr>
          <w:rFonts w:asciiTheme="minorEastAsia" w:hAnsiTheme="minorEastAsia"/>
          <w:b/>
          <w:szCs w:val="21"/>
        </w:rPr>
        <w:t>1) 资格瑕疵</w:t>
      </w:r>
    </w:p>
    <w:p w14:paraId="6DBA6969">
      <w:pPr>
        <w:spacing w:line="360" w:lineRule="auto"/>
        <w:ind w:firstLine="420" w:firstLineChars="200"/>
        <w:rPr>
          <w:rFonts w:asciiTheme="minorEastAsia" w:hAnsiTheme="minorEastAsia"/>
          <w:szCs w:val="21"/>
        </w:rPr>
      </w:pPr>
      <w:r>
        <w:rPr>
          <w:rFonts w:asciiTheme="minorEastAsia" w:hAnsiTheme="minorEastAsia"/>
          <w:szCs w:val="21"/>
        </w:rPr>
        <w:t>包括但不限于：</w:t>
      </w:r>
      <w:r>
        <w:rPr>
          <w:rFonts w:hint="eastAsia" w:cs="宋体" w:asciiTheme="minorEastAsia" w:hAnsiTheme="minorEastAsia"/>
          <w:szCs w:val="21"/>
        </w:rPr>
        <w:t>①</w:t>
      </w:r>
      <w:r>
        <w:rPr>
          <w:rFonts w:asciiTheme="minorEastAsia" w:hAnsiTheme="minorEastAsia"/>
          <w:szCs w:val="21"/>
        </w:rPr>
        <w:t>资格证明文件未提供或不符合招标文件要求的；</w:t>
      </w:r>
      <w:r>
        <w:rPr>
          <w:rFonts w:hint="eastAsia" w:cs="宋体" w:asciiTheme="minorEastAsia" w:hAnsiTheme="minorEastAsia"/>
          <w:szCs w:val="21"/>
        </w:rPr>
        <w:t>②</w:t>
      </w:r>
      <w:r>
        <w:rPr>
          <w:rFonts w:asciiTheme="minorEastAsia" w:hAnsiTheme="minorEastAsia"/>
          <w:szCs w:val="21"/>
        </w:rPr>
        <w:t>投标人及其制造商与招标人有利害关系的。</w:t>
      </w:r>
    </w:p>
    <w:p w14:paraId="6CC2A1FF">
      <w:pPr>
        <w:pStyle w:val="5"/>
        <w:spacing w:line="360" w:lineRule="auto"/>
        <w:ind w:firstLine="482"/>
      </w:pPr>
      <w:bookmarkStart w:id="96" w:name="_Toc31201"/>
      <w:bookmarkStart w:id="97" w:name="_Toc55548523"/>
      <w:r>
        <w:t>评标委员会和评标方法</w:t>
      </w:r>
      <w:bookmarkEnd w:id="96"/>
      <w:bookmarkEnd w:id="97"/>
    </w:p>
    <w:p w14:paraId="75771317">
      <w:pPr>
        <w:spacing w:line="360" w:lineRule="auto"/>
        <w:ind w:firstLine="420" w:firstLineChars="200"/>
        <w:rPr>
          <w:rFonts w:asciiTheme="minorEastAsia" w:hAnsiTheme="minorEastAsia"/>
          <w:szCs w:val="21"/>
        </w:rPr>
      </w:pPr>
      <w:r>
        <w:rPr>
          <w:rFonts w:asciiTheme="minorEastAsia" w:hAnsiTheme="minorEastAsia"/>
          <w:szCs w:val="21"/>
        </w:rPr>
        <w:t>评标委员会根据招标项目的特点进行组建，并负责评标工作。评标委员会由招标人代表和有关技术、经济等方面的专家组成，成员人数为五人或五人以上单数。其中技术、经济等方面的专家不少于成员总数的三分之二。</w:t>
      </w:r>
    </w:p>
    <w:p w14:paraId="1147D4B1">
      <w:pPr>
        <w:spacing w:line="360" w:lineRule="auto"/>
        <w:ind w:firstLine="420" w:firstLineChars="200"/>
        <w:rPr>
          <w:rFonts w:asciiTheme="minorEastAsia" w:hAnsiTheme="minorEastAsia"/>
          <w:szCs w:val="21"/>
        </w:rPr>
      </w:pPr>
      <w:bookmarkStart w:id="98" w:name="_Ref179621079"/>
      <w:r>
        <w:rPr>
          <w:rFonts w:asciiTheme="minorEastAsia" w:hAnsiTheme="minorEastAsia"/>
          <w:szCs w:val="21"/>
        </w:rPr>
        <w:t>依照有关规定，货物或服务招标采购的评标方法分为最低评标价法、综合评分法和性价比法三种基本方法。评标委员会将按照</w:t>
      </w:r>
      <w:r>
        <w:rPr>
          <w:rFonts w:hint="eastAsia" w:asciiTheme="minorEastAsia" w:hAnsiTheme="minorEastAsia"/>
          <w:b/>
          <w:szCs w:val="21"/>
        </w:rPr>
        <w:t>招标公告</w:t>
      </w:r>
      <w:r>
        <w:rPr>
          <w:rFonts w:asciiTheme="minorEastAsia" w:hAnsiTheme="minorEastAsia"/>
          <w:szCs w:val="21"/>
        </w:rPr>
        <w:t>中所确定的评标方法进行评审。</w:t>
      </w:r>
      <w:bookmarkEnd w:id="98"/>
    </w:p>
    <w:p w14:paraId="0BF3107C">
      <w:pPr>
        <w:spacing w:line="360" w:lineRule="auto"/>
        <w:ind w:firstLine="420" w:firstLineChars="200"/>
        <w:rPr>
          <w:rFonts w:asciiTheme="minorEastAsia" w:hAnsiTheme="minorEastAsia"/>
          <w:szCs w:val="21"/>
        </w:rPr>
      </w:pPr>
      <w:r>
        <w:rPr>
          <w:rFonts w:asciiTheme="minorEastAsia" w:hAnsiTheme="minorEastAsia"/>
          <w:szCs w:val="21"/>
        </w:rPr>
        <w:t>评标委员会对投标文件的评审内容，分为商务评议、技术评议和价格评议/综合评议。评审流程包括资格性检查、符合性检查、澄清问题、比较与评价、推荐中标候选人或确定中标人、编写评标报告等步骤。</w:t>
      </w:r>
    </w:p>
    <w:p w14:paraId="5A61B5BB">
      <w:pPr>
        <w:spacing w:line="360" w:lineRule="auto"/>
        <w:ind w:firstLine="420" w:firstLineChars="200"/>
        <w:rPr>
          <w:rFonts w:asciiTheme="minorEastAsia" w:hAnsiTheme="minorEastAsia"/>
          <w:szCs w:val="21"/>
        </w:rPr>
      </w:pPr>
      <w:bookmarkStart w:id="99" w:name="_Ref179619857"/>
      <w:r>
        <w:rPr>
          <w:rFonts w:asciiTheme="minorEastAsia" w:hAnsiTheme="minorEastAsia"/>
          <w:szCs w:val="21"/>
        </w:rPr>
        <w:t>在评标期间，评标委员会可要求投标人对其投标文件进行澄清，但不得寻求、提供或允许对投标价格等实质性内容做任何更改。有关澄清的要求和答复均应以书面形式提交。</w:t>
      </w:r>
      <w:bookmarkEnd w:id="99"/>
    </w:p>
    <w:p w14:paraId="20F42E82">
      <w:pPr>
        <w:spacing w:line="360" w:lineRule="auto"/>
        <w:ind w:firstLine="420" w:firstLineChars="200"/>
        <w:rPr>
          <w:rFonts w:asciiTheme="minorEastAsia" w:hAnsiTheme="minorEastAsia"/>
          <w:szCs w:val="21"/>
        </w:rPr>
      </w:pPr>
      <w:bookmarkStart w:id="100" w:name="_Toc16749"/>
      <w:bookmarkStart w:id="101" w:name="_Toc3712"/>
      <w:bookmarkStart w:id="102" w:name="_Toc10952"/>
      <w:bookmarkStart w:id="103" w:name="_Toc27507"/>
      <w:r>
        <w:rPr>
          <w:rFonts w:hint="eastAsia" w:asciiTheme="minorEastAsia" w:hAnsiTheme="minorEastAsia"/>
          <w:szCs w:val="21"/>
        </w:rPr>
        <w:t>不同投标人提供相同品牌产品</w:t>
      </w:r>
      <w:bookmarkEnd w:id="100"/>
      <w:bookmarkEnd w:id="101"/>
      <w:bookmarkEnd w:id="102"/>
      <w:bookmarkEnd w:id="103"/>
    </w:p>
    <w:p w14:paraId="74C09FAA">
      <w:pPr>
        <w:spacing w:line="360" w:lineRule="auto"/>
        <w:ind w:firstLine="420" w:firstLineChars="200"/>
        <w:rPr>
          <w:rFonts w:asciiTheme="minorEastAsia" w:hAnsiTheme="minorEastAsia"/>
          <w:szCs w:val="21"/>
        </w:rPr>
      </w:pPr>
      <w:r>
        <w:rPr>
          <w:rFonts w:hint="eastAsia" w:asciiTheme="minorEastAsia" w:hAnsiTheme="minorEastAsia"/>
          <w:szCs w:val="21"/>
        </w:rPr>
        <w:t>采用最低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5997DC7B">
      <w:pPr>
        <w:spacing w:line="360" w:lineRule="auto"/>
        <w:ind w:firstLine="420" w:firstLineChars="200"/>
        <w:rPr>
          <w:rFonts w:asciiTheme="minorEastAsia" w:hAnsiTheme="minorEastAsia"/>
          <w:szCs w:val="21"/>
        </w:rPr>
      </w:pPr>
      <w:r>
        <w:rPr>
          <w:rFonts w:hint="eastAsia" w:asciiTheme="minorEastAsia" w:hAnsiTheme="minorEastAsia"/>
          <w:szCs w:val="21"/>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2574A82E">
      <w:pPr>
        <w:spacing w:line="360" w:lineRule="auto"/>
        <w:ind w:firstLine="420" w:firstLineChars="200"/>
        <w:rPr>
          <w:rFonts w:asciiTheme="minorEastAsia" w:hAnsiTheme="minorEastAsia"/>
          <w:szCs w:val="21"/>
        </w:rPr>
      </w:pPr>
      <w:r>
        <w:rPr>
          <w:rFonts w:hint="eastAsia" w:asciiTheme="minorEastAsia" w:hAnsiTheme="minorEastAsia"/>
          <w:szCs w:val="21"/>
        </w:rPr>
        <w:t>非单一产品采购项目，采购人应当根据采购项目技术构成、产品价格比重等合理确定核心产品，多家投标人提供的核心产品品牌完全相同的，按本条规定处理。</w:t>
      </w:r>
    </w:p>
    <w:p w14:paraId="57708FBF">
      <w:pPr>
        <w:pStyle w:val="5"/>
        <w:spacing w:line="360" w:lineRule="auto"/>
        <w:ind w:firstLine="482"/>
      </w:pPr>
      <w:bookmarkStart w:id="104" w:name="_Toc21426"/>
      <w:bookmarkStart w:id="105" w:name="_Toc55548524"/>
      <w:r>
        <w:rPr>
          <w:rFonts w:hint="eastAsia"/>
        </w:rPr>
        <w:t>投标文件的初审</w:t>
      </w:r>
      <w:bookmarkEnd w:id="104"/>
      <w:bookmarkEnd w:id="105"/>
    </w:p>
    <w:p w14:paraId="565F4363">
      <w:pPr>
        <w:spacing w:line="360" w:lineRule="auto"/>
        <w:ind w:firstLine="420" w:firstLineChars="200"/>
        <w:rPr>
          <w:rFonts w:asciiTheme="minorEastAsia" w:hAnsiTheme="minorEastAsia"/>
          <w:szCs w:val="21"/>
        </w:rPr>
      </w:pPr>
      <w:r>
        <w:rPr>
          <w:rFonts w:asciiTheme="minorEastAsia" w:hAnsiTheme="minorEastAsia"/>
          <w:szCs w:val="21"/>
        </w:rPr>
        <w:t>评标委员会将审查投标文件是否完整、总体编排是否有序、文件签署是否合格等。</w:t>
      </w:r>
    </w:p>
    <w:p w14:paraId="2A6CB6BF">
      <w:pPr>
        <w:spacing w:line="360" w:lineRule="auto"/>
        <w:ind w:firstLine="420" w:firstLineChars="200"/>
        <w:rPr>
          <w:rFonts w:asciiTheme="minorEastAsia" w:hAnsiTheme="minorEastAsia"/>
          <w:szCs w:val="21"/>
        </w:rPr>
      </w:pPr>
      <w:r>
        <w:rPr>
          <w:rFonts w:asciiTheme="minorEastAsia" w:hAnsiTheme="minorEastAsia"/>
          <w:szCs w:val="21"/>
        </w:rPr>
        <w:t>算术错误将按以下方法更正：若开标一览表中单价和总价相矛盾，以投标单价为准修改总价；若开标一览表内容与投标文件中明细表内容不相符的，以开标一览表为准；若用文字表示的数值与用数字表示的数值不一致，以文字表示的数值为准。如果投标人不接受对其错误的更正，其投标将被拒绝。</w:t>
      </w:r>
    </w:p>
    <w:p w14:paraId="767AE1B7">
      <w:pPr>
        <w:spacing w:line="360" w:lineRule="auto"/>
        <w:ind w:firstLine="420" w:firstLineChars="200"/>
        <w:rPr>
          <w:rFonts w:asciiTheme="minorEastAsia" w:hAnsiTheme="minorEastAsia"/>
          <w:szCs w:val="21"/>
        </w:rPr>
      </w:pPr>
      <w:r>
        <w:rPr>
          <w:rFonts w:asciiTheme="minorEastAsia" w:hAnsiTheme="minorEastAsia"/>
          <w:szCs w:val="21"/>
        </w:rPr>
        <w:t>投标文件中的缺漏项将按以下方法更正：以所有投标报价中该项最高报价核算其缺漏项金额，缺漏项金额大于或等于其投标总价的1%时，视为重大投标漏项，该投标作</w:t>
      </w:r>
      <w:r>
        <w:rPr>
          <w:rFonts w:hint="eastAsia" w:asciiTheme="minorEastAsia" w:hAnsiTheme="minorEastAsia"/>
          <w:szCs w:val="21"/>
        </w:rPr>
        <w:t>投标无效</w:t>
      </w:r>
      <w:r>
        <w:rPr>
          <w:rFonts w:asciiTheme="minorEastAsia" w:hAnsiTheme="minorEastAsia"/>
          <w:szCs w:val="21"/>
        </w:rPr>
        <w:t>处理；缺漏项金额小于其投标总价的1%时，评标委员会将视为其投标总价已包括缺漏项内容，若其中标，有关该内容的合同价格不予调整，但评标时将对该投标作不利的评标价调整或评审分数量化。如果投标人不接受对其错误的更正，其投标将被拒绝。</w:t>
      </w:r>
    </w:p>
    <w:p w14:paraId="0EB6FFA9">
      <w:pPr>
        <w:spacing w:line="360" w:lineRule="auto"/>
        <w:ind w:firstLine="420" w:firstLineChars="200"/>
        <w:rPr>
          <w:rFonts w:asciiTheme="minorEastAsia" w:hAnsiTheme="minorEastAsia"/>
          <w:szCs w:val="21"/>
        </w:rPr>
      </w:pPr>
      <w:r>
        <w:rPr>
          <w:rFonts w:asciiTheme="minorEastAsia" w:hAnsiTheme="minorEastAsia"/>
          <w:szCs w:val="21"/>
        </w:rPr>
        <w:t>对于投标文件中不构成实质性偏差的不正规、不一致或不规则，评标委员会可以接受，但这种接受不能损害或影响任何投标人的相对排序。</w:t>
      </w:r>
    </w:p>
    <w:p w14:paraId="304FAD74">
      <w:pPr>
        <w:spacing w:line="360" w:lineRule="auto"/>
        <w:ind w:firstLine="420" w:firstLineChars="200"/>
        <w:rPr>
          <w:rFonts w:asciiTheme="minorEastAsia" w:hAnsiTheme="minorEastAsia"/>
          <w:szCs w:val="21"/>
        </w:rPr>
      </w:pPr>
      <w:r>
        <w:rPr>
          <w:rFonts w:asciiTheme="minorEastAsia" w:hAnsiTheme="minorEastAsia"/>
          <w:szCs w:val="21"/>
        </w:rPr>
        <w:t>在详细评审之前，评标委员将会审查每份投标文件是否实质上响应了招标文件的要求。实质上响应的投标是与招标文件要求的关键条款、条件和规格相符，没有重大偏离的投标。例如关于投标保证金、投标人资格要求、关键技术指标要求、投标报价要求和评标标准等。评标委员会审查投标的响应性只根据投标文件本身的内容，而不寻求外部的证据。</w:t>
      </w:r>
    </w:p>
    <w:p w14:paraId="03BE7DD1">
      <w:pPr>
        <w:spacing w:line="360" w:lineRule="auto"/>
        <w:ind w:firstLine="420" w:firstLineChars="200"/>
        <w:rPr>
          <w:rFonts w:asciiTheme="minorEastAsia" w:hAnsiTheme="minorEastAsia"/>
          <w:szCs w:val="21"/>
        </w:rPr>
      </w:pPr>
      <w:bookmarkStart w:id="106" w:name="_Ref179619330"/>
      <w:r>
        <w:rPr>
          <w:rFonts w:asciiTheme="minorEastAsia" w:hAnsiTheme="minorEastAsia"/>
          <w:szCs w:val="21"/>
        </w:rPr>
        <w:t>实质上没有响应招标文件要求的投标将被作</w:t>
      </w:r>
      <w:r>
        <w:rPr>
          <w:rFonts w:hint="eastAsia" w:asciiTheme="minorEastAsia" w:hAnsiTheme="minorEastAsia"/>
          <w:szCs w:val="21"/>
        </w:rPr>
        <w:t>投标无效</w:t>
      </w:r>
      <w:r>
        <w:rPr>
          <w:rFonts w:asciiTheme="minorEastAsia" w:hAnsiTheme="minorEastAsia"/>
          <w:szCs w:val="21"/>
        </w:rPr>
        <w:t>处理。投标人不得通过修正或撤销不合要求的偏离或保留从而使其投标成为实质上响应的投标。评标委员会评审中，发现下列情况之一的，其投标将作</w:t>
      </w:r>
      <w:r>
        <w:rPr>
          <w:rFonts w:hint="eastAsia" w:asciiTheme="minorEastAsia" w:hAnsiTheme="minorEastAsia"/>
          <w:szCs w:val="21"/>
        </w:rPr>
        <w:t>投标无效</w:t>
      </w:r>
      <w:r>
        <w:rPr>
          <w:rFonts w:asciiTheme="minorEastAsia" w:hAnsiTheme="minorEastAsia"/>
          <w:szCs w:val="21"/>
        </w:rPr>
        <w:t>处理：</w:t>
      </w:r>
      <w:bookmarkEnd w:id="106"/>
    </w:p>
    <w:p w14:paraId="6AA742B6">
      <w:pPr>
        <w:spacing w:line="360" w:lineRule="auto"/>
        <w:ind w:firstLine="420" w:firstLineChars="200"/>
        <w:rPr>
          <w:rFonts w:asciiTheme="minorEastAsia" w:hAnsiTheme="minorEastAsia"/>
          <w:szCs w:val="21"/>
        </w:rPr>
      </w:pPr>
      <w:bookmarkStart w:id="107" w:name="_Ref179621189"/>
      <w:r>
        <w:rPr>
          <w:rFonts w:asciiTheme="minorEastAsia" w:hAnsiTheme="minorEastAsia"/>
          <w:szCs w:val="21"/>
        </w:rPr>
        <w:t>符合性检查</w:t>
      </w:r>
      <w:bookmarkEnd w:id="107"/>
    </w:p>
    <w:p w14:paraId="0D00C659">
      <w:pPr>
        <w:spacing w:line="360" w:lineRule="auto"/>
        <w:ind w:firstLine="422" w:firstLineChars="200"/>
        <w:rPr>
          <w:rFonts w:asciiTheme="minorEastAsia" w:hAnsiTheme="minorEastAsia"/>
          <w:b/>
          <w:szCs w:val="21"/>
        </w:rPr>
      </w:pPr>
      <w:bookmarkStart w:id="108" w:name="_Toc5963"/>
      <w:bookmarkStart w:id="109" w:name="_Toc2459"/>
      <w:bookmarkStart w:id="110" w:name="_Toc1347"/>
      <w:bookmarkStart w:id="111" w:name="_Toc13273"/>
      <w:bookmarkStart w:id="112" w:name="_Toc32392"/>
      <w:bookmarkStart w:id="113" w:name="_Toc25993"/>
      <w:bookmarkStart w:id="114" w:name="_Toc385"/>
      <w:r>
        <w:rPr>
          <w:rFonts w:asciiTheme="minorEastAsia" w:hAnsiTheme="minorEastAsia"/>
          <w:b/>
          <w:szCs w:val="21"/>
        </w:rPr>
        <w:t>1) 投标文件的有效性、完整性瑕疵</w:t>
      </w:r>
      <w:bookmarkEnd w:id="108"/>
      <w:bookmarkEnd w:id="109"/>
      <w:bookmarkEnd w:id="110"/>
      <w:bookmarkEnd w:id="111"/>
      <w:bookmarkEnd w:id="112"/>
      <w:bookmarkEnd w:id="113"/>
      <w:bookmarkEnd w:id="114"/>
    </w:p>
    <w:p w14:paraId="2182E545">
      <w:pPr>
        <w:spacing w:line="360" w:lineRule="auto"/>
        <w:ind w:firstLine="420" w:firstLineChars="200"/>
        <w:rPr>
          <w:rFonts w:asciiTheme="minorEastAsia" w:hAnsiTheme="minorEastAsia"/>
          <w:szCs w:val="21"/>
        </w:rPr>
      </w:pPr>
      <w:r>
        <w:rPr>
          <w:rFonts w:asciiTheme="minorEastAsia" w:hAnsiTheme="minorEastAsia"/>
          <w:szCs w:val="21"/>
        </w:rPr>
        <w:t>包括但不限于：</w:t>
      </w:r>
      <w:r>
        <w:rPr>
          <w:rFonts w:hint="eastAsia" w:cs="宋体" w:asciiTheme="minorEastAsia" w:hAnsiTheme="minorEastAsia"/>
          <w:szCs w:val="21"/>
        </w:rPr>
        <w:t>①</w:t>
      </w:r>
      <w:r>
        <w:rPr>
          <w:rFonts w:asciiTheme="minorEastAsia" w:hAnsiTheme="minorEastAsia"/>
          <w:szCs w:val="21"/>
        </w:rPr>
        <w:t>投标文件的数量、制作、密封、标记不符合要求；</w:t>
      </w:r>
      <w:r>
        <w:rPr>
          <w:rFonts w:hint="eastAsia" w:cs="宋体" w:asciiTheme="minorEastAsia" w:hAnsiTheme="minorEastAsia"/>
          <w:szCs w:val="21"/>
        </w:rPr>
        <w:t>②</w:t>
      </w:r>
      <w:r>
        <w:rPr>
          <w:rFonts w:asciiTheme="minorEastAsia" w:hAnsiTheme="minorEastAsia"/>
          <w:szCs w:val="21"/>
        </w:rPr>
        <w:t>投标文件无法定代表人或其授权代表签字，或签字人无法定代表人有效授权的；</w:t>
      </w:r>
      <w:r>
        <w:rPr>
          <w:rFonts w:hint="eastAsia" w:cs="宋体" w:asciiTheme="minorEastAsia" w:hAnsiTheme="minorEastAsia"/>
          <w:szCs w:val="21"/>
        </w:rPr>
        <w:t>③</w:t>
      </w:r>
      <w:r>
        <w:rPr>
          <w:rFonts w:asciiTheme="minorEastAsia" w:hAnsiTheme="minorEastAsia"/>
          <w:szCs w:val="21"/>
        </w:rPr>
        <w:t>签字盖章不符合招标文件要求的；</w:t>
      </w:r>
      <w:r>
        <w:rPr>
          <w:rFonts w:hint="eastAsia" w:cs="宋体" w:asciiTheme="minorEastAsia" w:hAnsiTheme="minorEastAsia"/>
          <w:szCs w:val="21"/>
        </w:rPr>
        <w:t>④</w:t>
      </w:r>
      <w:r>
        <w:rPr>
          <w:rFonts w:asciiTheme="minorEastAsia" w:hAnsiTheme="minorEastAsia"/>
          <w:szCs w:val="21"/>
        </w:rPr>
        <w:t>投标文件内容有严重缺漏项的；</w:t>
      </w:r>
      <w:r>
        <w:rPr>
          <w:rFonts w:hint="eastAsia" w:cs="宋体" w:asciiTheme="minorEastAsia" w:hAnsiTheme="minorEastAsia"/>
          <w:szCs w:val="21"/>
        </w:rPr>
        <w:t>⑤</w:t>
      </w:r>
      <w:r>
        <w:rPr>
          <w:rFonts w:asciiTheme="minorEastAsia" w:hAnsiTheme="minorEastAsia"/>
          <w:szCs w:val="21"/>
        </w:rPr>
        <w:t>投标报价有严重缺漏项的；</w:t>
      </w:r>
      <w:r>
        <w:rPr>
          <w:rFonts w:hint="eastAsia" w:cs="宋体" w:asciiTheme="minorEastAsia" w:hAnsiTheme="minorEastAsia"/>
          <w:szCs w:val="21"/>
        </w:rPr>
        <w:t>⑥</w:t>
      </w:r>
      <w:r>
        <w:rPr>
          <w:rFonts w:asciiTheme="minorEastAsia" w:hAnsiTheme="minorEastAsia"/>
          <w:szCs w:val="21"/>
        </w:rPr>
        <w:t>投标文件的关键内容字迹模糊、无法辨认的</w:t>
      </w:r>
      <w:r>
        <w:rPr>
          <w:rFonts w:hint="eastAsia" w:asciiTheme="minorEastAsia" w:hAnsiTheme="minorEastAsia"/>
          <w:szCs w:val="21"/>
        </w:rPr>
        <w:t>；</w:t>
      </w:r>
      <w:r>
        <w:rPr>
          <w:rFonts w:hint="eastAsia" w:cs="宋体" w:asciiTheme="minorEastAsia" w:hAnsiTheme="minorEastAsia"/>
          <w:szCs w:val="21"/>
        </w:rPr>
        <w:t>⑦</w:t>
      </w:r>
      <w:r>
        <w:rPr>
          <w:rFonts w:hint="eastAsia" w:asciiTheme="minorEastAsia" w:hAnsiTheme="minorEastAsia"/>
          <w:szCs w:val="21"/>
        </w:rPr>
        <w:t>未按招标文件要求编制。</w:t>
      </w:r>
    </w:p>
    <w:p w14:paraId="7ABDDDED">
      <w:pPr>
        <w:spacing w:line="360" w:lineRule="auto"/>
        <w:ind w:firstLine="422" w:firstLineChars="200"/>
        <w:rPr>
          <w:rFonts w:asciiTheme="minorEastAsia" w:hAnsiTheme="minorEastAsia"/>
          <w:b/>
          <w:szCs w:val="21"/>
        </w:rPr>
      </w:pPr>
      <w:bookmarkStart w:id="115" w:name="_Toc4787"/>
      <w:bookmarkStart w:id="116" w:name="_Toc29078"/>
      <w:bookmarkStart w:id="117" w:name="_Toc6513"/>
      <w:bookmarkStart w:id="118" w:name="_Toc31066"/>
      <w:bookmarkStart w:id="119" w:name="_Toc24825"/>
      <w:bookmarkStart w:id="120" w:name="_Toc17493"/>
      <w:bookmarkStart w:id="121" w:name="_Toc30904"/>
      <w:r>
        <w:rPr>
          <w:rFonts w:asciiTheme="minorEastAsia" w:hAnsiTheme="minorEastAsia"/>
          <w:b/>
          <w:szCs w:val="21"/>
        </w:rPr>
        <w:t>2) 技术响应瑕疵</w:t>
      </w:r>
      <w:bookmarkEnd w:id="115"/>
      <w:bookmarkEnd w:id="116"/>
      <w:bookmarkEnd w:id="117"/>
      <w:bookmarkEnd w:id="118"/>
      <w:bookmarkEnd w:id="119"/>
      <w:bookmarkEnd w:id="120"/>
      <w:bookmarkEnd w:id="121"/>
    </w:p>
    <w:p w14:paraId="469C9986">
      <w:pPr>
        <w:spacing w:line="360" w:lineRule="auto"/>
        <w:ind w:firstLine="420" w:firstLineChars="200"/>
        <w:rPr>
          <w:rFonts w:asciiTheme="minorEastAsia" w:hAnsiTheme="minorEastAsia"/>
          <w:szCs w:val="21"/>
        </w:rPr>
      </w:pPr>
      <w:r>
        <w:rPr>
          <w:rFonts w:asciiTheme="minorEastAsia" w:hAnsiTheme="minorEastAsia"/>
          <w:szCs w:val="21"/>
        </w:rPr>
        <w:t>包括但不限于：</w:t>
      </w:r>
      <w:r>
        <w:rPr>
          <w:rFonts w:hint="eastAsia" w:cs="宋体" w:asciiTheme="minorEastAsia" w:hAnsiTheme="minorEastAsia"/>
          <w:szCs w:val="21"/>
        </w:rPr>
        <w:t>①</w:t>
      </w:r>
      <w:r>
        <w:rPr>
          <w:rFonts w:asciiTheme="minorEastAsia" w:hAnsiTheme="minorEastAsia"/>
          <w:szCs w:val="21"/>
        </w:rPr>
        <w:t>投标文件不满足招标文件中加注星号（</w:t>
      </w:r>
      <w:r>
        <w:rPr>
          <w:rFonts w:hint="eastAsia" w:cs="宋体" w:asciiTheme="minorEastAsia" w:hAnsiTheme="minorEastAsia"/>
          <w:szCs w:val="21"/>
        </w:rPr>
        <w:t>※</w:t>
      </w:r>
      <w:r>
        <w:rPr>
          <w:rFonts w:asciiTheme="minorEastAsia" w:hAnsiTheme="minorEastAsia"/>
          <w:szCs w:val="21"/>
        </w:rPr>
        <w:t>）的主要参数要求或加注星号的主要参数无技术资料支持的；</w:t>
      </w:r>
      <w:r>
        <w:rPr>
          <w:rFonts w:hint="eastAsia" w:cs="宋体" w:asciiTheme="minorEastAsia" w:hAnsiTheme="minorEastAsia"/>
          <w:szCs w:val="21"/>
        </w:rPr>
        <w:t>②</w:t>
      </w:r>
      <w:r>
        <w:rPr>
          <w:rFonts w:asciiTheme="minorEastAsia" w:hAnsiTheme="minorEastAsia"/>
          <w:szCs w:val="21"/>
        </w:rPr>
        <w:t>一般参数超出允许偏离的最大范围或最高项数的；</w:t>
      </w:r>
      <w:r>
        <w:rPr>
          <w:rFonts w:hint="eastAsia" w:cs="宋体" w:asciiTheme="minorEastAsia" w:hAnsiTheme="minorEastAsia"/>
          <w:szCs w:val="21"/>
        </w:rPr>
        <w:t>③</w:t>
      </w:r>
      <w:r>
        <w:rPr>
          <w:rFonts w:asciiTheme="minorEastAsia" w:hAnsiTheme="minorEastAsia"/>
          <w:szCs w:val="21"/>
        </w:rPr>
        <w:t>投标文件技术响应与事实不符或虚假投标的；</w:t>
      </w:r>
      <w:r>
        <w:rPr>
          <w:rFonts w:hint="eastAsia" w:cs="宋体" w:asciiTheme="minorEastAsia" w:hAnsiTheme="minorEastAsia"/>
          <w:szCs w:val="21"/>
        </w:rPr>
        <w:t>④</w:t>
      </w:r>
      <w:r>
        <w:rPr>
          <w:rFonts w:asciiTheme="minorEastAsia" w:hAnsiTheme="minorEastAsia"/>
          <w:szCs w:val="21"/>
        </w:rPr>
        <w:t>投标人复制招标文件的技术规格相关部分内容作为其投标文件的一部分的；</w:t>
      </w:r>
      <w:r>
        <w:rPr>
          <w:rFonts w:hint="eastAsia" w:cs="宋体" w:asciiTheme="minorEastAsia" w:hAnsiTheme="minorEastAsia"/>
          <w:szCs w:val="21"/>
        </w:rPr>
        <w:t>⑤</w:t>
      </w:r>
      <w:r>
        <w:rPr>
          <w:rFonts w:asciiTheme="minorEastAsia" w:hAnsiTheme="minorEastAsia"/>
          <w:szCs w:val="21"/>
        </w:rPr>
        <w:t>《技术规格偏离表》填写不明或不实的；</w:t>
      </w:r>
      <w:r>
        <w:rPr>
          <w:rFonts w:hint="eastAsia" w:cs="宋体" w:asciiTheme="minorEastAsia" w:hAnsiTheme="minorEastAsia"/>
          <w:szCs w:val="21"/>
        </w:rPr>
        <w:t>⑥</w:t>
      </w:r>
      <w:r>
        <w:rPr>
          <w:rFonts w:asciiTheme="minorEastAsia" w:hAnsiTheme="minorEastAsia"/>
          <w:szCs w:val="21"/>
        </w:rPr>
        <w:t>将一个包中的内容拆开投标的；</w:t>
      </w:r>
      <w:r>
        <w:rPr>
          <w:rFonts w:hint="eastAsia" w:cs="宋体" w:asciiTheme="minorEastAsia" w:hAnsiTheme="minorEastAsia"/>
          <w:szCs w:val="21"/>
        </w:rPr>
        <w:t>⑦</w:t>
      </w:r>
      <w:r>
        <w:rPr>
          <w:rFonts w:asciiTheme="minorEastAsia" w:hAnsiTheme="minorEastAsia"/>
          <w:szCs w:val="21"/>
        </w:rPr>
        <w:t>投标人对同一货物或服务投标时，同时提供两套或两套以上的投标方案的；</w:t>
      </w:r>
      <w:r>
        <w:rPr>
          <w:rFonts w:hint="eastAsia" w:cs="宋体" w:asciiTheme="minorEastAsia" w:hAnsiTheme="minorEastAsia"/>
          <w:szCs w:val="21"/>
        </w:rPr>
        <w:t>⑧</w:t>
      </w:r>
      <w:r>
        <w:rPr>
          <w:rFonts w:asciiTheme="minorEastAsia" w:hAnsiTheme="minorEastAsia"/>
          <w:szCs w:val="21"/>
        </w:rPr>
        <w:t>明显不符合技术规格、技术标准要求的；</w:t>
      </w:r>
      <w:r>
        <w:rPr>
          <w:rFonts w:hint="eastAsia" w:cs="宋体" w:asciiTheme="minorEastAsia" w:hAnsiTheme="minorEastAsia"/>
          <w:szCs w:val="21"/>
        </w:rPr>
        <w:t>⑨</w:t>
      </w:r>
      <w:r>
        <w:rPr>
          <w:rFonts w:asciiTheme="minorEastAsia" w:hAnsiTheme="minorEastAsia"/>
          <w:szCs w:val="21"/>
        </w:rPr>
        <w:t>其他未实质性响应招标文件技术要求的。</w:t>
      </w:r>
    </w:p>
    <w:p w14:paraId="2F84BAC2">
      <w:pPr>
        <w:spacing w:line="360" w:lineRule="auto"/>
        <w:ind w:firstLine="422" w:firstLineChars="200"/>
        <w:rPr>
          <w:rFonts w:asciiTheme="minorEastAsia" w:hAnsiTheme="minorEastAsia"/>
          <w:b/>
          <w:szCs w:val="21"/>
        </w:rPr>
      </w:pPr>
      <w:bookmarkStart w:id="122" w:name="_Toc6987"/>
      <w:bookmarkStart w:id="123" w:name="_Toc9317"/>
      <w:bookmarkStart w:id="124" w:name="_Toc27147"/>
      <w:bookmarkStart w:id="125" w:name="_Toc16856"/>
      <w:bookmarkStart w:id="126" w:name="_Toc19531"/>
      <w:bookmarkStart w:id="127" w:name="_Toc32692"/>
      <w:bookmarkStart w:id="128" w:name="_Toc13742"/>
      <w:r>
        <w:rPr>
          <w:rFonts w:asciiTheme="minorEastAsia" w:hAnsiTheme="minorEastAsia"/>
          <w:b/>
          <w:szCs w:val="21"/>
        </w:rPr>
        <w:t>3) 商务响应瑕疵</w:t>
      </w:r>
      <w:bookmarkEnd w:id="122"/>
      <w:bookmarkEnd w:id="123"/>
      <w:bookmarkEnd w:id="124"/>
      <w:bookmarkEnd w:id="125"/>
      <w:bookmarkEnd w:id="126"/>
      <w:bookmarkEnd w:id="127"/>
      <w:bookmarkEnd w:id="128"/>
    </w:p>
    <w:p w14:paraId="48D4872F">
      <w:pPr>
        <w:spacing w:line="360" w:lineRule="auto"/>
        <w:ind w:firstLine="420" w:firstLineChars="200"/>
        <w:rPr>
          <w:rFonts w:asciiTheme="minorEastAsia" w:hAnsiTheme="minorEastAsia"/>
          <w:szCs w:val="21"/>
        </w:rPr>
      </w:pPr>
      <w:r>
        <w:rPr>
          <w:rFonts w:asciiTheme="minorEastAsia" w:hAnsiTheme="minorEastAsia"/>
          <w:szCs w:val="21"/>
        </w:rPr>
        <w:t>包括但不限于：</w:t>
      </w:r>
      <w:r>
        <w:rPr>
          <w:rFonts w:hint="eastAsia" w:cs="宋体" w:asciiTheme="minorEastAsia" w:hAnsiTheme="minorEastAsia"/>
          <w:szCs w:val="21"/>
        </w:rPr>
        <w:t>①</w:t>
      </w:r>
      <w:r>
        <w:rPr>
          <w:rFonts w:asciiTheme="minorEastAsia" w:hAnsiTheme="minorEastAsia"/>
          <w:szCs w:val="21"/>
        </w:rPr>
        <w:t>招标文件加注星号（</w:t>
      </w:r>
      <w:r>
        <w:rPr>
          <w:rFonts w:hint="eastAsia" w:cs="宋体" w:asciiTheme="minorEastAsia" w:hAnsiTheme="minorEastAsia"/>
          <w:szCs w:val="21"/>
        </w:rPr>
        <w:t>※</w:t>
      </w:r>
      <w:r>
        <w:rPr>
          <w:rFonts w:asciiTheme="minorEastAsia" w:hAnsiTheme="minorEastAsia"/>
          <w:szCs w:val="21"/>
        </w:rPr>
        <w:t>）的商务要求负偏离的；</w:t>
      </w:r>
      <w:r>
        <w:rPr>
          <w:rFonts w:hint="eastAsia" w:cs="宋体" w:asciiTheme="minorEastAsia" w:hAnsiTheme="minorEastAsia"/>
          <w:szCs w:val="21"/>
        </w:rPr>
        <w:t>②</w:t>
      </w:r>
      <w:r>
        <w:rPr>
          <w:rFonts w:asciiTheme="minorEastAsia" w:hAnsiTheme="minorEastAsia"/>
          <w:szCs w:val="21"/>
        </w:rPr>
        <w:t>招标项目完成期未满足招标文件要求的；</w:t>
      </w:r>
      <w:r>
        <w:rPr>
          <w:rFonts w:hint="eastAsia" w:cs="宋体" w:asciiTheme="minorEastAsia" w:hAnsiTheme="minorEastAsia"/>
          <w:szCs w:val="21"/>
        </w:rPr>
        <w:t>③</w:t>
      </w:r>
      <w:r>
        <w:rPr>
          <w:rFonts w:asciiTheme="minorEastAsia" w:hAnsiTheme="minorEastAsia"/>
          <w:szCs w:val="21"/>
        </w:rPr>
        <w:t>投标文件载明的货物包装方式、检验标准和方法不符合招标文件要求的；</w:t>
      </w:r>
      <w:r>
        <w:rPr>
          <w:rFonts w:hint="eastAsia" w:cs="宋体" w:asciiTheme="minorEastAsia" w:hAnsiTheme="minorEastAsia"/>
          <w:szCs w:val="21"/>
        </w:rPr>
        <w:t>④</w:t>
      </w:r>
      <w:r>
        <w:rPr>
          <w:rFonts w:asciiTheme="minorEastAsia" w:hAnsiTheme="minorEastAsia"/>
          <w:szCs w:val="21"/>
        </w:rPr>
        <w:t>《商务条款偏离表》填写不明或不实的；</w:t>
      </w:r>
      <w:r>
        <w:rPr>
          <w:rFonts w:hint="eastAsia" w:cs="宋体" w:asciiTheme="minorEastAsia" w:hAnsiTheme="minorEastAsia"/>
          <w:szCs w:val="21"/>
        </w:rPr>
        <w:t>⑤</w:t>
      </w:r>
      <w:r>
        <w:rPr>
          <w:rFonts w:asciiTheme="minorEastAsia" w:hAnsiTheme="minorEastAsia"/>
          <w:szCs w:val="21"/>
        </w:rPr>
        <w:t>投标文件附有招标人不能接受的条件的；</w:t>
      </w:r>
      <w:r>
        <w:rPr>
          <w:rFonts w:hint="eastAsia" w:cs="宋体" w:asciiTheme="minorEastAsia" w:hAnsiTheme="minorEastAsia"/>
          <w:szCs w:val="21"/>
        </w:rPr>
        <w:t>⑥</w:t>
      </w:r>
      <w:r>
        <w:rPr>
          <w:rFonts w:hint="eastAsia" w:asciiTheme="minorEastAsia" w:hAnsiTheme="minorEastAsia"/>
          <w:szCs w:val="21"/>
        </w:rPr>
        <w:t>投标文件中附有招标人不能接受的条件；</w:t>
      </w:r>
      <w:r>
        <w:rPr>
          <w:rFonts w:hint="eastAsia" w:cs="宋体" w:asciiTheme="minorEastAsia" w:hAnsiTheme="minorEastAsia"/>
          <w:szCs w:val="21"/>
        </w:rPr>
        <w:t>⑦</w:t>
      </w:r>
      <w:r>
        <w:rPr>
          <w:rFonts w:asciiTheme="minorEastAsia" w:hAnsiTheme="minorEastAsia"/>
          <w:szCs w:val="21"/>
        </w:rPr>
        <w:t>其他未实质性响应招标文件商务要求的。</w:t>
      </w:r>
    </w:p>
    <w:p w14:paraId="526FD488">
      <w:pPr>
        <w:spacing w:line="360" w:lineRule="auto"/>
        <w:ind w:firstLine="422" w:firstLineChars="200"/>
        <w:rPr>
          <w:rFonts w:asciiTheme="minorEastAsia" w:hAnsiTheme="minorEastAsia"/>
          <w:b/>
          <w:szCs w:val="21"/>
        </w:rPr>
      </w:pPr>
      <w:r>
        <w:rPr>
          <w:rFonts w:asciiTheme="minorEastAsia" w:hAnsiTheme="minorEastAsia"/>
          <w:b/>
          <w:szCs w:val="21"/>
        </w:rPr>
        <w:t>4）违规行为</w:t>
      </w:r>
    </w:p>
    <w:p w14:paraId="69B0EDEA">
      <w:pPr>
        <w:spacing w:line="360" w:lineRule="auto"/>
        <w:ind w:firstLine="420" w:firstLineChars="200"/>
        <w:rPr>
          <w:rFonts w:asciiTheme="minorEastAsia" w:hAnsiTheme="minorEastAsia"/>
          <w:szCs w:val="21"/>
        </w:rPr>
      </w:pPr>
      <w:r>
        <w:rPr>
          <w:rFonts w:asciiTheme="minorEastAsia" w:hAnsiTheme="minorEastAsia"/>
          <w:szCs w:val="21"/>
        </w:rPr>
        <w:t>包括但不限于：</w:t>
      </w:r>
      <w:r>
        <w:rPr>
          <w:rFonts w:hint="eastAsia" w:cs="宋体" w:asciiTheme="minorEastAsia" w:hAnsiTheme="minorEastAsia"/>
          <w:szCs w:val="21"/>
        </w:rPr>
        <w:t>①</w:t>
      </w:r>
      <w:r>
        <w:rPr>
          <w:rFonts w:asciiTheme="minorEastAsia" w:hAnsiTheme="minorEastAsia"/>
          <w:szCs w:val="21"/>
        </w:rPr>
        <w:t>以他人的名义投标、串通投标、以行贿手段谋取中标或者以其他弄虚作假方式投标的；</w:t>
      </w:r>
      <w:r>
        <w:rPr>
          <w:rFonts w:hint="eastAsia" w:cs="宋体" w:asciiTheme="minorEastAsia" w:hAnsiTheme="minorEastAsia"/>
          <w:szCs w:val="21"/>
        </w:rPr>
        <w:t>②</w:t>
      </w:r>
      <w:r>
        <w:rPr>
          <w:rFonts w:asciiTheme="minorEastAsia" w:hAnsiTheme="minorEastAsia"/>
          <w:szCs w:val="21"/>
        </w:rPr>
        <w:t>拒不按照要求对投标文件进行澄清、说明或者补正的；</w:t>
      </w:r>
      <w:r>
        <w:rPr>
          <w:rFonts w:hint="eastAsia" w:cs="宋体" w:asciiTheme="minorEastAsia" w:hAnsiTheme="minorEastAsia"/>
          <w:szCs w:val="21"/>
        </w:rPr>
        <w:t>③</w:t>
      </w:r>
      <w:r>
        <w:rPr>
          <w:rFonts w:asciiTheme="minorEastAsia" w:hAnsiTheme="minorEastAsia"/>
          <w:szCs w:val="21"/>
        </w:rPr>
        <w:t>扰乱开标、评标秩序，干扰招标工作正常进行的。</w:t>
      </w:r>
    </w:p>
    <w:p w14:paraId="4A5C7CA7">
      <w:pPr>
        <w:spacing w:line="360" w:lineRule="auto"/>
        <w:ind w:firstLine="422" w:firstLineChars="200"/>
        <w:rPr>
          <w:rFonts w:asciiTheme="minorEastAsia" w:hAnsiTheme="minorEastAsia"/>
          <w:b/>
          <w:szCs w:val="21"/>
        </w:rPr>
      </w:pPr>
      <w:r>
        <w:rPr>
          <w:rFonts w:hint="eastAsia" w:asciiTheme="minorEastAsia" w:hAnsiTheme="minorEastAsia"/>
          <w:b/>
          <w:szCs w:val="21"/>
        </w:rPr>
        <w:t>投标报价</w:t>
      </w:r>
    </w:p>
    <w:p w14:paraId="2657A5AB">
      <w:pPr>
        <w:spacing w:line="360" w:lineRule="auto"/>
        <w:ind w:firstLine="420" w:firstLineChars="200"/>
        <w:rPr>
          <w:rFonts w:asciiTheme="minorEastAsia" w:hAnsiTheme="minorEastAsia"/>
          <w:szCs w:val="21"/>
        </w:rPr>
      </w:pPr>
      <w:r>
        <w:rPr>
          <w:rFonts w:hint="eastAsia" w:asciiTheme="minorEastAsia" w:hAnsiTheme="minorEastAsia"/>
          <w:bCs/>
          <w:szCs w:val="21"/>
        </w:rPr>
        <w:t>包括但不限于：</w:t>
      </w:r>
      <w:r>
        <w:rPr>
          <w:rFonts w:hint="eastAsia" w:cs="宋体" w:asciiTheme="minorEastAsia" w:hAnsiTheme="minorEastAsia"/>
          <w:szCs w:val="21"/>
        </w:rPr>
        <w:t>①</w:t>
      </w:r>
      <w:r>
        <w:rPr>
          <w:rFonts w:hint="eastAsia" w:asciiTheme="minorEastAsia" w:hAnsiTheme="minorEastAsia"/>
          <w:szCs w:val="21"/>
        </w:rPr>
        <w:t>投标报价超出预算控制金额上限，或超过招标文件规定的最高投标限价</w:t>
      </w:r>
      <w:r>
        <w:rPr>
          <w:rFonts w:hint="eastAsia" w:cs="宋体" w:asciiTheme="minorEastAsia" w:hAnsiTheme="minorEastAsia"/>
          <w:szCs w:val="21"/>
        </w:rPr>
        <w:t>②</w:t>
      </w:r>
      <w:r>
        <w:rPr>
          <w:rFonts w:hint="eastAsia" w:asciiTheme="minorEastAsia" w:hAnsiTheme="minorEastAsia"/>
          <w:szCs w:val="21"/>
        </w:rPr>
        <w:t>选择性报价或可变动报价</w:t>
      </w:r>
      <w:r>
        <w:rPr>
          <w:rFonts w:hint="eastAsia" w:cs="宋体" w:asciiTheme="minorEastAsia" w:hAnsiTheme="minorEastAsia"/>
          <w:szCs w:val="21"/>
        </w:rPr>
        <w:t>③</w:t>
      </w:r>
      <w:r>
        <w:rPr>
          <w:rFonts w:asciiTheme="minorEastAsia" w:hAnsiTheme="minorEastAsia"/>
          <w:szCs w:val="21"/>
        </w:rPr>
        <w:t>投标人低于成本报价竞标的</w:t>
      </w:r>
    </w:p>
    <w:p w14:paraId="7D267B46">
      <w:pPr>
        <w:spacing w:line="360" w:lineRule="auto"/>
        <w:ind w:firstLine="422" w:firstLineChars="200"/>
        <w:rPr>
          <w:rFonts w:asciiTheme="minorEastAsia" w:hAnsiTheme="minorEastAsia"/>
          <w:b/>
          <w:bCs/>
          <w:szCs w:val="21"/>
        </w:rPr>
      </w:pPr>
      <w:r>
        <w:rPr>
          <w:rFonts w:hint="eastAsia" w:asciiTheme="minorEastAsia" w:hAnsiTheme="minorEastAsia"/>
          <w:b/>
          <w:bCs/>
          <w:szCs w:val="21"/>
        </w:rPr>
        <w:t>6</w:t>
      </w:r>
      <w:r>
        <w:rPr>
          <w:rFonts w:asciiTheme="minorEastAsia" w:hAnsiTheme="minorEastAsia"/>
          <w:b/>
          <w:bCs/>
          <w:szCs w:val="21"/>
        </w:rPr>
        <w:t>）法律法规及招标文件中规定的其它情形。</w:t>
      </w:r>
    </w:p>
    <w:p w14:paraId="672F18C5">
      <w:pPr>
        <w:spacing w:line="360" w:lineRule="auto"/>
        <w:ind w:firstLine="420" w:firstLineChars="200"/>
        <w:rPr>
          <w:rFonts w:asciiTheme="minorEastAsia" w:hAnsiTheme="minorEastAsia"/>
          <w:szCs w:val="21"/>
        </w:rPr>
      </w:pPr>
      <w:r>
        <w:rPr>
          <w:rFonts w:asciiTheme="minorEastAsia" w:hAnsiTheme="minorEastAsia"/>
          <w:szCs w:val="21"/>
        </w:rPr>
        <w:t>根据项目情况，评标委员会有权决定招标文件中“可能导致</w:t>
      </w:r>
      <w:r>
        <w:rPr>
          <w:rFonts w:hint="eastAsia" w:asciiTheme="minorEastAsia" w:hAnsiTheme="minorEastAsia"/>
          <w:szCs w:val="21"/>
        </w:rPr>
        <w:t>投标无效</w:t>
      </w:r>
      <w:r>
        <w:rPr>
          <w:rFonts w:asciiTheme="minorEastAsia" w:hAnsiTheme="minorEastAsia"/>
          <w:szCs w:val="21"/>
        </w:rPr>
        <w:t>”或“可能导致其投标被拒绝”等具体条款是否实施“</w:t>
      </w:r>
      <w:r>
        <w:rPr>
          <w:rFonts w:hint="eastAsia" w:asciiTheme="minorEastAsia" w:hAnsiTheme="minorEastAsia"/>
          <w:szCs w:val="21"/>
        </w:rPr>
        <w:t>投标无效</w:t>
      </w:r>
      <w:r>
        <w:rPr>
          <w:rFonts w:asciiTheme="minorEastAsia" w:hAnsiTheme="minorEastAsia"/>
          <w:szCs w:val="21"/>
        </w:rPr>
        <w:t>”或“投标被拒绝”，但对同一条款的裁决应适用于每个投标人。</w:t>
      </w:r>
    </w:p>
    <w:p w14:paraId="593B03BB">
      <w:pPr>
        <w:pStyle w:val="5"/>
        <w:spacing w:line="360" w:lineRule="auto"/>
        <w:ind w:firstLine="482"/>
      </w:pPr>
      <w:bookmarkStart w:id="129" w:name="_Toc55548525"/>
      <w:bookmarkStart w:id="130" w:name="_Toc7255"/>
      <w:r>
        <w:rPr>
          <w:rFonts w:hint="eastAsia"/>
        </w:rPr>
        <w:t>评标方法和定标原则</w:t>
      </w:r>
      <w:bookmarkEnd w:id="129"/>
      <w:bookmarkEnd w:id="130"/>
    </w:p>
    <w:p w14:paraId="6CD238DB">
      <w:pPr>
        <w:spacing w:line="360" w:lineRule="auto"/>
        <w:ind w:firstLine="420" w:firstLineChars="200"/>
        <w:rPr>
          <w:rFonts w:asciiTheme="minorEastAsia" w:hAnsiTheme="minorEastAsia"/>
          <w:szCs w:val="21"/>
        </w:rPr>
      </w:pPr>
      <w:r>
        <w:rPr>
          <w:rFonts w:asciiTheme="minorEastAsia" w:hAnsiTheme="minorEastAsia"/>
          <w:szCs w:val="21"/>
        </w:rPr>
        <w:t>最低评标价法</w:t>
      </w:r>
    </w:p>
    <w:p w14:paraId="16160DB9">
      <w:pPr>
        <w:spacing w:line="360" w:lineRule="auto"/>
        <w:ind w:firstLine="420" w:firstLineChars="200"/>
        <w:rPr>
          <w:rFonts w:asciiTheme="minorEastAsia" w:hAnsiTheme="minorEastAsia"/>
          <w:szCs w:val="21"/>
        </w:rPr>
      </w:pPr>
      <w:r>
        <w:rPr>
          <w:rFonts w:asciiTheme="minorEastAsia" w:hAnsiTheme="minorEastAsia"/>
          <w:szCs w:val="21"/>
        </w:rPr>
        <w:t>最低评标价法，是指以价格因素确定中标候选人的评标方法，即在满足招标文件实质性要求前提下，以报价最低的投标供应商作为中标候选人或中标人。完全满足招标文件的实质性要求，按照报价由低到高的顺序，依据招标文件中规定的数量或者比例推荐候选中标供应商。</w:t>
      </w:r>
    </w:p>
    <w:p w14:paraId="3D89A152">
      <w:pPr>
        <w:spacing w:line="360" w:lineRule="auto"/>
        <w:ind w:firstLine="420" w:firstLineChars="200"/>
        <w:rPr>
          <w:rFonts w:asciiTheme="minorEastAsia" w:hAnsiTheme="minorEastAsia"/>
          <w:szCs w:val="21"/>
        </w:rPr>
      </w:pPr>
      <w:r>
        <w:rPr>
          <w:rFonts w:asciiTheme="minorEastAsia" w:hAnsiTheme="minorEastAsia"/>
          <w:szCs w:val="21"/>
        </w:rPr>
        <w:t>中标人的投标应当符合招标文件规定的资质、技术要求和标准，但评标委员会无需对投标文件的技术部分进行价格折算。</w:t>
      </w:r>
    </w:p>
    <w:p w14:paraId="389A00D9">
      <w:pPr>
        <w:spacing w:line="360" w:lineRule="auto"/>
        <w:ind w:firstLine="420" w:firstLineChars="200"/>
        <w:rPr>
          <w:rFonts w:asciiTheme="minorEastAsia" w:hAnsiTheme="minorEastAsia"/>
          <w:szCs w:val="21"/>
        </w:rPr>
      </w:pPr>
      <w:r>
        <w:rPr>
          <w:rFonts w:asciiTheme="minorEastAsia" w:hAnsiTheme="minorEastAsia"/>
          <w:szCs w:val="21"/>
        </w:rPr>
        <w:t>评标委员会将依据委托招标金额作为授予合同价格的上限。</w:t>
      </w:r>
    </w:p>
    <w:p w14:paraId="79CDB9C2">
      <w:pPr>
        <w:spacing w:line="360" w:lineRule="auto"/>
        <w:ind w:firstLine="420" w:firstLineChars="200"/>
        <w:rPr>
          <w:rFonts w:asciiTheme="minorEastAsia" w:hAnsiTheme="minorEastAsia"/>
          <w:szCs w:val="21"/>
        </w:rPr>
      </w:pPr>
      <w:r>
        <w:rPr>
          <w:rFonts w:asciiTheme="minorEastAsia" w:hAnsiTheme="minorEastAsia"/>
          <w:szCs w:val="21"/>
        </w:rPr>
        <w:t>评标委员会同时将参照本须知规定，只对确定为实质上响应招标文件要求的投标进行下一步评定。</w:t>
      </w:r>
    </w:p>
    <w:p w14:paraId="7FF0A1AF">
      <w:pPr>
        <w:spacing w:line="360" w:lineRule="auto"/>
        <w:ind w:firstLine="420" w:firstLineChars="200"/>
        <w:rPr>
          <w:rFonts w:asciiTheme="minorEastAsia" w:hAnsiTheme="minorEastAsia"/>
          <w:szCs w:val="21"/>
        </w:rPr>
      </w:pPr>
      <w:r>
        <w:rPr>
          <w:rFonts w:asciiTheme="minorEastAsia" w:hAnsiTheme="minorEastAsia"/>
          <w:szCs w:val="21"/>
        </w:rPr>
        <w:t>定标原则</w:t>
      </w:r>
    </w:p>
    <w:p w14:paraId="6FEB842F">
      <w:pPr>
        <w:spacing w:line="360" w:lineRule="auto"/>
        <w:ind w:firstLine="420" w:firstLineChars="200"/>
        <w:rPr>
          <w:rFonts w:asciiTheme="minorEastAsia" w:hAnsiTheme="minorEastAsia"/>
          <w:szCs w:val="21"/>
        </w:rPr>
      </w:pPr>
      <w:r>
        <w:rPr>
          <w:rFonts w:asciiTheme="minorEastAsia" w:hAnsiTheme="minorEastAsia"/>
          <w:szCs w:val="21"/>
        </w:rPr>
        <w:t>通过资格性检查和符合性审查且报价不超过预算控制金额并同时具备以下条件的投标人应当确定为中标候选供应商或中标供应商：</w:t>
      </w:r>
    </w:p>
    <w:p w14:paraId="2232724E">
      <w:pPr>
        <w:spacing w:line="360" w:lineRule="auto"/>
        <w:ind w:firstLine="420" w:firstLineChars="200"/>
        <w:rPr>
          <w:rFonts w:asciiTheme="minorEastAsia" w:hAnsiTheme="minorEastAsia"/>
          <w:szCs w:val="21"/>
        </w:rPr>
      </w:pPr>
      <w:r>
        <w:rPr>
          <w:rFonts w:asciiTheme="minorEastAsia" w:hAnsiTheme="minorEastAsia"/>
          <w:szCs w:val="21"/>
        </w:rPr>
        <w:t>（一）满足招标文件实质性要求；</w:t>
      </w:r>
    </w:p>
    <w:p w14:paraId="52007068">
      <w:pPr>
        <w:spacing w:line="360" w:lineRule="auto"/>
        <w:ind w:firstLine="420" w:firstLineChars="200"/>
        <w:rPr>
          <w:rFonts w:asciiTheme="minorEastAsia" w:hAnsiTheme="minorEastAsia"/>
          <w:szCs w:val="21"/>
        </w:rPr>
      </w:pPr>
      <w:r>
        <w:rPr>
          <w:rFonts w:asciiTheme="minorEastAsia" w:hAnsiTheme="minorEastAsia"/>
          <w:szCs w:val="21"/>
        </w:rPr>
        <w:t>（二）投标的价格最低。</w:t>
      </w:r>
    </w:p>
    <w:p w14:paraId="639D4225">
      <w:pPr>
        <w:spacing w:line="360" w:lineRule="auto"/>
        <w:ind w:firstLine="420" w:firstLineChars="200"/>
        <w:rPr>
          <w:rFonts w:asciiTheme="minorEastAsia" w:hAnsiTheme="minorEastAsia"/>
          <w:szCs w:val="21"/>
        </w:rPr>
      </w:pPr>
      <w:r>
        <w:rPr>
          <w:rFonts w:asciiTheme="minorEastAsia" w:hAnsiTheme="minorEastAsia"/>
          <w:szCs w:val="21"/>
        </w:rPr>
        <w:t>按投标报价由低到高顺序排列。投标报价相同的，按技术指标优劣顺序排列。评标委员会认为，排在前面的供应商的最低投标报价或者某些分项报价明显不合理或者低于成本，有可能影响商品质量和不能诚信履约的，评标委员会应当要求其在规定的期限内提供书面文件予以解释说明，并提交相关证明材料；否则，评标委员会可以取消该投标供应商的中标资格，按顺序由排在后面的供应商递补，以此类推。</w:t>
      </w:r>
    </w:p>
    <w:p w14:paraId="3A18EDE9">
      <w:pPr>
        <w:spacing w:line="360" w:lineRule="auto"/>
        <w:ind w:firstLine="420" w:firstLineChars="200"/>
        <w:rPr>
          <w:rFonts w:asciiTheme="minorEastAsia" w:hAnsiTheme="minorEastAsia"/>
          <w:szCs w:val="21"/>
        </w:rPr>
      </w:pPr>
      <w:r>
        <w:rPr>
          <w:rFonts w:asciiTheme="minorEastAsia" w:hAnsiTheme="minorEastAsia"/>
          <w:szCs w:val="21"/>
        </w:rPr>
        <w:t>综合评分法</w:t>
      </w:r>
    </w:p>
    <w:p w14:paraId="571B2529">
      <w:pPr>
        <w:spacing w:line="360" w:lineRule="auto"/>
        <w:ind w:firstLine="420" w:firstLineChars="200"/>
        <w:rPr>
          <w:rFonts w:asciiTheme="minorEastAsia" w:hAnsiTheme="minorEastAsia"/>
          <w:szCs w:val="21"/>
        </w:rPr>
      </w:pPr>
      <w:r>
        <w:rPr>
          <w:rFonts w:asciiTheme="minorEastAsia" w:hAnsiTheme="minorEastAsia"/>
          <w:szCs w:val="21"/>
        </w:rPr>
        <w:t>综合评分法是指在最大限度满足招标文件实质性要求前提下，按照招标文件规定的各项评价因素进行量化打分，每个投标供应商的总得分应以全体评委评分加权汇总后的算术平均值确定，以评标总得分最高的投标供应商作为中标候选供应商或中标供应商的评标方法。除另有规定外，评标委员会在评标报告中，按照“N+2”的数量推荐中标候选供应商，其中N为需要的中标供应商数量。当有效供应商少于“N+2”时，全部推荐。</w:t>
      </w:r>
    </w:p>
    <w:p w14:paraId="330BF9C9">
      <w:pPr>
        <w:spacing w:line="360" w:lineRule="auto"/>
        <w:ind w:firstLine="420" w:firstLineChars="200"/>
        <w:rPr>
          <w:rFonts w:asciiTheme="minorEastAsia" w:hAnsiTheme="minorEastAsia"/>
          <w:szCs w:val="21"/>
        </w:rPr>
      </w:pPr>
      <w:r>
        <w:rPr>
          <w:rFonts w:asciiTheme="minorEastAsia" w:hAnsiTheme="minorEastAsia"/>
          <w:szCs w:val="21"/>
        </w:rPr>
        <w:t>评标委员会将依据委托招标金额作为授予合同价格的上限。</w:t>
      </w:r>
    </w:p>
    <w:p w14:paraId="49982A19">
      <w:pPr>
        <w:spacing w:line="360" w:lineRule="auto"/>
        <w:ind w:firstLine="420" w:firstLineChars="200"/>
        <w:rPr>
          <w:rFonts w:asciiTheme="minorEastAsia" w:hAnsiTheme="minorEastAsia"/>
          <w:szCs w:val="21"/>
        </w:rPr>
      </w:pPr>
      <w:r>
        <w:rPr>
          <w:rFonts w:asciiTheme="minorEastAsia" w:hAnsiTheme="minorEastAsia"/>
          <w:szCs w:val="21"/>
        </w:rPr>
        <w:t>评标委员会同时将参照本须知规定，只对确定为实质上响应招标文件要求的投标进行下一步评定。</w:t>
      </w:r>
    </w:p>
    <w:p w14:paraId="04B8A5A6">
      <w:pPr>
        <w:spacing w:line="360" w:lineRule="auto"/>
        <w:ind w:firstLine="420" w:firstLineChars="200"/>
        <w:rPr>
          <w:rFonts w:asciiTheme="minorEastAsia" w:hAnsiTheme="minorEastAsia"/>
          <w:szCs w:val="21"/>
        </w:rPr>
      </w:pPr>
      <w:bookmarkStart w:id="131" w:name="_Ref179621304"/>
      <w:r>
        <w:rPr>
          <w:rFonts w:asciiTheme="minorEastAsia" w:hAnsiTheme="minorEastAsia"/>
          <w:szCs w:val="21"/>
        </w:rPr>
        <w:t>综合评审：评标委员会按照下述公式对每个通过资格性检查和符合性检查且报价不超过预算控制金额的投标供应商进行评审、打分，然后汇总每个投标供应商每项评分因素的得分。综合评分的各项因素主要包括技术、价格和商务等内容，根据招标项目要求的不同，本项目的评分因素和权重分值见招标文件。</w:t>
      </w:r>
      <w:bookmarkEnd w:id="131"/>
    </w:p>
    <w:p w14:paraId="78F17213">
      <w:pPr>
        <w:spacing w:line="360" w:lineRule="auto"/>
        <w:ind w:firstLine="420" w:firstLineChars="200"/>
        <w:rPr>
          <w:rFonts w:asciiTheme="minorEastAsia" w:hAnsiTheme="minorEastAsia"/>
          <w:szCs w:val="21"/>
        </w:rPr>
      </w:pPr>
      <w:r>
        <w:rPr>
          <w:rFonts w:asciiTheme="minorEastAsia" w:hAnsiTheme="minorEastAsia"/>
          <w:szCs w:val="21"/>
        </w:rPr>
        <w:t>评标总得分＝（A1×J+A2×S+…An×X）；</w:t>
      </w:r>
    </w:p>
    <w:p w14:paraId="6C01CF00">
      <w:pPr>
        <w:spacing w:line="360" w:lineRule="auto"/>
        <w:ind w:firstLine="420" w:firstLineChars="200"/>
        <w:rPr>
          <w:rFonts w:asciiTheme="minorEastAsia" w:hAnsiTheme="minorEastAsia"/>
          <w:szCs w:val="21"/>
        </w:rPr>
      </w:pPr>
      <w:r>
        <w:rPr>
          <w:rFonts w:asciiTheme="minorEastAsia" w:hAnsiTheme="minorEastAsia"/>
          <w:szCs w:val="21"/>
        </w:rPr>
        <w:t>J、S、……X分别为各项评分因素，各因素满分均为100分；</w:t>
      </w:r>
    </w:p>
    <w:p w14:paraId="3A5F8E15">
      <w:pPr>
        <w:spacing w:line="360" w:lineRule="auto"/>
        <w:ind w:firstLine="420" w:firstLineChars="200"/>
        <w:rPr>
          <w:rFonts w:asciiTheme="minorEastAsia" w:hAnsiTheme="minorEastAsia"/>
          <w:szCs w:val="21"/>
        </w:rPr>
      </w:pPr>
      <w:r>
        <w:rPr>
          <w:rFonts w:asciiTheme="minorEastAsia" w:hAnsiTheme="minorEastAsia"/>
          <w:szCs w:val="21"/>
        </w:rPr>
        <w:t>A1 、A2、A3、...An分别是各项评分因素所占的权重（A1＋A2＋A3＋…＋An＝1）；</w:t>
      </w:r>
    </w:p>
    <w:p w14:paraId="173E9A36">
      <w:pPr>
        <w:spacing w:line="360" w:lineRule="auto"/>
        <w:ind w:firstLine="420" w:firstLineChars="200"/>
        <w:rPr>
          <w:rFonts w:asciiTheme="minorEastAsia" w:hAnsiTheme="minorEastAsia"/>
          <w:szCs w:val="21"/>
        </w:rPr>
      </w:pPr>
      <w:r>
        <w:rPr>
          <w:rFonts w:asciiTheme="minorEastAsia" w:hAnsiTheme="minorEastAsia"/>
          <w:szCs w:val="21"/>
        </w:rPr>
        <w:t>价格分计算方法：满足招标文件要求且投标价格最低的投标报价为评标基准价，其价格分为满分。其他投标人的价格分统一按照下列公式计算：</w:t>
      </w:r>
    </w:p>
    <w:p w14:paraId="0221683B">
      <w:pPr>
        <w:spacing w:line="360" w:lineRule="auto"/>
        <w:ind w:firstLine="420" w:firstLineChars="200"/>
        <w:rPr>
          <w:rFonts w:asciiTheme="minorEastAsia" w:hAnsiTheme="minorEastAsia"/>
          <w:szCs w:val="21"/>
        </w:rPr>
      </w:pPr>
      <w:r>
        <w:rPr>
          <w:rFonts w:asciiTheme="minorEastAsia" w:hAnsiTheme="minorEastAsia"/>
          <w:szCs w:val="21"/>
        </w:rPr>
        <w:t>投标报价得分=(评标基准价／投标报价)×价格权重×100</w:t>
      </w:r>
    </w:p>
    <w:p w14:paraId="3453B7C6">
      <w:pPr>
        <w:spacing w:line="360" w:lineRule="auto"/>
        <w:ind w:firstLine="420" w:firstLineChars="200"/>
        <w:rPr>
          <w:rFonts w:asciiTheme="minorEastAsia" w:hAnsiTheme="minorEastAsia"/>
          <w:szCs w:val="21"/>
        </w:rPr>
      </w:pPr>
      <w:r>
        <w:rPr>
          <w:rFonts w:asciiTheme="minorEastAsia" w:hAnsiTheme="minorEastAsia"/>
          <w:szCs w:val="21"/>
        </w:rPr>
        <w:t>定标原则：按评审后得分由高到低顺序排序。得分最高的投标供应商作为中标候选供应商或中标供应商。得分相同的，按投标报价由低到高排列。得分且投标报价相同的，按技术指标优劣顺序排列。</w:t>
      </w:r>
    </w:p>
    <w:p w14:paraId="7E8DACC9">
      <w:pPr>
        <w:spacing w:line="360" w:lineRule="auto"/>
        <w:ind w:firstLine="420" w:firstLineChars="200"/>
        <w:rPr>
          <w:rFonts w:asciiTheme="minorEastAsia" w:hAnsiTheme="minorEastAsia"/>
          <w:szCs w:val="21"/>
        </w:rPr>
      </w:pPr>
      <w:r>
        <w:rPr>
          <w:rFonts w:asciiTheme="minorEastAsia" w:hAnsiTheme="minorEastAsia"/>
          <w:szCs w:val="21"/>
        </w:rPr>
        <w:t>性价比法</w:t>
      </w:r>
    </w:p>
    <w:p w14:paraId="53F708B7">
      <w:pPr>
        <w:spacing w:line="360" w:lineRule="auto"/>
        <w:ind w:firstLine="420" w:firstLineChars="200"/>
        <w:rPr>
          <w:rFonts w:asciiTheme="minorEastAsia" w:hAnsiTheme="minorEastAsia"/>
          <w:szCs w:val="21"/>
        </w:rPr>
      </w:pPr>
      <w:r>
        <w:rPr>
          <w:rFonts w:asciiTheme="minorEastAsia" w:hAnsiTheme="minorEastAsia"/>
          <w:szCs w:val="21"/>
        </w:rPr>
        <w:t>性价比法，是指除价格因素外，经对投标文件进行评审，计算出各评分因素的总分，除以投标报价，以商数最高的投标供应商作为中标候选供应商或中标供应商的评标方法。</w:t>
      </w:r>
    </w:p>
    <w:p w14:paraId="76544B8E">
      <w:pPr>
        <w:spacing w:line="360" w:lineRule="auto"/>
        <w:ind w:firstLine="420" w:firstLineChars="200"/>
        <w:rPr>
          <w:rFonts w:asciiTheme="minorEastAsia" w:hAnsiTheme="minorEastAsia"/>
          <w:szCs w:val="21"/>
        </w:rPr>
      </w:pPr>
      <w:r>
        <w:rPr>
          <w:rFonts w:asciiTheme="minorEastAsia" w:hAnsiTheme="minorEastAsia"/>
          <w:szCs w:val="21"/>
        </w:rPr>
        <w:t>评标委员会将依据委托招标金额作为授予合同价格的上限。</w:t>
      </w:r>
    </w:p>
    <w:p w14:paraId="7A917F5B">
      <w:pPr>
        <w:spacing w:line="360" w:lineRule="auto"/>
        <w:ind w:firstLine="420" w:firstLineChars="200"/>
        <w:rPr>
          <w:rFonts w:asciiTheme="minorEastAsia" w:hAnsiTheme="minorEastAsia"/>
          <w:szCs w:val="21"/>
        </w:rPr>
      </w:pPr>
      <w:r>
        <w:rPr>
          <w:rFonts w:asciiTheme="minorEastAsia" w:hAnsiTheme="minorEastAsia"/>
          <w:szCs w:val="21"/>
        </w:rPr>
        <w:t>评标委员会同时将参照本须知第</w:t>
      </w:r>
      <w:r>
        <w:rPr>
          <w:rFonts w:asciiTheme="minorEastAsia" w:hAnsiTheme="minorEastAsia"/>
          <w:szCs w:val="21"/>
        </w:rPr>
        <w:fldChar w:fldCharType="begin"/>
      </w:r>
      <w:r>
        <w:rPr>
          <w:rFonts w:asciiTheme="minorEastAsia" w:hAnsiTheme="minorEastAsia"/>
          <w:szCs w:val="21"/>
        </w:rPr>
        <w:instrText xml:space="preserve"> REF _Ref179619330 \r \h  \* MERGEFORMAT </w:instrText>
      </w:r>
      <w:r>
        <w:rPr>
          <w:rFonts w:asciiTheme="minorEastAsia" w:hAnsiTheme="minorEastAsia"/>
          <w:szCs w:val="21"/>
        </w:rPr>
        <w:fldChar w:fldCharType="separate"/>
      </w:r>
      <w:r>
        <w:rPr>
          <w:rFonts w:asciiTheme="minorEastAsia" w:hAnsiTheme="minorEastAsia"/>
          <w:b/>
          <w:szCs w:val="21"/>
        </w:rPr>
        <w:t>29.6</w:t>
      </w:r>
      <w:r>
        <w:rPr>
          <w:rFonts w:asciiTheme="minorEastAsia" w:hAnsiTheme="minorEastAsia"/>
          <w:szCs w:val="21"/>
        </w:rPr>
        <w:fldChar w:fldCharType="end"/>
      </w:r>
      <w:r>
        <w:rPr>
          <w:rFonts w:asciiTheme="minorEastAsia" w:hAnsiTheme="minorEastAsia"/>
          <w:szCs w:val="21"/>
        </w:rPr>
        <w:t>条规定，只对确定为实质上响应招标文件要求的投标进行下一步评定。</w:t>
      </w:r>
    </w:p>
    <w:p w14:paraId="18412166">
      <w:pPr>
        <w:spacing w:line="360" w:lineRule="auto"/>
        <w:ind w:firstLine="420" w:firstLineChars="200"/>
        <w:rPr>
          <w:rFonts w:asciiTheme="minorEastAsia" w:hAnsiTheme="minorEastAsia"/>
          <w:szCs w:val="21"/>
        </w:rPr>
      </w:pPr>
      <w:bookmarkStart w:id="132" w:name="_Ref179621588"/>
      <w:r>
        <w:rPr>
          <w:rFonts w:asciiTheme="minorEastAsia" w:hAnsiTheme="minorEastAsia"/>
          <w:szCs w:val="21"/>
        </w:rPr>
        <w:t>综合评审：评标委员会对每个通过资格性检查和符合性检查且报价不超过预算控制金额的投标供应商进行评审、打分。综合评分的各项因素主要包括技术和商务等内容，根据招标项目要求的不同，本项目的评分因素和权重分值见招标文件。</w:t>
      </w:r>
      <w:bookmarkEnd w:id="132"/>
    </w:p>
    <w:p w14:paraId="3123427A">
      <w:pPr>
        <w:spacing w:line="360" w:lineRule="auto"/>
        <w:ind w:firstLine="420" w:firstLineChars="200"/>
        <w:rPr>
          <w:rFonts w:asciiTheme="minorEastAsia" w:hAnsiTheme="minorEastAsia"/>
          <w:szCs w:val="21"/>
        </w:rPr>
      </w:pPr>
      <w:r>
        <w:rPr>
          <w:rFonts w:asciiTheme="minorEastAsia" w:hAnsiTheme="minorEastAsia"/>
          <w:szCs w:val="21"/>
        </w:rPr>
        <w:t>计算</w:t>
      </w:r>
    </w:p>
    <w:p w14:paraId="3F5BF606">
      <w:pPr>
        <w:spacing w:line="360" w:lineRule="auto"/>
        <w:ind w:firstLine="420" w:firstLineChars="200"/>
        <w:rPr>
          <w:rFonts w:asciiTheme="minorEastAsia" w:hAnsiTheme="minorEastAsia"/>
          <w:szCs w:val="21"/>
        </w:rPr>
      </w:pPr>
      <w:r>
        <w:rPr>
          <w:rFonts w:asciiTheme="minorEastAsia" w:hAnsiTheme="minorEastAsia"/>
          <w:szCs w:val="21"/>
        </w:rPr>
        <w:t>评标总得分=Bi/Ni</w:t>
      </w:r>
    </w:p>
    <w:p w14:paraId="1E7BD64F">
      <w:pPr>
        <w:spacing w:line="360" w:lineRule="auto"/>
        <w:ind w:firstLine="420" w:firstLineChars="200"/>
        <w:rPr>
          <w:rFonts w:asciiTheme="minorEastAsia" w:hAnsiTheme="minorEastAsia"/>
          <w:szCs w:val="21"/>
        </w:rPr>
      </w:pPr>
      <w:r>
        <w:rPr>
          <w:rFonts w:asciiTheme="minorEastAsia" w:hAnsiTheme="minorEastAsia"/>
          <w:szCs w:val="21"/>
        </w:rPr>
        <w:t>Ni——为投标供应商的投标报价；</w:t>
      </w:r>
    </w:p>
    <w:p w14:paraId="39869F3B">
      <w:pPr>
        <w:spacing w:line="360" w:lineRule="auto"/>
        <w:ind w:firstLine="420" w:firstLineChars="200"/>
        <w:rPr>
          <w:rFonts w:asciiTheme="minorEastAsia" w:hAnsiTheme="minorEastAsia"/>
          <w:szCs w:val="21"/>
        </w:rPr>
      </w:pPr>
      <w:r>
        <w:rPr>
          <w:rFonts w:asciiTheme="minorEastAsia" w:hAnsiTheme="minorEastAsia"/>
          <w:szCs w:val="21"/>
        </w:rPr>
        <w:t>Bi——为投标供应商的综合得分，其中Bi＝（A1×J+A2×C+…+An×F）；</w:t>
      </w:r>
    </w:p>
    <w:p w14:paraId="57B9BD66">
      <w:pPr>
        <w:spacing w:line="360" w:lineRule="auto"/>
        <w:ind w:firstLine="420" w:firstLineChars="200"/>
        <w:rPr>
          <w:rFonts w:asciiTheme="minorEastAsia" w:hAnsiTheme="minorEastAsia"/>
          <w:szCs w:val="21"/>
        </w:rPr>
      </w:pPr>
      <w:r>
        <w:rPr>
          <w:rFonts w:asciiTheme="minorEastAsia" w:hAnsiTheme="minorEastAsia"/>
          <w:szCs w:val="21"/>
        </w:rPr>
        <w:t>J、C、……F分别为各项评分因素（技术、信誉、业绩、服务等因素），投标报价除外；各因素满分均为100分；</w:t>
      </w:r>
    </w:p>
    <w:p w14:paraId="5665D98A">
      <w:pPr>
        <w:spacing w:line="360" w:lineRule="auto"/>
        <w:ind w:firstLine="420" w:firstLineChars="200"/>
        <w:rPr>
          <w:rFonts w:asciiTheme="minorEastAsia" w:hAnsiTheme="minorEastAsia"/>
          <w:szCs w:val="21"/>
        </w:rPr>
      </w:pPr>
      <w:r>
        <w:rPr>
          <w:rFonts w:asciiTheme="minorEastAsia" w:hAnsiTheme="minorEastAsia"/>
          <w:szCs w:val="21"/>
        </w:rPr>
        <w:t>A1 、A2、A3、...An分别是各项评分因素所占的权重（A1＋A2＋A3＋…＋An＝1）；</w:t>
      </w:r>
    </w:p>
    <w:p w14:paraId="4E0CC633">
      <w:pPr>
        <w:spacing w:line="360" w:lineRule="auto"/>
        <w:ind w:firstLine="420" w:firstLineChars="200"/>
        <w:rPr>
          <w:rFonts w:asciiTheme="minorEastAsia" w:hAnsiTheme="minorEastAsia"/>
          <w:szCs w:val="21"/>
        </w:rPr>
      </w:pPr>
      <w:r>
        <w:rPr>
          <w:rFonts w:asciiTheme="minorEastAsia" w:hAnsiTheme="minorEastAsia"/>
          <w:szCs w:val="21"/>
        </w:rPr>
        <w:t>定标原则</w:t>
      </w:r>
    </w:p>
    <w:p w14:paraId="77B31048">
      <w:pPr>
        <w:spacing w:line="360" w:lineRule="auto"/>
        <w:ind w:firstLine="420" w:firstLineChars="200"/>
        <w:rPr>
          <w:rFonts w:asciiTheme="minorEastAsia" w:hAnsiTheme="minorEastAsia"/>
          <w:szCs w:val="21"/>
        </w:rPr>
      </w:pPr>
      <w:r>
        <w:rPr>
          <w:rFonts w:asciiTheme="minorEastAsia" w:hAnsiTheme="minorEastAsia"/>
          <w:szCs w:val="21"/>
        </w:rPr>
        <w:t>按商数得分由高到低顺序排列，以商数最高的投标供应商作为中标侯选供应商或中标供应商。商数得分相同的，按投标报价由低到高顺序排列。商数得分且投标报价相同的，按技术指标优劣顺序排列。</w:t>
      </w:r>
    </w:p>
    <w:p w14:paraId="7677631F">
      <w:pPr>
        <w:pStyle w:val="6"/>
        <w:ind w:firstLine="482"/>
      </w:pPr>
      <w:bookmarkStart w:id="133" w:name="_Toc12447"/>
      <w:bookmarkStart w:id="134" w:name="_Toc31060"/>
      <w:bookmarkStart w:id="135" w:name="_Toc55548528"/>
      <w:r>
        <w:t>六、授予合同</w:t>
      </w:r>
      <w:bookmarkEnd w:id="133"/>
      <w:bookmarkEnd w:id="134"/>
      <w:bookmarkEnd w:id="135"/>
    </w:p>
    <w:p w14:paraId="4F2D64AF">
      <w:pPr>
        <w:pStyle w:val="5"/>
        <w:spacing w:line="360" w:lineRule="auto"/>
        <w:ind w:firstLine="482"/>
      </w:pPr>
      <w:bookmarkStart w:id="136" w:name="_Toc4551"/>
      <w:bookmarkStart w:id="137" w:name="_Toc55548529"/>
      <w:r>
        <w:rPr>
          <w:rFonts w:hint="eastAsia"/>
        </w:rPr>
        <w:t>最终审查</w:t>
      </w:r>
      <w:bookmarkEnd w:id="136"/>
      <w:bookmarkEnd w:id="137"/>
    </w:p>
    <w:p w14:paraId="5F038BC9">
      <w:pPr>
        <w:spacing w:line="360" w:lineRule="auto"/>
        <w:ind w:firstLine="420" w:firstLineChars="200"/>
        <w:rPr>
          <w:rFonts w:asciiTheme="minorEastAsia" w:hAnsiTheme="minorEastAsia"/>
          <w:szCs w:val="21"/>
        </w:rPr>
      </w:pPr>
      <w:r>
        <w:rPr>
          <w:rFonts w:asciiTheme="minorEastAsia" w:hAnsiTheme="minorEastAsia"/>
          <w:szCs w:val="21"/>
        </w:rPr>
        <w:t>评标委员会将根据本须知列出的标准审查第一中标候选人是否有能力圆满地履行合同。</w:t>
      </w:r>
    </w:p>
    <w:p w14:paraId="0375B975">
      <w:pPr>
        <w:spacing w:line="360" w:lineRule="auto"/>
        <w:ind w:firstLine="420" w:firstLineChars="200"/>
        <w:rPr>
          <w:rFonts w:asciiTheme="minorEastAsia" w:hAnsiTheme="minorEastAsia"/>
          <w:szCs w:val="21"/>
        </w:rPr>
      </w:pPr>
      <w:r>
        <w:rPr>
          <w:rFonts w:asciiTheme="minorEastAsia" w:hAnsiTheme="minorEastAsia"/>
          <w:szCs w:val="21"/>
        </w:rPr>
        <w:t>授标决定时还将考虑投标人的财务、技术和生产能力在招标期间是否有实质性变化。其基础是审查投标人按照本须知规定提交的资格证明文件和评标委员会认为必要的、合适的其它资料。</w:t>
      </w:r>
    </w:p>
    <w:p w14:paraId="2A8528E6">
      <w:pPr>
        <w:spacing w:line="360" w:lineRule="auto"/>
        <w:ind w:firstLine="420" w:firstLineChars="200"/>
        <w:rPr>
          <w:rFonts w:asciiTheme="minorEastAsia" w:hAnsiTheme="minorEastAsia"/>
          <w:szCs w:val="21"/>
        </w:rPr>
      </w:pPr>
      <w:r>
        <w:rPr>
          <w:rFonts w:asciiTheme="minorEastAsia" w:hAnsiTheme="minorEastAsia"/>
          <w:szCs w:val="21"/>
        </w:rPr>
        <w:t>如果审查通过，评标委员会将把合同授予该投标人；如果审查没有通过，评标委员会将拒绝其投标，并对下一个中标候选人能否令人满意地履行合同作类似的审查。</w:t>
      </w:r>
    </w:p>
    <w:p w14:paraId="51FAA4DE">
      <w:pPr>
        <w:pStyle w:val="5"/>
        <w:spacing w:line="360" w:lineRule="auto"/>
        <w:ind w:firstLine="482"/>
      </w:pPr>
      <w:bookmarkStart w:id="138" w:name="_Toc9998"/>
      <w:bookmarkStart w:id="139" w:name="_Toc55548530"/>
      <w:r>
        <w:rPr>
          <w:rFonts w:hint="eastAsia"/>
        </w:rPr>
        <w:t>合同授予标准</w:t>
      </w:r>
      <w:bookmarkEnd w:id="138"/>
      <w:bookmarkEnd w:id="139"/>
    </w:p>
    <w:p w14:paraId="1C16ACC0">
      <w:pPr>
        <w:spacing w:line="360" w:lineRule="auto"/>
        <w:ind w:firstLine="420" w:firstLineChars="200"/>
        <w:rPr>
          <w:rFonts w:asciiTheme="minorEastAsia" w:hAnsiTheme="minorEastAsia"/>
          <w:szCs w:val="21"/>
        </w:rPr>
      </w:pPr>
      <w:r>
        <w:rPr>
          <w:rFonts w:asciiTheme="minorEastAsia" w:hAnsiTheme="minorEastAsia"/>
          <w:szCs w:val="21"/>
        </w:rPr>
        <w:t>评标委员会将把合同授予被确定为实质上响应招标文件的要求并有履行合同能力的最低评标价的投标人或综合评价得分最高的投标人或评标总商数最高的投标人。</w:t>
      </w:r>
    </w:p>
    <w:p w14:paraId="409CF9CA">
      <w:pPr>
        <w:pStyle w:val="5"/>
        <w:spacing w:line="360" w:lineRule="auto"/>
        <w:ind w:firstLine="482"/>
      </w:pPr>
      <w:bookmarkStart w:id="140" w:name="_Toc55548532"/>
      <w:bookmarkStart w:id="141" w:name="_Toc29853"/>
      <w:r>
        <w:rPr>
          <w:rFonts w:hint="eastAsia"/>
        </w:rPr>
        <w:t>中标结果公示</w:t>
      </w:r>
      <w:bookmarkEnd w:id="140"/>
      <w:bookmarkEnd w:id="141"/>
    </w:p>
    <w:p w14:paraId="660CC93B">
      <w:pPr>
        <w:spacing w:line="360" w:lineRule="auto"/>
        <w:ind w:firstLine="420" w:firstLineChars="200"/>
        <w:rPr>
          <w:rFonts w:asciiTheme="minorEastAsia" w:hAnsiTheme="minorEastAsia"/>
          <w:szCs w:val="21"/>
        </w:rPr>
      </w:pPr>
      <w:r>
        <w:rPr>
          <w:rFonts w:asciiTheme="minorEastAsia" w:hAnsiTheme="minorEastAsia"/>
          <w:szCs w:val="21"/>
        </w:rPr>
        <w:t>为体现“公开、公平、公正”的原则，评标结束后，将在</w:t>
      </w:r>
      <w:r>
        <w:rPr>
          <w:rFonts w:hint="eastAsia" w:asciiTheme="minorEastAsia" w:hAnsiTheme="minorEastAsia"/>
          <w:szCs w:val="21"/>
        </w:rPr>
        <w:t>https://www.bawjxt.net/baqjbyfkzzx/ (深圳市宝安区疾病预防控制中心官网)</w:t>
      </w:r>
      <w:r>
        <w:rPr>
          <w:rFonts w:asciiTheme="minorEastAsia" w:hAnsiTheme="minorEastAsia"/>
          <w:szCs w:val="21"/>
        </w:rPr>
        <w:t>进行中标结果公示，公示期为三日。投标人如对评标结果有异议，应于公示期内以书面形式提出。若在公示期内未提出异议，则视为无异议或放弃异议权。</w:t>
      </w:r>
    </w:p>
    <w:p w14:paraId="5DC1F72B">
      <w:pPr>
        <w:spacing w:line="360" w:lineRule="auto"/>
        <w:ind w:firstLine="420" w:firstLineChars="200"/>
        <w:rPr>
          <w:rFonts w:asciiTheme="minorEastAsia" w:hAnsiTheme="minorEastAsia"/>
          <w:szCs w:val="21"/>
        </w:rPr>
      </w:pPr>
      <w:r>
        <w:rPr>
          <w:rFonts w:asciiTheme="minorEastAsia" w:hAnsiTheme="minorEastAsia"/>
          <w:szCs w:val="21"/>
        </w:rPr>
        <w:t>提出质疑的投标人应保证提出质疑内容及相应证明材料的真实性及来源的合法性，并承担相应的法律责任。提供虚假情况恶意质疑投诉，情节严重的，将可能导致暂停或取消其投标资格或者投标保证金被罚没。</w:t>
      </w:r>
    </w:p>
    <w:p w14:paraId="1AB23D13">
      <w:pPr>
        <w:pStyle w:val="5"/>
        <w:spacing w:line="360" w:lineRule="auto"/>
        <w:ind w:firstLine="482"/>
      </w:pPr>
      <w:bookmarkStart w:id="142" w:name="_Toc55548533"/>
      <w:bookmarkStart w:id="143" w:name="_Toc5257"/>
      <w:bookmarkStart w:id="144" w:name="_Ref179619923"/>
      <w:r>
        <w:rPr>
          <w:rFonts w:hint="eastAsia"/>
        </w:rPr>
        <w:t>接受和拒绝任何或所有投标的权力</w:t>
      </w:r>
      <w:bookmarkEnd w:id="142"/>
      <w:bookmarkEnd w:id="143"/>
      <w:bookmarkEnd w:id="144"/>
    </w:p>
    <w:p w14:paraId="60BC212E">
      <w:pPr>
        <w:spacing w:line="360" w:lineRule="auto"/>
        <w:ind w:firstLine="420" w:firstLineChars="200"/>
        <w:rPr>
          <w:rFonts w:asciiTheme="minorEastAsia" w:hAnsiTheme="minorEastAsia"/>
          <w:szCs w:val="21"/>
        </w:rPr>
      </w:pPr>
      <w:r>
        <w:rPr>
          <w:rFonts w:asciiTheme="minorEastAsia" w:hAnsiTheme="minorEastAsia"/>
          <w:szCs w:val="21"/>
        </w:rPr>
        <w:t>在特殊情况下，招标人保留在授标之前拒绝任何投标以及宣布招标程序无效或拒绝所有投标的权力，且对受影响的投标人不承担任何责任，也无义务向受影响的投标人解释采取这一行动的理由。</w:t>
      </w:r>
    </w:p>
    <w:p w14:paraId="51B8E0D8">
      <w:pPr>
        <w:pStyle w:val="5"/>
        <w:spacing w:line="360" w:lineRule="auto"/>
        <w:ind w:firstLine="482"/>
      </w:pPr>
      <w:bookmarkStart w:id="145" w:name="_Toc55548534"/>
      <w:bookmarkStart w:id="146" w:name="_Toc1842"/>
      <w:r>
        <w:rPr>
          <w:rFonts w:hint="eastAsia"/>
        </w:rPr>
        <w:t>中标通知书</w:t>
      </w:r>
      <w:bookmarkEnd w:id="145"/>
      <w:bookmarkEnd w:id="146"/>
    </w:p>
    <w:p w14:paraId="344FCA7D">
      <w:pPr>
        <w:spacing w:line="360" w:lineRule="auto"/>
        <w:ind w:firstLine="420" w:firstLineChars="200"/>
        <w:rPr>
          <w:rFonts w:asciiTheme="minorEastAsia" w:hAnsiTheme="minorEastAsia"/>
          <w:szCs w:val="21"/>
        </w:rPr>
      </w:pPr>
      <w:r>
        <w:rPr>
          <w:rFonts w:asciiTheme="minorEastAsia" w:hAnsiTheme="minorEastAsia"/>
          <w:szCs w:val="21"/>
        </w:rPr>
        <w:t>中标人确定后，</w:t>
      </w:r>
      <w:r>
        <w:rPr>
          <w:rFonts w:hint="eastAsia" w:asciiTheme="minorEastAsia" w:hAnsiTheme="minorEastAsia"/>
          <w:szCs w:val="21"/>
        </w:rPr>
        <w:t>本中心</w:t>
      </w:r>
      <w:r>
        <w:rPr>
          <w:rFonts w:asciiTheme="minorEastAsia" w:hAnsiTheme="minorEastAsia"/>
          <w:szCs w:val="21"/>
        </w:rPr>
        <w:t>将向中标人发出《中标通知书》。</w:t>
      </w:r>
    </w:p>
    <w:p w14:paraId="20174E07">
      <w:pPr>
        <w:spacing w:line="360" w:lineRule="auto"/>
        <w:ind w:firstLine="420" w:firstLineChars="200"/>
        <w:rPr>
          <w:rFonts w:asciiTheme="minorEastAsia" w:hAnsiTheme="minorEastAsia"/>
          <w:szCs w:val="21"/>
        </w:rPr>
      </w:pPr>
      <w:r>
        <w:rPr>
          <w:rFonts w:asciiTheme="minorEastAsia" w:hAnsiTheme="minorEastAsia"/>
          <w:szCs w:val="21"/>
        </w:rPr>
        <w:t>《中标通知书》是合同的一个组成部分。</w:t>
      </w:r>
    </w:p>
    <w:p w14:paraId="2EC28CCD">
      <w:pPr>
        <w:pStyle w:val="5"/>
        <w:spacing w:line="360" w:lineRule="auto"/>
        <w:ind w:firstLine="482"/>
      </w:pPr>
      <w:bookmarkStart w:id="147" w:name="_Ref179619520"/>
      <w:bookmarkStart w:id="148" w:name="_Toc11931"/>
      <w:bookmarkStart w:id="149" w:name="_Toc55548535"/>
      <w:r>
        <w:rPr>
          <w:rFonts w:hint="eastAsia"/>
        </w:rPr>
        <w:t>签订合同</w:t>
      </w:r>
      <w:bookmarkEnd w:id="147"/>
      <w:bookmarkEnd w:id="148"/>
      <w:bookmarkEnd w:id="149"/>
    </w:p>
    <w:p w14:paraId="1C4A9406">
      <w:pPr>
        <w:spacing w:line="360" w:lineRule="auto"/>
        <w:ind w:firstLine="420" w:firstLineChars="200"/>
        <w:rPr>
          <w:rFonts w:asciiTheme="minorEastAsia" w:hAnsiTheme="minorEastAsia"/>
          <w:szCs w:val="21"/>
        </w:rPr>
      </w:pPr>
      <w:r>
        <w:rPr>
          <w:rFonts w:asciiTheme="minorEastAsia" w:hAnsiTheme="minorEastAsia"/>
          <w:szCs w:val="21"/>
        </w:rPr>
        <w:t>《中标通知书》发出后10个工作日内，中标人应按照招标文件和中标人的投标文件订立书面合同。中标人不得与招标人再订立背离合同实质性内容的其他协议。</w:t>
      </w:r>
    </w:p>
    <w:p w14:paraId="2F39BD6B">
      <w:pPr>
        <w:spacing w:line="360" w:lineRule="auto"/>
        <w:ind w:firstLine="420" w:firstLineChars="200"/>
        <w:rPr>
          <w:rFonts w:asciiTheme="minorEastAsia" w:hAnsiTheme="minorEastAsia"/>
          <w:szCs w:val="21"/>
        </w:rPr>
      </w:pPr>
      <w:r>
        <w:rPr>
          <w:rFonts w:asciiTheme="minorEastAsia" w:hAnsiTheme="minorEastAsia"/>
          <w:szCs w:val="21"/>
        </w:rPr>
        <w:t>招标文件、中标人的投标文件及其澄清文件等，均为签订合同的依据。</w:t>
      </w:r>
    </w:p>
    <w:p w14:paraId="7F6AB098">
      <w:pPr>
        <w:spacing w:line="360" w:lineRule="auto"/>
        <w:ind w:firstLine="420" w:firstLineChars="200"/>
        <w:rPr>
          <w:rFonts w:asciiTheme="minorEastAsia" w:hAnsiTheme="minorEastAsia"/>
          <w:szCs w:val="21"/>
        </w:rPr>
      </w:pPr>
      <w:r>
        <w:rPr>
          <w:rFonts w:asciiTheme="minorEastAsia" w:hAnsiTheme="minorEastAsia"/>
          <w:szCs w:val="21"/>
        </w:rPr>
        <w:t>合同签订后5个工作日内，中标人须将合同副本(合同复印件加盖中标人公章，原件核验)送</w:t>
      </w:r>
      <w:r>
        <w:rPr>
          <w:rFonts w:hint="eastAsia" w:asciiTheme="minorEastAsia" w:hAnsiTheme="minorEastAsia"/>
          <w:szCs w:val="21"/>
        </w:rPr>
        <w:t>本中心</w:t>
      </w:r>
      <w:r>
        <w:rPr>
          <w:rFonts w:asciiTheme="minorEastAsia" w:hAnsiTheme="minorEastAsia"/>
          <w:szCs w:val="21"/>
        </w:rPr>
        <w:t>存档备案。</w:t>
      </w:r>
    </w:p>
    <w:p w14:paraId="19FB6FC9">
      <w:pPr>
        <w:spacing w:line="360" w:lineRule="auto"/>
        <w:ind w:firstLine="420" w:firstLineChars="200"/>
        <w:sectPr>
          <w:pgSz w:w="11906" w:h="16838"/>
          <w:pgMar w:top="1418" w:right="1474" w:bottom="1418" w:left="1474" w:header="851" w:footer="992" w:gutter="0"/>
          <w:cols w:space="425" w:num="1"/>
          <w:docGrid w:type="lines" w:linePitch="312" w:charSpace="0"/>
        </w:sectPr>
      </w:pPr>
    </w:p>
    <w:p w14:paraId="56D4B065">
      <w:pPr>
        <w:pStyle w:val="3"/>
      </w:pPr>
      <w:bookmarkStart w:id="150" w:name="_Toc61880307"/>
      <w:bookmarkStart w:id="151" w:name="_Toc61539111"/>
      <w:r>
        <w:rPr>
          <w:rFonts w:hint="eastAsia"/>
        </w:rPr>
        <w:t>第四章  附件－投标文件格式</w:t>
      </w:r>
      <w:bookmarkEnd w:id="150"/>
      <w:bookmarkEnd w:id="151"/>
    </w:p>
    <w:p w14:paraId="744592AA">
      <w:pPr>
        <w:spacing w:line="360" w:lineRule="auto"/>
        <w:ind w:firstLine="420" w:firstLineChars="200"/>
        <w:rPr>
          <w:rFonts w:asciiTheme="minorEastAsia" w:hAnsiTheme="minorEastAsia"/>
          <w:szCs w:val="21"/>
        </w:rPr>
      </w:pPr>
      <w:r>
        <w:rPr>
          <w:rFonts w:hint="eastAsia" w:asciiTheme="minorEastAsia" w:hAnsiTheme="minorEastAsia"/>
          <w:szCs w:val="21"/>
        </w:rPr>
        <w:t>附件1：投标函格式</w:t>
      </w:r>
    </w:p>
    <w:p w14:paraId="28F76139">
      <w:pPr>
        <w:keepNext/>
        <w:keepLines/>
        <w:spacing w:before="160" w:after="170"/>
        <w:ind w:firstLine="602" w:firstLineChars="200"/>
        <w:jc w:val="center"/>
        <w:outlineLvl w:val="4"/>
        <w:rPr>
          <w:b/>
          <w:bCs/>
          <w:sz w:val="30"/>
          <w:szCs w:val="28"/>
        </w:rPr>
      </w:pPr>
      <w:bookmarkStart w:id="152" w:name="_Toc55548538"/>
      <w:r>
        <w:rPr>
          <w:rFonts w:hint="eastAsia"/>
          <w:b/>
          <w:bCs/>
          <w:sz w:val="30"/>
          <w:szCs w:val="28"/>
        </w:rPr>
        <w:t>投标函</w:t>
      </w:r>
      <w:bookmarkEnd w:id="152"/>
    </w:p>
    <w:p w14:paraId="5F1BEC47">
      <w:pPr>
        <w:spacing w:line="360" w:lineRule="auto"/>
        <w:ind w:firstLine="420" w:firstLineChars="200"/>
        <w:rPr>
          <w:rFonts w:asciiTheme="minorEastAsia" w:hAnsiTheme="minorEastAsia"/>
          <w:color w:val="000000"/>
          <w:szCs w:val="21"/>
          <w:u w:val="single"/>
        </w:rPr>
      </w:pPr>
      <w:r>
        <w:rPr>
          <w:rFonts w:hint="eastAsia" w:asciiTheme="minorEastAsia" w:hAnsiTheme="minorEastAsia"/>
          <w:color w:val="000000"/>
          <w:szCs w:val="21"/>
        </w:rPr>
        <w:t>致：</w:t>
      </w:r>
      <w:r>
        <w:rPr>
          <w:rFonts w:hint="eastAsia" w:asciiTheme="minorEastAsia" w:hAnsiTheme="minorEastAsia"/>
          <w:szCs w:val="21"/>
          <w:u w:val="single"/>
        </w:rPr>
        <w:t>深圳市宝安区疾病预防控制中心（深圳市宝安区卫生监督所）</w:t>
      </w:r>
    </w:p>
    <w:p w14:paraId="1F65CF80">
      <w:pPr>
        <w:spacing w:line="360" w:lineRule="auto"/>
        <w:ind w:firstLine="420" w:firstLineChars="200"/>
        <w:rPr>
          <w:rFonts w:asciiTheme="minorEastAsia" w:hAnsiTheme="minorEastAsia"/>
          <w:color w:val="000000"/>
          <w:szCs w:val="21"/>
        </w:rPr>
      </w:pPr>
      <w:r>
        <w:rPr>
          <w:rFonts w:hint="eastAsia" w:asciiTheme="minorEastAsia" w:hAnsiTheme="minorEastAsia"/>
          <w:color w:val="000000"/>
          <w:szCs w:val="21"/>
        </w:rPr>
        <w:t>我们收到你们组织的</w:t>
      </w:r>
      <w:r>
        <w:rPr>
          <w:rFonts w:hint="eastAsia" w:asciiTheme="minorEastAsia" w:hAnsiTheme="minorEastAsia"/>
          <w:color w:val="000000"/>
          <w:szCs w:val="21"/>
          <w:u w:val="single"/>
        </w:rPr>
        <w:t xml:space="preserve"> （项目名称） </w:t>
      </w:r>
      <w:r>
        <w:rPr>
          <w:rFonts w:hint="eastAsia" w:asciiTheme="minorEastAsia" w:hAnsiTheme="minorEastAsia"/>
          <w:color w:val="000000"/>
          <w:szCs w:val="21"/>
        </w:rPr>
        <w:t xml:space="preserve">招标文件，经详细研究，我们决定参加该项目 </w:t>
      </w:r>
      <w:r>
        <w:rPr>
          <w:rFonts w:hint="eastAsia" w:asciiTheme="minorEastAsia" w:hAnsiTheme="minorEastAsia"/>
          <w:color w:val="000000"/>
          <w:szCs w:val="21"/>
          <w:u w:val="single"/>
        </w:rPr>
        <w:t xml:space="preserve">（项目编号） </w:t>
      </w:r>
      <w:r>
        <w:rPr>
          <w:rFonts w:hint="eastAsia" w:asciiTheme="minorEastAsia" w:hAnsiTheme="minorEastAsia"/>
          <w:color w:val="000000"/>
          <w:szCs w:val="21"/>
        </w:rPr>
        <w:t xml:space="preserve"> 招标的有关活动，并投标。为此，我方谨郑重声明以下诸点，并对之负法律责任。</w:t>
      </w:r>
    </w:p>
    <w:p w14:paraId="2324EEB2">
      <w:pPr>
        <w:spacing w:line="360" w:lineRule="auto"/>
        <w:ind w:firstLine="420" w:firstLineChars="200"/>
        <w:rPr>
          <w:rFonts w:asciiTheme="minorEastAsia" w:hAnsiTheme="minorEastAsia"/>
          <w:color w:val="000000"/>
          <w:szCs w:val="21"/>
        </w:rPr>
      </w:pPr>
      <w:r>
        <w:rPr>
          <w:rFonts w:hint="eastAsia" w:asciiTheme="minorEastAsia" w:hAnsiTheme="minorEastAsia"/>
          <w:color w:val="000000"/>
          <w:szCs w:val="21"/>
        </w:rPr>
        <w:t>1、我方愿以《开标一览表》中填写的投标总价并按照招标文件中的一切要求，承担上述项目的全部工作。</w:t>
      </w:r>
    </w:p>
    <w:p w14:paraId="5009749B">
      <w:pPr>
        <w:spacing w:line="360" w:lineRule="auto"/>
        <w:ind w:firstLine="420" w:firstLineChars="200"/>
        <w:rPr>
          <w:rFonts w:asciiTheme="minorEastAsia" w:hAnsiTheme="minorEastAsia"/>
          <w:color w:val="000000"/>
          <w:szCs w:val="21"/>
        </w:rPr>
      </w:pPr>
      <w:r>
        <w:rPr>
          <w:rFonts w:hint="eastAsia" w:asciiTheme="minorEastAsia" w:hAnsiTheme="minorEastAsia"/>
          <w:color w:val="000000"/>
          <w:szCs w:val="21"/>
        </w:rPr>
        <w:t>2、我方提交的投标文件为：投标书正本一份，副本二份，电子档文件一份。</w:t>
      </w:r>
    </w:p>
    <w:p w14:paraId="02E7DB5B">
      <w:pPr>
        <w:spacing w:line="360" w:lineRule="auto"/>
        <w:ind w:firstLine="420" w:firstLineChars="200"/>
        <w:rPr>
          <w:rFonts w:asciiTheme="minorEastAsia" w:hAnsiTheme="minorEastAsia"/>
          <w:color w:val="000000"/>
          <w:szCs w:val="21"/>
        </w:rPr>
      </w:pPr>
      <w:r>
        <w:rPr>
          <w:rFonts w:hint="eastAsia" w:asciiTheme="minorEastAsia" w:hAnsiTheme="minorEastAsia"/>
          <w:color w:val="000000"/>
          <w:szCs w:val="21"/>
        </w:rPr>
        <w:t>3、如果我们投标书被接受，我们将履行招标文件中规定的每一项要求，按期、按质、按量完成任务。</w:t>
      </w:r>
    </w:p>
    <w:p w14:paraId="722026C2">
      <w:pPr>
        <w:spacing w:line="360" w:lineRule="auto"/>
        <w:ind w:firstLine="420" w:firstLineChars="200"/>
        <w:rPr>
          <w:rFonts w:asciiTheme="minorEastAsia" w:hAnsiTheme="minorEastAsia"/>
          <w:color w:val="000000"/>
          <w:szCs w:val="21"/>
        </w:rPr>
      </w:pPr>
      <w:r>
        <w:rPr>
          <w:rFonts w:hint="eastAsia" w:asciiTheme="minorEastAsia" w:hAnsiTheme="minorEastAsia"/>
          <w:color w:val="000000"/>
          <w:szCs w:val="21"/>
        </w:rPr>
        <w:t>4、我们愿意提供招标文件中要求的所有资料，且所递交的投标文件在投标有效期（即90天）内有效，在此期间内我方的投标有可能中标，我方将受此约束。</w:t>
      </w:r>
    </w:p>
    <w:p w14:paraId="7F8EBC7D">
      <w:pPr>
        <w:spacing w:line="360" w:lineRule="auto"/>
        <w:ind w:firstLine="420" w:firstLineChars="200"/>
        <w:rPr>
          <w:rFonts w:asciiTheme="minorEastAsia" w:hAnsiTheme="minorEastAsia"/>
          <w:color w:val="000000"/>
          <w:szCs w:val="21"/>
        </w:rPr>
      </w:pPr>
      <w:r>
        <w:rPr>
          <w:rFonts w:hint="eastAsia" w:asciiTheme="minorEastAsia" w:hAnsiTheme="minorEastAsia"/>
          <w:color w:val="000000"/>
          <w:szCs w:val="21"/>
        </w:rPr>
        <w:t>5、我们理解，最低报价不是中标的唯一条件。我们认为你们有选择或拒绝任何投标者中标的权利。</w:t>
      </w:r>
    </w:p>
    <w:p w14:paraId="772EC467">
      <w:pPr>
        <w:spacing w:line="360" w:lineRule="auto"/>
        <w:ind w:firstLine="420" w:firstLineChars="200"/>
        <w:rPr>
          <w:rFonts w:asciiTheme="minorEastAsia" w:hAnsiTheme="minorEastAsia"/>
          <w:color w:val="000000"/>
          <w:szCs w:val="21"/>
        </w:rPr>
      </w:pPr>
      <w:r>
        <w:rPr>
          <w:rFonts w:hint="eastAsia" w:asciiTheme="minorEastAsia" w:hAnsiTheme="minorEastAsia"/>
          <w:color w:val="000000"/>
          <w:szCs w:val="21"/>
        </w:rPr>
        <w:t>6、我方愿按《中华人民共和国合同法》履行自己的全部责任。</w:t>
      </w:r>
    </w:p>
    <w:p w14:paraId="7A0FEC26">
      <w:pPr>
        <w:spacing w:line="360" w:lineRule="auto"/>
        <w:ind w:firstLine="420" w:firstLineChars="200"/>
        <w:rPr>
          <w:rFonts w:asciiTheme="minorEastAsia" w:hAnsiTheme="minorEastAsia"/>
          <w:color w:val="000000"/>
          <w:szCs w:val="21"/>
        </w:rPr>
      </w:pPr>
      <w:r>
        <w:rPr>
          <w:rFonts w:hint="eastAsia" w:asciiTheme="minorEastAsia" w:hAnsiTheme="minorEastAsia"/>
          <w:color w:val="000000"/>
          <w:szCs w:val="21"/>
        </w:rPr>
        <w:t>7、我们同意招标文件之规定，遵守有关招标的各项规定。</w:t>
      </w:r>
    </w:p>
    <w:p w14:paraId="15E2DA54">
      <w:pPr>
        <w:spacing w:line="360" w:lineRule="auto"/>
        <w:ind w:firstLine="420" w:firstLineChars="200"/>
        <w:rPr>
          <w:rFonts w:asciiTheme="minorEastAsia" w:hAnsiTheme="minorEastAsia"/>
          <w:color w:val="000000"/>
          <w:szCs w:val="21"/>
        </w:rPr>
      </w:pPr>
      <w:r>
        <w:rPr>
          <w:rFonts w:asciiTheme="minorEastAsia" w:hAnsiTheme="minorEastAsia"/>
          <w:color w:val="000000"/>
          <w:szCs w:val="21"/>
        </w:rPr>
        <w:t>8</w:t>
      </w:r>
      <w:r>
        <w:rPr>
          <w:rFonts w:hint="eastAsia" w:asciiTheme="minorEastAsia" w:hAnsiTheme="minorEastAsia"/>
          <w:color w:val="000000"/>
          <w:szCs w:val="21"/>
        </w:rPr>
        <w:t>、所有有关本标书的函电，请按下列地址联系：</w:t>
      </w:r>
    </w:p>
    <w:p w14:paraId="2DE17445">
      <w:pPr>
        <w:spacing w:line="360" w:lineRule="auto"/>
        <w:ind w:firstLine="420" w:firstLineChars="200"/>
        <w:rPr>
          <w:rFonts w:asciiTheme="minorEastAsia" w:hAnsiTheme="minorEastAsia"/>
          <w:color w:val="000000"/>
          <w:szCs w:val="21"/>
        </w:rPr>
      </w:pPr>
    </w:p>
    <w:p w14:paraId="36828BD1">
      <w:pPr>
        <w:spacing w:line="360" w:lineRule="auto"/>
        <w:ind w:firstLine="420" w:firstLineChars="200"/>
        <w:rPr>
          <w:rFonts w:asciiTheme="minorEastAsia" w:hAnsiTheme="minorEastAsia"/>
          <w:color w:val="000000"/>
          <w:szCs w:val="21"/>
        </w:rPr>
      </w:pPr>
      <w:r>
        <w:rPr>
          <w:rFonts w:hint="eastAsia" w:asciiTheme="minorEastAsia" w:hAnsiTheme="minorEastAsia"/>
          <w:color w:val="000000"/>
          <w:szCs w:val="21"/>
        </w:rPr>
        <w:t>单    位： （盖章）</w:t>
      </w:r>
    </w:p>
    <w:p w14:paraId="2A1E93C9">
      <w:pPr>
        <w:spacing w:line="360" w:lineRule="auto"/>
        <w:ind w:firstLine="420" w:firstLineChars="200"/>
        <w:rPr>
          <w:rFonts w:asciiTheme="minorEastAsia" w:hAnsiTheme="minorEastAsia"/>
          <w:color w:val="000000"/>
          <w:szCs w:val="21"/>
        </w:rPr>
      </w:pPr>
      <w:r>
        <w:rPr>
          <w:rFonts w:hint="eastAsia" w:asciiTheme="minorEastAsia" w:hAnsiTheme="minorEastAsia"/>
          <w:color w:val="000000"/>
          <w:szCs w:val="21"/>
        </w:rPr>
        <w:t>授权代表或法人代表： （签字）</w:t>
      </w:r>
    </w:p>
    <w:p w14:paraId="7F7790DB">
      <w:pPr>
        <w:spacing w:line="360" w:lineRule="auto"/>
        <w:ind w:firstLine="420" w:firstLineChars="200"/>
        <w:rPr>
          <w:rFonts w:asciiTheme="minorEastAsia" w:hAnsiTheme="minorEastAsia"/>
          <w:color w:val="000000"/>
          <w:szCs w:val="21"/>
        </w:rPr>
      </w:pPr>
      <w:r>
        <w:rPr>
          <w:rFonts w:hint="eastAsia" w:asciiTheme="minorEastAsia" w:hAnsiTheme="minorEastAsia"/>
          <w:color w:val="000000"/>
          <w:szCs w:val="21"/>
        </w:rPr>
        <w:t xml:space="preserve">地    址： </w:t>
      </w:r>
    </w:p>
    <w:p w14:paraId="625379C5">
      <w:pPr>
        <w:spacing w:line="360" w:lineRule="auto"/>
        <w:ind w:firstLine="420" w:firstLineChars="200"/>
        <w:rPr>
          <w:rFonts w:asciiTheme="minorEastAsia" w:hAnsiTheme="minorEastAsia"/>
          <w:color w:val="000000"/>
          <w:szCs w:val="21"/>
        </w:rPr>
      </w:pPr>
      <w:r>
        <w:rPr>
          <w:rFonts w:hint="eastAsia" w:asciiTheme="minorEastAsia" w:hAnsiTheme="minorEastAsia"/>
          <w:color w:val="000000"/>
          <w:szCs w:val="21"/>
        </w:rPr>
        <w:t xml:space="preserve">电    话：     </w:t>
      </w:r>
    </w:p>
    <w:p w14:paraId="4E0DA85F">
      <w:pPr>
        <w:spacing w:line="360" w:lineRule="auto"/>
        <w:ind w:firstLine="420" w:firstLineChars="200"/>
        <w:rPr>
          <w:rFonts w:asciiTheme="minorEastAsia" w:hAnsiTheme="minorEastAsia"/>
          <w:color w:val="000000"/>
          <w:szCs w:val="21"/>
        </w:rPr>
      </w:pPr>
      <w:r>
        <w:rPr>
          <w:rFonts w:hint="eastAsia" w:asciiTheme="minorEastAsia" w:hAnsiTheme="minorEastAsia"/>
          <w:color w:val="000000"/>
          <w:szCs w:val="21"/>
        </w:rPr>
        <w:t>传    真：</w:t>
      </w:r>
    </w:p>
    <w:p w14:paraId="29CF46AB">
      <w:pPr>
        <w:spacing w:line="360" w:lineRule="auto"/>
        <w:ind w:firstLine="420" w:firstLineChars="200"/>
        <w:rPr>
          <w:rFonts w:asciiTheme="minorEastAsia" w:hAnsiTheme="minorEastAsia"/>
          <w:color w:val="000000"/>
          <w:szCs w:val="21"/>
        </w:rPr>
      </w:pPr>
      <w:r>
        <w:rPr>
          <w:rFonts w:hint="eastAsia" w:asciiTheme="minorEastAsia" w:hAnsiTheme="minorEastAsia"/>
          <w:color w:val="000000"/>
          <w:szCs w:val="21"/>
        </w:rPr>
        <w:t>邮    编：</w:t>
      </w:r>
    </w:p>
    <w:p w14:paraId="4CB1208D">
      <w:pPr>
        <w:spacing w:line="360" w:lineRule="auto"/>
        <w:ind w:firstLine="420" w:firstLineChars="200"/>
        <w:rPr>
          <w:rFonts w:asciiTheme="minorEastAsia" w:hAnsiTheme="minorEastAsia"/>
          <w:szCs w:val="21"/>
        </w:rPr>
      </w:pPr>
      <w:r>
        <w:rPr>
          <w:rFonts w:asciiTheme="minorEastAsia" w:hAnsiTheme="minorEastAsia"/>
          <w:szCs w:val="21"/>
        </w:rPr>
        <w:br w:type="page"/>
      </w:r>
      <w:r>
        <w:rPr>
          <w:rFonts w:hint="eastAsia" w:asciiTheme="minorEastAsia" w:hAnsiTheme="minorEastAsia"/>
          <w:szCs w:val="21"/>
        </w:rPr>
        <w:t>附件2：政府采购投标及履约承诺函</w:t>
      </w:r>
    </w:p>
    <w:p w14:paraId="074513C9">
      <w:pPr>
        <w:keepNext/>
        <w:keepLines/>
        <w:spacing w:before="160" w:after="170"/>
        <w:ind w:firstLine="602" w:firstLineChars="200"/>
        <w:jc w:val="center"/>
        <w:outlineLvl w:val="4"/>
        <w:rPr>
          <w:b/>
          <w:bCs/>
          <w:sz w:val="30"/>
          <w:szCs w:val="28"/>
        </w:rPr>
      </w:pPr>
      <w:bookmarkStart w:id="153" w:name="_Toc55548539"/>
      <w:bookmarkStart w:id="154" w:name="_Toc30545"/>
      <w:r>
        <w:rPr>
          <w:rFonts w:hint="eastAsia"/>
          <w:b/>
          <w:bCs/>
          <w:sz w:val="30"/>
          <w:szCs w:val="28"/>
        </w:rPr>
        <w:t>政府采购投标及履约承诺函</w:t>
      </w:r>
      <w:bookmarkEnd w:id="153"/>
    </w:p>
    <w:p w14:paraId="53F3C9A8">
      <w:pPr>
        <w:spacing w:line="360" w:lineRule="auto"/>
        <w:ind w:firstLine="420" w:firstLineChars="200"/>
        <w:rPr>
          <w:rFonts w:asciiTheme="minorEastAsia" w:hAnsiTheme="minorEastAsia"/>
          <w:szCs w:val="21"/>
        </w:rPr>
      </w:pPr>
      <w:r>
        <w:rPr>
          <w:rFonts w:hint="eastAsia" w:asciiTheme="minorEastAsia" w:hAnsiTheme="minorEastAsia"/>
          <w:szCs w:val="21"/>
        </w:rPr>
        <w:t>致：</w:t>
      </w:r>
      <w:r>
        <w:rPr>
          <w:rFonts w:hint="eastAsia" w:cs="Courier New" w:asciiTheme="minorEastAsia" w:hAnsiTheme="minorEastAsia"/>
          <w:snapToGrid w:val="0"/>
          <w:szCs w:val="21"/>
        </w:rPr>
        <w:t>深圳市宝安区疾病预防控制中心</w:t>
      </w:r>
      <w:r>
        <w:rPr>
          <w:rFonts w:hint="eastAsia" w:cs="Courier New" w:asciiTheme="minorEastAsia" w:hAnsiTheme="minorEastAsia"/>
          <w:snapToGrid w:val="0"/>
          <w:szCs w:val="21"/>
          <w:lang w:eastAsia="zh-CN"/>
        </w:rPr>
        <w:t>（</w:t>
      </w:r>
      <w:r>
        <w:rPr>
          <w:rFonts w:hint="eastAsia" w:cs="Courier New" w:asciiTheme="minorEastAsia" w:hAnsiTheme="minorEastAsia"/>
          <w:snapToGrid w:val="0"/>
          <w:szCs w:val="21"/>
          <w:lang w:val="en-US" w:eastAsia="zh-CN"/>
        </w:rPr>
        <w:t>深圳市宝安区卫生监督所</w:t>
      </w:r>
      <w:r>
        <w:rPr>
          <w:rFonts w:hint="eastAsia" w:cs="Courier New" w:asciiTheme="minorEastAsia" w:hAnsiTheme="minorEastAsia"/>
          <w:snapToGrid w:val="0"/>
          <w:szCs w:val="21"/>
          <w:lang w:eastAsia="zh-CN"/>
        </w:rPr>
        <w:t>）</w:t>
      </w:r>
    </w:p>
    <w:p w14:paraId="058176CB">
      <w:pPr>
        <w:spacing w:line="360" w:lineRule="auto"/>
        <w:ind w:right="-815" w:firstLine="420" w:firstLineChars="200"/>
        <w:rPr>
          <w:rFonts w:asciiTheme="minorEastAsia" w:hAnsiTheme="minorEastAsia"/>
          <w:szCs w:val="21"/>
        </w:rPr>
      </w:pPr>
      <w:r>
        <w:rPr>
          <w:rFonts w:hint="eastAsia" w:asciiTheme="minorEastAsia" w:hAnsiTheme="minorEastAsia"/>
          <w:szCs w:val="21"/>
        </w:rPr>
        <w:t>我公司承诺：</w:t>
      </w:r>
    </w:p>
    <w:p w14:paraId="3E52E402">
      <w:pPr>
        <w:spacing w:line="360" w:lineRule="auto"/>
        <w:ind w:firstLine="420" w:firstLineChars="200"/>
        <w:rPr>
          <w:rFonts w:asciiTheme="minorEastAsia" w:hAnsiTheme="minorEastAsia"/>
          <w:szCs w:val="21"/>
        </w:rPr>
      </w:pPr>
      <w:r>
        <w:rPr>
          <w:rFonts w:hint="eastAsia" w:asciiTheme="minorEastAsia" w:hAnsiTheme="minorEastAsia"/>
          <w:szCs w:val="21"/>
        </w:rPr>
        <w:t>1.我公司本招标项目所提供的货物或服务未侵犯知识产权。</w:t>
      </w:r>
    </w:p>
    <w:p w14:paraId="2108367F">
      <w:pPr>
        <w:spacing w:line="360" w:lineRule="auto"/>
        <w:ind w:firstLine="420" w:firstLineChars="200"/>
        <w:rPr>
          <w:rFonts w:asciiTheme="minorEastAsia" w:hAnsiTheme="minorEastAsia"/>
          <w:szCs w:val="21"/>
        </w:rPr>
      </w:pPr>
      <w:r>
        <w:rPr>
          <w:rFonts w:hint="eastAsia" w:asciiTheme="minorEastAsia" w:hAnsiTheme="minorEastAsia"/>
          <w:szCs w:val="21"/>
        </w:rPr>
        <w:t>2.我公司近三年内(成立不足三年的从成立之日起算)无行贿犯罪记录。</w:t>
      </w:r>
    </w:p>
    <w:p w14:paraId="7706E2BF">
      <w:pPr>
        <w:spacing w:line="360" w:lineRule="auto"/>
        <w:ind w:firstLine="420" w:firstLineChars="200"/>
        <w:rPr>
          <w:rFonts w:asciiTheme="minorEastAsia" w:hAnsiTheme="minorEastAsia"/>
          <w:szCs w:val="21"/>
        </w:rPr>
      </w:pPr>
      <w:r>
        <w:rPr>
          <w:rFonts w:hint="eastAsia" w:asciiTheme="minorEastAsia" w:hAnsiTheme="minorEastAsia"/>
          <w:szCs w:val="21"/>
        </w:rPr>
        <w:t>3.我公司参与本项目政府采购活动时不存在被有关部门禁止参与政府采购活动且在有效期内的情况。</w:t>
      </w:r>
    </w:p>
    <w:p w14:paraId="7CBBA6EA">
      <w:pPr>
        <w:spacing w:line="360" w:lineRule="auto"/>
        <w:ind w:firstLine="420" w:firstLineChars="200"/>
        <w:rPr>
          <w:rFonts w:asciiTheme="minorEastAsia" w:hAnsiTheme="minorEastAsia"/>
          <w:szCs w:val="21"/>
        </w:rPr>
      </w:pPr>
      <w:r>
        <w:rPr>
          <w:rFonts w:hint="eastAsia" w:asciiTheme="minorEastAsia" w:hAnsiTheme="minorEastAsia"/>
          <w:szCs w:val="21"/>
        </w:rPr>
        <w:t>4.我公司具备《中华人民共和国政府采购法》第二十二条第一款规定的资质。</w:t>
      </w:r>
    </w:p>
    <w:p w14:paraId="2B344CD8">
      <w:pPr>
        <w:spacing w:line="360" w:lineRule="auto"/>
        <w:ind w:firstLine="420" w:firstLineChars="200"/>
        <w:rPr>
          <w:rFonts w:asciiTheme="minorEastAsia" w:hAnsiTheme="minorEastAsia"/>
          <w:szCs w:val="21"/>
        </w:rPr>
      </w:pPr>
      <w:r>
        <w:rPr>
          <w:rFonts w:hint="eastAsia" w:asciiTheme="minorEastAsia" w:hAnsiTheme="minorEastAsia"/>
          <w:szCs w:val="21"/>
        </w:rPr>
        <w:t>5.我公司与其他投标供应商不存在单位负责人为同一人或者存在直接控股、管理关系，未对本次采购项目提供整体设计、规范编制或者项目管理、监理、检测等服务。</w:t>
      </w:r>
    </w:p>
    <w:p w14:paraId="565F5A7E">
      <w:pPr>
        <w:spacing w:line="360" w:lineRule="auto"/>
        <w:ind w:firstLine="420" w:firstLineChars="200"/>
        <w:rPr>
          <w:rFonts w:asciiTheme="minorEastAsia" w:hAnsiTheme="minorEastAsia"/>
          <w:szCs w:val="21"/>
        </w:rPr>
      </w:pPr>
      <w:r>
        <w:rPr>
          <w:rFonts w:hint="eastAsia" w:asciiTheme="minorEastAsia" w:hAnsiTheme="minorEastAsia"/>
          <w:szCs w:val="21"/>
        </w:rPr>
        <w:t>6.我公司未被列入失信被执行人、重大税收违法案件当事人名单、政府采购严重违法失信行为记录名单。</w:t>
      </w:r>
    </w:p>
    <w:p w14:paraId="7B6701D2">
      <w:pPr>
        <w:spacing w:line="360" w:lineRule="auto"/>
        <w:ind w:firstLine="420" w:firstLineChars="200"/>
        <w:rPr>
          <w:rFonts w:asciiTheme="minorEastAsia" w:hAnsiTheme="minorEastAsia"/>
          <w:szCs w:val="21"/>
        </w:rPr>
      </w:pPr>
      <w:r>
        <w:rPr>
          <w:rFonts w:hint="eastAsia" w:asciiTheme="minorEastAsia" w:hAnsiTheme="minorEastAsia"/>
          <w:szCs w:val="21"/>
        </w:rPr>
        <w:t>7.我公司参与该项目投标，严格遵守政府采购相关法律，投标做到诚实，不造假，不围标、串标、陪标。我公司已清楚，如违反上述要求，其投标将作废，被没收投标保证金，被列入不良记录名单并在网上曝光，同时将被提请政府采购监督管理部门给予一定年限内禁止参与政府采购活动或其他处罚。</w:t>
      </w:r>
    </w:p>
    <w:p w14:paraId="28200A0F">
      <w:pPr>
        <w:spacing w:line="360" w:lineRule="auto"/>
        <w:ind w:firstLine="420" w:firstLineChars="200"/>
        <w:rPr>
          <w:rFonts w:asciiTheme="minorEastAsia" w:hAnsiTheme="minorEastAsia"/>
          <w:szCs w:val="21"/>
        </w:rPr>
      </w:pPr>
      <w:r>
        <w:rPr>
          <w:rFonts w:hint="eastAsia" w:asciiTheme="minorEastAsia" w:hAnsiTheme="minorEastAsia"/>
          <w:szCs w:val="21"/>
        </w:rPr>
        <w:t>8.我公司如果中标，做到守信，不偷工减料，依照本项目招标文件需求内容、签署的采购合同及本公司在投标中所作的一切承诺履约。项目验收达到全部指标合格，力争优良。</w:t>
      </w:r>
    </w:p>
    <w:p w14:paraId="18CBD689">
      <w:pPr>
        <w:spacing w:line="360" w:lineRule="auto"/>
        <w:ind w:firstLine="420" w:firstLineChars="200"/>
        <w:rPr>
          <w:rFonts w:asciiTheme="minorEastAsia" w:hAnsiTheme="minorEastAsia"/>
          <w:szCs w:val="21"/>
        </w:rPr>
      </w:pPr>
      <w:r>
        <w:rPr>
          <w:rFonts w:hint="eastAsia" w:asciiTheme="minorEastAsia" w:hAnsiTheme="minorEastAsia"/>
          <w:szCs w:val="21"/>
        </w:rPr>
        <w:t>9.我公司承诺本项目的报价不低于我公司的成本价，否则，我公司清楚将面临投标无效的风险；我公司承诺不恶意低价谋取中标；我公司对本项目的报价负责，中标后将严格按照本项目招标文件需求、签署的采购合同及我公司在投标中所作的全部承诺履行。我公司清楚，若我公司以“报价太低而无法履约”为理由放弃本项目中标资格时，投标保证金将不被退还，且愿意接受主管部门的处理处罚。若我公司中标本项目，我公司的报价明显低于其他投标人的报价时，我公司清楚，本项目将成为重点监管、重点验收项目，我公司将按时保质保量完成，并全力配合有关监管、验收工作；若我公司未按上述要求履约，我公司愿意接受主管部门的处理处罚。</w:t>
      </w:r>
    </w:p>
    <w:p w14:paraId="6666DA4D">
      <w:pPr>
        <w:spacing w:line="360" w:lineRule="auto"/>
        <w:ind w:firstLine="420" w:firstLineChars="200"/>
        <w:rPr>
          <w:rFonts w:asciiTheme="minorEastAsia" w:hAnsiTheme="minorEastAsia"/>
          <w:szCs w:val="21"/>
        </w:rPr>
      </w:pPr>
      <w:r>
        <w:rPr>
          <w:rFonts w:hint="eastAsia" w:asciiTheme="minorEastAsia" w:hAnsiTheme="minorEastAsia"/>
          <w:szCs w:val="21"/>
        </w:rPr>
        <w:t>10.我公司已认真核实了投标文件的全部内容，所有资料均为真实资料。我公司对投标文件中全部投标资料的真实性负责，如被证实我公司的投标文件中存在虚假资料的，则视为我公司隐瞒真实情况、提供虚假资料，我公司愿意接受主管部门作出的行政处罚。</w:t>
      </w:r>
    </w:p>
    <w:p w14:paraId="2F3DE775">
      <w:pPr>
        <w:spacing w:line="360" w:lineRule="auto"/>
        <w:ind w:firstLine="420" w:firstLineChars="200"/>
        <w:rPr>
          <w:rFonts w:asciiTheme="minorEastAsia" w:hAnsiTheme="minorEastAsia"/>
          <w:szCs w:val="21"/>
        </w:rPr>
      </w:pPr>
      <w:r>
        <w:rPr>
          <w:rFonts w:hint="eastAsia" w:asciiTheme="minorEastAsia" w:hAnsiTheme="minorEastAsia"/>
          <w:szCs w:val="21"/>
        </w:rPr>
        <w:t>11.我公司承诺本项目非联合体投标，不非法转包、分包。</w:t>
      </w:r>
    </w:p>
    <w:p w14:paraId="491C952D">
      <w:pPr>
        <w:spacing w:line="360" w:lineRule="auto"/>
        <w:ind w:firstLine="420" w:firstLineChars="200"/>
        <w:rPr>
          <w:rFonts w:asciiTheme="minorEastAsia" w:hAnsiTheme="minorEastAsia"/>
          <w:szCs w:val="21"/>
        </w:rPr>
      </w:pPr>
      <w:r>
        <w:rPr>
          <w:rFonts w:hint="eastAsia" w:asciiTheme="minorEastAsia" w:hAnsiTheme="minorEastAsia"/>
          <w:szCs w:val="21"/>
        </w:rPr>
        <w:t>以上承诺，如有违反，愿依照国家相关法律处理，并承担由此给采购人带来的损失。</w:t>
      </w:r>
    </w:p>
    <w:p w14:paraId="71566430">
      <w:pPr>
        <w:adjustRightInd w:val="0"/>
        <w:snapToGrid w:val="0"/>
        <w:spacing w:line="360" w:lineRule="auto"/>
        <w:ind w:firstLine="422" w:firstLineChars="200"/>
        <w:rPr>
          <w:rFonts w:asciiTheme="minorEastAsia" w:hAnsiTheme="minorEastAsia"/>
          <w:b/>
          <w:snapToGrid w:val="0"/>
          <w:kern w:val="0"/>
          <w:szCs w:val="21"/>
        </w:rPr>
      </w:pPr>
    </w:p>
    <w:p w14:paraId="7E68EBD0">
      <w:pPr>
        <w:spacing w:line="360" w:lineRule="auto"/>
        <w:ind w:firstLine="420" w:firstLineChars="200"/>
        <w:rPr>
          <w:rFonts w:asciiTheme="minorEastAsia" w:hAnsiTheme="minorEastAsia"/>
          <w:color w:val="000000"/>
          <w:szCs w:val="21"/>
        </w:rPr>
      </w:pPr>
      <w:r>
        <w:rPr>
          <w:rFonts w:hint="eastAsia" w:asciiTheme="minorEastAsia" w:hAnsiTheme="minorEastAsia"/>
          <w:color w:val="000000"/>
          <w:szCs w:val="21"/>
        </w:rPr>
        <w:t>投标供应商：</w:t>
      </w:r>
    </w:p>
    <w:p w14:paraId="14A6B605">
      <w:pPr>
        <w:spacing w:line="360" w:lineRule="auto"/>
        <w:ind w:firstLine="420" w:firstLineChars="200"/>
        <w:rPr>
          <w:rFonts w:asciiTheme="minorEastAsia" w:hAnsiTheme="minorEastAsia"/>
          <w:color w:val="000000"/>
          <w:szCs w:val="21"/>
        </w:rPr>
      </w:pPr>
      <w:r>
        <w:rPr>
          <w:rFonts w:hint="eastAsia" w:asciiTheme="minorEastAsia" w:hAnsiTheme="minorEastAsia"/>
          <w:color w:val="000000"/>
          <w:szCs w:val="21"/>
        </w:rPr>
        <w:t>法人或授权代表：</w:t>
      </w:r>
    </w:p>
    <w:p w14:paraId="33AF6D03">
      <w:pPr>
        <w:spacing w:line="360" w:lineRule="auto"/>
        <w:ind w:firstLine="420" w:firstLineChars="200"/>
        <w:rPr>
          <w:rFonts w:asciiTheme="minorEastAsia" w:hAnsiTheme="minorEastAsia"/>
          <w:color w:val="000000"/>
          <w:szCs w:val="21"/>
        </w:rPr>
        <w:sectPr>
          <w:pgSz w:w="11906" w:h="16838"/>
          <w:pgMar w:top="1440" w:right="1080" w:bottom="1440" w:left="1080" w:header="851" w:footer="992" w:gutter="0"/>
          <w:cols w:space="720" w:num="1"/>
          <w:titlePg/>
          <w:docGrid w:type="lines" w:linePitch="312" w:charSpace="0"/>
        </w:sectPr>
      </w:pPr>
      <w:r>
        <w:rPr>
          <w:rFonts w:hint="eastAsia" w:asciiTheme="minorEastAsia" w:hAnsiTheme="minorEastAsia"/>
          <w:color w:val="000000"/>
          <w:szCs w:val="21"/>
        </w:rPr>
        <w:t>日期：</w:t>
      </w:r>
    </w:p>
    <w:p w14:paraId="79C8A6A6">
      <w:pPr>
        <w:spacing w:line="360" w:lineRule="auto"/>
        <w:ind w:firstLine="420" w:firstLineChars="200"/>
        <w:rPr>
          <w:rFonts w:asciiTheme="minorEastAsia" w:hAnsiTheme="minorEastAsia"/>
          <w:szCs w:val="21"/>
        </w:rPr>
      </w:pPr>
      <w:r>
        <w:rPr>
          <w:rFonts w:hint="eastAsia" w:asciiTheme="minorEastAsia" w:hAnsiTheme="minorEastAsia"/>
          <w:szCs w:val="21"/>
        </w:rPr>
        <w:t>附件3：诚信承诺函格式</w:t>
      </w:r>
      <w:bookmarkEnd w:id="154"/>
    </w:p>
    <w:p w14:paraId="23388305">
      <w:pPr>
        <w:keepNext/>
        <w:keepLines/>
        <w:spacing w:before="160" w:after="170"/>
        <w:ind w:firstLine="602" w:firstLineChars="200"/>
        <w:jc w:val="center"/>
        <w:outlineLvl w:val="4"/>
        <w:rPr>
          <w:b/>
          <w:bCs/>
          <w:snapToGrid w:val="0"/>
          <w:sz w:val="30"/>
          <w:szCs w:val="28"/>
        </w:rPr>
      </w:pPr>
      <w:bookmarkStart w:id="155" w:name="_Toc55548540"/>
      <w:r>
        <w:rPr>
          <w:rFonts w:hint="eastAsia"/>
          <w:b/>
          <w:bCs/>
          <w:snapToGrid w:val="0"/>
          <w:sz w:val="30"/>
          <w:szCs w:val="28"/>
        </w:rPr>
        <w:t>诚信承诺函</w:t>
      </w:r>
      <w:bookmarkEnd w:id="155"/>
    </w:p>
    <w:p w14:paraId="5933E274">
      <w:pPr>
        <w:spacing w:line="360" w:lineRule="auto"/>
        <w:ind w:firstLine="420" w:firstLineChars="200"/>
        <w:rPr>
          <w:rFonts w:cs="Courier New" w:asciiTheme="minorEastAsia" w:hAnsiTheme="minorEastAsia"/>
          <w:snapToGrid w:val="0"/>
          <w:szCs w:val="21"/>
        </w:rPr>
      </w:pPr>
      <w:r>
        <w:rPr>
          <w:rFonts w:hint="eastAsia" w:cs="Courier New" w:asciiTheme="minorEastAsia" w:hAnsiTheme="minorEastAsia"/>
          <w:snapToGrid w:val="0"/>
          <w:szCs w:val="21"/>
        </w:rPr>
        <w:t>深圳市宝安区疾病预防控制中心</w:t>
      </w:r>
      <w:r>
        <w:rPr>
          <w:rFonts w:hint="eastAsia" w:cs="Courier New" w:asciiTheme="minorEastAsia" w:hAnsiTheme="minorEastAsia"/>
          <w:snapToGrid w:val="0"/>
          <w:szCs w:val="21"/>
          <w:lang w:eastAsia="zh-CN"/>
        </w:rPr>
        <w:t>（</w:t>
      </w:r>
      <w:r>
        <w:rPr>
          <w:rFonts w:hint="eastAsia" w:cs="Courier New" w:asciiTheme="minorEastAsia" w:hAnsiTheme="minorEastAsia"/>
          <w:snapToGrid w:val="0"/>
          <w:szCs w:val="21"/>
          <w:lang w:val="en-US" w:eastAsia="zh-CN"/>
        </w:rPr>
        <w:t>深圳市宝安区卫生监督所</w:t>
      </w:r>
      <w:r>
        <w:rPr>
          <w:rFonts w:hint="eastAsia" w:cs="Courier New" w:asciiTheme="minorEastAsia" w:hAnsiTheme="minorEastAsia"/>
          <w:snapToGrid w:val="0"/>
          <w:szCs w:val="21"/>
          <w:lang w:eastAsia="zh-CN"/>
        </w:rPr>
        <w:t>）</w:t>
      </w:r>
      <w:r>
        <w:rPr>
          <w:rFonts w:hint="eastAsia" w:cs="Courier New" w:asciiTheme="minorEastAsia" w:hAnsiTheme="minorEastAsia"/>
          <w:snapToGrid w:val="0"/>
          <w:szCs w:val="21"/>
        </w:rPr>
        <w:t>：</w:t>
      </w:r>
    </w:p>
    <w:p w14:paraId="64BA6E05">
      <w:pPr>
        <w:spacing w:line="360" w:lineRule="auto"/>
        <w:ind w:firstLine="420" w:firstLineChars="200"/>
        <w:rPr>
          <w:rFonts w:cs="Courier New" w:asciiTheme="minorEastAsia" w:hAnsiTheme="minorEastAsia"/>
          <w:snapToGrid w:val="0"/>
          <w:szCs w:val="21"/>
        </w:rPr>
      </w:pPr>
      <w:r>
        <w:rPr>
          <w:rFonts w:hint="eastAsia" w:cs="Courier New" w:asciiTheme="minorEastAsia" w:hAnsiTheme="minorEastAsia"/>
          <w:snapToGrid w:val="0"/>
          <w:szCs w:val="21"/>
        </w:rPr>
        <w:t>我公司承诺，根据《深圳市政府采购供应商诚信管理暂行办法》相关规定，在参与政府采购活动中不存在出现诚信相关问题且在相关主管部门处理措施实施期限内，如若投标文件与事实情况不符，我司自愿承担“隐瞒真实情况，提供虚假资料”以及其他一切不利的法律后果。</w:t>
      </w:r>
    </w:p>
    <w:p w14:paraId="397DBD6A">
      <w:pPr>
        <w:spacing w:line="360" w:lineRule="auto"/>
        <w:ind w:firstLine="420" w:firstLineChars="200"/>
        <w:rPr>
          <w:rFonts w:cs="Courier New" w:asciiTheme="minorEastAsia" w:hAnsiTheme="minorEastAsia"/>
          <w:snapToGrid w:val="0"/>
          <w:szCs w:val="21"/>
        </w:rPr>
      </w:pPr>
      <w:r>
        <w:rPr>
          <w:rFonts w:hint="eastAsia" w:cs="Courier New" w:asciiTheme="minorEastAsia" w:hAnsiTheme="minorEastAsia"/>
          <w:snapToGrid w:val="0"/>
          <w:szCs w:val="21"/>
        </w:rPr>
        <w:t>我公司承诺，在参加政府采购活动中没有出现下列行为之一：</w:t>
      </w:r>
    </w:p>
    <w:p w14:paraId="083043BE">
      <w:pPr>
        <w:spacing w:line="360" w:lineRule="auto"/>
        <w:ind w:firstLine="420" w:firstLineChars="200"/>
        <w:rPr>
          <w:rFonts w:cs="Courier New" w:asciiTheme="minorEastAsia" w:hAnsiTheme="minorEastAsia"/>
          <w:snapToGrid w:val="0"/>
          <w:szCs w:val="21"/>
        </w:rPr>
      </w:pPr>
      <w:r>
        <w:rPr>
          <w:rFonts w:hint="eastAsia" w:cs="Courier New" w:asciiTheme="minorEastAsia" w:hAnsiTheme="minorEastAsia"/>
          <w:snapToGrid w:val="0"/>
          <w:szCs w:val="21"/>
        </w:rPr>
        <w:t>（一）投标截止后，无正当理由撤销其投标行为，导致项目无法正常开评标的；</w:t>
      </w:r>
    </w:p>
    <w:p w14:paraId="4054C1D6">
      <w:pPr>
        <w:spacing w:line="360" w:lineRule="auto"/>
        <w:ind w:firstLine="420" w:firstLineChars="200"/>
        <w:rPr>
          <w:rFonts w:cs="Courier New" w:asciiTheme="minorEastAsia" w:hAnsiTheme="minorEastAsia"/>
          <w:snapToGrid w:val="0"/>
          <w:szCs w:val="21"/>
        </w:rPr>
      </w:pPr>
      <w:r>
        <w:rPr>
          <w:rFonts w:hint="eastAsia" w:cs="Courier New" w:asciiTheme="minorEastAsia" w:hAnsiTheme="minorEastAsia"/>
          <w:snapToGrid w:val="0"/>
          <w:szCs w:val="21"/>
        </w:rPr>
        <w:t>（二）未按《采购条例》规定签订、履行采购合同，严重影响采购人日常工作的；</w:t>
      </w:r>
    </w:p>
    <w:p w14:paraId="336E7692">
      <w:pPr>
        <w:spacing w:line="360" w:lineRule="auto"/>
        <w:ind w:firstLine="420" w:firstLineChars="200"/>
        <w:rPr>
          <w:rFonts w:cs="Courier New" w:asciiTheme="minorEastAsia" w:hAnsiTheme="minorEastAsia"/>
          <w:snapToGrid w:val="0"/>
          <w:szCs w:val="21"/>
        </w:rPr>
      </w:pPr>
      <w:r>
        <w:rPr>
          <w:rFonts w:hint="eastAsia" w:cs="Courier New" w:asciiTheme="minorEastAsia" w:hAnsiTheme="minorEastAsia"/>
          <w:snapToGrid w:val="0"/>
          <w:szCs w:val="21"/>
        </w:rPr>
        <w:t>（三）在投标文件中未说明且未经采购人同意，将中标项目分包给他人，情节严重的；</w:t>
      </w:r>
    </w:p>
    <w:p w14:paraId="687A75A1">
      <w:pPr>
        <w:spacing w:line="360" w:lineRule="auto"/>
        <w:ind w:firstLine="420" w:firstLineChars="200"/>
        <w:rPr>
          <w:rFonts w:cs="Courier New" w:asciiTheme="minorEastAsia" w:hAnsiTheme="minorEastAsia"/>
          <w:snapToGrid w:val="0"/>
          <w:szCs w:val="21"/>
        </w:rPr>
      </w:pPr>
      <w:r>
        <w:rPr>
          <w:rFonts w:hint="eastAsia" w:cs="Courier New" w:asciiTheme="minorEastAsia" w:hAnsiTheme="minorEastAsia"/>
          <w:snapToGrid w:val="0"/>
          <w:szCs w:val="21"/>
        </w:rPr>
        <w:t>（四）严重违反合同约定，擅自降低货物质量等次和售后服务，货物、工程或者服务存在严重质量问题的；</w:t>
      </w:r>
    </w:p>
    <w:p w14:paraId="1AC11D13">
      <w:pPr>
        <w:spacing w:line="360" w:lineRule="auto"/>
        <w:ind w:firstLine="420" w:firstLineChars="200"/>
        <w:rPr>
          <w:rFonts w:cs="Courier New" w:asciiTheme="minorEastAsia" w:hAnsiTheme="minorEastAsia"/>
          <w:snapToGrid w:val="0"/>
          <w:szCs w:val="21"/>
        </w:rPr>
      </w:pPr>
      <w:r>
        <w:rPr>
          <w:rFonts w:hint="eastAsia" w:cs="Courier New" w:asciiTheme="minorEastAsia" w:hAnsiTheme="minorEastAsia"/>
          <w:snapToGrid w:val="0"/>
          <w:szCs w:val="21"/>
        </w:rPr>
        <w:t>（五）严重违反合同约定，未能完成全部货物、服务或工程项目，中途停止配送或者变相增加费用的；</w:t>
      </w:r>
    </w:p>
    <w:p w14:paraId="5626214D">
      <w:pPr>
        <w:spacing w:line="360" w:lineRule="auto"/>
        <w:ind w:firstLine="420" w:firstLineChars="200"/>
        <w:rPr>
          <w:rFonts w:cs="Courier New" w:asciiTheme="minorEastAsia" w:hAnsiTheme="minorEastAsia"/>
          <w:snapToGrid w:val="0"/>
          <w:szCs w:val="21"/>
        </w:rPr>
      </w:pPr>
      <w:r>
        <w:rPr>
          <w:rFonts w:hint="eastAsia" w:cs="Courier New" w:asciiTheme="minorEastAsia" w:hAnsiTheme="minorEastAsia"/>
          <w:snapToGrid w:val="0"/>
          <w:szCs w:val="21"/>
        </w:rPr>
        <w:t>（六）捏造事实、提供虚假材料进行质疑的；</w:t>
      </w:r>
    </w:p>
    <w:p w14:paraId="421B3728">
      <w:pPr>
        <w:spacing w:line="360" w:lineRule="auto"/>
        <w:ind w:firstLine="420" w:firstLineChars="200"/>
        <w:rPr>
          <w:rFonts w:cs="Courier New" w:asciiTheme="minorEastAsia" w:hAnsiTheme="minorEastAsia"/>
          <w:snapToGrid w:val="0"/>
          <w:szCs w:val="21"/>
        </w:rPr>
      </w:pPr>
      <w:r>
        <w:rPr>
          <w:rFonts w:hint="eastAsia" w:cs="Courier New" w:asciiTheme="minorEastAsia" w:hAnsiTheme="minorEastAsia"/>
          <w:snapToGrid w:val="0"/>
          <w:szCs w:val="21"/>
        </w:rPr>
        <w:t>（七）假冒他人名义质疑的；</w:t>
      </w:r>
    </w:p>
    <w:p w14:paraId="0E746C2D">
      <w:pPr>
        <w:spacing w:line="360" w:lineRule="auto"/>
        <w:ind w:firstLine="420" w:firstLineChars="200"/>
        <w:rPr>
          <w:rFonts w:cs="Courier New" w:asciiTheme="minorEastAsia" w:hAnsiTheme="minorEastAsia"/>
          <w:snapToGrid w:val="0"/>
          <w:szCs w:val="21"/>
        </w:rPr>
      </w:pPr>
      <w:r>
        <w:rPr>
          <w:rFonts w:hint="eastAsia" w:cs="Courier New" w:asciiTheme="minorEastAsia" w:hAnsiTheme="minorEastAsia"/>
          <w:snapToGrid w:val="0"/>
          <w:szCs w:val="21"/>
        </w:rPr>
        <w:t>（八）无正当理由拒不配合进行质疑调查的。</w:t>
      </w:r>
    </w:p>
    <w:p w14:paraId="019665A1">
      <w:pPr>
        <w:spacing w:line="360" w:lineRule="auto"/>
        <w:ind w:firstLine="420" w:firstLineChars="200"/>
        <w:rPr>
          <w:rFonts w:cs="Courier New" w:asciiTheme="minorEastAsia" w:hAnsiTheme="minorEastAsia"/>
          <w:snapToGrid w:val="0"/>
          <w:szCs w:val="21"/>
        </w:rPr>
      </w:pPr>
      <w:r>
        <w:rPr>
          <w:rFonts w:hint="eastAsia" w:cs="Courier New" w:asciiTheme="minorEastAsia" w:hAnsiTheme="minorEastAsia"/>
          <w:snapToGrid w:val="0"/>
          <w:szCs w:val="21"/>
        </w:rPr>
        <w:t>特此承诺。</w:t>
      </w:r>
    </w:p>
    <w:p w14:paraId="5049AE03">
      <w:pPr>
        <w:spacing w:line="360" w:lineRule="auto"/>
        <w:ind w:firstLine="420" w:firstLineChars="200"/>
        <w:rPr>
          <w:rFonts w:asciiTheme="minorEastAsia" w:hAnsiTheme="minorEastAsia"/>
          <w:szCs w:val="21"/>
        </w:rPr>
      </w:pPr>
    </w:p>
    <w:p w14:paraId="09DF85B9">
      <w:pPr>
        <w:spacing w:line="360" w:lineRule="auto"/>
        <w:ind w:firstLine="420" w:firstLineChars="200"/>
        <w:rPr>
          <w:rFonts w:asciiTheme="minorEastAsia" w:hAnsiTheme="minorEastAsia"/>
          <w:szCs w:val="21"/>
        </w:rPr>
      </w:pPr>
    </w:p>
    <w:p w14:paraId="465A1B78">
      <w:pPr>
        <w:spacing w:line="360" w:lineRule="auto"/>
        <w:ind w:firstLine="420" w:firstLineChars="200"/>
        <w:rPr>
          <w:rFonts w:asciiTheme="minorEastAsia" w:hAnsiTheme="minorEastAsia"/>
          <w:color w:val="000000"/>
          <w:szCs w:val="21"/>
        </w:rPr>
      </w:pPr>
      <w:r>
        <w:rPr>
          <w:rFonts w:hint="eastAsia" w:asciiTheme="minorEastAsia" w:hAnsiTheme="minorEastAsia"/>
          <w:color w:val="000000"/>
          <w:szCs w:val="21"/>
        </w:rPr>
        <w:t>投标供应商：</w:t>
      </w:r>
    </w:p>
    <w:p w14:paraId="0F39EB24">
      <w:pPr>
        <w:spacing w:line="360" w:lineRule="auto"/>
        <w:ind w:firstLine="420" w:firstLineChars="200"/>
        <w:rPr>
          <w:rFonts w:asciiTheme="minorEastAsia" w:hAnsiTheme="minorEastAsia"/>
          <w:color w:val="000000"/>
          <w:szCs w:val="21"/>
        </w:rPr>
      </w:pPr>
      <w:r>
        <w:rPr>
          <w:rFonts w:hint="eastAsia" w:asciiTheme="minorEastAsia" w:hAnsiTheme="minorEastAsia"/>
          <w:color w:val="000000"/>
          <w:szCs w:val="21"/>
        </w:rPr>
        <w:t>法人或授权代表：</w:t>
      </w:r>
    </w:p>
    <w:p w14:paraId="7F002986">
      <w:pPr>
        <w:spacing w:line="360" w:lineRule="auto"/>
        <w:ind w:firstLine="420" w:firstLineChars="200"/>
        <w:rPr>
          <w:rFonts w:asciiTheme="minorEastAsia" w:hAnsiTheme="minorEastAsia"/>
          <w:color w:val="000000"/>
          <w:szCs w:val="21"/>
        </w:rPr>
      </w:pPr>
      <w:r>
        <w:rPr>
          <w:rFonts w:hint="eastAsia" w:asciiTheme="minorEastAsia" w:hAnsiTheme="minorEastAsia"/>
          <w:color w:val="000000"/>
          <w:szCs w:val="21"/>
        </w:rPr>
        <w:t>日期：</w:t>
      </w:r>
    </w:p>
    <w:p w14:paraId="68261C7C">
      <w:pPr>
        <w:spacing w:line="360" w:lineRule="auto"/>
        <w:ind w:firstLine="420" w:firstLineChars="200"/>
        <w:rPr>
          <w:rFonts w:asciiTheme="minorEastAsia" w:hAnsiTheme="minorEastAsia"/>
          <w:szCs w:val="21"/>
        </w:rPr>
      </w:pPr>
    </w:p>
    <w:p w14:paraId="1D6160DE">
      <w:pPr>
        <w:spacing w:line="360" w:lineRule="auto"/>
        <w:ind w:firstLine="422" w:firstLineChars="200"/>
        <w:rPr>
          <w:rFonts w:asciiTheme="minorEastAsia" w:hAnsiTheme="minorEastAsia"/>
          <w:b/>
          <w:szCs w:val="21"/>
        </w:rPr>
      </w:pPr>
    </w:p>
    <w:p w14:paraId="18786E18">
      <w:pPr>
        <w:spacing w:line="360" w:lineRule="auto"/>
        <w:ind w:firstLine="420" w:firstLineChars="200"/>
        <w:rPr>
          <w:rFonts w:asciiTheme="minorEastAsia" w:hAnsiTheme="minorEastAsia"/>
          <w:szCs w:val="21"/>
        </w:rPr>
      </w:pPr>
      <w:r>
        <w:rPr>
          <w:rFonts w:asciiTheme="minorEastAsia" w:hAnsiTheme="minorEastAsia"/>
          <w:szCs w:val="21"/>
        </w:rPr>
        <w:br w:type="page"/>
      </w:r>
      <w:bookmarkStart w:id="156" w:name="_Toc6706"/>
      <w:r>
        <w:rPr>
          <w:rFonts w:hint="eastAsia" w:asciiTheme="minorEastAsia" w:hAnsiTheme="minorEastAsia"/>
          <w:szCs w:val="21"/>
        </w:rPr>
        <w:t>附件</w:t>
      </w:r>
      <w:r>
        <w:rPr>
          <w:rFonts w:asciiTheme="minorEastAsia" w:hAnsiTheme="minorEastAsia"/>
          <w:szCs w:val="21"/>
        </w:rPr>
        <w:t>4</w:t>
      </w:r>
      <w:r>
        <w:rPr>
          <w:rFonts w:hint="eastAsia" w:asciiTheme="minorEastAsia" w:hAnsiTheme="minorEastAsia"/>
          <w:szCs w:val="21"/>
        </w:rPr>
        <w:t>：开标一览表格式</w:t>
      </w:r>
      <w:bookmarkEnd w:id="156"/>
    </w:p>
    <w:p w14:paraId="1674C976">
      <w:pPr>
        <w:keepNext/>
        <w:keepLines/>
        <w:spacing w:before="160" w:after="170"/>
        <w:ind w:firstLine="602" w:firstLineChars="200"/>
        <w:jc w:val="center"/>
        <w:outlineLvl w:val="4"/>
        <w:rPr>
          <w:b/>
          <w:bCs/>
          <w:sz w:val="30"/>
          <w:szCs w:val="28"/>
        </w:rPr>
      </w:pPr>
      <w:bookmarkStart w:id="157" w:name="_Toc55548541"/>
      <w:r>
        <w:rPr>
          <w:rFonts w:hint="eastAsia"/>
          <w:b/>
          <w:bCs/>
          <w:sz w:val="30"/>
          <w:szCs w:val="28"/>
        </w:rPr>
        <w:t>开标一览表</w:t>
      </w:r>
      <w:bookmarkEnd w:id="157"/>
    </w:p>
    <w:p w14:paraId="039200AE">
      <w:pPr>
        <w:spacing w:line="360" w:lineRule="auto"/>
        <w:ind w:firstLine="420" w:firstLineChars="200"/>
        <w:rPr>
          <w:rFonts w:asciiTheme="minorEastAsia" w:hAnsiTheme="minorEastAsia"/>
          <w:szCs w:val="21"/>
        </w:rPr>
      </w:pPr>
      <w:r>
        <w:rPr>
          <w:rFonts w:hint="eastAsia" w:asciiTheme="minorEastAsia" w:hAnsiTheme="minorEastAsia"/>
          <w:szCs w:val="21"/>
        </w:rPr>
        <w:t>项目名称：</w:t>
      </w:r>
      <w:r>
        <w:rPr>
          <w:rFonts w:hint="eastAsia" w:asciiTheme="minorEastAsia" w:hAnsiTheme="minorEastAsia"/>
          <w:szCs w:val="21"/>
          <w:u w:val="single"/>
        </w:rPr>
        <w:t xml:space="preserve">                          </w:t>
      </w:r>
      <w:r>
        <w:rPr>
          <w:rFonts w:hint="eastAsia" w:asciiTheme="minorEastAsia" w:hAnsiTheme="minorEastAsia"/>
          <w:szCs w:val="21"/>
        </w:rPr>
        <w:t xml:space="preserve"> </w:t>
      </w:r>
    </w:p>
    <w:p w14:paraId="0635EA9D">
      <w:pPr>
        <w:spacing w:line="360" w:lineRule="auto"/>
        <w:ind w:firstLine="420" w:firstLineChars="200"/>
        <w:rPr>
          <w:rFonts w:asciiTheme="minorEastAsia" w:hAnsiTheme="minorEastAsia"/>
          <w:szCs w:val="21"/>
        </w:rPr>
      </w:pPr>
      <w:r>
        <w:rPr>
          <w:rFonts w:hint="eastAsia" w:asciiTheme="minorEastAsia" w:hAnsiTheme="minorEastAsia"/>
          <w:szCs w:val="21"/>
        </w:rPr>
        <w:t>项目编号：</w:t>
      </w:r>
      <w:r>
        <w:rPr>
          <w:rFonts w:hint="eastAsia" w:asciiTheme="minorEastAsia" w:hAnsiTheme="minorEastAsia"/>
          <w:szCs w:val="21"/>
          <w:u w:val="single"/>
        </w:rPr>
        <w:t xml:space="preserve">          </w:t>
      </w:r>
      <w:r>
        <w:rPr>
          <w:rFonts w:asciiTheme="minorEastAsia" w:hAnsiTheme="minorEastAsia"/>
          <w:szCs w:val="21"/>
          <w:u w:val="single"/>
        </w:rPr>
        <w:t xml:space="preserve">        </w:t>
      </w:r>
      <w:r>
        <w:rPr>
          <w:rFonts w:hint="eastAsia" w:asciiTheme="minorEastAsia" w:hAnsiTheme="minorEastAsia"/>
          <w:szCs w:val="21"/>
          <w:u w:val="single"/>
        </w:rPr>
        <w:t xml:space="preserve">         </w:t>
      </w:r>
      <w:r>
        <w:rPr>
          <w:rFonts w:hint="eastAsia" w:asciiTheme="minorEastAsia" w:hAnsiTheme="minorEastAsia"/>
          <w:szCs w:val="21"/>
        </w:rPr>
        <w:t xml:space="preserve"> </w:t>
      </w:r>
    </w:p>
    <w:tbl>
      <w:tblPr>
        <w:tblStyle w:val="19"/>
        <w:tblW w:w="96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88"/>
        <w:gridCol w:w="2562"/>
        <w:gridCol w:w="2694"/>
        <w:gridCol w:w="1493"/>
      </w:tblGrid>
      <w:tr w14:paraId="3E2A1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7" w:hRule="atLeast"/>
          <w:jc w:val="center"/>
        </w:trPr>
        <w:tc>
          <w:tcPr>
            <w:tcW w:w="2888" w:type="dxa"/>
            <w:vAlign w:val="bottom"/>
          </w:tcPr>
          <w:p w14:paraId="31B04699">
            <w:pPr>
              <w:spacing w:line="360" w:lineRule="auto"/>
              <w:ind w:firstLine="420" w:firstLineChars="200"/>
              <w:rPr>
                <w:rFonts w:asciiTheme="minorEastAsia" w:hAnsiTheme="minorEastAsia"/>
                <w:szCs w:val="21"/>
              </w:rPr>
            </w:pPr>
            <w:r>
              <w:rPr>
                <w:rFonts w:hint="eastAsia" w:asciiTheme="minorEastAsia" w:hAnsiTheme="minorEastAsia"/>
                <w:szCs w:val="21"/>
              </w:rPr>
              <w:t>项目名称/包号</w:t>
            </w:r>
          </w:p>
        </w:tc>
        <w:tc>
          <w:tcPr>
            <w:tcW w:w="2562" w:type="dxa"/>
            <w:vAlign w:val="bottom"/>
          </w:tcPr>
          <w:p w14:paraId="0DE726C6">
            <w:pPr>
              <w:spacing w:line="360" w:lineRule="auto"/>
              <w:ind w:firstLine="420" w:firstLineChars="200"/>
              <w:rPr>
                <w:rFonts w:asciiTheme="minorEastAsia" w:hAnsiTheme="minorEastAsia"/>
                <w:szCs w:val="21"/>
              </w:rPr>
            </w:pPr>
            <w:r>
              <w:rPr>
                <w:rFonts w:hint="eastAsia" w:asciiTheme="minorEastAsia" w:hAnsiTheme="minorEastAsia"/>
                <w:szCs w:val="21"/>
              </w:rPr>
              <w:t>投标总价</w:t>
            </w:r>
          </w:p>
          <w:p w14:paraId="48B2BCF5">
            <w:pPr>
              <w:spacing w:line="360" w:lineRule="auto"/>
              <w:ind w:firstLine="420" w:firstLineChars="200"/>
              <w:rPr>
                <w:rFonts w:asciiTheme="minorEastAsia" w:hAnsiTheme="minorEastAsia"/>
                <w:szCs w:val="21"/>
              </w:rPr>
            </w:pPr>
            <w:r>
              <w:rPr>
                <w:rFonts w:hint="eastAsia" w:asciiTheme="minorEastAsia" w:hAnsiTheme="minorEastAsia"/>
                <w:szCs w:val="21"/>
              </w:rPr>
              <w:t>（人民币元）</w:t>
            </w:r>
          </w:p>
        </w:tc>
        <w:tc>
          <w:tcPr>
            <w:tcW w:w="2694" w:type="dxa"/>
            <w:vAlign w:val="bottom"/>
          </w:tcPr>
          <w:p w14:paraId="3A362D0F">
            <w:pPr>
              <w:spacing w:line="360" w:lineRule="auto"/>
              <w:ind w:firstLine="420" w:firstLineChars="200"/>
              <w:rPr>
                <w:rFonts w:asciiTheme="minorEastAsia" w:hAnsiTheme="minorEastAsia"/>
                <w:szCs w:val="21"/>
              </w:rPr>
            </w:pPr>
            <w:r>
              <w:rPr>
                <w:rFonts w:hint="eastAsia" w:asciiTheme="minorEastAsia" w:hAnsiTheme="minorEastAsia"/>
                <w:szCs w:val="21"/>
              </w:rPr>
              <w:t>交货期/服务期</w:t>
            </w:r>
          </w:p>
        </w:tc>
        <w:tc>
          <w:tcPr>
            <w:tcW w:w="1493" w:type="dxa"/>
            <w:vAlign w:val="bottom"/>
          </w:tcPr>
          <w:p w14:paraId="08849F9D">
            <w:pPr>
              <w:spacing w:line="360" w:lineRule="auto"/>
              <w:ind w:firstLine="420" w:firstLineChars="200"/>
              <w:rPr>
                <w:rFonts w:asciiTheme="minorEastAsia" w:hAnsiTheme="minorEastAsia"/>
                <w:szCs w:val="21"/>
              </w:rPr>
            </w:pPr>
            <w:r>
              <w:rPr>
                <w:rFonts w:hint="eastAsia" w:asciiTheme="minorEastAsia" w:hAnsiTheme="minorEastAsia"/>
                <w:szCs w:val="21"/>
              </w:rPr>
              <w:t>备注</w:t>
            </w:r>
          </w:p>
        </w:tc>
      </w:tr>
      <w:tr w14:paraId="5D616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29" w:hRule="atLeast"/>
          <w:jc w:val="center"/>
        </w:trPr>
        <w:tc>
          <w:tcPr>
            <w:tcW w:w="2888" w:type="dxa"/>
          </w:tcPr>
          <w:p w14:paraId="2DE483EE">
            <w:pPr>
              <w:spacing w:line="360" w:lineRule="auto"/>
              <w:ind w:firstLine="420" w:firstLineChars="200"/>
              <w:rPr>
                <w:rFonts w:asciiTheme="minorEastAsia" w:hAnsiTheme="minorEastAsia"/>
                <w:szCs w:val="21"/>
              </w:rPr>
            </w:pPr>
          </w:p>
        </w:tc>
        <w:tc>
          <w:tcPr>
            <w:tcW w:w="2562" w:type="dxa"/>
          </w:tcPr>
          <w:p w14:paraId="4FBCAD33">
            <w:pPr>
              <w:spacing w:line="360" w:lineRule="auto"/>
              <w:ind w:firstLine="420" w:firstLineChars="200"/>
              <w:rPr>
                <w:rFonts w:asciiTheme="minorEastAsia" w:hAnsiTheme="minorEastAsia"/>
                <w:szCs w:val="21"/>
              </w:rPr>
            </w:pPr>
          </w:p>
          <w:p w14:paraId="714C88D4">
            <w:pPr>
              <w:spacing w:line="360" w:lineRule="auto"/>
              <w:ind w:firstLine="420" w:firstLineChars="200"/>
              <w:rPr>
                <w:rFonts w:asciiTheme="minorEastAsia" w:hAnsiTheme="minorEastAsia"/>
                <w:szCs w:val="21"/>
              </w:rPr>
            </w:pPr>
            <w:r>
              <w:rPr>
                <w:rFonts w:hint="eastAsia" w:asciiTheme="minorEastAsia" w:hAnsiTheme="minorEastAsia"/>
                <w:szCs w:val="21"/>
              </w:rPr>
              <w:t>大写：</w:t>
            </w:r>
            <w:r>
              <w:rPr>
                <w:rFonts w:hint="eastAsia" w:asciiTheme="minorEastAsia" w:hAnsiTheme="minorEastAsia"/>
                <w:szCs w:val="21"/>
                <w:u w:val="single"/>
              </w:rPr>
              <w:t xml:space="preserve">        </w:t>
            </w:r>
          </w:p>
          <w:p w14:paraId="6F1565D3">
            <w:pPr>
              <w:spacing w:line="360" w:lineRule="auto"/>
              <w:ind w:firstLine="420" w:firstLineChars="200"/>
              <w:rPr>
                <w:rFonts w:asciiTheme="minorEastAsia" w:hAnsiTheme="minorEastAsia"/>
                <w:szCs w:val="21"/>
              </w:rPr>
            </w:pPr>
            <w:r>
              <w:rPr>
                <w:rFonts w:hint="eastAsia" w:asciiTheme="minorEastAsia" w:hAnsiTheme="minorEastAsia"/>
                <w:szCs w:val="21"/>
              </w:rPr>
              <w:t>小写：</w:t>
            </w:r>
            <w:r>
              <w:rPr>
                <w:rFonts w:hint="eastAsia" w:asciiTheme="minorEastAsia" w:hAnsiTheme="minorEastAsia"/>
                <w:szCs w:val="21"/>
                <w:u w:val="single"/>
              </w:rPr>
              <w:t xml:space="preserve">        </w:t>
            </w:r>
          </w:p>
        </w:tc>
        <w:tc>
          <w:tcPr>
            <w:tcW w:w="2694" w:type="dxa"/>
          </w:tcPr>
          <w:p w14:paraId="47DCA5B8">
            <w:pPr>
              <w:spacing w:line="360" w:lineRule="auto"/>
              <w:ind w:firstLine="420" w:firstLineChars="200"/>
              <w:rPr>
                <w:rFonts w:asciiTheme="minorEastAsia" w:hAnsiTheme="minorEastAsia"/>
                <w:szCs w:val="21"/>
              </w:rPr>
            </w:pPr>
          </w:p>
        </w:tc>
        <w:tc>
          <w:tcPr>
            <w:tcW w:w="1493" w:type="dxa"/>
          </w:tcPr>
          <w:p w14:paraId="3110ED68">
            <w:pPr>
              <w:spacing w:line="360" w:lineRule="auto"/>
              <w:ind w:firstLine="420" w:firstLineChars="200"/>
              <w:rPr>
                <w:rFonts w:asciiTheme="minorEastAsia" w:hAnsiTheme="minorEastAsia"/>
                <w:szCs w:val="21"/>
              </w:rPr>
            </w:pPr>
          </w:p>
        </w:tc>
      </w:tr>
    </w:tbl>
    <w:p w14:paraId="1610B8B7">
      <w:pPr>
        <w:spacing w:line="360" w:lineRule="auto"/>
        <w:ind w:firstLine="420" w:firstLineChars="200"/>
        <w:rPr>
          <w:rFonts w:asciiTheme="minorEastAsia" w:hAnsiTheme="minorEastAsia"/>
          <w:szCs w:val="21"/>
        </w:rPr>
      </w:pPr>
    </w:p>
    <w:p w14:paraId="77F2B810">
      <w:pPr>
        <w:spacing w:line="360" w:lineRule="auto"/>
        <w:ind w:firstLine="420" w:firstLineChars="200"/>
        <w:rPr>
          <w:rFonts w:asciiTheme="minorEastAsia" w:hAnsiTheme="minorEastAsia"/>
          <w:szCs w:val="21"/>
        </w:rPr>
      </w:pPr>
    </w:p>
    <w:p w14:paraId="4DC63C29">
      <w:pPr>
        <w:spacing w:line="360" w:lineRule="auto"/>
        <w:ind w:firstLine="420" w:firstLineChars="200"/>
        <w:rPr>
          <w:rFonts w:asciiTheme="minorEastAsia" w:hAnsiTheme="minorEastAsia"/>
          <w:szCs w:val="21"/>
        </w:rPr>
      </w:pPr>
      <w:r>
        <w:rPr>
          <w:rFonts w:hint="eastAsia" w:asciiTheme="minorEastAsia" w:hAnsiTheme="minorEastAsia"/>
          <w:szCs w:val="21"/>
        </w:rPr>
        <w:t>投标供应商：</w:t>
      </w:r>
    </w:p>
    <w:p w14:paraId="4F1605A8">
      <w:pPr>
        <w:spacing w:line="360" w:lineRule="auto"/>
        <w:ind w:firstLine="420" w:firstLineChars="200"/>
        <w:rPr>
          <w:rFonts w:asciiTheme="minorEastAsia" w:hAnsiTheme="minorEastAsia"/>
          <w:szCs w:val="21"/>
        </w:rPr>
      </w:pPr>
      <w:r>
        <w:rPr>
          <w:rFonts w:hint="eastAsia" w:asciiTheme="minorEastAsia" w:hAnsiTheme="minorEastAsia"/>
          <w:szCs w:val="21"/>
        </w:rPr>
        <w:t>法人</w:t>
      </w:r>
      <w:r>
        <w:rPr>
          <w:rFonts w:asciiTheme="minorEastAsia" w:hAnsiTheme="minorEastAsia"/>
          <w:szCs w:val="21"/>
        </w:rPr>
        <w:t>或</w:t>
      </w:r>
      <w:r>
        <w:rPr>
          <w:rFonts w:hint="eastAsia" w:asciiTheme="minorEastAsia" w:hAnsiTheme="minorEastAsia"/>
          <w:szCs w:val="21"/>
        </w:rPr>
        <w:t>授权</w:t>
      </w:r>
      <w:r>
        <w:rPr>
          <w:rFonts w:asciiTheme="minorEastAsia" w:hAnsiTheme="minorEastAsia"/>
          <w:szCs w:val="21"/>
        </w:rPr>
        <w:t>代表：</w:t>
      </w:r>
    </w:p>
    <w:p w14:paraId="64870AB0">
      <w:pPr>
        <w:spacing w:line="360" w:lineRule="auto"/>
        <w:ind w:firstLine="420" w:firstLineChars="200"/>
        <w:rPr>
          <w:rFonts w:asciiTheme="minorEastAsia" w:hAnsiTheme="minorEastAsia"/>
          <w:szCs w:val="21"/>
        </w:rPr>
      </w:pPr>
      <w:r>
        <w:rPr>
          <w:rFonts w:hint="eastAsia" w:asciiTheme="minorEastAsia" w:hAnsiTheme="minorEastAsia"/>
          <w:szCs w:val="21"/>
        </w:rPr>
        <w:t>日期</w:t>
      </w:r>
      <w:r>
        <w:rPr>
          <w:rFonts w:asciiTheme="minorEastAsia" w:hAnsiTheme="minorEastAsia"/>
          <w:szCs w:val="21"/>
        </w:rPr>
        <w:t>：</w:t>
      </w:r>
    </w:p>
    <w:p w14:paraId="5D12C37D">
      <w:pPr>
        <w:spacing w:line="360" w:lineRule="auto"/>
        <w:ind w:firstLine="420" w:firstLineChars="200"/>
        <w:rPr>
          <w:rFonts w:asciiTheme="minorEastAsia" w:hAnsiTheme="minorEastAsia"/>
          <w:szCs w:val="21"/>
        </w:rPr>
      </w:pPr>
    </w:p>
    <w:p w14:paraId="4F48CA20">
      <w:pPr>
        <w:spacing w:line="360" w:lineRule="auto"/>
        <w:ind w:firstLine="420" w:firstLineChars="200"/>
        <w:rPr>
          <w:rFonts w:asciiTheme="minorEastAsia" w:hAnsiTheme="minorEastAsia"/>
          <w:szCs w:val="21"/>
        </w:rPr>
      </w:pPr>
    </w:p>
    <w:p w14:paraId="491BF9B6">
      <w:pPr>
        <w:spacing w:line="360" w:lineRule="auto"/>
        <w:ind w:firstLine="420" w:firstLineChars="200"/>
        <w:rPr>
          <w:rFonts w:asciiTheme="minorEastAsia" w:hAnsiTheme="minorEastAsia"/>
          <w:szCs w:val="21"/>
        </w:rPr>
      </w:pPr>
      <w:r>
        <w:rPr>
          <w:rFonts w:hint="eastAsia" w:asciiTheme="minorEastAsia" w:hAnsiTheme="minorEastAsia"/>
          <w:szCs w:val="21"/>
        </w:rPr>
        <w:t>注：</w:t>
      </w:r>
    </w:p>
    <w:p w14:paraId="07DDA410">
      <w:pPr>
        <w:spacing w:line="360" w:lineRule="auto"/>
        <w:ind w:firstLine="420" w:firstLineChars="200"/>
        <w:rPr>
          <w:rFonts w:asciiTheme="minorEastAsia" w:hAnsiTheme="minorEastAsia"/>
          <w:szCs w:val="21"/>
        </w:rPr>
      </w:pPr>
      <w:r>
        <w:rPr>
          <w:rFonts w:asciiTheme="minorEastAsia" w:hAnsiTheme="minorEastAsia"/>
          <w:szCs w:val="21"/>
        </w:rPr>
        <w:t>1</w:t>
      </w:r>
      <w:r>
        <w:rPr>
          <w:rFonts w:hint="eastAsia" w:asciiTheme="minorEastAsia" w:hAnsiTheme="minorEastAsia"/>
          <w:szCs w:val="21"/>
        </w:rPr>
        <w:t>、本招标文件中所称“交货期/服务期”指所有货物运抵现场安装调试完毕后交付用户验收和</w:t>
      </w:r>
      <w:r>
        <w:rPr>
          <w:rFonts w:asciiTheme="minorEastAsia" w:hAnsiTheme="minorEastAsia"/>
          <w:szCs w:val="21"/>
        </w:rPr>
        <w:t>服务过程</w:t>
      </w:r>
      <w:r>
        <w:rPr>
          <w:rFonts w:hint="eastAsia" w:asciiTheme="minorEastAsia" w:hAnsiTheme="minorEastAsia"/>
          <w:szCs w:val="21"/>
        </w:rPr>
        <w:t>的日期。</w:t>
      </w:r>
    </w:p>
    <w:p w14:paraId="6F053CDC">
      <w:pPr>
        <w:spacing w:line="360" w:lineRule="auto"/>
        <w:ind w:firstLine="420" w:firstLineChars="200"/>
        <w:rPr>
          <w:rFonts w:asciiTheme="minorEastAsia" w:hAnsiTheme="minorEastAsia"/>
          <w:szCs w:val="21"/>
        </w:rPr>
      </w:pPr>
      <w:r>
        <w:rPr>
          <w:rFonts w:asciiTheme="minorEastAsia" w:hAnsiTheme="minorEastAsia"/>
          <w:szCs w:val="21"/>
        </w:rPr>
        <w:t>2</w:t>
      </w:r>
      <w:r>
        <w:rPr>
          <w:rFonts w:hint="eastAsia" w:asciiTheme="minorEastAsia" w:hAnsiTheme="minorEastAsia"/>
          <w:szCs w:val="21"/>
        </w:rPr>
        <w:t>、依据《评标委员会和评标方法暂行规定》第25条规定，“投标文件载明的招标项目完成期限超过招标文件规定的期限”的（即交货期或完工期超过招标文件要求期限），投标文件将作投标无效处理。</w:t>
      </w:r>
    </w:p>
    <w:p w14:paraId="02444238">
      <w:pPr>
        <w:spacing w:line="360" w:lineRule="auto"/>
        <w:ind w:firstLine="420" w:firstLineChars="200"/>
        <w:rPr>
          <w:rFonts w:asciiTheme="minorEastAsia" w:hAnsiTheme="minorEastAsia"/>
          <w:szCs w:val="21"/>
        </w:rPr>
      </w:pPr>
      <w:r>
        <w:rPr>
          <w:rFonts w:asciiTheme="minorEastAsia" w:hAnsiTheme="minorEastAsia"/>
          <w:szCs w:val="21"/>
        </w:rPr>
        <w:br w:type="page"/>
      </w:r>
      <w:bookmarkStart w:id="158" w:name="_Toc16795"/>
      <w:r>
        <w:rPr>
          <w:rFonts w:hint="eastAsia" w:asciiTheme="minorEastAsia" w:hAnsiTheme="minorEastAsia"/>
          <w:szCs w:val="21"/>
        </w:rPr>
        <w:t>附件</w:t>
      </w:r>
      <w:r>
        <w:rPr>
          <w:rFonts w:asciiTheme="minorEastAsia" w:hAnsiTheme="minorEastAsia"/>
          <w:szCs w:val="21"/>
        </w:rPr>
        <w:t>5</w:t>
      </w:r>
      <w:r>
        <w:rPr>
          <w:rFonts w:hint="eastAsia" w:asciiTheme="minorEastAsia" w:hAnsiTheme="minorEastAsia"/>
          <w:szCs w:val="21"/>
        </w:rPr>
        <w:t>：分项报价清单格式</w:t>
      </w:r>
      <w:bookmarkEnd w:id="158"/>
    </w:p>
    <w:p w14:paraId="7E78EEA7">
      <w:pPr>
        <w:keepNext/>
        <w:keepLines/>
        <w:spacing w:before="160" w:after="170"/>
        <w:ind w:firstLine="602" w:firstLineChars="200"/>
        <w:jc w:val="center"/>
        <w:outlineLvl w:val="4"/>
        <w:rPr>
          <w:b/>
          <w:bCs/>
          <w:sz w:val="30"/>
          <w:szCs w:val="28"/>
        </w:rPr>
      </w:pPr>
      <w:bookmarkStart w:id="159" w:name="_Toc55548542"/>
      <w:r>
        <w:rPr>
          <w:rFonts w:hint="eastAsia"/>
          <w:b/>
          <w:bCs/>
          <w:sz w:val="30"/>
          <w:szCs w:val="28"/>
        </w:rPr>
        <w:t>分项报价清单</w:t>
      </w:r>
      <w:bookmarkEnd w:id="159"/>
    </w:p>
    <w:tbl>
      <w:tblPr>
        <w:tblStyle w:val="19"/>
        <w:tblW w:w="98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
        <w:gridCol w:w="2902"/>
        <w:gridCol w:w="2357"/>
        <w:gridCol w:w="3148"/>
      </w:tblGrid>
      <w:tr w14:paraId="73782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417" w:type="dxa"/>
            <w:vAlign w:val="center"/>
          </w:tcPr>
          <w:p w14:paraId="0B9017BA">
            <w:pPr>
              <w:spacing w:line="360" w:lineRule="auto"/>
              <w:ind w:firstLine="420" w:firstLineChars="200"/>
              <w:rPr>
                <w:rFonts w:asciiTheme="minorEastAsia" w:hAnsiTheme="minorEastAsia"/>
                <w:color w:val="000000"/>
                <w:szCs w:val="21"/>
              </w:rPr>
            </w:pPr>
            <w:r>
              <w:rPr>
                <w:rFonts w:hint="eastAsia" w:asciiTheme="minorEastAsia" w:hAnsiTheme="minorEastAsia"/>
                <w:color w:val="000000"/>
                <w:szCs w:val="21"/>
              </w:rPr>
              <w:t>序号</w:t>
            </w:r>
          </w:p>
        </w:tc>
        <w:tc>
          <w:tcPr>
            <w:tcW w:w="2902" w:type="dxa"/>
            <w:vAlign w:val="center"/>
          </w:tcPr>
          <w:p w14:paraId="61653605">
            <w:pPr>
              <w:spacing w:line="360" w:lineRule="auto"/>
              <w:ind w:firstLine="420" w:firstLineChars="200"/>
              <w:rPr>
                <w:rFonts w:asciiTheme="minorEastAsia" w:hAnsiTheme="minorEastAsia"/>
                <w:color w:val="000000"/>
                <w:szCs w:val="21"/>
              </w:rPr>
            </w:pPr>
            <w:r>
              <w:rPr>
                <w:rFonts w:hint="eastAsia" w:asciiTheme="minorEastAsia" w:hAnsiTheme="minorEastAsia"/>
                <w:color w:val="000000"/>
                <w:szCs w:val="21"/>
              </w:rPr>
              <w:t>服务项目或设备名称</w:t>
            </w:r>
          </w:p>
        </w:tc>
        <w:tc>
          <w:tcPr>
            <w:tcW w:w="2357" w:type="dxa"/>
            <w:vAlign w:val="center"/>
          </w:tcPr>
          <w:p w14:paraId="2DE22FC2">
            <w:pPr>
              <w:spacing w:line="360" w:lineRule="auto"/>
              <w:ind w:firstLine="420" w:firstLineChars="200"/>
              <w:rPr>
                <w:rFonts w:asciiTheme="minorEastAsia" w:hAnsiTheme="minorEastAsia"/>
                <w:color w:val="000000"/>
                <w:szCs w:val="21"/>
              </w:rPr>
            </w:pPr>
            <w:r>
              <w:rPr>
                <w:rFonts w:hint="eastAsia" w:asciiTheme="minorEastAsia" w:hAnsiTheme="minorEastAsia"/>
                <w:color w:val="000000"/>
                <w:szCs w:val="21"/>
              </w:rPr>
              <w:t>总价</w:t>
            </w:r>
          </w:p>
        </w:tc>
        <w:tc>
          <w:tcPr>
            <w:tcW w:w="3148" w:type="dxa"/>
            <w:vAlign w:val="center"/>
          </w:tcPr>
          <w:p w14:paraId="50AF74D9">
            <w:pPr>
              <w:spacing w:line="360" w:lineRule="auto"/>
              <w:ind w:firstLine="420" w:firstLineChars="200"/>
              <w:rPr>
                <w:rFonts w:asciiTheme="minorEastAsia" w:hAnsiTheme="minorEastAsia"/>
                <w:color w:val="000000"/>
                <w:szCs w:val="21"/>
              </w:rPr>
            </w:pPr>
            <w:r>
              <w:rPr>
                <w:rFonts w:hint="eastAsia" w:asciiTheme="minorEastAsia" w:hAnsiTheme="minorEastAsia"/>
                <w:color w:val="000000"/>
                <w:szCs w:val="21"/>
              </w:rPr>
              <w:t>备注</w:t>
            </w:r>
          </w:p>
        </w:tc>
      </w:tr>
      <w:tr w14:paraId="039C9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417" w:type="dxa"/>
            <w:vAlign w:val="center"/>
          </w:tcPr>
          <w:p w14:paraId="37EECC36">
            <w:pPr>
              <w:spacing w:line="360" w:lineRule="auto"/>
              <w:ind w:firstLine="420" w:firstLineChars="200"/>
              <w:rPr>
                <w:rFonts w:asciiTheme="minorEastAsia" w:hAnsiTheme="minorEastAsia"/>
                <w:color w:val="000000"/>
                <w:szCs w:val="21"/>
              </w:rPr>
            </w:pPr>
          </w:p>
        </w:tc>
        <w:tc>
          <w:tcPr>
            <w:tcW w:w="2902" w:type="dxa"/>
            <w:vAlign w:val="center"/>
          </w:tcPr>
          <w:p w14:paraId="2F17AEC1">
            <w:pPr>
              <w:spacing w:line="360" w:lineRule="auto"/>
              <w:ind w:firstLine="420" w:firstLineChars="200"/>
              <w:rPr>
                <w:rFonts w:asciiTheme="minorEastAsia" w:hAnsiTheme="minorEastAsia"/>
                <w:color w:val="000000"/>
                <w:szCs w:val="21"/>
              </w:rPr>
            </w:pPr>
          </w:p>
        </w:tc>
        <w:tc>
          <w:tcPr>
            <w:tcW w:w="2357" w:type="dxa"/>
            <w:vAlign w:val="center"/>
          </w:tcPr>
          <w:p w14:paraId="53F0886B">
            <w:pPr>
              <w:spacing w:line="360" w:lineRule="auto"/>
              <w:ind w:firstLine="420" w:firstLineChars="200"/>
              <w:rPr>
                <w:rFonts w:asciiTheme="minorEastAsia" w:hAnsiTheme="minorEastAsia"/>
                <w:color w:val="000000"/>
                <w:szCs w:val="21"/>
              </w:rPr>
            </w:pPr>
          </w:p>
        </w:tc>
        <w:tc>
          <w:tcPr>
            <w:tcW w:w="3148" w:type="dxa"/>
            <w:vAlign w:val="center"/>
          </w:tcPr>
          <w:p w14:paraId="038FA1F9">
            <w:pPr>
              <w:spacing w:line="360" w:lineRule="auto"/>
              <w:ind w:firstLine="420" w:firstLineChars="200"/>
              <w:rPr>
                <w:rFonts w:asciiTheme="minorEastAsia" w:hAnsiTheme="minorEastAsia"/>
                <w:color w:val="000000"/>
                <w:szCs w:val="21"/>
              </w:rPr>
            </w:pPr>
          </w:p>
        </w:tc>
      </w:tr>
      <w:tr w14:paraId="784DF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417" w:type="dxa"/>
            <w:vAlign w:val="center"/>
          </w:tcPr>
          <w:p w14:paraId="1B1897EB">
            <w:pPr>
              <w:spacing w:line="360" w:lineRule="auto"/>
              <w:ind w:firstLine="420" w:firstLineChars="200"/>
              <w:rPr>
                <w:rFonts w:asciiTheme="minorEastAsia" w:hAnsiTheme="minorEastAsia"/>
                <w:color w:val="000000"/>
                <w:szCs w:val="21"/>
              </w:rPr>
            </w:pPr>
          </w:p>
        </w:tc>
        <w:tc>
          <w:tcPr>
            <w:tcW w:w="2902" w:type="dxa"/>
            <w:vAlign w:val="center"/>
          </w:tcPr>
          <w:p w14:paraId="7DC3FCE9">
            <w:pPr>
              <w:spacing w:line="360" w:lineRule="auto"/>
              <w:ind w:firstLine="420" w:firstLineChars="200"/>
              <w:rPr>
                <w:rFonts w:asciiTheme="minorEastAsia" w:hAnsiTheme="minorEastAsia"/>
                <w:color w:val="000000"/>
                <w:szCs w:val="21"/>
              </w:rPr>
            </w:pPr>
          </w:p>
        </w:tc>
        <w:tc>
          <w:tcPr>
            <w:tcW w:w="2357" w:type="dxa"/>
            <w:vAlign w:val="center"/>
          </w:tcPr>
          <w:p w14:paraId="204AA51D">
            <w:pPr>
              <w:spacing w:line="360" w:lineRule="auto"/>
              <w:ind w:firstLine="420" w:firstLineChars="200"/>
              <w:rPr>
                <w:rFonts w:asciiTheme="minorEastAsia" w:hAnsiTheme="minorEastAsia"/>
                <w:color w:val="000000"/>
                <w:szCs w:val="21"/>
              </w:rPr>
            </w:pPr>
          </w:p>
        </w:tc>
        <w:tc>
          <w:tcPr>
            <w:tcW w:w="3148" w:type="dxa"/>
            <w:vAlign w:val="center"/>
          </w:tcPr>
          <w:p w14:paraId="14C9672F">
            <w:pPr>
              <w:spacing w:line="360" w:lineRule="auto"/>
              <w:ind w:firstLine="420" w:firstLineChars="200"/>
              <w:rPr>
                <w:rFonts w:asciiTheme="minorEastAsia" w:hAnsiTheme="minorEastAsia"/>
                <w:color w:val="000000"/>
                <w:szCs w:val="21"/>
              </w:rPr>
            </w:pPr>
          </w:p>
        </w:tc>
      </w:tr>
      <w:tr w14:paraId="1C9EE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417" w:type="dxa"/>
            <w:vAlign w:val="center"/>
          </w:tcPr>
          <w:p w14:paraId="3AD3B3C9">
            <w:pPr>
              <w:spacing w:line="360" w:lineRule="auto"/>
              <w:ind w:firstLine="420" w:firstLineChars="200"/>
              <w:rPr>
                <w:rFonts w:asciiTheme="minorEastAsia" w:hAnsiTheme="minorEastAsia"/>
                <w:color w:val="000000"/>
                <w:szCs w:val="21"/>
              </w:rPr>
            </w:pPr>
          </w:p>
        </w:tc>
        <w:tc>
          <w:tcPr>
            <w:tcW w:w="2902" w:type="dxa"/>
            <w:vAlign w:val="center"/>
          </w:tcPr>
          <w:p w14:paraId="3EEF998C">
            <w:pPr>
              <w:spacing w:line="360" w:lineRule="auto"/>
              <w:ind w:firstLine="420" w:firstLineChars="200"/>
              <w:rPr>
                <w:rFonts w:asciiTheme="minorEastAsia" w:hAnsiTheme="minorEastAsia"/>
                <w:color w:val="000000"/>
                <w:szCs w:val="21"/>
              </w:rPr>
            </w:pPr>
          </w:p>
        </w:tc>
        <w:tc>
          <w:tcPr>
            <w:tcW w:w="2357" w:type="dxa"/>
            <w:vAlign w:val="center"/>
          </w:tcPr>
          <w:p w14:paraId="41804381">
            <w:pPr>
              <w:spacing w:line="360" w:lineRule="auto"/>
              <w:ind w:firstLine="420" w:firstLineChars="200"/>
              <w:rPr>
                <w:rFonts w:asciiTheme="minorEastAsia" w:hAnsiTheme="minorEastAsia"/>
                <w:color w:val="000000"/>
                <w:szCs w:val="21"/>
              </w:rPr>
            </w:pPr>
          </w:p>
        </w:tc>
        <w:tc>
          <w:tcPr>
            <w:tcW w:w="3148" w:type="dxa"/>
            <w:vAlign w:val="center"/>
          </w:tcPr>
          <w:p w14:paraId="0E177EC1">
            <w:pPr>
              <w:spacing w:line="360" w:lineRule="auto"/>
              <w:ind w:firstLine="420" w:firstLineChars="200"/>
              <w:rPr>
                <w:rFonts w:asciiTheme="minorEastAsia" w:hAnsiTheme="minorEastAsia"/>
                <w:color w:val="000000"/>
                <w:szCs w:val="21"/>
              </w:rPr>
            </w:pPr>
          </w:p>
        </w:tc>
      </w:tr>
      <w:tr w14:paraId="55B44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417" w:type="dxa"/>
            <w:vAlign w:val="center"/>
          </w:tcPr>
          <w:p w14:paraId="6666CAC2">
            <w:pPr>
              <w:spacing w:line="360" w:lineRule="auto"/>
              <w:ind w:firstLine="420" w:firstLineChars="200"/>
              <w:rPr>
                <w:rFonts w:asciiTheme="minorEastAsia" w:hAnsiTheme="minorEastAsia"/>
                <w:color w:val="000000"/>
                <w:szCs w:val="21"/>
              </w:rPr>
            </w:pPr>
          </w:p>
        </w:tc>
        <w:tc>
          <w:tcPr>
            <w:tcW w:w="2902" w:type="dxa"/>
            <w:vAlign w:val="center"/>
          </w:tcPr>
          <w:p w14:paraId="0BBD1A4B">
            <w:pPr>
              <w:spacing w:line="360" w:lineRule="auto"/>
              <w:ind w:firstLine="420" w:firstLineChars="200"/>
              <w:rPr>
                <w:rFonts w:asciiTheme="minorEastAsia" w:hAnsiTheme="minorEastAsia"/>
                <w:color w:val="000000"/>
                <w:szCs w:val="21"/>
              </w:rPr>
            </w:pPr>
          </w:p>
        </w:tc>
        <w:tc>
          <w:tcPr>
            <w:tcW w:w="2357" w:type="dxa"/>
            <w:vAlign w:val="center"/>
          </w:tcPr>
          <w:p w14:paraId="1D4703FE">
            <w:pPr>
              <w:spacing w:line="360" w:lineRule="auto"/>
              <w:ind w:firstLine="420" w:firstLineChars="200"/>
              <w:rPr>
                <w:rFonts w:asciiTheme="minorEastAsia" w:hAnsiTheme="minorEastAsia"/>
                <w:color w:val="000000"/>
                <w:szCs w:val="21"/>
              </w:rPr>
            </w:pPr>
          </w:p>
        </w:tc>
        <w:tc>
          <w:tcPr>
            <w:tcW w:w="3148" w:type="dxa"/>
            <w:vAlign w:val="center"/>
          </w:tcPr>
          <w:p w14:paraId="185FB101">
            <w:pPr>
              <w:spacing w:line="360" w:lineRule="auto"/>
              <w:ind w:firstLine="420" w:firstLineChars="200"/>
              <w:rPr>
                <w:rFonts w:asciiTheme="minorEastAsia" w:hAnsiTheme="minorEastAsia"/>
                <w:color w:val="000000"/>
                <w:szCs w:val="21"/>
              </w:rPr>
            </w:pPr>
          </w:p>
        </w:tc>
      </w:tr>
      <w:tr w14:paraId="01B3D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417" w:type="dxa"/>
            <w:vAlign w:val="center"/>
          </w:tcPr>
          <w:p w14:paraId="771B45CF">
            <w:pPr>
              <w:spacing w:line="360" w:lineRule="auto"/>
              <w:ind w:firstLine="420" w:firstLineChars="200"/>
              <w:rPr>
                <w:rFonts w:asciiTheme="minorEastAsia" w:hAnsiTheme="minorEastAsia"/>
                <w:color w:val="000000"/>
                <w:szCs w:val="21"/>
              </w:rPr>
            </w:pPr>
          </w:p>
        </w:tc>
        <w:tc>
          <w:tcPr>
            <w:tcW w:w="2902" w:type="dxa"/>
            <w:vAlign w:val="center"/>
          </w:tcPr>
          <w:p w14:paraId="5119BF7E">
            <w:pPr>
              <w:spacing w:line="360" w:lineRule="auto"/>
              <w:ind w:firstLine="420" w:firstLineChars="200"/>
              <w:rPr>
                <w:rFonts w:asciiTheme="minorEastAsia" w:hAnsiTheme="minorEastAsia"/>
                <w:color w:val="000000"/>
                <w:szCs w:val="21"/>
              </w:rPr>
            </w:pPr>
          </w:p>
        </w:tc>
        <w:tc>
          <w:tcPr>
            <w:tcW w:w="2357" w:type="dxa"/>
            <w:vAlign w:val="center"/>
          </w:tcPr>
          <w:p w14:paraId="68B31413">
            <w:pPr>
              <w:spacing w:line="360" w:lineRule="auto"/>
              <w:ind w:firstLine="420" w:firstLineChars="200"/>
              <w:rPr>
                <w:rFonts w:asciiTheme="minorEastAsia" w:hAnsiTheme="minorEastAsia"/>
                <w:color w:val="000000"/>
                <w:szCs w:val="21"/>
              </w:rPr>
            </w:pPr>
          </w:p>
        </w:tc>
        <w:tc>
          <w:tcPr>
            <w:tcW w:w="3148" w:type="dxa"/>
            <w:vAlign w:val="center"/>
          </w:tcPr>
          <w:p w14:paraId="4D8689C6">
            <w:pPr>
              <w:spacing w:line="360" w:lineRule="auto"/>
              <w:ind w:firstLine="420" w:firstLineChars="200"/>
              <w:rPr>
                <w:rFonts w:asciiTheme="minorEastAsia" w:hAnsiTheme="minorEastAsia"/>
                <w:color w:val="000000"/>
                <w:szCs w:val="21"/>
              </w:rPr>
            </w:pPr>
          </w:p>
        </w:tc>
      </w:tr>
      <w:tr w14:paraId="26B6E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417" w:type="dxa"/>
            <w:vAlign w:val="center"/>
          </w:tcPr>
          <w:p w14:paraId="6FDBBD0B">
            <w:pPr>
              <w:spacing w:line="360" w:lineRule="auto"/>
              <w:ind w:firstLine="420" w:firstLineChars="200"/>
              <w:rPr>
                <w:rFonts w:asciiTheme="minorEastAsia" w:hAnsiTheme="minorEastAsia"/>
                <w:color w:val="000000"/>
                <w:szCs w:val="21"/>
              </w:rPr>
            </w:pPr>
          </w:p>
        </w:tc>
        <w:tc>
          <w:tcPr>
            <w:tcW w:w="2902" w:type="dxa"/>
            <w:vAlign w:val="center"/>
          </w:tcPr>
          <w:p w14:paraId="646A061F">
            <w:pPr>
              <w:spacing w:line="360" w:lineRule="auto"/>
              <w:ind w:firstLine="420" w:firstLineChars="200"/>
              <w:rPr>
                <w:rFonts w:asciiTheme="minorEastAsia" w:hAnsiTheme="minorEastAsia"/>
                <w:color w:val="000000"/>
                <w:szCs w:val="21"/>
              </w:rPr>
            </w:pPr>
          </w:p>
        </w:tc>
        <w:tc>
          <w:tcPr>
            <w:tcW w:w="2357" w:type="dxa"/>
            <w:vAlign w:val="center"/>
          </w:tcPr>
          <w:p w14:paraId="03D220A0">
            <w:pPr>
              <w:spacing w:line="360" w:lineRule="auto"/>
              <w:ind w:firstLine="420" w:firstLineChars="200"/>
              <w:rPr>
                <w:rFonts w:asciiTheme="minorEastAsia" w:hAnsiTheme="minorEastAsia"/>
                <w:color w:val="000000"/>
                <w:szCs w:val="21"/>
              </w:rPr>
            </w:pPr>
          </w:p>
        </w:tc>
        <w:tc>
          <w:tcPr>
            <w:tcW w:w="3148" w:type="dxa"/>
            <w:vAlign w:val="center"/>
          </w:tcPr>
          <w:p w14:paraId="5F6101BE">
            <w:pPr>
              <w:spacing w:line="360" w:lineRule="auto"/>
              <w:ind w:firstLine="420" w:firstLineChars="200"/>
              <w:rPr>
                <w:rFonts w:asciiTheme="minorEastAsia" w:hAnsiTheme="minorEastAsia"/>
                <w:color w:val="000000"/>
                <w:szCs w:val="21"/>
              </w:rPr>
            </w:pPr>
          </w:p>
        </w:tc>
      </w:tr>
      <w:tr w14:paraId="54D32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4319" w:type="dxa"/>
            <w:gridSpan w:val="2"/>
            <w:vAlign w:val="center"/>
          </w:tcPr>
          <w:p w14:paraId="56AC9E52">
            <w:pPr>
              <w:spacing w:line="360" w:lineRule="auto"/>
              <w:ind w:firstLine="420" w:firstLineChars="200"/>
              <w:rPr>
                <w:rFonts w:asciiTheme="minorEastAsia" w:hAnsiTheme="minorEastAsia"/>
                <w:color w:val="000000"/>
                <w:szCs w:val="21"/>
              </w:rPr>
            </w:pPr>
            <w:r>
              <w:rPr>
                <w:rFonts w:hint="eastAsia" w:asciiTheme="minorEastAsia" w:hAnsiTheme="minorEastAsia"/>
                <w:color w:val="000000"/>
                <w:szCs w:val="21"/>
              </w:rPr>
              <w:t>合计</w:t>
            </w:r>
          </w:p>
        </w:tc>
        <w:tc>
          <w:tcPr>
            <w:tcW w:w="5505" w:type="dxa"/>
            <w:gridSpan w:val="2"/>
            <w:vAlign w:val="center"/>
          </w:tcPr>
          <w:p w14:paraId="2C46E8EA">
            <w:pPr>
              <w:spacing w:line="360" w:lineRule="auto"/>
              <w:ind w:firstLine="420" w:firstLineChars="200"/>
              <w:rPr>
                <w:rFonts w:asciiTheme="minorEastAsia" w:hAnsiTheme="minorEastAsia"/>
                <w:color w:val="000000"/>
                <w:szCs w:val="21"/>
              </w:rPr>
            </w:pPr>
          </w:p>
        </w:tc>
      </w:tr>
    </w:tbl>
    <w:p w14:paraId="132D69F2">
      <w:pPr>
        <w:spacing w:line="360" w:lineRule="auto"/>
        <w:ind w:firstLine="420" w:firstLineChars="200"/>
        <w:rPr>
          <w:rFonts w:asciiTheme="minorEastAsia" w:hAnsiTheme="minorEastAsia"/>
          <w:szCs w:val="21"/>
        </w:rPr>
      </w:pPr>
      <w:r>
        <w:rPr>
          <w:rFonts w:hint="eastAsia" w:asciiTheme="minorEastAsia" w:hAnsiTheme="minorEastAsia"/>
          <w:szCs w:val="21"/>
        </w:rPr>
        <w:t>注：</w:t>
      </w:r>
    </w:p>
    <w:p w14:paraId="6D91BA6C">
      <w:pPr>
        <w:spacing w:line="360" w:lineRule="auto"/>
        <w:ind w:firstLine="420" w:firstLineChars="200"/>
        <w:rPr>
          <w:rFonts w:asciiTheme="minorEastAsia" w:hAnsiTheme="minorEastAsia"/>
          <w:szCs w:val="21"/>
        </w:rPr>
      </w:pPr>
      <w:r>
        <w:rPr>
          <w:rFonts w:hint="eastAsia" w:asciiTheme="minorEastAsia" w:hAnsiTheme="minorEastAsia"/>
          <w:szCs w:val="21"/>
        </w:rPr>
        <w:t>1、所有价格应按“采购文件”中规定的货币单位填写；</w:t>
      </w:r>
    </w:p>
    <w:p w14:paraId="64F0B8AF">
      <w:pPr>
        <w:spacing w:line="360" w:lineRule="auto"/>
        <w:ind w:firstLine="420" w:firstLineChars="200"/>
        <w:rPr>
          <w:rFonts w:asciiTheme="minorEastAsia" w:hAnsiTheme="minorEastAsia"/>
          <w:szCs w:val="21"/>
        </w:rPr>
      </w:pPr>
      <w:r>
        <w:rPr>
          <w:rFonts w:asciiTheme="minorEastAsia" w:hAnsiTheme="minorEastAsia"/>
          <w:szCs w:val="21"/>
        </w:rPr>
        <w:t>2</w:t>
      </w:r>
      <w:r>
        <w:rPr>
          <w:rFonts w:hint="eastAsia" w:asciiTheme="minorEastAsia" w:hAnsiTheme="minorEastAsia"/>
          <w:szCs w:val="21"/>
        </w:rPr>
        <w:t>、投标总价应为以上各分项价格之和；</w:t>
      </w:r>
    </w:p>
    <w:p w14:paraId="03449783">
      <w:pPr>
        <w:spacing w:line="360" w:lineRule="auto"/>
        <w:ind w:firstLine="420" w:firstLineChars="200"/>
        <w:rPr>
          <w:rFonts w:asciiTheme="minorEastAsia" w:hAnsiTheme="minorEastAsia"/>
          <w:szCs w:val="21"/>
        </w:rPr>
      </w:pPr>
      <w:r>
        <w:rPr>
          <w:rFonts w:hint="eastAsia" w:asciiTheme="minorEastAsia" w:hAnsiTheme="minorEastAsia"/>
          <w:szCs w:val="21"/>
          <w:highlight w:val="yellow"/>
        </w:rPr>
        <w:t>3、本表格式仅做参考，</w:t>
      </w:r>
      <w:r>
        <w:rPr>
          <w:rFonts w:asciiTheme="minorEastAsia" w:hAnsiTheme="minorEastAsia"/>
          <w:szCs w:val="21"/>
          <w:highlight w:val="yellow"/>
        </w:rPr>
        <w:t>可根据项目</w:t>
      </w:r>
      <w:r>
        <w:rPr>
          <w:rFonts w:hint="eastAsia" w:asciiTheme="minorEastAsia" w:hAnsiTheme="minorEastAsia"/>
          <w:szCs w:val="21"/>
          <w:highlight w:val="yellow"/>
        </w:rPr>
        <w:t>实际</w:t>
      </w:r>
      <w:r>
        <w:rPr>
          <w:rFonts w:asciiTheme="minorEastAsia" w:hAnsiTheme="minorEastAsia"/>
          <w:szCs w:val="21"/>
          <w:highlight w:val="yellow"/>
        </w:rPr>
        <w:t>内容进行调整</w:t>
      </w:r>
      <w:r>
        <w:rPr>
          <w:rFonts w:hint="eastAsia" w:asciiTheme="minorEastAsia" w:hAnsiTheme="minorEastAsia"/>
          <w:szCs w:val="21"/>
          <w:highlight w:val="yellow"/>
        </w:rPr>
        <w:t>；</w:t>
      </w:r>
    </w:p>
    <w:p w14:paraId="42B252FD">
      <w:pPr>
        <w:spacing w:line="360" w:lineRule="auto"/>
        <w:ind w:firstLine="420" w:firstLineChars="200"/>
        <w:rPr>
          <w:rFonts w:asciiTheme="minorEastAsia" w:hAnsiTheme="minorEastAsia"/>
          <w:szCs w:val="21"/>
        </w:rPr>
      </w:pPr>
      <w:r>
        <w:rPr>
          <w:rFonts w:hint="eastAsia" w:asciiTheme="minorEastAsia" w:hAnsiTheme="minorEastAsia"/>
          <w:szCs w:val="21"/>
        </w:rPr>
        <w:t>4、单价、合价和投标总价为包干价，即三者均应包含设备的价款、包装、运输、装卸、安装、调试、技术指导、培训、咨询、服务、保险、税费、检测、验收合格交付使用之前以及技术和售后服务等其他各项有关费用。</w:t>
      </w:r>
    </w:p>
    <w:p w14:paraId="0BA00823">
      <w:pPr>
        <w:spacing w:line="360" w:lineRule="auto"/>
        <w:ind w:firstLine="420" w:firstLineChars="200"/>
        <w:rPr>
          <w:rFonts w:asciiTheme="minorEastAsia" w:hAnsiTheme="minorEastAsia"/>
          <w:szCs w:val="21"/>
        </w:rPr>
      </w:pPr>
      <w:r>
        <w:rPr>
          <w:rFonts w:hint="eastAsia" w:asciiTheme="minorEastAsia" w:hAnsiTheme="minorEastAsia"/>
          <w:szCs w:val="21"/>
        </w:rPr>
        <w:t>5、投标总价和项目报价表中单个采购预算条目报价均不得超过对应的财政预算限额，否则将导致投标无效。</w:t>
      </w:r>
    </w:p>
    <w:p w14:paraId="02543142">
      <w:pPr>
        <w:spacing w:line="360" w:lineRule="auto"/>
        <w:ind w:firstLine="420" w:firstLineChars="200"/>
        <w:rPr>
          <w:rFonts w:asciiTheme="minorEastAsia" w:hAnsiTheme="minorEastAsia"/>
          <w:szCs w:val="21"/>
        </w:rPr>
      </w:pPr>
      <w:r>
        <w:rPr>
          <w:rFonts w:hint="eastAsia" w:asciiTheme="minorEastAsia" w:hAnsiTheme="minorEastAsia"/>
          <w:szCs w:val="21"/>
        </w:rPr>
        <w:t>6、开标一览表的投标总价必须与项目报价表的投标总价一致。</w:t>
      </w:r>
    </w:p>
    <w:p w14:paraId="4D5F6CAD">
      <w:pPr>
        <w:spacing w:line="360" w:lineRule="auto"/>
        <w:ind w:firstLine="420" w:firstLineChars="200"/>
        <w:rPr>
          <w:rFonts w:asciiTheme="minorEastAsia" w:hAnsiTheme="minorEastAsia"/>
          <w:szCs w:val="21"/>
        </w:rPr>
      </w:pPr>
      <w:r>
        <w:rPr>
          <w:rFonts w:hint="eastAsia" w:asciiTheme="minorEastAsia" w:hAnsiTheme="minorEastAsia"/>
          <w:szCs w:val="21"/>
        </w:rPr>
        <w:t>7、“原产地”是指该产品的实际生产加工地，而非品牌总公司所在地。</w:t>
      </w:r>
    </w:p>
    <w:p w14:paraId="2356E7AB">
      <w:pPr>
        <w:spacing w:line="360" w:lineRule="auto"/>
        <w:ind w:firstLine="420" w:firstLineChars="200"/>
      </w:pPr>
    </w:p>
    <w:p w14:paraId="0083C7DE">
      <w:pPr>
        <w:spacing w:line="360" w:lineRule="auto"/>
      </w:pPr>
    </w:p>
    <w:p w14:paraId="1215EF91">
      <w:pPr>
        <w:spacing w:line="360" w:lineRule="auto"/>
        <w:ind w:firstLine="420" w:firstLineChars="200"/>
      </w:pPr>
    </w:p>
    <w:p w14:paraId="47FA09E8">
      <w:pPr>
        <w:spacing w:line="360" w:lineRule="auto"/>
        <w:ind w:firstLine="420" w:firstLineChars="200"/>
        <w:rPr>
          <w:rFonts w:asciiTheme="minorEastAsia" w:hAnsiTheme="minorEastAsia"/>
          <w:szCs w:val="21"/>
        </w:rPr>
        <w:sectPr>
          <w:pgSz w:w="11906" w:h="16838"/>
          <w:pgMar w:top="1440" w:right="1080" w:bottom="1440" w:left="1080" w:header="851" w:footer="992" w:gutter="0"/>
          <w:cols w:space="720" w:num="1"/>
          <w:titlePg/>
          <w:docGrid w:type="lines" w:linePitch="312" w:charSpace="0"/>
        </w:sectPr>
      </w:pPr>
      <w:bookmarkStart w:id="160" w:name="_Toc32280"/>
    </w:p>
    <w:p w14:paraId="1C56B4D5">
      <w:pPr>
        <w:spacing w:line="360" w:lineRule="auto"/>
        <w:ind w:firstLine="420" w:firstLineChars="200"/>
        <w:rPr>
          <w:rFonts w:asciiTheme="minorEastAsia" w:hAnsiTheme="minorEastAsia"/>
          <w:szCs w:val="21"/>
        </w:rPr>
      </w:pPr>
      <w:r>
        <w:rPr>
          <w:rFonts w:hint="eastAsia" w:asciiTheme="minorEastAsia" w:hAnsiTheme="minorEastAsia"/>
          <w:szCs w:val="21"/>
        </w:rPr>
        <w:t>附件</w:t>
      </w:r>
      <w:r>
        <w:rPr>
          <w:rFonts w:asciiTheme="minorEastAsia" w:hAnsiTheme="minorEastAsia"/>
          <w:szCs w:val="21"/>
        </w:rPr>
        <w:t>6</w:t>
      </w:r>
      <w:r>
        <w:rPr>
          <w:rFonts w:hint="eastAsia" w:asciiTheme="minorEastAsia" w:hAnsiTheme="minorEastAsia"/>
          <w:szCs w:val="21"/>
        </w:rPr>
        <w:t>：法定代表人证明书格式</w:t>
      </w:r>
      <w:bookmarkEnd w:id="160"/>
    </w:p>
    <w:p w14:paraId="56917416">
      <w:pPr>
        <w:keepNext/>
        <w:keepLines/>
        <w:spacing w:before="160" w:after="170"/>
        <w:ind w:firstLine="602" w:firstLineChars="200"/>
        <w:jc w:val="center"/>
        <w:outlineLvl w:val="4"/>
        <w:rPr>
          <w:b/>
          <w:bCs/>
          <w:sz w:val="30"/>
          <w:szCs w:val="28"/>
        </w:rPr>
      </w:pPr>
      <w:bookmarkStart w:id="161" w:name="_Toc55548545"/>
      <w:bookmarkStart w:id="162" w:name="_Toc2383"/>
      <w:r>
        <w:rPr>
          <w:rFonts w:hint="eastAsia"/>
          <w:b/>
          <w:bCs/>
          <w:sz w:val="30"/>
          <w:szCs w:val="28"/>
        </w:rPr>
        <w:t>法定代表人证明书</w:t>
      </w:r>
      <w:bookmarkEnd w:id="161"/>
    </w:p>
    <w:p w14:paraId="5018F6AB">
      <w:pPr>
        <w:tabs>
          <w:tab w:val="left" w:pos="900"/>
        </w:tabs>
        <w:spacing w:line="360" w:lineRule="auto"/>
        <w:ind w:firstLine="420" w:firstLineChars="200"/>
        <w:rPr>
          <w:rFonts w:asciiTheme="minorEastAsia" w:hAnsiTheme="minorEastAsia"/>
          <w:szCs w:val="21"/>
        </w:rPr>
      </w:pPr>
      <w:r>
        <w:rPr>
          <w:rFonts w:hint="eastAsia" w:asciiTheme="minorEastAsia" w:hAnsiTheme="minorEastAsia"/>
          <w:szCs w:val="21"/>
        </w:rPr>
        <w:t>______________同志，现任我单位</w:t>
      </w:r>
      <w:r>
        <w:rPr>
          <w:rFonts w:asciiTheme="minorEastAsia" w:hAnsiTheme="minorEastAsia"/>
          <w:szCs w:val="21"/>
          <w:u w:val="single"/>
        </w:rPr>
        <w:t xml:space="preserve">         </w:t>
      </w:r>
      <w:r>
        <w:rPr>
          <w:rFonts w:hint="eastAsia" w:asciiTheme="minorEastAsia" w:hAnsiTheme="minorEastAsia"/>
          <w:szCs w:val="21"/>
        </w:rPr>
        <w:t>职务，为法定代表人，特此证明。</w:t>
      </w:r>
    </w:p>
    <w:p w14:paraId="26B67C70">
      <w:pPr>
        <w:spacing w:line="360" w:lineRule="auto"/>
        <w:ind w:firstLine="420" w:firstLineChars="200"/>
        <w:rPr>
          <w:rFonts w:asciiTheme="minorEastAsia" w:hAnsiTheme="minorEastAsia"/>
          <w:szCs w:val="21"/>
        </w:rPr>
      </w:pPr>
      <w:r>
        <w:rPr>
          <w:rFonts w:hint="eastAsia" w:asciiTheme="minorEastAsia" w:hAnsiTheme="minorEastAsia"/>
          <w:szCs w:val="21"/>
        </w:rPr>
        <w:t>有效日期与本公司投标文件中标注的投标有效期相同。</w:t>
      </w:r>
      <w:r>
        <w:rPr>
          <w:rFonts w:asciiTheme="minorEastAsia" w:hAnsiTheme="minorEastAsia"/>
          <w:szCs w:val="21"/>
        </w:rPr>
        <w:t xml:space="preserve">  </w:t>
      </w:r>
    </w:p>
    <w:p w14:paraId="19892F57">
      <w:pPr>
        <w:spacing w:line="360" w:lineRule="auto"/>
        <w:ind w:firstLine="420" w:firstLineChars="200"/>
        <w:rPr>
          <w:rFonts w:asciiTheme="minorEastAsia" w:hAnsiTheme="minorEastAsia"/>
          <w:szCs w:val="21"/>
        </w:rPr>
      </w:pPr>
      <w:r>
        <w:rPr>
          <w:rFonts w:hint="eastAsia" w:asciiTheme="minorEastAsia" w:hAnsiTheme="minorEastAsia"/>
          <w:szCs w:val="21"/>
        </w:rPr>
        <w:t>签发日期：</w:t>
      </w:r>
      <w:r>
        <w:rPr>
          <w:rFonts w:hint="eastAsia" w:asciiTheme="minorEastAsia" w:hAnsiTheme="minorEastAsia"/>
          <w:szCs w:val="21"/>
          <w:u w:val="single"/>
        </w:rPr>
        <w:t xml:space="preserve">     </w:t>
      </w:r>
      <w:r>
        <w:rPr>
          <w:rFonts w:hint="eastAsia" w:asciiTheme="minorEastAsia" w:hAnsiTheme="minorEastAsia"/>
          <w:szCs w:val="21"/>
        </w:rPr>
        <w:t>年</w:t>
      </w:r>
      <w:r>
        <w:rPr>
          <w:rFonts w:hint="eastAsia" w:asciiTheme="minorEastAsia" w:hAnsiTheme="minorEastAsia"/>
          <w:szCs w:val="21"/>
          <w:u w:val="single"/>
        </w:rPr>
        <w:t xml:space="preserve">   </w:t>
      </w:r>
      <w:r>
        <w:rPr>
          <w:rFonts w:hint="eastAsia" w:asciiTheme="minorEastAsia" w:hAnsiTheme="minorEastAsia"/>
          <w:szCs w:val="21"/>
        </w:rPr>
        <w:t>月</w:t>
      </w:r>
      <w:r>
        <w:rPr>
          <w:rFonts w:hint="eastAsia" w:asciiTheme="minorEastAsia" w:hAnsiTheme="minorEastAsia"/>
          <w:szCs w:val="21"/>
          <w:u w:val="single"/>
        </w:rPr>
        <w:t xml:space="preserve">   </w:t>
      </w:r>
      <w:r>
        <w:rPr>
          <w:rFonts w:hint="eastAsia" w:asciiTheme="minorEastAsia" w:hAnsiTheme="minorEastAsia"/>
          <w:szCs w:val="21"/>
        </w:rPr>
        <w:t>日</w:t>
      </w:r>
      <w:r>
        <w:rPr>
          <w:rFonts w:asciiTheme="minorEastAsia" w:hAnsiTheme="minorEastAsia"/>
          <w:szCs w:val="21"/>
        </w:rPr>
        <w:t xml:space="preserve">             </w:t>
      </w:r>
    </w:p>
    <w:p w14:paraId="6E8C8D7D">
      <w:pPr>
        <w:spacing w:line="360" w:lineRule="auto"/>
        <w:ind w:firstLine="420" w:firstLineChars="200"/>
        <w:rPr>
          <w:rFonts w:asciiTheme="minorEastAsia" w:hAnsiTheme="minorEastAsia"/>
          <w:szCs w:val="21"/>
        </w:rPr>
      </w:pPr>
      <w:r>
        <w:rPr>
          <w:rFonts w:hint="eastAsia" w:asciiTheme="minorEastAsia" w:hAnsiTheme="minorEastAsia"/>
          <w:szCs w:val="21"/>
        </w:rPr>
        <w:t>附：</w:t>
      </w:r>
    </w:p>
    <w:p w14:paraId="368691D3">
      <w:pPr>
        <w:spacing w:line="360" w:lineRule="auto"/>
        <w:ind w:firstLine="420" w:firstLineChars="200"/>
        <w:rPr>
          <w:rFonts w:asciiTheme="minorEastAsia" w:hAnsiTheme="minorEastAsia"/>
          <w:szCs w:val="21"/>
        </w:rPr>
      </w:pPr>
      <w:r>
        <w:rPr>
          <w:rFonts w:hint="eastAsia" w:asciiTheme="minorEastAsia" w:hAnsiTheme="minorEastAsia"/>
          <w:szCs w:val="21"/>
        </w:rPr>
        <w:t xml:space="preserve">营业执照（注册号）：                       </w:t>
      </w:r>
    </w:p>
    <w:p w14:paraId="53EB0DF8">
      <w:pPr>
        <w:spacing w:line="360" w:lineRule="auto"/>
        <w:ind w:firstLine="420" w:firstLineChars="200"/>
        <w:rPr>
          <w:rFonts w:asciiTheme="minorEastAsia" w:hAnsiTheme="minorEastAsia"/>
          <w:szCs w:val="21"/>
        </w:rPr>
      </w:pPr>
      <w:r>
        <w:rPr>
          <w:rFonts w:hint="eastAsia" w:asciiTheme="minorEastAsia" w:hAnsiTheme="minorEastAsia"/>
          <w:szCs w:val="21"/>
        </w:rPr>
        <w:t>经济性质：</w:t>
      </w:r>
    </w:p>
    <w:p w14:paraId="523A1DF7">
      <w:pPr>
        <w:spacing w:line="360" w:lineRule="auto"/>
        <w:ind w:firstLine="420" w:firstLineChars="200"/>
        <w:rPr>
          <w:rFonts w:asciiTheme="minorEastAsia" w:hAnsiTheme="minorEastAsia"/>
          <w:szCs w:val="21"/>
        </w:rPr>
      </w:pPr>
      <w:r>
        <w:rPr>
          <w:rFonts w:hint="eastAsia" w:asciiTheme="minorEastAsia" w:hAnsiTheme="minorEastAsia"/>
          <w:szCs w:val="21"/>
        </w:rPr>
        <w:t>主营（产）：</w:t>
      </w:r>
    </w:p>
    <w:p w14:paraId="3137ABFD">
      <w:pPr>
        <w:spacing w:line="360" w:lineRule="auto"/>
        <w:ind w:firstLine="420" w:firstLineChars="200"/>
        <w:rPr>
          <w:rFonts w:asciiTheme="minorEastAsia" w:hAnsiTheme="minorEastAsia"/>
          <w:szCs w:val="21"/>
        </w:rPr>
      </w:pPr>
      <w:r>
        <w:rPr>
          <w:rFonts w:hint="eastAsia" w:asciiTheme="minorEastAsia" w:hAnsiTheme="minorEastAsia"/>
          <w:szCs w:val="21"/>
        </w:rPr>
        <w:t>兼营（产）：</w:t>
      </w:r>
    </w:p>
    <w:p w14:paraId="112DC3CF">
      <w:pPr>
        <w:spacing w:line="360" w:lineRule="auto"/>
        <w:ind w:firstLine="420" w:firstLineChars="200"/>
        <w:rPr>
          <w:rFonts w:asciiTheme="minorEastAsia" w:hAnsiTheme="minorEastAsia"/>
          <w:szCs w:val="21"/>
        </w:rPr>
      </w:pPr>
    </w:p>
    <w:p w14:paraId="73B36F96">
      <w:pPr>
        <w:spacing w:line="360" w:lineRule="auto"/>
        <w:ind w:firstLine="420" w:firstLineChars="200"/>
        <w:rPr>
          <w:rFonts w:asciiTheme="minorEastAsia" w:hAnsiTheme="minorEastAsia"/>
          <w:b/>
          <w:bCs/>
          <w:szCs w:val="21"/>
        </w:rPr>
      </w:pPr>
      <w:r>
        <mc:AlternateContent>
          <mc:Choice Requires="wps">
            <w:drawing>
              <wp:anchor distT="0" distB="0" distL="114300" distR="114300" simplePos="0" relativeHeight="251660288" behindDoc="0" locked="0" layoutInCell="1" allowOverlap="1">
                <wp:simplePos x="0" y="0"/>
                <wp:positionH relativeFrom="column">
                  <wp:posOffset>2840355</wp:posOffset>
                </wp:positionH>
                <wp:positionV relativeFrom="paragraph">
                  <wp:posOffset>136525</wp:posOffset>
                </wp:positionV>
                <wp:extent cx="2705100" cy="1981200"/>
                <wp:effectExtent l="4445" t="5080" r="14605" b="13970"/>
                <wp:wrapNone/>
                <wp:docPr id="69" name="矩形 69"/>
                <wp:cNvGraphicFramePr/>
                <a:graphic xmlns:a="http://schemas.openxmlformats.org/drawingml/2006/main">
                  <a:graphicData uri="http://schemas.microsoft.com/office/word/2010/wordprocessingShape">
                    <wps:wsp>
                      <wps:cNvSpPr>
                        <a:spLocks noChangeArrowheads="1"/>
                      </wps:cNvSpPr>
                      <wps:spPr bwMode="auto">
                        <a:xfrm>
                          <a:off x="0" y="0"/>
                          <a:ext cx="2705100" cy="1981200"/>
                        </a:xfrm>
                        <a:prstGeom prst="rect">
                          <a:avLst/>
                        </a:prstGeom>
                        <a:solidFill>
                          <a:srgbClr val="FFFFFF"/>
                        </a:solidFill>
                        <a:ln w="9525">
                          <a:solidFill>
                            <a:srgbClr val="000000"/>
                          </a:solidFill>
                          <a:miter lim="800000"/>
                        </a:ln>
                      </wps:spPr>
                      <wps:txbx>
                        <w:txbxContent>
                          <w:p w14:paraId="73ABBC5F">
                            <w:pPr>
                              <w:spacing w:line="360" w:lineRule="auto"/>
                              <w:ind w:firstLine="1680" w:firstLineChars="800"/>
                            </w:pPr>
                          </w:p>
                          <w:p w14:paraId="48A596E3">
                            <w:pPr>
                              <w:spacing w:line="360" w:lineRule="auto"/>
                              <w:ind w:firstLine="1680" w:firstLineChars="800"/>
                            </w:pPr>
                            <w:r>
                              <w:rPr>
                                <w:rFonts w:hint="eastAsia"/>
                              </w:rPr>
                              <w:t>法定代表人</w:t>
                            </w:r>
                          </w:p>
                          <w:p w14:paraId="61B0B585">
                            <w:pPr>
                              <w:spacing w:line="360" w:lineRule="auto"/>
                              <w:ind w:firstLine="1155" w:firstLineChars="550"/>
                            </w:pPr>
                            <w:r>
                              <w:rPr>
                                <w:rFonts w:hint="eastAsia"/>
                              </w:rPr>
                              <w:t>居民身份证复印件粘贴处</w:t>
                            </w:r>
                          </w:p>
                          <w:p w14:paraId="2A491B12">
                            <w:pPr>
                              <w:spacing w:line="360" w:lineRule="auto"/>
                              <w:ind w:firstLine="1785" w:firstLineChars="850"/>
                            </w:pPr>
                            <w:r>
                              <w:rPr>
                                <w:rFonts w:hint="eastAsia"/>
                              </w:rPr>
                              <w:t>（反面）</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23.65pt;margin-top:10.75pt;height:156pt;width:213pt;z-index:251660288;mso-width-relative:page;mso-height-relative:page;" fillcolor="#FFFFFF" filled="t" stroked="t" coordsize="21600,21600" o:gfxdata="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PcT0NvZAAAACgEAAA8AAAAAAAAAAQAgAAAAIgAAAGRycy9k&#10;b3ducmV2LnhtbFBLAQIUABQAAAAIAIdO4kCe2XEjOgIAAH0EAAAOAAAAAAAAAAEAIAAAACgBAABk&#10;cnMvZTJvRG9jLnhtbFBLBQYAAAAABgAGAFkBAADUBQAAAAA=&#10;">
                <v:fill on="t" focussize="0,0"/>
                <v:stroke color="#000000" miterlimit="8" joinstyle="miter"/>
                <v:imagedata o:title=""/>
                <o:lock v:ext="edit" aspectratio="f"/>
                <v:textbox>
                  <w:txbxContent>
                    <w:p w14:paraId="73ABBC5F">
                      <w:pPr>
                        <w:spacing w:line="360" w:lineRule="auto"/>
                        <w:ind w:firstLine="1680" w:firstLineChars="800"/>
                      </w:pPr>
                    </w:p>
                    <w:p w14:paraId="48A596E3">
                      <w:pPr>
                        <w:spacing w:line="360" w:lineRule="auto"/>
                        <w:ind w:firstLine="1680" w:firstLineChars="800"/>
                      </w:pPr>
                      <w:r>
                        <w:rPr>
                          <w:rFonts w:hint="eastAsia"/>
                        </w:rPr>
                        <w:t>法定代表人</w:t>
                      </w:r>
                    </w:p>
                    <w:p w14:paraId="61B0B585">
                      <w:pPr>
                        <w:spacing w:line="360" w:lineRule="auto"/>
                        <w:ind w:firstLine="1155" w:firstLineChars="550"/>
                      </w:pPr>
                      <w:r>
                        <w:rPr>
                          <w:rFonts w:hint="eastAsia"/>
                        </w:rPr>
                        <w:t>居民身份证复印件粘贴处</w:t>
                      </w:r>
                    </w:p>
                    <w:p w14:paraId="2A491B12">
                      <w:pPr>
                        <w:spacing w:line="360" w:lineRule="auto"/>
                        <w:ind w:firstLine="1785" w:firstLineChars="850"/>
                      </w:pPr>
                      <w:r>
                        <w:rPr>
                          <w:rFonts w:hint="eastAsia"/>
                        </w:rPr>
                        <w:t>（反面）</w:t>
                      </w:r>
                    </w:p>
                  </w:txbxContent>
                </v:textbox>
              </v:rect>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-112395</wp:posOffset>
                </wp:positionH>
                <wp:positionV relativeFrom="paragraph">
                  <wp:posOffset>136525</wp:posOffset>
                </wp:positionV>
                <wp:extent cx="2705100" cy="1981200"/>
                <wp:effectExtent l="4445" t="5080" r="14605" b="13970"/>
                <wp:wrapNone/>
                <wp:docPr id="68" name="矩形 68"/>
                <wp:cNvGraphicFramePr/>
                <a:graphic xmlns:a="http://schemas.openxmlformats.org/drawingml/2006/main">
                  <a:graphicData uri="http://schemas.microsoft.com/office/word/2010/wordprocessingShape">
                    <wps:wsp>
                      <wps:cNvSpPr>
                        <a:spLocks noChangeArrowheads="1"/>
                      </wps:cNvSpPr>
                      <wps:spPr bwMode="auto">
                        <a:xfrm>
                          <a:off x="0" y="0"/>
                          <a:ext cx="2705100" cy="1981200"/>
                        </a:xfrm>
                        <a:prstGeom prst="rect">
                          <a:avLst/>
                        </a:prstGeom>
                        <a:solidFill>
                          <a:srgbClr val="FFFFFF"/>
                        </a:solidFill>
                        <a:ln w="9525">
                          <a:solidFill>
                            <a:srgbClr val="000000"/>
                          </a:solidFill>
                          <a:miter lim="800000"/>
                        </a:ln>
                      </wps:spPr>
                      <wps:txbx>
                        <w:txbxContent>
                          <w:p w14:paraId="58F07BC4">
                            <w:pPr>
                              <w:spacing w:line="360" w:lineRule="auto"/>
                              <w:jc w:val="center"/>
                            </w:pPr>
                          </w:p>
                          <w:p w14:paraId="6BD81522">
                            <w:pPr>
                              <w:spacing w:line="360" w:lineRule="auto"/>
                              <w:jc w:val="center"/>
                            </w:pPr>
                            <w:r>
                              <w:rPr>
                                <w:rFonts w:hint="eastAsia"/>
                              </w:rPr>
                              <w:t>法定代表人</w:t>
                            </w:r>
                          </w:p>
                          <w:p w14:paraId="06D9463A">
                            <w:pPr>
                              <w:spacing w:line="360" w:lineRule="auto"/>
                              <w:jc w:val="center"/>
                            </w:pPr>
                            <w:r>
                              <w:rPr>
                                <w:rFonts w:hint="eastAsia"/>
                              </w:rPr>
                              <w:t>居民身份证复印件粘贴处</w:t>
                            </w:r>
                          </w:p>
                          <w:p w14:paraId="25166420">
                            <w:pPr>
                              <w:spacing w:line="360" w:lineRule="auto"/>
                              <w:jc w:val="center"/>
                            </w:pPr>
                            <w:r>
                              <w:rPr>
                                <w:rFonts w:hint="eastAsia"/>
                              </w:rPr>
                              <w:t>（正面）</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8.85pt;margin-top:10.75pt;height:156pt;width:213pt;z-index:251659264;mso-width-relative:page;mso-height-relative:page;" fillcolor="#FFFFFF" filled="t" stroked="t" coordsize="21600,21600" o:gfxdata="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sTcSu9kAAAAKAQAADwAAAAAAAAABACAAAAAiAAAAZHJzL2Rv&#10;d25yZXYueG1sUEsBAhQAFAAAAAgAh07iQOP/zn45AgAAfQQAAA4AAAAAAAAAAQAgAAAAKAEAAGRy&#10;cy9lMm9Eb2MueG1sUEsFBgAAAAAGAAYAWQEAANMFAAAAAA==&#10;">
                <v:fill on="t" focussize="0,0"/>
                <v:stroke color="#000000" miterlimit="8" joinstyle="miter"/>
                <v:imagedata o:title=""/>
                <o:lock v:ext="edit" aspectratio="f"/>
                <v:textbox>
                  <w:txbxContent>
                    <w:p w14:paraId="58F07BC4">
                      <w:pPr>
                        <w:spacing w:line="360" w:lineRule="auto"/>
                        <w:jc w:val="center"/>
                      </w:pPr>
                    </w:p>
                    <w:p w14:paraId="6BD81522">
                      <w:pPr>
                        <w:spacing w:line="360" w:lineRule="auto"/>
                        <w:jc w:val="center"/>
                      </w:pPr>
                      <w:r>
                        <w:rPr>
                          <w:rFonts w:hint="eastAsia"/>
                        </w:rPr>
                        <w:t>法定代表人</w:t>
                      </w:r>
                    </w:p>
                    <w:p w14:paraId="06D9463A">
                      <w:pPr>
                        <w:spacing w:line="360" w:lineRule="auto"/>
                        <w:jc w:val="center"/>
                      </w:pPr>
                      <w:r>
                        <w:rPr>
                          <w:rFonts w:hint="eastAsia"/>
                        </w:rPr>
                        <w:t>居民身份证复印件粘贴处</w:t>
                      </w:r>
                    </w:p>
                    <w:p w14:paraId="25166420">
                      <w:pPr>
                        <w:spacing w:line="360" w:lineRule="auto"/>
                        <w:jc w:val="center"/>
                      </w:pPr>
                      <w:r>
                        <w:rPr>
                          <w:rFonts w:hint="eastAsia"/>
                        </w:rPr>
                        <w:t>（正面）</w:t>
                      </w:r>
                    </w:p>
                  </w:txbxContent>
                </v:textbox>
              </v:rect>
            </w:pict>
          </mc:Fallback>
        </mc:AlternateContent>
      </w:r>
    </w:p>
    <w:p w14:paraId="5C02B3FD">
      <w:pPr>
        <w:spacing w:line="360" w:lineRule="auto"/>
        <w:ind w:firstLine="422" w:firstLineChars="200"/>
        <w:rPr>
          <w:rFonts w:asciiTheme="minorEastAsia" w:hAnsiTheme="minorEastAsia"/>
          <w:b/>
          <w:bCs/>
          <w:szCs w:val="21"/>
        </w:rPr>
      </w:pPr>
    </w:p>
    <w:p w14:paraId="6DEF020D">
      <w:pPr>
        <w:spacing w:line="360" w:lineRule="auto"/>
        <w:ind w:firstLine="422" w:firstLineChars="200"/>
        <w:rPr>
          <w:rFonts w:asciiTheme="minorEastAsia" w:hAnsiTheme="minorEastAsia"/>
          <w:b/>
          <w:bCs/>
          <w:szCs w:val="21"/>
        </w:rPr>
      </w:pPr>
    </w:p>
    <w:p w14:paraId="4D2EC033">
      <w:pPr>
        <w:spacing w:line="360" w:lineRule="auto"/>
        <w:ind w:firstLine="422" w:firstLineChars="200"/>
        <w:rPr>
          <w:rFonts w:asciiTheme="minorEastAsia" w:hAnsiTheme="minorEastAsia"/>
          <w:b/>
          <w:bCs/>
          <w:szCs w:val="21"/>
        </w:rPr>
      </w:pPr>
    </w:p>
    <w:p w14:paraId="2E95F3FB">
      <w:pPr>
        <w:spacing w:line="360" w:lineRule="auto"/>
        <w:ind w:firstLine="422" w:firstLineChars="200"/>
        <w:rPr>
          <w:rFonts w:asciiTheme="minorEastAsia" w:hAnsiTheme="minorEastAsia"/>
          <w:b/>
          <w:bCs/>
          <w:szCs w:val="21"/>
        </w:rPr>
      </w:pPr>
    </w:p>
    <w:p w14:paraId="26E3D189">
      <w:pPr>
        <w:spacing w:line="360" w:lineRule="auto"/>
        <w:ind w:firstLine="422" w:firstLineChars="200"/>
        <w:rPr>
          <w:rFonts w:asciiTheme="minorEastAsia" w:hAnsiTheme="minorEastAsia"/>
          <w:b/>
          <w:bCs/>
          <w:szCs w:val="21"/>
        </w:rPr>
      </w:pPr>
    </w:p>
    <w:p w14:paraId="45D54CCA">
      <w:pPr>
        <w:spacing w:line="360" w:lineRule="auto"/>
        <w:ind w:firstLine="422" w:firstLineChars="200"/>
        <w:rPr>
          <w:rFonts w:asciiTheme="minorEastAsia" w:hAnsiTheme="minorEastAsia"/>
          <w:b/>
          <w:bCs/>
          <w:szCs w:val="21"/>
        </w:rPr>
      </w:pPr>
      <w:r>
        <w:rPr>
          <w:rFonts w:hint="eastAsia" w:asciiTheme="minorEastAsia" w:hAnsiTheme="minorEastAsia"/>
          <w:b/>
          <w:bCs/>
          <w:szCs w:val="21"/>
        </w:rPr>
        <w:t xml:space="preserve">                         </w:t>
      </w:r>
    </w:p>
    <w:p w14:paraId="77B59B36">
      <w:pPr>
        <w:spacing w:line="360" w:lineRule="auto"/>
        <w:ind w:firstLine="420" w:firstLineChars="200"/>
        <w:rPr>
          <w:rFonts w:asciiTheme="minorEastAsia" w:hAnsiTheme="minorEastAsia"/>
          <w:szCs w:val="21"/>
        </w:rPr>
      </w:pPr>
    </w:p>
    <w:p w14:paraId="1ADA0A58">
      <w:pPr>
        <w:spacing w:line="360" w:lineRule="auto"/>
        <w:ind w:firstLine="420" w:firstLineChars="200"/>
        <w:rPr>
          <w:rFonts w:asciiTheme="minorEastAsia" w:hAnsiTheme="minorEastAsia"/>
          <w:szCs w:val="21"/>
        </w:rPr>
      </w:pPr>
    </w:p>
    <w:p w14:paraId="711BB16F">
      <w:pPr>
        <w:spacing w:line="360" w:lineRule="auto"/>
        <w:ind w:firstLine="420" w:firstLineChars="200"/>
        <w:rPr>
          <w:rFonts w:asciiTheme="minorEastAsia" w:hAnsiTheme="minorEastAsia"/>
          <w:szCs w:val="21"/>
        </w:rPr>
      </w:pPr>
      <w:r>
        <w:rPr>
          <w:rFonts w:hint="eastAsia" w:asciiTheme="minorEastAsia" w:hAnsiTheme="minorEastAsia"/>
          <w:szCs w:val="21"/>
        </w:rPr>
        <w:t>单位名称：（公章）：</w:t>
      </w:r>
      <w:r>
        <w:rPr>
          <w:rFonts w:hint="eastAsia" w:asciiTheme="minorEastAsia" w:hAnsiTheme="minorEastAsia"/>
          <w:szCs w:val="21"/>
          <w:u w:val="single"/>
        </w:rPr>
        <w:t xml:space="preserve">             </w:t>
      </w:r>
    </w:p>
    <w:p w14:paraId="665FE8C5">
      <w:pPr>
        <w:spacing w:line="360" w:lineRule="auto"/>
        <w:ind w:firstLine="420" w:firstLineChars="200"/>
        <w:rPr>
          <w:rFonts w:asciiTheme="minorEastAsia" w:hAnsiTheme="minorEastAsia"/>
          <w:szCs w:val="21"/>
        </w:rPr>
      </w:pPr>
      <w:r>
        <w:rPr>
          <w:rFonts w:hint="eastAsia" w:asciiTheme="minorEastAsia" w:hAnsiTheme="minorEastAsia"/>
          <w:szCs w:val="21"/>
        </w:rPr>
        <w:t>日期：</w:t>
      </w:r>
      <w:r>
        <w:rPr>
          <w:rFonts w:hint="eastAsia" w:asciiTheme="minorEastAsia" w:hAnsiTheme="minorEastAsia"/>
          <w:szCs w:val="21"/>
          <w:u w:val="single"/>
        </w:rPr>
        <w:t xml:space="preserve">         </w:t>
      </w:r>
      <w:r>
        <w:rPr>
          <w:rFonts w:hint="eastAsia" w:asciiTheme="minorEastAsia" w:hAnsiTheme="minorEastAsia"/>
          <w:szCs w:val="21"/>
        </w:rPr>
        <w:t>年</w:t>
      </w:r>
      <w:r>
        <w:rPr>
          <w:rFonts w:hint="eastAsia" w:asciiTheme="minorEastAsia" w:hAnsiTheme="minorEastAsia"/>
          <w:szCs w:val="21"/>
          <w:u w:val="single"/>
        </w:rPr>
        <w:t xml:space="preserve">     </w:t>
      </w:r>
      <w:r>
        <w:rPr>
          <w:rFonts w:hint="eastAsia" w:asciiTheme="minorEastAsia" w:hAnsiTheme="minorEastAsia"/>
          <w:szCs w:val="21"/>
        </w:rPr>
        <w:t xml:space="preserve">月 </w:t>
      </w:r>
      <w:r>
        <w:rPr>
          <w:rFonts w:hint="eastAsia" w:asciiTheme="minorEastAsia" w:hAnsiTheme="minorEastAsia"/>
          <w:szCs w:val="21"/>
          <w:u w:val="single"/>
        </w:rPr>
        <w:t xml:space="preserve">      </w:t>
      </w:r>
      <w:r>
        <w:rPr>
          <w:rFonts w:hint="eastAsia" w:asciiTheme="minorEastAsia" w:hAnsiTheme="minorEastAsia"/>
          <w:szCs w:val="21"/>
        </w:rPr>
        <w:t>日</w:t>
      </w:r>
    </w:p>
    <w:p w14:paraId="033C158B">
      <w:pPr>
        <w:ind w:firstLine="420" w:firstLineChars="200"/>
      </w:pPr>
    </w:p>
    <w:p w14:paraId="6B624079">
      <w:pPr>
        <w:adjustRightInd w:val="0"/>
        <w:snapToGrid w:val="0"/>
        <w:spacing w:line="360" w:lineRule="auto"/>
        <w:ind w:firstLine="422" w:firstLineChars="200"/>
        <w:rPr>
          <w:rFonts w:asciiTheme="minorEastAsia" w:hAnsiTheme="minorEastAsia"/>
          <w:b/>
          <w:snapToGrid w:val="0"/>
          <w:kern w:val="0"/>
          <w:szCs w:val="21"/>
        </w:rPr>
      </w:pPr>
    </w:p>
    <w:p w14:paraId="58F5097A">
      <w:pPr>
        <w:spacing w:line="360" w:lineRule="auto"/>
        <w:ind w:firstLine="420" w:firstLineChars="200"/>
        <w:rPr>
          <w:rFonts w:asciiTheme="minorEastAsia" w:hAnsiTheme="minorEastAsia"/>
          <w:szCs w:val="21"/>
        </w:rPr>
        <w:sectPr>
          <w:pgSz w:w="11906" w:h="16838"/>
          <w:pgMar w:top="1440" w:right="1080" w:bottom="1440" w:left="1080" w:header="851" w:footer="992" w:gutter="0"/>
          <w:cols w:space="720" w:num="1"/>
          <w:titlePg/>
          <w:docGrid w:type="lines" w:linePitch="312" w:charSpace="0"/>
        </w:sectPr>
      </w:pPr>
    </w:p>
    <w:p w14:paraId="305BD04A">
      <w:pPr>
        <w:spacing w:line="360" w:lineRule="auto"/>
        <w:ind w:firstLine="420" w:firstLineChars="200"/>
        <w:rPr>
          <w:rFonts w:asciiTheme="minorEastAsia" w:hAnsiTheme="minorEastAsia"/>
          <w:szCs w:val="21"/>
        </w:rPr>
      </w:pPr>
      <w:r>
        <w:rPr>
          <w:rFonts w:hint="eastAsia" w:asciiTheme="minorEastAsia" w:hAnsiTheme="minorEastAsia"/>
          <w:szCs w:val="21"/>
        </w:rPr>
        <w:t>附件</w:t>
      </w:r>
      <w:r>
        <w:rPr>
          <w:rFonts w:asciiTheme="minorEastAsia" w:hAnsiTheme="minorEastAsia"/>
          <w:szCs w:val="21"/>
        </w:rPr>
        <w:t>7</w:t>
      </w:r>
      <w:r>
        <w:rPr>
          <w:rFonts w:hint="eastAsia" w:asciiTheme="minorEastAsia" w:hAnsiTheme="minorEastAsia"/>
          <w:szCs w:val="21"/>
        </w:rPr>
        <w:t>：</w:t>
      </w:r>
      <w:bookmarkEnd w:id="162"/>
      <w:r>
        <w:rPr>
          <w:rFonts w:hint="eastAsia" w:asciiTheme="minorEastAsia" w:hAnsiTheme="minorEastAsia"/>
          <w:szCs w:val="21"/>
        </w:rPr>
        <w:t>法定代表人授权委托证明书</w:t>
      </w:r>
    </w:p>
    <w:p w14:paraId="12479711">
      <w:pPr>
        <w:keepNext/>
        <w:keepLines/>
        <w:spacing w:before="160" w:after="170"/>
        <w:ind w:firstLine="602" w:firstLineChars="200"/>
        <w:jc w:val="center"/>
        <w:outlineLvl w:val="4"/>
        <w:rPr>
          <w:b/>
          <w:bCs/>
          <w:sz w:val="30"/>
          <w:szCs w:val="28"/>
        </w:rPr>
      </w:pPr>
      <w:bookmarkStart w:id="163" w:name="_Toc55548546"/>
      <w:bookmarkStart w:id="164" w:name="_Toc437"/>
      <w:r>
        <w:rPr>
          <w:rFonts w:hint="eastAsia"/>
          <w:b/>
          <w:bCs/>
          <w:sz w:val="30"/>
          <w:szCs w:val="28"/>
        </w:rPr>
        <w:t>法定代表人授权委托书</w:t>
      </w:r>
      <w:bookmarkEnd w:id="163"/>
    </w:p>
    <w:p w14:paraId="3C5D0693">
      <w:pPr>
        <w:spacing w:line="360" w:lineRule="auto"/>
        <w:ind w:firstLine="420" w:firstLineChars="200"/>
        <w:rPr>
          <w:rFonts w:asciiTheme="minorEastAsia" w:hAnsiTheme="minorEastAsia"/>
          <w:b/>
          <w:bCs/>
          <w:szCs w:val="21"/>
        </w:rPr>
      </w:pPr>
      <w:r>
        <w:rPr>
          <w:rFonts w:hint="eastAsia" w:asciiTheme="minorEastAsia" w:hAnsiTheme="minorEastAsia"/>
          <w:szCs w:val="21"/>
        </w:rPr>
        <w:t>深圳市宝安区疾病预防控制中心（深圳市宝安区卫生监督所）</w:t>
      </w:r>
      <w:r>
        <w:rPr>
          <w:rFonts w:hint="eastAsia" w:asciiTheme="minorEastAsia" w:hAnsiTheme="minorEastAsia"/>
          <w:b/>
          <w:bCs/>
          <w:szCs w:val="21"/>
        </w:rPr>
        <w:t>：</w:t>
      </w:r>
    </w:p>
    <w:p w14:paraId="24A9D1C8">
      <w:pPr>
        <w:adjustRightInd w:val="0"/>
        <w:snapToGrid w:val="0"/>
        <w:spacing w:line="360" w:lineRule="auto"/>
        <w:ind w:firstLine="420" w:firstLineChars="200"/>
        <w:rPr>
          <w:rFonts w:asciiTheme="minorEastAsia" w:hAnsiTheme="minorEastAsia"/>
          <w:szCs w:val="21"/>
        </w:rPr>
      </w:pPr>
      <w:r>
        <w:rPr>
          <w:rFonts w:hint="eastAsia" w:asciiTheme="minorEastAsia" w:hAnsiTheme="minorEastAsia"/>
          <w:szCs w:val="21"/>
        </w:rPr>
        <w:t>现委派</w:t>
      </w:r>
      <w:r>
        <w:rPr>
          <w:rFonts w:hint="eastAsia" w:asciiTheme="minorEastAsia" w:hAnsiTheme="minorEastAsia"/>
          <w:szCs w:val="21"/>
          <w:u w:val="single"/>
        </w:rPr>
        <w:t xml:space="preserve">  （姓名、职务） </w:t>
      </w:r>
      <w:r>
        <w:rPr>
          <w:rFonts w:hint="eastAsia" w:asciiTheme="minorEastAsia" w:hAnsiTheme="minorEastAsia"/>
          <w:szCs w:val="21"/>
        </w:rPr>
        <w:t>参加贵公司组织的</w:t>
      </w:r>
      <w:r>
        <w:rPr>
          <w:rFonts w:hint="eastAsia" w:asciiTheme="minorEastAsia" w:hAnsiTheme="minorEastAsia"/>
          <w:b/>
          <w:bCs/>
          <w:szCs w:val="21"/>
          <w:u w:val="single"/>
        </w:rPr>
        <w:t xml:space="preserve">  </w:t>
      </w:r>
      <w:r>
        <w:rPr>
          <w:rFonts w:hint="eastAsia" w:asciiTheme="minorEastAsia" w:hAnsiTheme="minorEastAsia"/>
          <w:szCs w:val="21"/>
          <w:u w:val="single"/>
        </w:rPr>
        <w:t xml:space="preserve">（招标项目名称、编号） </w:t>
      </w:r>
      <w:r>
        <w:rPr>
          <w:rFonts w:hint="eastAsia" w:asciiTheme="minorEastAsia" w:hAnsiTheme="minorEastAsia"/>
          <w:szCs w:val="21"/>
        </w:rPr>
        <w:t>招标活动，全权代表我单位处理投标的有关事宜。</w:t>
      </w:r>
    </w:p>
    <w:p w14:paraId="4B24B993">
      <w:pPr>
        <w:spacing w:line="360" w:lineRule="auto"/>
        <w:ind w:firstLine="420" w:firstLineChars="200"/>
        <w:rPr>
          <w:rFonts w:asciiTheme="minorEastAsia" w:hAnsiTheme="minorEastAsia"/>
          <w:szCs w:val="21"/>
        </w:rPr>
      </w:pPr>
    </w:p>
    <w:p w14:paraId="57FEFFB6">
      <w:pPr>
        <w:adjustRightInd w:val="0"/>
        <w:snapToGrid w:val="0"/>
        <w:spacing w:line="360" w:lineRule="auto"/>
        <w:ind w:firstLine="422" w:firstLineChars="200"/>
        <w:rPr>
          <w:rFonts w:asciiTheme="minorEastAsia" w:hAnsiTheme="minorEastAsia"/>
          <w:b/>
          <w:bCs/>
          <w:szCs w:val="21"/>
        </w:rPr>
      </w:pPr>
      <w:r>
        <w:rPr>
          <w:rFonts w:hint="eastAsia" w:asciiTheme="minorEastAsia" w:hAnsiTheme="minorEastAsia"/>
          <w:b/>
          <w:bCs/>
          <w:szCs w:val="21"/>
        </w:rPr>
        <w:t>附授权代表情况：</w:t>
      </w:r>
    </w:p>
    <w:p w14:paraId="1A45E938">
      <w:pPr>
        <w:adjustRightInd w:val="0"/>
        <w:snapToGrid w:val="0"/>
        <w:spacing w:line="360" w:lineRule="auto"/>
        <w:ind w:firstLine="420" w:firstLineChars="200"/>
        <w:rPr>
          <w:rFonts w:asciiTheme="minorEastAsia" w:hAnsiTheme="minorEastAsia"/>
          <w:szCs w:val="21"/>
        </w:rPr>
      </w:pPr>
      <w:r>
        <w:rPr>
          <w:rFonts w:hint="eastAsia" w:asciiTheme="minorEastAsia" w:hAnsiTheme="minorEastAsia"/>
          <w:szCs w:val="21"/>
        </w:rPr>
        <w:t>姓名：</w:t>
      </w:r>
      <w:r>
        <w:rPr>
          <w:rFonts w:hint="eastAsia" w:asciiTheme="minorEastAsia" w:hAnsiTheme="minorEastAsia"/>
          <w:b/>
          <w:bCs/>
          <w:szCs w:val="21"/>
        </w:rPr>
        <w:t xml:space="preserve">    </w:t>
      </w:r>
      <w:r>
        <w:rPr>
          <w:rFonts w:hint="eastAsia" w:asciiTheme="minorEastAsia" w:hAnsiTheme="minorEastAsia"/>
          <w:szCs w:val="21"/>
        </w:rPr>
        <w:t xml:space="preserve">            性别：</w:t>
      </w:r>
      <w:r>
        <w:rPr>
          <w:rFonts w:hint="eastAsia" w:asciiTheme="minorEastAsia" w:hAnsiTheme="minorEastAsia"/>
          <w:b/>
          <w:bCs/>
          <w:szCs w:val="21"/>
        </w:rPr>
        <w:t xml:space="preserve"> </w:t>
      </w:r>
    </w:p>
    <w:p w14:paraId="615A7E43">
      <w:pPr>
        <w:adjustRightInd w:val="0"/>
        <w:snapToGrid w:val="0"/>
        <w:spacing w:line="360" w:lineRule="auto"/>
        <w:ind w:firstLine="420" w:firstLineChars="200"/>
        <w:rPr>
          <w:rFonts w:asciiTheme="minorEastAsia" w:hAnsiTheme="minorEastAsia"/>
          <w:b/>
          <w:bCs/>
          <w:szCs w:val="21"/>
        </w:rPr>
      </w:pPr>
      <w:r>
        <w:rPr>
          <w:rFonts w:hint="eastAsia" w:asciiTheme="minorEastAsia" w:hAnsiTheme="minorEastAsia"/>
          <w:szCs w:val="21"/>
        </w:rPr>
        <w:t>年龄：</w:t>
      </w:r>
      <w:r>
        <w:rPr>
          <w:rFonts w:hint="eastAsia" w:asciiTheme="minorEastAsia" w:hAnsiTheme="minorEastAsia"/>
          <w:b/>
          <w:bCs/>
          <w:szCs w:val="21"/>
        </w:rPr>
        <w:t xml:space="preserve"> </w:t>
      </w:r>
      <w:r>
        <w:rPr>
          <w:rFonts w:hint="eastAsia" w:asciiTheme="minorEastAsia" w:hAnsiTheme="minorEastAsia"/>
          <w:szCs w:val="21"/>
        </w:rPr>
        <w:t xml:space="preserve">            </w:t>
      </w:r>
    </w:p>
    <w:p w14:paraId="351F8C89">
      <w:pPr>
        <w:adjustRightInd w:val="0"/>
        <w:snapToGrid w:val="0"/>
        <w:spacing w:line="360" w:lineRule="auto"/>
        <w:ind w:firstLine="420" w:firstLineChars="200"/>
        <w:rPr>
          <w:rFonts w:asciiTheme="minorEastAsia" w:hAnsiTheme="minorEastAsia"/>
          <w:szCs w:val="21"/>
        </w:rPr>
      </w:pPr>
      <w:r>
        <w:rPr>
          <w:rFonts w:hint="eastAsia" w:asciiTheme="minorEastAsia" w:hAnsiTheme="minorEastAsia"/>
          <w:szCs w:val="21"/>
        </w:rPr>
        <w:t>职务：</w:t>
      </w:r>
    </w:p>
    <w:p w14:paraId="652E7691">
      <w:pPr>
        <w:adjustRightInd w:val="0"/>
        <w:snapToGrid w:val="0"/>
        <w:spacing w:line="360" w:lineRule="auto"/>
        <w:ind w:firstLine="420" w:firstLineChars="200"/>
        <w:rPr>
          <w:rFonts w:asciiTheme="minorEastAsia" w:hAnsiTheme="minorEastAsia"/>
          <w:szCs w:val="21"/>
        </w:rPr>
      </w:pPr>
      <w:r>
        <w:rPr>
          <w:rFonts w:hint="eastAsia" w:asciiTheme="minorEastAsia" w:hAnsiTheme="minorEastAsia"/>
          <w:szCs w:val="21"/>
        </w:rPr>
        <w:t>身份证号码：</w:t>
      </w:r>
    </w:p>
    <w:p w14:paraId="60DDA16B">
      <w:pPr>
        <w:adjustRightInd w:val="0"/>
        <w:snapToGrid w:val="0"/>
        <w:spacing w:line="360" w:lineRule="auto"/>
        <w:ind w:firstLine="420" w:firstLineChars="200"/>
        <w:rPr>
          <w:rFonts w:asciiTheme="minorEastAsia" w:hAnsiTheme="minorEastAsia"/>
          <w:b/>
          <w:bCs/>
          <w:szCs w:val="21"/>
        </w:rPr>
      </w:pPr>
      <w:r>
        <w:rPr>
          <w:rFonts w:hint="eastAsia" w:asciiTheme="minorEastAsia" w:hAnsiTheme="minorEastAsia"/>
          <w:szCs w:val="21"/>
        </w:rPr>
        <w:t>邮编：</w:t>
      </w:r>
      <w:r>
        <w:rPr>
          <w:rFonts w:hint="eastAsia" w:asciiTheme="minorEastAsia" w:hAnsiTheme="minorEastAsia"/>
          <w:b/>
          <w:bCs/>
          <w:szCs w:val="21"/>
        </w:rPr>
        <w:t xml:space="preserve"> </w:t>
      </w:r>
    </w:p>
    <w:p w14:paraId="1CF85C57">
      <w:pPr>
        <w:adjustRightInd w:val="0"/>
        <w:snapToGrid w:val="0"/>
        <w:spacing w:line="360" w:lineRule="auto"/>
        <w:ind w:firstLine="420" w:firstLineChars="200"/>
        <w:rPr>
          <w:rFonts w:asciiTheme="minorEastAsia" w:hAnsiTheme="minorEastAsia"/>
          <w:szCs w:val="21"/>
        </w:rPr>
      </w:pPr>
      <w:r>
        <w:rPr>
          <w:rFonts w:hint="eastAsia" w:asciiTheme="minorEastAsia" w:hAnsiTheme="minorEastAsia"/>
          <w:szCs w:val="21"/>
        </w:rPr>
        <w:t>通讯地址：</w:t>
      </w:r>
      <w:r>
        <w:rPr>
          <w:rFonts w:hint="eastAsia" w:asciiTheme="minorEastAsia" w:hAnsiTheme="minorEastAsia"/>
          <w:b/>
          <w:bCs/>
          <w:szCs w:val="21"/>
        </w:rPr>
        <w:t xml:space="preserve"> </w:t>
      </w:r>
    </w:p>
    <w:p w14:paraId="2B1DAC9F">
      <w:pPr>
        <w:adjustRightInd w:val="0"/>
        <w:snapToGrid w:val="0"/>
        <w:spacing w:line="360" w:lineRule="auto"/>
        <w:ind w:firstLine="420" w:firstLineChars="200"/>
        <w:rPr>
          <w:rFonts w:asciiTheme="minorEastAsia" w:hAnsiTheme="minorEastAsia"/>
          <w:szCs w:val="21"/>
        </w:rPr>
      </w:pPr>
      <w:r>
        <w:rPr>
          <w:rFonts w:hint="eastAsia" w:asciiTheme="minorEastAsia" w:hAnsiTheme="minorEastAsia"/>
          <w:szCs w:val="21"/>
        </w:rPr>
        <w:t xml:space="preserve">电话： </w:t>
      </w:r>
    </w:p>
    <w:p w14:paraId="3C20D2E9">
      <w:pPr>
        <w:spacing w:line="360" w:lineRule="auto"/>
        <w:ind w:firstLine="420" w:firstLineChars="200"/>
        <w:rPr>
          <w:rFonts w:asciiTheme="minorEastAsia" w:hAnsiTheme="minorEastAsia"/>
          <w:szCs w:val="21"/>
        </w:rPr>
      </w:pPr>
      <w:r>
        <w:rPr>
          <w:rFonts w:hint="eastAsia" w:asciiTheme="minorEastAsia" w:hAnsiTheme="minorEastAsia"/>
          <w:szCs w:val="21"/>
        </w:rPr>
        <w:t>单位名称：（公章）</w:t>
      </w:r>
    </w:p>
    <w:p w14:paraId="3ED8D7AF">
      <w:pPr>
        <w:spacing w:line="360" w:lineRule="auto"/>
        <w:ind w:firstLine="420" w:firstLineChars="200"/>
        <w:rPr>
          <w:rFonts w:asciiTheme="minorEastAsia" w:hAnsiTheme="minorEastAsia"/>
          <w:szCs w:val="21"/>
        </w:rPr>
      </w:pPr>
    </w:p>
    <w:p w14:paraId="0E5BAC2D">
      <w:pPr>
        <w:spacing w:line="360" w:lineRule="auto"/>
        <w:ind w:firstLine="420" w:firstLineChars="200"/>
        <w:rPr>
          <w:rFonts w:asciiTheme="minorEastAsia" w:hAnsiTheme="minorEastAsia"/>
          <w:szCs w:val="21"/>
        </w:rPr>
      </w:pPr>
      <w:r>
        <w:rPr>
          <w:rFonts w:hint="eastAsia" w:asciiTheme="minorEastAsia" w:hAnsiTheme="minorEastAsia"/>
          <w:szCs w:val="21"/>
        </w:rPr>
        <w:t>法人代表：（签章）</w:t>
      </w:r>
    </w:p>
    <w:p w14:paraId="0E8AB3F4">
      <w:pPr>
        <w:adjustRightInd w:val="0"/>
        <w:snapToGrid w:val="0"/>
        <w:spacing w:line="360" w:lineRule="auto"/>
        <w:ind w:firstLine="420" w:firstLineChars="200"/>
        <w:rPr>
          <w:rFonts w:asciiTheme="minorEastAsia" w:hAnsiTheme="minorEastAsia"/>
          <w:szCs w:val="21"/>
        </w:rPr>
      </w:pPr>
      <w:r>
        <w:rPr>
          <w:rFonts w:hint="eastAsia" w:asciiTheme="minorEastAsia" w:hAnsiTheme="minorEastAsia"/>
          <w:szCs w:val="21"/>
        </w:rPr>
        <w:t>年</w:t>
      </w:r>
      <w:r>
        <w:rPr>
          <w:rFonts w:hint="eastAsia" w:asciiTheme="minorEastAsia" w:hAnsiTheme="minorEastAsia"/>
          <w:b/>
          <w:bCs/>
          <w:szCs w:val="21"/>
        </w:rPr>
        <w:t xml:space="preserve">    </w:t>
      </w:r>
      <w:r>
        <w:rPr>
          <w:rFonts w:hint="eastAsia" w:asciiTheme="minorEastAsia" w:hAnsiTheme="minorEastAsia"/>
          <w:szCs w:val="21"/>
        </w:rPr>
        <w:t>月</w:t>
      </w:r>
      <w:r>
        <w:rPr>
          <w:rFonts w:hint="eastAsia" w:asciiTheme="minorEastAsia" w:hAnsiTheme="minorEastAsia"/>
          <w:b/>
          <w:bCs/>
          <w:szCs w:val="21"/>
        </w:rPr>
        <w:t xml:space="preserve">   </w:t>
      </w:r>
      <w:r>
        <w:rPr>
          <w:rFonts w:hint="eastAsia" w:asciiTheme="minorEastAsia" w:hAnsiTheme="minorEastAsia"/>
          <w:szCs w:val="21"/>
        </w:rPr>
        <w:t>日</w:t>
      </w:r>
    </w:p>
    <w:p w14:paraId="66842860">
      <w:pPr>
        <w:spacing w:line="360" w:lineRule="auto"/>
        <w:ind w:firstLine="420" w:firstLineChars="200"/>
        <w:rPr>
          <w:rFonts w:asciiTheme="minorEastAsia" w:hAnsiTheme="minorEastAsia"/>
          <w:szCs w:val="21"/>
        </w:rPr>
      </w:pPr>
      <w:bookmarkStart w:id="165" w:name="_Toc226217114"/>
      <w:r>
        <mc:AlternateContent>
          <mc:Choice Requires="wps">
            <w:drawing>
              <wp:anchor distT="0" distB="0" distL="114300" distR="114300" simplePos="0" relativeHeight="251661312" behindDoc="0" locked="0" layoutInCell="1" allowOverlap="1">
                <wp:simplePos x="0" y="0"/>
                <wp:positionH relativeFrom="column">
                  <wp:posOffset>-17145</wp:posOffset>
                </wp:positionH>
                <wp:positionV relativeFrom="paragraph">
                  <wp:posOffset>71120</wp:posOffset>
                </wp:positionV>
                <wp:extent cx="2619375" cy="1722755"/>
                <wp:effectExtent l="4445" t="4445" r="5080" b="6350"/>
                <wp:wrapNone/>
                <wp:docPr id="67" name="矩形 67"/>
                <wp:cNvGraphicFramePr/>
                <a:graphic xmlns:a="http://schemas.openxmlformats.org/drawingml/2006/main">
                  <a:graphicData uri="http://schemas.microsoft.com/office/word/2010/wordprocessingShape">
                    <wps:wsp>
                      <wps:cNvSpPr>
                        <a:spLocks noChangeArrowheads="1"/>
                      </wps:cNvSpPr>
                      <wps:spPr bwMode="auto">
                        <a:xfrm>
                          <a:off x="0" y="0"/>
                          <a:ext cx="2619375" cy="1722755"/>
                        </a:xfrm>
                        <a:prstGeom prst="rect">
                          <a:avLst/>
                        </a:prstGeom>
                        <a:solidFill>
                          <a:srgbClr val="FFFFFF"/>
                        </a:solidFill>
                        <a:ln w="9525">
                          <a:solidFill>
                            <a:srgbClr val="000000"/>
                          </a:solidFill>
                          <a:miter lim="800000"/>
                        </a:ln>
                      </wps:spPr>
                      <wps:txbx>
                        <w:txbxContent>
                          <w:p w14:paraId="19660D51">
                            <w:pPr>
                              <w:spacing w:line="360" w:lineRule="auto"/>
                              <w:ind w:firstLine="1260" w:firstLineChars="600"/>
                            </w:pPr>
                          </w:p>
                          <w:p w14:paraId="7303B407">
                            <w:pPr>
                              <w:spacing w:line="360" w:lineRule="auto"/>
                              <w:ind w:firstLine="1260" w:firstLineChars="600"/>
                            </w:pPr>
                            <w:r>
                              <w:rPr>
                                <w:rFonts w:hint="eastAsia"/>
                              </w:rPr>
                              <w:t>被授权人（授权代表）</w:t>
                            </w:r>
                          </w:p>
                          <w:p w14:paraId="4253FF3F">
                            <w:pPr>
                              <w:spacing w:line="360" w:lineRule="auto"/>
                              <w:ind w:firstLine="1050" w:firstLineChars="500"/>
                            </w:pPr>
                            <w:r>
                              <w:rPr>
                                <w:rFonts w:hint="eastAsia"/>
                              </w:rPr>
                              <w:t>居民身份证复印件粘贴处</w:t>
                            </w:r>
                          </w:p>
                          <w:p w14:paraId="441FB384">
                            <w:pPr>
                              <w:spacing w:line="360" w:lineRule="auto"/>
                              <w:jc w:val="center"/>
                            </w:pPr>
                            <w:r>
                              <w:rPr>
                                <w:rFonts w:hint="eastAsia"/>
                              </w:rPr>
                              <w:t>（正面）</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35pt;margin-top:5.6pt;height:135.65pt;width:206.25pt;z-index:251661312;mso-width-relative:page;mso-height-relative:page;" fillcolor="#FFFFFF" filled="t" stroked="t" coordsize="21600,21600" o:gfxdata="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HHeQVtcAAAAJAQAADwAAAAAAAAABACAAAAAiAAAAZHJzL2Rv&#10;d25yZXYueG1sUEsBAhQAFAAAAAgAh07iQMp/CnE7AgAAfQQAAA4AAAAAAAAAAQAgAAAAJgEAAGRy&#10;cy9lMm9Eb2MueG1sUEsFBgAAAAAGAAYAWQEAANMFAAAAAA==&#10;">
                <v:fill on="t" focussize="0,0"/>
                <v:stroke color="#000000" miterlimit="8" joinstyle="miter"/>
                <v:imagedata o:title=""/>
                <o:lock v:ext="edit" aspectratio="f"/>
                <v:textbox>
                  <w:txbxContent>
                    <w:p w14:paraId="19660D51">
                      <w:pPr>
                        <w:spacing w:line="360" w:lineRule="auto"/>
                        <w:ind w:firstLine="1260" w:firstLineChars="600"/>
                      </w:pPr>
                    </w:p>
                    <w:p w14:paraId="7303B407">
                      <w:pPr>
                        <w:spacing w:line="360" w:lineRule="auto"/>
                        <w:ind w:firstLine="1260" w:firstLineChars="600"/>
                      </w:pPr>
                      <w:r>
                        <w:rPr>
                          <w:rFonts w:hint="eastAsia"/>
                        </w:rPr>
                        <w:t>被授权人（授权代表）</w:t>
                      </w:r>
                    </w:p>
                    <w:p w14:paraId="4253FF3F">
                      <w:pPr>
                        <w:spacing w:line="360" w:lineRule="auto"/>
                        <w:ind w:firstLine="1050" w:firstLineChars="500"/>
                      </w:pPr>
                      <w:r>
                        <w:rPr>
                          <w:rFonts w:hint="eastAsia"/>
                        </w:rPr>
                        <w:t>居民身份证复印件粘贴处</w:t>
                      </w:r>
                    </w:p>
                    <w:p w14:paraId="441FB384">
                      <w:pPr>
                        <w:spacing w:line="360" w:lineRule="auto"/>
                        <w:jc w:val="center"/>
                      </w:pPr>
                      <w:r>
                        <w:rPr>
                          <w:rFonts w:hint="eastAsia"/>
                        </w:rPr>
                        <w:t>（正面）</w:t>
                      </w:r>
                    </w:p>
                  </w:txbxContent>
                </v:textbox>
              </v:rect>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2821305</wp:posOffset>
                </wp:positionH>
                <wp:positionV relativeFrom="paragraph">
                  <wp:posOffset>71120</wp:posOffset>
                </wp:positionV>
                <wp:extent cx="2533650" cy="1722755"/>
                <wp:effectExtent l="4445" t="4445" r="14605" b="6350"/>
                <wp:wrapNone/>
                <wp:docPr id="66" name="矩形 66"/>
                <wp:cNvGraphicFramePr/>
                <a:graphic xmlns:a="http://schemas.openxmlformats.org/drawingml/2006/main">
                  <a:graphicData uri="http://schemas.microsoft.com/office/word/2010/wordprocessingShape">
                    <wps:wsp>
                      <wps:cNvSpPr>
                        <a:spLocks noChangeArrowheads="1"/>
                      </wps:cNvSpPr>
                      <wps:spPr bwMode="auto">
                        <a:xfrm>
                          <a:off x="0" y="0"/>
                          <a:ext cx="2533650" cy="1722755"/>
                        </a:xfrm>
                        <a:prstGeom prst="rect">
                          <a:avLst/>
                        </a:prstGeom>
                        <a:solidFill>
                          <a:srgbClr val="FFFFFF"/>
                        </a:solidFill>
                        <a:ln w="9525">
                          <a:solidFill>
                            <a:srgbClr val="000000"/>
                          </a:solidFill>
                          <a:miter lim="800000"/>
                        </a:ln>
                      </wps:spPr>
                      <wps:txbx>
                        <w:txbxContent>
                          <w:p w14:paraId="08C88F61">
                            <w:pPr>
                              <w:spacing w:line="360" w:lineRule="auto"/>
                              <w:jc w:val="center"/>
                            </w:pPr>
                          </w:p>
                          <w:p w14:paraId="2CCD8182">
                            <w:pPr>
                              <w:spacing w:line="360" w:lineRule="auto"/>
                              <w:jc w:val="center"/>
                            </w:pPr>
                            <w:r>
                              <w:rPr>
                                <w:rFonts w:hint="eastAsia"/>
                              </w:rPr>
                              <w:t>被授权人（授权代表）</w:t>
                            </w:r>
                          </w:p>
                          <w:p w14:paraId="5E12DBD7">
                            <w:pPr>
                              <w:spacing w:line="360" w:lineRule="auto"/>
                              <w:jc w:val="center"/>
                            </w:pPr>
                            <w:r>
                              <w:rPr>
                                <w:rFonts w:hint="eastAsia"/>
                              </w:rPr>
                              <w:t>居民身份证复印件粘贴处</w:t>
                            </w:r>
                          </w:p>
                          <w:p w14:paraId="62073399">
                            <w:pPr>
                              <w:spacing w:line="360" w:lineRule="auto"/>
                              <w:jc w:val="center"/>
                            </w:pPr>
                            <w:r>
                              <w:rPr>
                                <w:rFonts w:hint="eastAsia"/>
                              </w:rPr>
                              <w:t>（反面）</w:t>
                            </w:r>
                          </w:p>
                          <w:p w14:paraId="177481CE"/>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22.15pt;margin-top:5.6pt;height:135.65pt;width:199.5pt;z-index:251662336;mso-width-relative:page;mso-height-relative:page;" fillcolor="#FFFFFF" filled="t" stroked="t" coordsize="21600,21600" o:gfxdata="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bTsh1NcAAAAKAQAADwAAAAAAAAABACAAAAAiAAAAZHJzL2Rv&#10;d25yZXYueG1sUEsBAhQAFAAAAAgAh07iQEyOoPE7AgAAfQQAAA4AAAAAAAAAAQAgAAAAJgEAAGRy&#10;cy9lMm9Eb2MueG1sUEsFBgAAAAAGAAYAWQEAANMFAAAAAA==&#10;">
                <v:fill on="t" focussize="0,0"/>
                <v:stroke color="#000000" miterlimit="8" joinstyle="miter"/>
                <v:imagedata o:title=""/>
                <o:lock v:ext="edit" aspectratio="f"/>
                <v:textbox>
                  <w:txbxContent>
                    <w:p w14:paraId="08C88F61">
                      <w:pPr>
                        <w:spacing w:line="360" w:lineRule="auto"/>
                        <w:jc w:val="center"/>
                      </w:pPr>
                    </w:p>
                    <w:p w14:paraId="2CCD8182">
                      <w:pPr>
                        <w:spacing w:line="360" w:lineRule="auto"/>
                        <w:jc w:val="center"/>
                      </w:pPr>
                      <w:r>
                        <w:rPr>
                          <w:rFonts w:hint="eastAsia"/>
                        </w:rPr>
                        <w:t>被授权人（授权代表）</w:t>
                      </w:r>
                    </w:p>
                    <w:p w14:paraId="5E12DBD7">
                      <w:pPr>
                        <w:spacing w:line="360" w:lineRule="auto"/>
                        <w:jc w:val="center"/>
                      </w:pPr>
                      <w:r>
                        <w:rPr>
                          <w:rFonts w:hint="eastAsia"/>
                        </w:rPr>
                        <w:t>居民身份证复印件粘贴处</w:t>
                      </w:r>
                    </w:p>
                    <w:p w14:paraId="62073399">
                      <w:pPr>
                        <w:spacing w:line="360" w:lineRule="auto"/>
                        <w:jc w:val="center"/>
                      </w:pPr>
                      <w:r>
                        <w:rPr>
                          <w:rFonts w:hint="eastAsia"/>
                        </w:rPr>
                        <w:t>（反面）</w:t>
                      </w:r>
                    </w:p>
                    <w:p w14:paraId="177481CE"/>
                  </w:txbxContent>
                </v:textbox>
              </v:rect>
            </w:pict>
          </mc:Fallback>
        </mc:AlternateContent>
      </w:r>
      <w:bookmarkEnd w:id="165"/>
    </w:p>
    <w:p w14:paraId="2070441E">
      <w:pPr>
        <w:spacing w:line="360" w:lineRule="auto"/>
        <w:ind w:firstLine="420" w:firstLineChars="200"/>
        <w:rPr>
          <w:rFonts w:asciiTheme="minorEastAsia" w:hAnsiTheme="minorEastAsia"/>
          <w:szCs w:val="21"/>
        </w:rPr>
      </w:pPr>
    </w:p>
    <w:p w14:paraId="100AF954">
      <w:pPr>
        <w:spacing w:line="360" w:lineRule="auto"/>
        <w:ind w:firstLine="420" w:firstLineChars="200"/>
        <w:rPr>
          <w:rFonts w:asciiTheme="minorEastAsia" w:hAnsiTheme="minorEastAsia"/>
          <w:szCs w:val="21"/>
        </w:rPr>
      </w:pPr>
    </w:p>
    <w:p w14:paraId="4DC02F49">
      <w:pPr>
        <w:spacing w:line="360" w:lineRule="auto"/>
        <w:ind w:firstLine="420" w:firstLineChars="200"/>
        <w:rPr>
          <w:rFonts w:asciiTheme="minorEastAsia" w:hAnsiTheme="minorEastAsia"/>
          <w:szCs w:val="21"/>
        </w:rPr>
      </w:pPr>
    </w:p>
    <w:p w14:paraId="7CC73E33">
      <w:pPr>
        <w:spacing w:line="360" w:lineRule="auto"/>
        <w:ind w:firstLine="420" w:firstLineChars="200"/>
        <w:rPr>
          <w:rFonts w:asciiTheme="minorEastAsia" w:hAnsiTheme="minorEastAsia"/>
          <w:szCs w:val="21"/>
        </w:rPr>
      </w:pPr>
    </w:p>
    <w:p w14:paraId="4086A0BA">
      <w:pPr>
        <w:tabs>
          <w:tab w:val="left" w:pos="5115"/>
        </w:tabs>
        <w:spacing w:line="360" w:lineRule="auto"/>
        <w:ind w:firstLine="420" w:firstLineChars="200"/>
        <w:rPr>
          <w:rFonts w:asciiTheme="minorEastAsia" w:hAnsiTheme="minorEastAsia"/>
          <w:szCs w:val="21"/>
        </w:rPr>
      </w:pPr>
      <w:r>
        <w:rPr>
          <w:rFonts w:asciiTheme="minorEastAsia" w:hAnsiTheme="minorEastAsia"/>
          <w:szCs w:val="21"/>
        </w:rPr>
        <w:tab/>
      </w:r>
    </w:p>
    <w:p w14:paraId="67CD6EBB">
      <w:pPr>
        <w:spacing w:line="360" w:lineRule="auto"/>
        <w:ind w:firstLine="420" w:firstLineChars="200"/>
        <w:rPr>
          <w:rFonts w:asciiTheme="minorEastAsia" w:hAnsiTheme="minorEastAsia"/>
          <w:szCs w:val="21"/>
        </w:rPr>
      </w:pPr>
    </w:p>
    <w:p w14:paraId="4F2B5972">
      <w:pPr>
        <w:adjustRightInd w:val="0"/>
        <w:snapToGrid w:val="0"/>
        <w:spacing w:line="360" w:lineRule="auto"/>
        <w:ind w:firstLine="422" w:firstLineChars="200"/>
        <w:rPr>
          <w:rFonts w:asciiTheme="minorEastAsia" w:hAnsiTheme="minorEastAsia"/>
          <w:b/>
          <w:snapToGrid w:val="0"/>
          <w:kern w:val="0"/>
          <w:szCs w:val="21"/>
        </w:rPr>
      </w:pPr>
    </w:p>
    <w:p w14:paraId="47B7F5D3">
      <w:pPr>
        <w:spacing w:line="360" w:lineRule="auto"/>
        <w:ind w:firstLine="420" w:firstLineChars="200"/>
        <w:rPr>
          <w:rFonts w:asciiTheme="minorEastAsia" w:hAnsiTheme="minorEastAsia"/>
          <w:szCs w:val="21"/>
        </w:rPr>
        <w:sectPr>
          <w:pgSz w:w="11906" w:h="16838"/>
          <w:pgMar w:top="1440" w:right="1080" w:bottom="1440" w:left="1080" w:header="851" w:footer="992" w:gutter="0"/>
          <w:cols w:space="720" w:num="1"/>
          <w:titlePg/>
          <w:docGrid w:type="lines" w:linePitch="312" w:charSpace="0"/>
        </w:sectPr>
      </w:pPr>
    </w:p>
    <w:p w14:paraId="21BCEDD0">
      <w:pPr>
        <w:spacing w:line="360" w:lineRule="auto"/>
        <w:ind w:firstLine="420" w:firstLineChars="200"/>
        <w:rPr>
          <w:rFonts w:asciiTheme="minorEastAsia" w:hAnsiTheme="minorEastAsia"/>
          <w:szCs w:val="21"/>
        </w:rPr>
      </w:pPr>
      <w:r>
        <w:rPr>
          <w:rFonts w:hint="eastAsia" w:asciiTheme="minorEastAsia" w:hAnsiTheme="minorEastAsia"/>
          <w:szCs w:val="21"/>
        </w:rPr>
        <w:t>附件</w:t>
      </w:r>
      <w:r>
        <w:rPr>
          <w:rFonts w:asciiTheme="minorEastAsia" w:hAnsiTheme="minorEastAsia"/>
          <w:szCs w:val="21"/>
        </w:rPr>
        <w:t>8</w:t>
      </w:r>
      <w:r>
        <w:rPr>
          <w:rFonts w:hint="eastAsia" w:asciiTheme="minorEastAsia" w:hAnsiTheme="minorEastAsia"/>
          <w:szCs w:val="21"/>
        </w:rPr>
        <w:t>：项目实施方案格式</w:t>
      </w:r>
      <w:bookmarkEnd w:id="164"/>
      <w:r>
        <w:rPr>
          <w:rFonts w:hint="eastAsia" w:asciiTheme="minorEastAsia" w:hAnsiTheme="minorEastAsia"/>
          <w:szCs w:val="21"/>
        </w:rPr>
        <w:t>（如有）</w:t>
      </w:r>
    </w:p>
    <w:p w14:paraId="7893B714">
      <w:pPr>
        <w:keepNext/>
        <w:keepLines/>
        <w:spacing w:before="160" w:after="170"/>
        <w:ind w:firstLine="602" w:firstLineChars="200"/>
        <w:jc w:val="center"/>
        <w:outlineLvl w:val="4"/>
        <w:rPr>
          <w:b/>
          <w:bCs/>
          <w:sz w:val="30"/>
          <w:szCs w:val="28"/>
        </w:rPr>
      </w:pPr>
      <w:bookmarkStart w:id="166" w:name="_Toc55548547"/>
      <w:r>
        <w:rPr>
          <w:rFonts w:hint="eastAsia"/>
          <w:b/>
          <w:bCs/>
          <w:sz w:val="30"/>
          <w:szCs w:val="28"/>
        </w:rPr>
        <w:t>项目实施方案</w:t>
      </w:r>
      <w:bookmarkEnd w:id="166"/>
    </w:p>
    <w:p w14:paraId="7237C43A">
      <w:pPr>
        <w:spacing w:line="360" w:lineRule="auto"/>
        <w:ind w:firstLine="420" w:firstLineChars="200"/>
        <w:rPr>
          <w:rFonts w:asciiTheme="minorEastAsia" w:hAnsiTheme="minorEastAsia"/>
          <w:szCs w:val="21"/>
        </w:rPr>
      </w:pPr>
      <w:r>
        <w:rPr>
          <w:rFonts w:hint="eastAsia" w:asciiTheme="minorEastAsia" w:hAnsiTheme="minorEastAsia"/>
          <w:szCs w:val="21"/>
        </w:rPr>
        <w:t>主要内容应包括(根据项目实际情况适当调整内容)：</w:t>
      </w:r>
    </w:p>
    <w:p w14:paraId="1917A30C">
      <w:pPr>
        <w:spacing w:line="360" w:lineRule="auto"/>
        <w:ind w:firstLine="420" w:firstLineChars="200"/>
        <w:rPr>
          <w:rFonts w:asciiTheme="minorEastAsia" w:hAnsiTheme="minorEastAsia"/>
          <w:szCs w:val="21"/>
        </w:rPr>
      </w:pPr>
      <w:r>
        <w:rPr>
          <w:rFonts w:hint="eastAsia" w:asciiTheme="minorEastAsia" w:hAnsiTheme="minorEastAsia"/>
          <w:szCs w:val="21"/>
        </w:rPr>
        <w:t>1、项目实施方案、实施进度表</w:t>
      </w:r>
    </w:p>
    <w:p w14:paraId="3F53F11F">
      <w:pPr>
        <w:spacing w:line="360" w:lineRule="auto"/>
        <w:ind w:firstLine="420" w:firstLineChars="200"/>
        <w:rPr>
          <w:rFonts w:asciiTheme="minorEastAsia" w:hAnsiTheme="minorEastAsia"/>
          <w:szCs w:val="21"/>
        </w:rPr>
      </w:pPr>
      <w:r>
        <w:rPr>
          <w:rFonts w:hint="eastAsia" w:asciiTheme="minorEastAsia" w:hAnsiTheme="minorEastAsia"/>
          <w:szCs w:val="21"/>
        </w:rPr>
        <w:t>2、相关配套措施</w:t>
      </w:r>
    </w:p>
    <w:p w14:paraId="6C96D26D">
      <w:pPr>
        <w:spacing w:line="360" w:lineRule="auto"/>
        <w:ind w:firstLine="420" w:firstLineChars="200"/>
        <w:rPr>
          <w:rFonts w:asciiTheme="minorEastAsia" w:hAnsiTheme="minorEastAsia"/>
          <w:szCs w:val="21"/>
        </w:rPr>
      </w:pPr>
      <w:r>
        <w:rPr>
          <w:rFonts w:hint="eastAsia" w:asciiTheme="minorEastAsia" w:hAnsiTheme="minorEastAsia"/>
          <w:szCs w:val="21"/>
        </w:rPr>
        <w:t>（备注：该部分须与“技术保障措施”、“施工安全保障措施”、“商务需求”等部分承诺的内容相呼应，不得前后矛盾。）</w:t>
      </w:r>
    </w:p>
    <w:p w14:paraId="30FC17F5">
      <w:pPr>
        <w:spacing w:line="360" w:lineRule="auto"/>
        <w:ind w:firstLine="420" w:firstLineChars="200"/>
        <w:rPr>
          <w:rFonts w:asciiTheme="minorEastAsia" w:hAnsiTheme="minorEastAsia"/>
          <w:szCs w:val="21"/>
        </w:rPr>
      </w:pPr>
      <w:r>
        <w:rPr>
          <w:rFonts w:asciiTheme="minorEastAsia" w:hAnsiTheme="minorEastAsia"/>
          <w:szCs w:val="21"/>
        </w:rPr>
        <w:br w:type="page"/>
      </w:r>
      <w:bookmarkStart w:id="167" w:name="_Toc3861"/>
      <w:r>
        <w:rPr>
          <w:rFonts w:hint="eastAsia" w:asciiTheme="minorEastAsia" w:hAnsiTheme="minorEastAsia"/>
          <w:szCs w:val="21"/>
        </w:rPr>
        <w:t>附件</w:t>
      </w:r>
      <w:r>
        <w:rPr>
          <w:rFonts w:asciiTheme="minorEastAsia" w:hAnsiTheme="minorEastAsia"/>
          <w:szCs w:val="21"/>
        </w:rPr>
        <w:t>9</w:t>
      </w:r>
      <w:r>
        <w:rPr>
          <w:rFonts w:hint="eastAsia" w:asciiTheme="minorEastAsia" w:hAnsiTheme="minorEastAsia"/>
          <w:szCs w:val="21"/>
        </w:rPr>
        <w:t>：售后服务方案格式</w:t>
      </w:r>
      <w:bookmarkEnd w:id="167"/>
      <w:r>
        <w:rPr>
          <w:rFonts w:hint="eastAsia" w:asciiTheme="minorEastAsia" w:hAnsiTheme="minorEastAsia"/>
          <w:szCs w:val="21"/>
        </w:rPr>
        <w:t>（如有）</w:t>
      </w:r>
    </w:p>
    <w:p w14:paraId="5BFCE779">
      <w:pPr>
        <w:keepNext/>
        <w:keepLines/>
        <w:spacing w:before="160" w:after="170"/>
        <w:ind w:firstLine="602" w:firstLineChars="200"/>
        <w:jc w:val="center"/>
        <w:outlineLvl w:val="4"/>
        <w:rPr>
          <w:b/>
          <w:bCs/>
          <w:sz w:val="30"/>
          <w:szCs w:val="28"/>
        </w:rPr>
      </w:pPr>
      <w:bookmarkStart w:id="168" w:name="_Toc55548548"/>
      <w:r>
        <w:rPr>
          <w:rFonts w:hint="eastAsia"/>
          <w:b/>
          <w:bCs/>
          <w:sz w:val="30"/>
          <w:szCs w:val="28"/>
        </w:rPr>
        <w:t>售后服务方案</w:t>
      </w:r>
      <w:bookmarkEnd w:id="168"/>
    </w:p>
    <w:p w14:paraId="4DF3FA76">
      <w:pPr>
        <w:spacing w:line="360" w:lineRule="auto"/>
        <w:ind w:firstLine="420" w:firstLineChars="200"/>
        <w:rPr>
          <w:rFonts w:asciiTheme="minorEastAsia" w:hAnsiTheme="minorEastAsia"/>
          <w:szCs w:val="21"/>
        </w:rPr>
      </w:pPr>
      <w:r>
        <w:rPr>
          <w:rFonts w:hint="eastAsia" w:asciiTheme="minorEastAsia" w:hAnsiTheme="minorEastAsia"/>
          <w:szCs w:val="21"/>
        </w:rPr>
        <w:t>主要内容应包括(根据项目实际情况适当调整内容)：</w:t>
      </w:r>
    </w:p>
    <w:p w14:paraId="37DF631B">
      <w:pPr>
        <w:spacing w:line="360" w:lineRule="auto"/>
        <w:ind w:firstLine="420" w:firstLineChars="200"/>
        <w:rPr>
          <w:rFonts w:asciiTheme="minorEastAsia" w:hAnsiTheme="minorEastAsia"/>
          <w:szCs w:val="21"/>
        </w:rPr>
      </w:pPr>
      <w:r>
        <w:rPr>
          <w:rFonts w:asciiTheme="minorEastAsia" w:hAnsiTheme="minorEastAsia"/>
          <w:szCs w:val="21"/>
        </w:rPr>
        <w:t>1</w:t>
      </w:r>
      <w:r>
        <w:rPr>
          <w:rFonts w:hint="eastAsia" w:asciiTheme="minorEastAsia" w:hAnsiTheme="minorEastAsia"/>
          <w:szCs w:val="21"/>
        </w:rPr>
        <w:t>、免费保修期；</w:t>
      </w:r>
    </w:p>
    <w:p w14:paraId="423AA29D">
      <w:pPr>
        <w:spacing w:line="360" w:lineRule="auto"/>
        <w:ind w:firstLine="420" w:firstLineChars="200"/>
        <w:rPr>
          <w:rFonts w:asciiTheme="minorEastAsia" w:hAnsiTheme="minorEastAsia"/>
          <w:szCs w:val="21"/>
        </w:rPr>
      </w:pPr>
      <w:r>
        <w:rPr>
          <w:rFonts w:asciiTheme="minorEastAsia" w:hAnsiTheme="minorEastAsia"/>
          <w:szCs w:val="21"/>
        </w:rPr>
        <w:t>2</w:t>
      </w:r>
      <w:r>
        <w:rPr>
          <w:rFonts w:hint="eastAsia" w:asciiTheme="minorEastAsia" w:hAnsiTheme="minorEastAsia"/>
          <w:szCs w:val="21"/>
        </w:rPr>
        <w:t>、故障或技术支持响应时间；</w:t>
      </w:r>
    </w:p>
    <w:p w14:paraId="4E70A860">
      <w:pPr>
        <w:spacing w:line="360" w:lineRule="auto"/>
        <w:ind w:firstLine="420" w:firstLineChars="200"/>
        <w:rPr>
          <w:rFonts w:asciiTheme="minorEastAsia" w:hAnsiTheme="minorEastAsia"/>
          <w:szCs w:val="21"/>
        </w:rPr>
      </w:pPr>
      <w:r>
        <w:rPr>
          <w:rFonts w:asciiTheme="minorEastAsia" w:hAnsiTheme="minorEastAsia"/>
          <w:szCs w:val="21"/>
        </w:rPr>
        <w:t>3</w:t>
      </w:r>
      <w:r>
        <w:rPr>
          <w:rFonts w:hint="eastAsia" w:asciiTheme="minorEastAsia" w:hAnsiTheme="minorEastAsia"/>
          <w:szCs w:val="21"/>
        </w:rPr>
        <w:t>、投标人承诺的其他维修维护方案、措施</w:t>
      </w:r>
    </w:p>
    <w:p w14:paraId="056CDBD6">
      <w:pPr>
        <w:spacing w:line="360" w:lineRule="auto"/>
        <w:ind w:firstLine="420" w:firstLineChars="200"/>
        <w:rPr>
          <w:rFonts w:asciiTheme="minorEastAsia" w:hAnsiTheme="minorEastAsia"/>
          <w:szCs w:val="21"/>
        </w:rPr>
      </w:pPr>
      <w:r>
        <w:rPr>
          <w:rFonts w:asciiTheme="minorEastAsia" w:hAnsiTheme="minorEastAsia"/>
          <w:szCs w:val="21"/>
        </w:rPr>
        <w:t>4</w:t>
      </w:r>
      <w:r>
        <w:rPr>
          <w:rFonts w:hint="eastAsia" w:asciiTheme="minorEastAsia" w:hAnsiTheme="minorEastAsia"/>
          <w:szCs w:val="21"/>
        </w:rPr>
        <w:t>、质量保证及违约承诺。</w:t>
      </w:r>
    </w:p>
    <w:p w14:paraId="59924541">
      <w:pPr>
        <w:spacing w:line="360" w:lineRule="auto"/>
        <w:ind w:firstLine="420" w:firstLineChars="200"/>
        <w:rPr>
          <w:rFonts w:asciiTheme="minorEastAsia" w:hAnsiTheme="minorEastAsia"/>
          <w:szCs w:val="21"/>
        </w:rPr>
      </w:pPr>
      <w:r>
        <w:rPr>
          <w:rFonts w:hint="eastAsia" w:asciiTheme="minorEastAsia" w:hAnsiTheme="minorEastAsia"/>
          <w:szCs w:val="21"/>
        </w:rPr>
        <w:t>（备注：该部分须与“商务需求”承诺的内容相呼应，不得前后矛盾。）</w:t>
      </w:r>
    </w:p>
    <w:p w14:paraId="50C9B137">
      <w:pPr>
        <w:spacing w:line="360" w:lineRule="auto"/>
        <w:ind w:firstLine="420" w:firstLineChars="200"/>
        <w:rPr>
          <w:rFonts w:asciiTheme="minorEastAsia" w:hAnsiTheme="minorEastAsia"/>
          <w:szCs w:val="21"/>
        </w:rPr>
      </w:pPr>
      <w:r>
        <w:rPr>
          <w:rFonts w:asciiTheme="minorEastAsia" w:hAnsiTheme="minorEastAsia"/>
          <w:szCs w:val="21"/>
        </w:rPr>
        <w:br w:type="page"/>
      </w:r>
      <w:bookmarkStart w:id="169" w:name="_Toc29995"/>
      <w:r>
        <w:rPr>
          <w:rFonts w:hint="eastAsia" w:asciiTheme="minorEastAsia" w:hAnsiTheme="minorEastAsia"/>
          <w:szCs w:val="21"/>
        </w:rPr>
        <w:t>附件</w:t>
      </w:r>
      <w:r>
        <w:rPr>
          <w:rFonts w:asciiTheme="minorEastAsia" w:hAnsiTheme="minorEastAsia"/>
          <w:szCs w:val="21"/>
        </w:rPr>
        <w:t>10</w:t>
      </w:r>
      <w:r>
        <w:rPr>
          <w:rFonts w:hint="eastAsia" w:asciiTheme="minorEastAsia" w:hAnsiTheme="minorEastAsia"/>
          <w:szCs w:val="21"/>
        </w:rPr>
        <w:t>：中小企业声明函</w:t>
      </w:r>
      <w:bookmarkEnd w:id="169"/>
      <w:r>
        <w:rPr>
          <w:rFonts w:hint="eastAsia" w:asciiTheme="minorEastAsia" w:hAnsiTheme="minorEastAsia"/>
          <w:szCs w:val="21"/>
        </w:rPr>
        <w:t>（如有）</w:t>
      </w:r>
    </w:p>
    <w:p w14:paraId="45B7B09F">
      <w:pPr>
        <w:keepNext/>
        <w:keepLines/>
        <w:spacing w:before="160" w:after="170"/>
        <w:ind w:firstLine="602" w:firstLineChars="200"/>
        <w:jc w:val="center"/>
        <w:outlineLvl w:val="4"/>
        <w:rPr>
          <w:b/>
          <w:bCs/>
          <w:sz w:val="30"/>
          <w:szCs w:val="28"/>
        </w:rPr>
      </w:pPr>
      <w:bookmarkStart w:id="170" w:name="_Toc55548549"/>
      <w:r>
        <w:rPr>
          <w:rFonts w:hint="eastAsia"/>
          <w:b/>
          <w:bCs/>
          <w:sz w:val="30"/>
          <w:szCs w:val="28"/>
        </w:rPr>
        <w:t>中小企业声明函</w:t>
      </w:r>
      <w:bookmarkEnd w:id="170"/>
    </w:p>
    <w:p w14:paraId="112BE93C">
      <w:pPr>
        <w:spacing w:line="360" w:lineRule="auto"/>
        <w:ind w:firstLine="420" w:firstLineChars="200"/>
        <w:rPr>
          <w:rFonts w:asciiTheme="minorEastAsia" w:hAnsiTheme="minorEastAsia"/>
          <w:szCs w:val="21"/>
        </w:rPr>
      </w:pPr>
      <w:r>
        <w:rPr>
          <w:rFonts w:asciiTheme="minorEastAsia" w:hAnsiTheme="minorEastAsia"/>
          <w:szCs w:val="21"/>
        </w:rPr>
        <w:t>本公司郑重声明，根据《政府采购促进中小企业发展暂行办法》（财库[2011]181号）的规定，本公司为______（请填写：中型、小型、微型）企业。即，本公司同时满足以下条件：</w:t>
      </w:r>
    </w:p>
    <w:p w14:paraId="7133F6E9">
      <w:pPr>
        <w:spacing w:line="360" w:lineRule="auto"/>
        <w:ind w:firstLine="420" w:firstLineChars="200"/>
        <w:rPr>
          <w:rFonts w:asciiTheme="minorEastAsia" w:hAnsiTheme="minorEastAsia"/>
          <w:szCs w:val="21"/>
        </w:rPr>
      </w:pPr>
    </w:p>
    <w:p w14:paraId="6AECFD15">
      <w:pPr>
        <w:spacing w:line="360" w:lineRule="auto"/>
        <w:ind w:firstLine="420" w:firstLineChars="200"/>
        <w:rPr>
          <w:rFonts w:asciiTheme="minorEastAsia" w:hAnsiTheme="minorEastAsia"/>
          <w:szCs w:val="21"/>
        </w:rPr>
      </w:pPr>
      <w:r>
        <w:rPr>
          <w:rFonts w:asciiTheme="minorEastAsia" w:hAnsiTheme="minorEastAsia"/>
          <w:szCs w:val="21"/>
        </w:rPr>
        <w:t>1.根据《工业和信息化部、国家统计局、国家发展和改革委员会、财政部关于印发中小企业划型标准规定的通知》（工信部联企业[2011]300号）规定的划分标准，本公司为______（请填写：中型、小型、微型）企业。</w:t>
      </w:r>
    </w:p>
    <w:p w14:paraId="2290CEBD">
      <w:pPr>
        <w:spacing w:line="360" w:lineRule="auto"/>
        <w:ind w:firstLine="420" w:firstLineChars="200"/>
        <w:rPr>
          <w:rFonts w:asciiTheme="minorEastAsia" w:hAnsiTheme="minorEastAsia"/>
          <w:szCs w:val="21"/>
        </w:rPr>
      </w:pPr>
      <w:r>
        <w:rPr>
          <w:rFonts w:asciiTheme="minorEastAsia" w:hAnsiTheme="minorEastAsia"/>
          <w:szCs w:val="21"/>
        </w:rPr>
        <w:t>2.本公司参加______单位的______项目采购活动提供本企业制造的货物，由本企业承担工程、提供服务，或者提供其他______（请填写：中型、小型、微型）企业制造的货物。本条所称货物不包括使用大型企业注册商标的货物。</w:t>
      </w:r>
    </w:p>
    <w:p w14:paraId="6D95A7D3">
      <w:pPr>
        <w:spacing w:line="360" w:lineRule="auto"/>
        <w:ind w:firstLine="420" w:firstLineChars="200"/>
        <w:rPr>
          <w:rFonts w:asciiTheme="minorEastAsia" w:hAnsiTheme="minorEastAsia"/>
          <w:szCs w:val="21"/>
        </w:rPr>
      </w:pPr>
      <w:r>
        <w:rPr>
          <w:rFonts w:asciiTheme="minorEastAsia" w:hAnsiTheme="minorEastAsia"/>
          <w:szCs w:val="21"/>
        </w:rPr>
        <w:t>本公司对上述声明的真实性负责。如有虚假，将依法承担相应责任。</w:t>
      </w:r>
    </w:p>
    <w:p w14:paraId="51561B4E">
      <w:pPr>
        <w:spacing w:line="360" w:lineRule="auto"/>
        <w:ind w:firstLine="420" w:firstLineChars="200"/>
        <w:rPr>
          <w:rFonts w:asciiTheme="minorEastAsia" w:hAnsiTheme="minorEastAsia"/>
          <w:szCs w:val="21"/>
        </w:rPr>
      </w:pPr>
    </w:p>
    <w:p w14:paraId="77DD0576">
      <w:pPr>
        <w:spacing w:line="360" w:lineRule="auto"/>
        <w:ind w:firstLine="420" w:firstLineChars="200"/>
        <w:rPr>
          <w:rFonts w:asciiTheme="minorEastAsia" w:hAnsiTheme="minorEastAsia"/>
          <w:szCs w:val="21"/>
        </w:rPr>
      </w:pPr>
    </w:p>
    <w:p w14:paraId="03173C76">
      <w:pPr>
        <w:spacing w:line="360" w:lineRule="auto"/>
        <w:ind w:firstLine="420" w:firstLineChars="200"/>
        <w:rPr>
          <w:rFonts w:asciiTheme="minorEastAsia" w:hAnsiTheme="minorEastAsia"/>
          <w:color w:val="000000"/>
          <w:szCs w:val="21"/>
        </w:rPr>
      </w:pPr>
      <w:r>
        <w:rPr>
          <w:rFonts w:hint="eastAsia" w:asciiTheme="minorEastAsia" w:hAnsiTheme="minorEastAsia"/>
          <w:color w:val="000000"/>
          <w:szCs w:val="21"/>
        </w:rPr>
        <w:t>投标供应商：</w:t>
      </w:r>
    </w:p>
    <w:p w14:paraId="7A1823D3">
      <w:pPr>
        <w:spacing w:line="360" w:lineRule="auto"/>
        <w:ind w:firstLine="420" w:firstLineChars="200"/>
        <w:rPr>
          <w:rFonts w:asciiTheme="minorEastAsia" w:hAnsiTheme="minorEastAsia"/>
          <w:color w:val="000000"/>
          <w:szCs w:val="21"/>
        </w:rPr>
      </w:pPr>
      <w:r>
        <w:rPr>
          <w:rFonts w:hint="eastAsia" w:asciiTheme="minorEastAsia" w:hAnsiTheme="minorEastAsia"/>
          <w:color w:val="000000"/>
          <w:szCs w:val="21"/>
        </w:rPr>
        <w:t>法人或授权代表：</w:t>
      </w:r>
    </w:p>
    <w:p w14:paraId="7C82BB4A">
      <w:pPr>
        <w:spacing w:line="360" w:lineRule="auto"/>
        <w:ind w:firstLine="420" w:firstLineChars="200"/>
        <w:rPr>
          <w:rFonts w:asciiTheme="minorEastAsia" w:hAnsiTheme="minorEastAsia"/>
          <w:color w:val="000000"/>
          <w:szCs w:val="21"/>
        </w:rPr>
      </w:pPr>
      <w:r>
        <w:rPr>
          <w:rFonts w:hint="eastAsia" w:asciiTheme="minorEastAsia" w:hAnsiTheme="minorEastAsia"/>
          <w:color w:val="000000"/>
          <w:szCs w:val="21"/>
        </w:rPr>
        <w:t>日期：</w:t>
      </w:r>
    </w:p>
    <w:p w14:paraId="5D34553C">
      <w:pPr>
        <w:spacing w:line="360" w:lineRule="auto"/>
        <w:ind w:firstLine="420" w:firstLineChars="200"/>
        <w:rPr>
          <w:rFonts w:asciiTheme="minorEastAsia" w:hAnsiTheme="minorEastAsia"/>
          <w:szCs w:val="21"/>
        </w:rPr>
      </w:pPr>
    </w:p>
    <w:p w14:paraId="7573F722">
      <w:pPr>
        <w:spacing w:line="360" w:lineRule="auto"/>
        <w:ind w:firstLine="420" w:firstLineChars="200"/>
        <w:rPr>
          <w:rFonts w:asciiTheme="minorEastAsia" w:hAnsiTheme="minorEastAsia"/>
          <w:szCs w:val="21"/>
        </w:rPr>
      </w:pPr>
      <w:r>
        <w:rPr>
          <w:rFonts w:hint="eastAsia" w:asciiTheme="minorEastAsia" w:hAnsiTheme="minorEastAsia"/>
          <w:szCs w:val="21"/>
        </w:rPr>
        <w:t>备注：填写前请认真阅读《工业和信息化部、国家统计局、国家发展和改革委员会、财政部关于印发中小企业划型标准规定的通知》(工信部联企业〔2011〕300号)和《财政部、工业和信息化部关于印发政府采购促进中小企业发展暂行办法的通知》(财库〔2011〕181号)相关规定。如不符合前述相关规定所确定的小型和微型企业，则不需要在投标文件中提供本《中小企业声明函》；若符合前述相关规定所确定的小型和微型企业，在投标文件中没有提供本《中小企业声明函》，视为在本项目中放弃政府采购政策扶持，不进行价格扣除。</w:t>
      </w:r>
    </w:p>
    <w:p w14:paraId="4BF014BF">
      <w:pPr>
        <w:spacing w:line="360" w:lineRule="auto"/>
        <w:ind w:firstLine="420" w:firstLineChars="200"/>
        <w:rPr>
          <w:rFonts w:asciiTheme="minorEastAsia" w:hAnsiTheme="minorEastAsia"/>
          <w:szCs w:val="21"/>
        </w:rPr>
      </w:pPr>
      <w:r>
        <w:rPr>
          <w:rFonts w:asciiTheme="minorEastAsia" w:hAnsiTheme="minorEastAsia"/>
          <w:szCs w:val="21"/>
        </w:rPr>
        <w:br w:type="page"/>
      </w:r>
      <w:bookmarkStart w:id="171" w:name="_Toc51086642"/>
      <w:bookmarkStart w:id="172" w:name="_Toc52129207"/>
      <w:bookmarkStart w:id="173" w:name="_Toc21677"/>
      <w:bookmarkStart w:id="174" w:name="_Toc51682373"/>
      <w:bookmarkStart w:id="175" w:name="_Toc51255734"/>
      <w:r>
        <w:rPr>
          <w:rFonts w:hint="eastAsia" w:asciiTheme="minorEastAsia" w:hAnsiTheme="minorEastAsia"/>
          <w:szCs w:val="21"/>
        </w:rPr>
        <w:t>附件</w:t>
      </w:r>
      <w:r>
        <w:rPr>
          <w:rFonts w:asciiTheme="minorEastAsia" w:hAnsiTheme="minorEastAsia"/>
          <w:szCs w:val="21"/>
        </w:rPr>
        <w:t>11</w:t>
      </w:r>
      <w:r>
        <w:rPr>
          <w:rFonts w:hint="eastAsia" w:asciiTheme="minorEastAsia" w:hAnsiTheme="minorEastAsia"/>
          <w:szCs w:val="21"/>
        </w:rPr>
        <w:t>：监狱企业证明函</w:t>
      </w:r>
      <w:bookmarkEnd w:id="171"/>
      <w:bookmarkEnd w:id="172"/>
      <w:bookmarkEnd w:id="173"/>
      <w:bookmarkEnd w:id="174"/>
      <w:bookmarkEnd w:id="175"/>
      <w:r>
        <w:rPr>
          <w:rFonts w:hint="eastAsia" w:asciiTheme="minorEastAsia" w:hAnsiTheme="minorEastAsia"/>
          <w:szCs w:val="21"/>
        </w:rPr>
        <w:t>（如有）</w:t>
      </w:r>
    </w:p>
    <w:p w14:paraId="5F037324">
      <w:pPr>
        <w:keepNext/>
        <w:keepLines/>
        <w:spacing w:before="160" w:after="170"/>
        <w:ind w:firstLine="602" w:firstLineChars="200"/>
        <w:jc w:val="center"/>
        <w:outlineLvl w:val="4"/>
        <w:rPr>
          <w:b/>
          <w:bCs/>
          <w:sz w:val="30"/>
          <w:szCs w:val="28"/>
        </w:rPr>
      </w:pPr>
      <w:bookmarkStart w:id="176" w:name="_Toc55548550"/>
      <w:r>
        <w:rPr>
          <w:rFonts w:hint="eastAsia"/>
          <w:b/>
          <w:bCs/>
          <w:sz w:val="30"/>
          <w:szCs w:val="28"/>
        </w:rPr>
        <w:t>监狱企业证明函</w:t>
      </w:r>
      <w:bookmarkEnd w:id="176"/>
    </w:p>
    <w:p w14:paraId="7B52B0C7">
      <w:pPr>
        <w:spacing w:line="360" w:lineRule="auto"/>
        <w:ind w:firstLine="420" w:firstLineChars="200"/>
        <w:rPr>
          <w:rFonts w:asciiTheme="minorEastAsia" w:hAnsiTheme="minorEastAsia"/>
          <w:szCs w:val="21"/>
        </w:rPr>
      </w:pPr>
      <w:r>
        <w:rPr>
          <w:rFonts w:hint="eastAsia" w:asciiTheme="minorEastAsia" w:hAnsiTheme="minorEastAsia"/>
          <w:szCs w:val="21"/>
        </w:rPr>
        <w:t>根据《财政部 司法部关于政府采购支持监狱企业发展有关问题的通知》（财库[2014]68号）的规定，（填写供应商法定全称）为监狱企业。</w:t>
      </w:r>
    </w:p>
    <w:p w14:paraId="066D7352">
      <w:pPr>
        <w:spacing w:line="360" w:lineRule="auto"/>
        <w:ind w:firstLine="420" w:firstLineChars="200"/>
        <w:rPr>
          <w:rFonts w:asciiTheme="minorEastAsia" w:hAnsiTheme="minorEastAsia"/>
          <w:szCs w:val="21"/>
        </w:rPr>
      </w:pPr>
      <w:r>
        <w:rPr>
          <w:rFonts w:hint="eastAsia" w:asciiTheme="minorEastAsia" w:hAnsiTheme="minorEastAsia"/>
          <w:szCs w:val="21"/>
        </w:rPr>
        <w:t>特此证明。</w:t>
      </w:r>
    </w:p>
    <w:p w14:paraId="11DDB63F">
      <w:pPr>
        <w:spacing w:line="360" w:lineRule="auto"/>
        <w:ind w:firstLine="420" w:firstLineChars="200"/>
        <w:rPr>
          <w:rFonts w:asciiTheme="minorEastAsia" w:hAnsiTheme="minorEastAsia"/>
          <w:szCs w:val="21"/>
        </w:rPr>
      </w:pPr>
    </w:p>
    <w:p w14:paraId="6512AED6">
      <w:pPr>
        <w:spacing w:line="360" w:lineRule="auto"/>
        <w:ind w:firstLine="420" w:firstLineChars="200"/>
        <w:rPr>
          <w:rFonts w:asciiTheme="minorEastAsia" w:hAnsiTheme="minorEastAsia"/>
          <w:szCs w:val="21"/>
        </w:rPr>
      </w:pPr>
    </w:p>
    <w:p w14:paraId="2A3045BA">
      <w:pPr>
        <w:spacing w:line="360" w:lineRule="auto"/>
        <w:ind w:firstLine="420" w:firstLineChars="200"/>
        <w:rPr>
          <w:rFonts w:asciiTheme="minorEastAsia" w:hAnsiTheme="minorEastAsia"/>
          <w:b/>
          <w:bCs/>
          <w:szCs w:val="21"/>
        </w:rPr>
      </w:pPr>
      <w:r>
        <w:rPr>
          <w:rFonts w:hint="eastAsia" w:asciiTheme="minorEastAsia" w:hAnsiTheme="minorEastAsia"/>
          <w:szCs w:val="21"/>
        </w:rPr>
        <w:t>省级以上监狱管理局、戒毒管理局（含新疆生产建设兵团）（盖章）：</w:t>
      </w:r>
      <w:r>
        <w:rPr>
          <w:rFonts w:asciiTheme="minorEastAsia" w:hAnsiTheme="minorEastAsia"/>
          <w:b/>
          <w:bCs/>
          <w:szCs w:val="21"/>
        </w:rPr>
        <w:br w:type="page"/>
      </w:r>
    </w:p>
    <w:p w14:paraId="1DA921FA">
      <w:pPr>
        <w:spacing w:line="360" w:lineRule="auto"/>
        <w:ind w:firstLine="420" w:firstLineChars="200"/>
        <w:rPr>
          <w:rFonts w:asciiTheme="minorEastAsia" w:hAnsiTheme="minorEastAsia"/>
          <w:szCs w:val="21"/>
        </w:rPr>
      </w:pPr>
      <w:bookmarkStart w:id="177" w:name="_Toc51255735"/>
      <w:bookmarkStart w:id="178" w:name="_Toc18139"/>
      <w:bookmarkStart w:id="179" w:name="_Toc51682374"/>
      <w:bookmarkStart w:id="180" w:name="_Toc51086643"/>
      <w:bookmarkStart w:id="181" w:name="_Toc52129208"/>
      <w:r>
        <w:rPr>
          <w:rFonts w:hint="eastAsia" w:asciiTheme="minorEastAsia" w:hAnsiTheme="minorEastAsia"/>
          <w:szCs w:val="21"/>
        </w:rPr>
        <w:t>附件</w:t>
      </w:r>
      <w:r>
        <w:rPr>
          <w:rFonts w:asciiTheme="minorEastAsia" w:hAnsiTheme="minorEastAsia"/>
          <w:szCs w:val="21"/>
        </w:rPr>
        <w:t>12</w:t>
      </w:r>
      <w:r>
        <w:rPr>
          <w:rFonts w:hint="eastAsia" w:asciiTheme="minorEastAsia" w:hAnsiTheme="minorEastAsia"/>
          <w:szCs w:val="21"/>
        </w:rPr>
        <w:t>：残疾人福利性单位声明函</w:t>
      </w:r>
      <w:bookmarkEnd w:id="177"/>
      <w:bookmarkEnd w:id="178"/>
      <w:bookmarkEnd w:id="179"/>
      <w:bookmarkEnd w:id="180"/>
      <w:bookmarkEnd w:id="181"/>
      <w:r>
        <w:rPr>
          <w:rFonts w:hint="eastAsia" w:asciiTheme="minorEastAsia" w:hAnsiTheme="minorEastAsia"/>
          <w:szCs w:val="21"/>
        </w:rPr>
        <w:t>（如有）</w:t>
      </w:r>
    </w:p>
    <w:p w14:paraId="62A9B6DE">
      <w:pPr>
        <w:keepNext/>
        <w:keepLines/>
        <w:spacing w:before="160" w:after="170"/>
        <w:ind w:firstLine="602" w:firstLineChars="200"/>
        <w:jc w:val="center"/>
        <w:outlineLvl w:val="4"/>
        <w:rPr>
          <w:b/>
          <w:bCs/>
          <w:sz w:val="30"/>
          <w:szCs w:val="28"/>
        </w:rPr>
      </w:pPr>
      <w:bookmarkStart w:id="182" w:name="_Toc55548551"/>
      <w:r>
        <w:rPr>
          <w:rFonts w:hint="eastAsia"/>
          <w:b/>
          <w:bCs/>
          <w:sz w:val="30"/>
          <w:szCs w:val="28"/>
        </w:rPr>
        <w:t>残疾人福利性单位声明函</w:t>
      </w:r>
      <w:bookmarkEnd w:id="182"/>
    </w:p>
    <w:p w14:paraId="1B6B2D80">
      <w:pPr>
        <w:spacing w:line="360" w:lineRule="auto"/>
        <w:ind w:firstLine="420" w:firstLineChars="200"/>
        <w:rPr>
          <w:rFonts w:asciiTheme="minorEastAsia" w:hAnsiTheme="minorEastAsia"/>
          <w:szCs w:val="21"/>
        </w:rPr>
      </w:pPr>
      <w:r>
        <w:rPr>
          <w:rFonts w:hint="eastAsia" w:asciiTheme="minorEastAsia" w:hAnsiTheme="minorEastAsia"/>
          <w:szCs w:val="21"/>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71171A73">
      <w:pPr>
        <w:spacing w:line="360" w:lineRule="auto"/>
        <w:ind w:firstLine="420" w:firstLineChars="200"/>
        <w:rPr>
          <w:rFonts w:asciiTheme="minorEastAsia" w:hAnsiTheme="minorEastAsia"/>
          <w:szCs w:val="21"/>
        </w:rPr>
      </w:pPr>
      <w:r>
        <w:rPr>
          <w:rFonts w:hint="eastAsia" w:asciiTheme="minorEastAsia" w:hAnsiTheme="minorEastAsia"/>
          <w:szCs w:val="21"/>
        </w:rPr>
        <w:t>本单位对上述声明的真实性负责。如有虚假，将依法承担相应责任。</w:t>
      </w:r>
    </w:p>
    <w:p w14:paraId="69A0D1FE">
      <w:pPr>
        <w:spacing w:line="360" w:lineRule="auto"/>
        <w:ind w:firstLine="420" w:firstLineChars="200"/>
        <w:rPr>
          <w:rFonts w:asciiTheme="minorEastAsia" w:hAnsiTheme="minorEastAsia"/>
          <w:szCs w:val="21"/>
        </w:rPr>
      </w:pPr>
    </w:p>
    <w:p w14:paraId="7D7E19FA">
      <w:pPr>
        <w:spacing w:line="360" w:lineRule="auto"/>
        <w:ind w:firstLine="420" w:firstLineChars="200"/>
        <w:rPr>
          <w:rFonts w:asciiTheme="minorEastAsia" w:hAnsiTheme="minorEastAsia"/>
          <w:szCs w:val="21"/>
        </w:rPr>
      </w:pPr>
    </w:p>
    <w:p w14:paraId="29D324C9">
      <w:pPr>
        <w:spacing w:line="360" w:lineRule="auto"/>
        <w:ind w:firstLine="420" w:firstLineChars="200"/>
        <w:rPr>
          <w:rFonts w:asciiTheme="minorEastAsia" w:hAnsiTheme="minorEastAsia"/>
          <w:color w:val="000000"/>
          <w:szCs w:val="21"/>
        </w:rPr>
      </w:pPr>
      <w:r>
        <w:rPr>
          <w:rFonts w:hint="eastAsia" w:asciiTheme="minorEastAsia" w:hAnsiTheme="minorEastAsia"/>
          <w:color w:val="000000"/>
          <w:szCs w:val="21"/>
        </w:rPr>
        <w:t>投标供应商：</w:t>
      </w:r>
    </w:p>
    <w:p w14:paraId="7DD0D1FA">
      <w:pPr>
        <w:spacing w:line="360" w:lineRule="auto"/>
        <w:ind w:firstLine="420" w:firstLineChars="200"/>
        <w:rPr>
          <w:rFonts w:asciiTheme="minorEastAsia" w:hAnsiTheme="minorEastAsia"/>
          <w:color w:val="000000"/>
          <w:szCs w:val="21"/>
        </w:rPr>
      </w:pPr>
      <w:r>
        <w:rPr>
          <w:rFonts w:hint="eastAsia" w:asciiTheme="minorEastAsia" w:hAnsiTheme="minorEastAsia"/>
          <w:color w:val="000000"/>
          <w:szCs w:val="21"/>
        </w:rPr>
        <w:t>法人或授权代表：</w:t>
      </w:r>
    </w:p>
    <w:p w14:paraId="19E9FDA7">
      <w:pPr>
        <w:spacing w:line="360" w:lineRule="auto"/>
        <w:ind w:firstLine="420" w:firstLineChars="200"/>
        <w:rPr>
          <w:rFonts w:asciiTheme="minorEastAsia" w:hAnsiTheme="minorEastAsia"/>
          <w:color w:val="000000"/>
          <w:szCs w:val="21"/>
        </w:rPr>
      </w:pPr>
      <w:r>
        <w:rPr>
          <w:rFonts w:hint="eastAsia" w:asciiTheme="minorEastAsia" w:hAnsiTheme="minorEastAsia"/>
          <w:color w:val="000000"/>
          <w:szCs w:val="21"/>
        </w:rPr>
        <w:t>日期：</w:t>
      </w:r>
    </w:p>
    <w:p w14:paraId="0DFABF3B">
      <w:pPr>
        <w:spacing w:line="360" w:lineRule="auto"/>
        <w:ind w:firstLine="420" w:firstLineChars="200"/>
        <w:rPr>
          <w:rFonts w:asciiTheme="minorEastAsia" w:hAnsiTheme="minorEastAsia"/>
          <w:szCs w:val="21"/>
        </w:rPr>
        <w:sectPr>
          <w:pgSz w:w="11906" w:h="16838"/>
          <w:pgMar w:top="1440" w:right="1080" w:bottom="1440" w:left="1080" w:header="851" w:footer="992" w:gutter="0"/>
          <w:cols w:space="720" w:num="1"/>
          <w:titlePg/>
          <w:docGrid w:type="lines" w:linePitch="312" w:charSpace="0"/>
        </w:sectPr>
      </w:pPr>
    </w:p>
    <w:p w14:paraId="47777A1B">
      <w:pPr>
        <w:spacing w:line="360" w:lineRule="auto"/>
        <w:ind w:firstLine="420" w:firstLineChars="200"/>
        <w:rPr>
          <w:rFonts w:asciiTheme="minorEastAsia" w:hAnsiTheme="minorEastAsia"/>
          <w:szCs w:val="21"/>
        </w:rPr>
      </w:pPr>
      <w:bookmarkStart w:id="183" w:name="_Toc1254"/>
      <w:r>
        <w:rPr>
          <w:rFonts w:hint="eastAsia" w:asciiTheme="minorEastAsia" w:hAnsiTheme="minorEastAsia"/>
          <w:szCs w:val="21"/>
        </w:rPr>
        <w:t>附件</w:t>
      </w:r>
      <w:r>
        <w:rPr>
          <w:rFonts w:asciiTheme="minorEastAsia" w:hAnsiTheme="minorEastAsia"/>
          <w:szCs w:val="21"/>
        </w:rPr>
        <w:t>13</w:t>
      </w:r>
      <w:r>
        <w:rPr>
          <w:rFonts w:hint="eastAsia" w:asciiTheme="minorEastAsia" w:hAnsiTheme="minorEastAsia"/>
          <w:szCs w:val="21"/>
        </w:rPr>
        <w:t>：投标人需要加以说明的其他内容</w:t>
      </w:r>
      <w:bookmarkEnd w:id="183"/>
      <w:r>
        <w:rPr>
          <w:rFonts w:hint="eastAsia" w:asciiTheme="minorEastAsia" w:hAnsiTheme="minorEastAsia"/>
          <w:szCs w:val="21"/>
        </w:rPr>
        <w:t>（如有）</w:t>
      </w:r>
    </w:p>
    <w:p w14:paraId="24749BB5">
      <w:pPr>
        <w:spacing w:line="360" w:lineRule="auto"/>
        <w:ind w:firstLine="420" w:firstLineChars="200"/>
        <w:rPr>
          <w:rFonts w:asciiTheme="minorEastAsia" w:hAnsiTheme="minorEastAsia"/>
          <w:szCs w:val="21"/>
        </w:rPr>
      </w:pPr>
    </w:p>
    <w:p w14:paraId="5E787199">
      <w:pPr>
        <w:spacing w:line="360" w:lineRule="auto"/>
        <w:ind w:firstLine="422" w:firstLineChars="200"/>
        <w:rPr>
          <w:rFonts w:asciiTheme="minorEastAsia" w:hAnsiTheme="minorEastAsia"/>
          <w:b/>
          <w:bCs/>
          <w:szCs w:val="21"/>
        </w:rPr>
      </w:pPr>
      <w:r>
        <w:rPr>
          <w:rFonts w:hint="eastAsia" w:asciiTheme="minorEastAsia" w:hAnsiTheme="minorEastAsia"/>
          <w:b/>
          <w:bCs/>
          <w:szCs w:val="21"/>
        </w:rPr>
        <w:t>投标人认为需要加以说明的其他内容</w:t>
      </w:r>
    </w:p>
    <w:p w14:paraId="7F0AC9DD">
      <w:pPr>
        <w:spacing w:line="360" w:lineRule="auto"/>
        <w:ind w:firstLine="420" w:firstLineChars="200"/>
        <w:rPr>
          <w:rFonts w:asciiTheme="minorEastAsia" w:hAnsiTheme="minorEastAsia"/>
          <w:szCs w:val="21"/>
        </w:rPr>
      </w:pPr>
      <w:r>
        <w:rPr>
          <w:rFonts w:hint="eastAsia" w:asciiTheme="minorEastAsia" w:hAnsiTheme="minorEastAsia"/>
          <w:szCs w:val="21"/>
        </w:rPr>
        <w:t>（格式自定）</w:t>
      </w:r>
    </w:p>
    <w:p w14:paraId="0FF90487">
      <w:pPr>
        <w:spacing w:line="360" w:lineRule="auto"/>
        <w:ind w:firstLine="420" w:firstLineChars="200"/>
      </w:pPr>
    </w:p>
    <w:p w14:paraId="2943998D">
      <w:pPr>
        <w:spacing w:line="360" w:lineRule="auto"/>
        <w:ind w:firstLine="420" w:firstLineChars="200"/>
      </w:pPr>
    </w:p>
    <w:p w14:paraId="672B4CEA">
      <w:pPr>
        <w:spacing w:line="360" w:lineRule="auto"/>
        <w:ind w:firstLine="420" w:firstLineChars="200"/>
      </w:pPr>
    </w:p>
    <w:p w14:paraId="27B7E374">
      <w:pPr>
        <w:spacing w:line="360" w:lineRule="auto"/>
        <w:ind w:firstLine="420" w:firstLineChars="200"/>
      </w:pPr>
    </w:p>
    <w:p w14:paraId="0C2DBAFC">
      <w:pPr>
        <w:spacing w:line="360" w:lineRule="auto"/>
        <w:ind w:firstLine="420" w:firstLineChars="200"/>
      </w:pPr>
    </w:p>
    <w:p w14:paraId="6766FA6B">
      <w:pPr>
        <w:spacing w:line="360" w:lineRule="auto"/>
        <w:ind w:firstLine="420" w:firstLineChars="200"/>
      </w:pPr>
    </w:p>
    <w:p w14:paraId="7F09228C">
      <w:pPr>
        <w:spacing w:line="360" w:lineRule="auto"/>
        <w:ind w:firstLine="420" w:firstLineChars="200"/>
      </w:pPr>
    </w:p>
    <w:p w14:paraId="29CC90A9">
      <w:pPr>
        <w:spacing w:line="360" w:lineRule="auto"/>
        <w:ind w:firstLine="420" w:firstLineChars="200"/>
      </w:pPr>
    </w:p>
    <w:p w14:paraId="463E1AD3">
      <w:pPr>
        <w:spacing w:line="360" w:lineRule="auto"/>
        <w:ind w:firstLine="420" w:firstLineChars="200"/>
        <w:rPr>
          <w:rFonts w:asciiTheme="minorEastAsia" w:hAnsiTheme="minorEastAsia"/>
          <w:szCs w:val="21"/>
        </w:rPr>
      </w:pPr>
    </w:p>
    <w:sectPr>
      <w:pgSz w:w="11906" w:h="16838"/>
      <w:pgMar w:top="1418" w:right="1474" w:bottom="1418"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Segoe UI Symbol">
    <w:panose1 w:val="020B0502040204020203"/>
    <w:charset w:val="00"/>
    <w:family w:val="auto"/>
    <w:pitch w:val="default"/>
    <w:sig w:usb0="800001E3" w:usb1="1200FFEF" w:usb2="00040000" w:usb3="04000000" w:csb0="00000001" w:csb1="4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91686772"/>
    </w:sdtPr>
    <w:sdtContent>
      <w:sdt>
        <w:sdtPr>
          <w:id w:val="1728636285"/>
        </w:sdtPr>
        <w:sdtContent>
          <w:p w14:paraId="77FF6FA4">
            <w:pPr>
              <w:pStyle w:val="13"/>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5</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31</w:t>
            </w:r>
            <w:r>
              <w:rPr>
                <w:b/>
                <w:bCs/>
                <w:sz w:val="24"/>
                <w:szCs w:val="24"/>
              </w:rPr>
              <w:fldChar w:fldCharType="end"/>
            </w:r>
          </w:p>
        </w:sdtContent>
      </w:sdt>
    </w:sdtContent>
  </w:sdt>
  <w:p w14:paraId="5C323089">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9AA009">
    <w:pPr>
      <w:pStyle w:val="14"/>
    </w:pPr>
  </w:p>
  <w:p w14:paraId="00A6024C">
    <w:pPr>
      <w:pStyle w:val="14"/>
      <w:jc w:val="right"/>
      <w:rPr>
        <w:sz w:val="21"/>
        <w:szCs w:val="21"/>
      </w:rPr>
    </w:pPr>
    <w:bookmarkStart w:id="184" w:name="_Hlk69568635"/>
    <w:bookmarkStart w:id="185" w:name="_Hlk69568634"/>
    <w:r>
      <w:rPr>
        <w:rFonts w:hint="eastAsia"/>
        <w:sz w:val="21"/>
        <w:szCs w:val="21"/>
      </w:rPr>
      <w:t>深圳市宝安区疾病预防控制中心采购文件</w:t>
    </w:r>
    <w:bookmarkEnd w:id="184"/>
    <w:bookmarkEnd w:id="185"/>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714A5A"/>
    <w:multiLevelType w:val="multilevel"/>
    <w:tmpl w:val="24714A5A"/>
    <w:lvl w:ilvl="0" w:tentative="0">
      <w:start w:val="1"/>
      <w:numFmt w:val="decimal"/>
      <w:lvlText w:val="%1."/>
      <w:lvlJc w:val="left"/>
      <w:pPr>
        <w:ind w:left="987"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DFA2C91"/>
    <w:multiLevelType w:val="singleLevel"/>
    <w:tmpl w:val="3DFA2C91"/>
    <w:lvl w:ilvl="0" w:tentative="0">
      <w:start w:val="1"/>
      <w:numFmt w:val="decimal"/>
      <w:lvlText w:val="%1."/>
      <w:lvlJc w:val="left"/>
      <w:pPr>
        <w:tabs>
          <w:tab w:val="left" w:pos="312"/>
        </w:tabs>
      </w:pPr>
    </w:lvl>
  </w:abstractNum>
  <w:abstractNum w:abstractNumId="2">
    <w:nsid w:val="7C2D25F0"/>
    <w:multiLevelType w:val="multilevel"/>
    <w:tmpl w:val="7C2D25F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VjMTRiY2QxYmJlMjllYWNhNjZjMTAzYThmMWJiZjQifQ=="/>
  </w:docVars>
  <w:rsids>
    <w:rsidRoot w:val="00B27035"/>
    <w:rsid w:val="0000394F"/>
    <w:rsid w:val="00007A13"/>
    <w:rsid w:val="0001637F"/>
    <w:rsid w:val="00016C99"/>
    <w:rsid w:val="00016D41"/>
    <w:rsid w:val="00016DCD"/>
    <w:rsid w:val="00020F66"/>
    <w:rsid w:val="000236B7"/>
    <w:rsid w:val="00026541"/>
    <w:rsid w:val="000272A3"/>
    <w:rsid w:val="0003138A"/>
    <w:rsid w:val="0004025C"/>
    <w:rsid w:val="00042723"/>
    <w:rsid w:val="00046F21"/>
    <w:rsid w:val="00050084"/>
    <w:rsid w:val="000530FF"/>
    <w:rsid w:val="00053E10"/>
    <w:rsid w:val="000620DD"/>
    <w:rsid w:val="000627B7"/>
    <w:rsid w:val="00063FB1"/>
    <w:rsid w:val="00073E9D"/>
    <w:rsid w:val="00081A9E"/>
    <w:rsid w:val="00081D87"/>
    <w:rsid w:val="00084CCE"/>
    <w:rsid w:val="0008691A"/>
    <w:rsid w:val="00086C55"/>
    <w:rsid w:val="00086E51"/>
    <w:rsid w:val="00090FD5"/>
    <w:rsid w:val="00092A23"/>
    <w:rsid w:val="000968DD"/>
    <w:rsid w:val="000970E6"/>
    <w:rsid w:val="00097201"/>
    <w:rsid w:val="000974D9"/>
    <w:rsid w:val="000A013F"/>
    <w:rsid w:val="000A0BB6"/>
    <w:rsid w:val="000A4FF3"/>
    <w:rsid w:val="000A599B"/>
    <w:rsid w:val="000B13D0"/>
    <w:rsid w:val="000B2D75"/>
    <w:rsid w:val="000B3923"/>
    <w:rsid w:val="000B59F8"/>
    <w:rsid w:val="000B77F9"/>
    <w:rsid w:val="000B7EE0"/>
    <w:rsid w:val="000C561C"/>
    <w:rsid w:val="000C62B0"/>
    <w:rsid w:val="000C6CE9"/>
    <w:rsid w:val="000D08A9"/>
    <w:rsid w:val="000D2EB8"/>
    <w:rsid w:val="000D2FD9"/>
    <w:rsid w:val="000D476C"/>
    <w:rsid w:val="000D6859"/>
    <w:rsid w:val="000E5888"/>
    <w:rsid w:val="000F0F3D"/>
    <w:rsid w:val="000F101F"/>
    <w:rsid w:val="000F22EF"/>
    <w:rsid w:val="000F2D0A"/>
    <w:rsid w:val="000F6C66"/>
    <w:rsid w:val="0010066B"/>
    <w:rsid w:val="00100950"/>
    <w:rsid w:val="001043DC"/>
    <w:rsid w:val="00105F6E"/>
    <w:rsid w:val="00111B38"/>
    <w:rsid w:val="00112A97"/>
    <w:rsid w:val="00113156"/>
    <w:rsid w:val="00115CD5"/>
    <w:rsid w:val="0011797C"/>
    <w:rsid w:val="00125726"/>
    <w:rsid w:val="00125ACF"/>
    <w:rsid w:val="00125C6A"/>
    <w:rsid w:val="0012743D"/>
    <w:rsid w:val="00127C7B"/>
    <w:rsid w:val="00130814"/>
    <w:rsid w:val="001329BA"/>
    <w:rsid w:val="00132BE3"/>
    <w:rsid w:val="0013335C"/>
    <w:rsid w:val="00136300"/>
    <w:rsid w:val="00136387"/>
    <w:rsid w:val="00137876"/>
    <w:rsid w:val="001465AC"/>
    <w:rsid w:val="0014672D"/>
    <w:rsid w:val="00146F48"/>
    <w:rsid w:val="0015271F"/>
    <w:rsid w:val="001530A4"/>
    <w:rsid w:val="00154141"/>
    <w:rsid w:val="00161418"/>
    <w:rsid w:val="001624BB"/>
    <w:rsid w:val="00162B15"/>
    <w:rsid w:val="00163FBC"/>
    <w:rsid w:val="00165B6A"/>
    <w:rsid w:val="001678F7"/>
    <w:rsid w:val="00170E6B"/>
    <w:rsid w:val="00174DAC"/>
    <w:rsid w:val="001750E4"/>
    <w:rsid w:val="00180C24"/>
    <w:rsid w:val="001810ED"/>
    <w:rsid w:val="001813DD"/>
    <w:rsid w:val="00183CCF"/>
    <w:rsid w:val="00184BFC"/>
    <w:rsid w:val="00186E97"/>
    <w:rsid w:val="00187BC0"/>
    <w:rsid w:val="001905F7"/>
    <w:rsid w:val="00192254"/>
    <w:rsid w:val="001930C9"/>
    <w:rsid w:val="001938DE"/>
    <w:rsid w:val="0019395A"/>
    <w:rsid w:val="00195A48"/>
    <w:rsid w:val="00196D20"/>
    <w:rsid w:val="001A36D0"/>
    <w:rsid w:val="001A4CC2"/>
    <w:rsid w:val="001A5C2B"/>
    <w:rsid w:val="001A7960"/>
    <w:rsid w:val="001B12BF"/>
    <w:rsid w:val="001B287A"/>
    <w:rsid w:val="001B54B5"/>
    <w:rsid w:val="001C421C"/>
    <w:rsid w:val="001C42E8"/>
    <w:rsid w:val="001C7175"/>
    <w:rsid w:val="001C7613"/>
    <w:rsid w:val="001D1989"/>
    <w:rsid w:val="001D283D"/>
    <w:rsid w:val="001D5451"/>
    <w:rsid w:val="001D7F0D"/>
    <w:rsid w:val="001E5120"/>
    <w:rsid w:val="001F5585"/>
    <w:rsid w:val="00202216"/>
    <w:rsid w:val="002023D7"/>
    <w:rsid w:val="00204EC0"/>
    <w:rsid w:val="00205A0F"/>
    <w:rsid w:val="00207D31"/>
    <w:rsid w:val="00216C6D"/>
    <w:rsid w:val="00217F05"/>
    <w:rsid w:val="002219B9"/>
    <w:rsid w:val="002243E9"/>
    <w:rsid w:val="0022497B"/>
    <w:rsid w:val="00227BE1"/>
    <w:rsid w:val="00227CFD"/>
    <w:rsid w:val="0023071D"/>
    <w:rsid w:val="00232ED4"/>
    <w:rsid w:val="00234ACA"/>
    <w:rsid w:val="002350B3"/>
    <w:rsid w:val="00235B08"/>
    <w:rsid w:val="002429FB"/>
    <w:rsid w:val="00245BA9"/>
    <w:rsid w:val="002514E8"/>
    <w:rsid w:val="00253FCC"/>
    <w:rsid w:val="0025405F"/>
    <w:rsid w:val="002549AE"/>
    <w:rsid w:val="00255705"/>
    <w:rsid w:val="002570EC"/>
    <w:rsid w:val="002577FC"/>
    <w:rsid w:val="002607D8"/>
    <w:rsid w:val="00262959"/>
    <w:rsid w:val="00262E3B"/>
    <w:rsid w:val="00264146"/>
    <w:rsid w:val="00265ED8"/>
    <w:rsid w:val="00267B16"/>
    <w:rsid w:val="00270DED"/>
    <w:rsid w:val="00270EE6"/>
    <w:rsid w:val="002732D3"/>
    <w:rsid w:val="00273963"/>
    <w:rsid w:val="00273DD4"/>
    <w:rsid w:val="00274ADF"/>
    <w:rsid w:val="00275639"/>
    <w:rsid w:val="002830A3"/>
    <w:rsid w:val="00283FB4"/>
    <w:rsid w:val="002844D3"/>
    <w:rsid w:val="002849C2"/>
    <w:rsid w:val="00285211"/>
    <w:rsid w:val="00287092"/>
    <w:rsid w:val="0028748D"/>
    <w:rsid w:val="002905B6"/>
    <w:rsid w:val="0029095D"/>
    <w:rsid w:val="00291C54"/>
    <w:rsid w:val="00297795"/>
    <w:rsid w:val="002A4499"/>
    <w:rsid w:val="002A5BFA"/>
    <w:rsid w:val="002B7314"/>
    <w:rsid w:val="002C089E"/>
    <w:rsid w:val="002C0C26"/>
    <w:rsid w:val="002C12DB"/>
    <w:rsid w:val="002C4251"/>
    <w:rsid w:val="002D3543"/>
    <w:rsid w:val="002D5E47"/>
    <w:rsid w:val="002D70BB"/>
    <w:rsid w:val="002E00B6"/>
    <w:rsid w:val="002E0D63"/>
    <w:rsid w:val="002E202E"/>
    <w:rsid w:val="002E3D64"/>
    <w:rsid w:val="002E5E70"/>
    <w:rsid w:val="002F46DB"/>
    <w:rsid w:val="002F4C12"/>
    <w:rsid w:val="002F5862"/>
    <w:rsid w:val="00300139"/>
    <w:rsid w:val="003020A7"/>
    <w:rsid w:val="0030630F"/>
    <w:rsid w:val="00306350"/>
    <w:rsid w:val="00307947"/>
    <w:rsid w:val="00310DF6"/>
    <w:rsid w:val="00312AEB"/>
    <w:rsid w:val="00314147"/>
    <w:rsid w:val="00314D97"/>
    <w:rsid w:val="00320C6D"/>
    <w:rsid w:val="003234C1"/>
    <w:rsid w:val="00323F20"/>
    <w:rsid w:val="003259E0"/>
    <w:rsid w:val="00327B91"/>
    <w:rsid w:val="00331BF3"/>
    <w:rsid w:val="00335D20"/>
    <w:rsid w:val="00337BFB"/>
    <w:rsid w:val="0034222B"/>
    <w:rsid w:val="00342375"/>
    <w:rsid w:val="00343516"/>
    <w:rsid w:val="0034487A"/>
    <w:rsid w:val="00344D4A"/>
    <w:rsid w:val="00347B67"/>
    <w:rsid w:val="003531DE"/>
    <w:rsid w:val="003568C3"/>
    <w:rsid w:val="0035752B"/>
    <w:rsid w:val="00357856"/>
    <w:rsid w:val="00357903"/>
    <w:rsid w:val="00360311"/>
    <w:rsid w:val="00362847"/>
    <w:rsid w:val="00365501"/>
    <w:rsid w:val="00370E38"/>
    <w:rsid w:val="003722DC"/>
    <w:rsid w:val="0037339D"/>
    <w:rsid w:val="003765D8"/>
    <w:rsid w:val="00376712"/>
    <w:rsid w:val="00386497"/>
    <w:rsid w:val="00387FB4"/>
    <w:rsid w:val="003904C8"/>
    <w:rsid w:val="003948C4"/>
    <w:rsid w:val="00395BD5"/>
    <w:rsid w:val="003A2EF2"/>
    <w:rsid w:val="003B2B54"/>
    <w:rsid w:val="003B4C25"/>
    <w:rsid w:val="003B533D"/>
    <w:rsid w:val="003B5F69"/>
    <w:rsid w:val="003B664A"/>
    <w:rsid w:val="003C2BD3"/>
    <w:rsid w:val="003D0F25"/>
    <w:rsid w:val="003D1BFD"/>
    <w:rsid w:val="003D1C8B"/>
    <w:rsid w:val="003D3A10"/>
    <w:rsid w:val="003D3BF6"/>
    <w:rsid w:val="003D3E40"/>
    <w:rsid w:val="003D56EF"/>
    <w:rsid w:val="003E2496"/>
    <w:rsid w:val="003E47FF"/>
    <w:rsid w:val="003F3926"/>
    <w:rsid w:val="003F3E99"/>
    <w:rsid w:val="003F49FA"/>
    <w:rsid w:val="003F4A52"/>
    <w:rsid w:val="003F4C21"/>
    <w:rsid w:val="003F6BD9"/>
    <w:rsid w:val="003F7F46"/>
    <w:rsid w:val="00400BDD"/>
    <w:rsid w:val="0040568B"/>
    <w:rsid w:val="00405B4F"/>
    <w:rsid w:val="00412ADA"/>
    <w:rsid w:val="00415ABB"/>
    <w:rsid w:val="00416CB7"/>
    <w:rsid w:val="00417556"/>
    <w:rsid w:val="004224DA"/>
    <w:rsid w:val="00422C93"/>
    <w:rsid w:val="004240F2"/>
    <w:rsid w:val="004247C2"/>
    <w:rsid w:val="0042484C"/>
    <w:rsid w:val="00425768"/>
    <w:rsid w:val="00430C33"/>
    <w:rsid w:val="00431B05"/>
    <w:rsid w:val="00432BF0"/>
    <w:rsid w:val="004434FC"/>
    <w:rsid w:val="00444B83"/>
    <w:rsid w:val="004478C6"/>
    <w:rsid w:val="00450E1D"/>
    <w:rsid w:val="004512C7"/>
    <w:rsid w:val="004537FB"/>
    <w:rsid w:val="0045391A"/>
    <w:rsid w:val="00457D84"/>
    <w:rsid w:val="00460BB8"/>
    <w:rsid w:val="00461FA3"/>
    <w:rsid w:val="00462785"/>
    <w:rsid w:val="00463221"/>
    <w:rsid w:val="00463FD1"/>
    <w:rsid w:val="00473B47"/>
    <w:rsid w:val="00474DE6"/>
    <w:rsid w:val="00476B74"/>
    <w:rsid w:val="00481776"/>
    <w:rsid w:val="0048183C"/>
    <w:rsid w:val="00483481"/>
    <w:rsid w:val="0048440E"/>
    <w:rsid w:val="00484718"/>
    <w:rsid w:val="004865A3"/>
    <w:rsid w:val="00486D13"/>
    <w:rsid w:val="00487BC8"/>
    <w:rsid w:val="00491DD6"/>
    <w:rsid w:val="00492556"/>
    <w:rsid w:val="00492D8F"/>
    <w:rsid w:val="00494048"/>
    <w:rsid w:val="004970F8"/>
    <w:rsid w:val="00497DBD"/>
    <w:rsid w:val="004A0DAF"/>
    <w:rsid w:val="004A34CF"/>
    <w:rsid w:val="004A46F4"/>
    <w:rsid w:val="004A4795"/>
    <w:rsid w:val="004A4B94"/>
    <w:rsid w:val="004B08D4"/>
    <w:rsid w:val="004B0DCA"/>
    <w:rsid w:val="004B2A93"/>
    <w:rsid w:val="004B4E87"/>
    <w:rsid w:val="004B539D"/>
    <w:rsid w:val="004B6E5B"/>
    <w:rsid w:val="004C08AC"/>
    <w:rsid w:val="004C0B66"/>
    <w:rsid w:val="004C3F49"/>
    <w:rsid w:val="004D1B14"/>
    <w:rsid w:val="004D4DA5"/>
    <w:rsid w:val="004E07C0"/>
    <w:rsid w:val="004E1528"/>
    <w:rsid w:val="004E308C"/>
    <w:rsid w:val="004E46CB"/>
    <w:rsid w:val="004E725F"/>
    <w:rsid w:val="004F0148"/>
    <w:rsid w:val="004F2B76"/>
    <w:rsid w:val="004F3645"/>
    <w:rsid w:val="00500D01"/>
    <w:rsid w:val="00504CFF"/>
    <w:rsid w:val="00506D14"/>
    <w:rsid w:val="0051196C"/>
    <w:rsid w:val="005137DA"/>
    <w:rsid w:val="00513BF2"/>
    <w:rsid w:val="005173A6"/>
    <w:rsid w:val="005214AC"/>
    <w:rsid w:val="00521779"/>
    <w:rsid w:val="00521E40"/>
    <w:rsid w:val="00526344"/>
    <w:rsid w:val="00527EDC"/>
    <w:rsid w:val="00531911"/>
    <w:rsid w:val="00532B33"/>
    <w:rsid w:val="00535144"/>
    <w:rsid w:val="005352E1"/>
    <w:rsid w:val="00535430"/>
    <w:rsid w:val="00536246"/>
    <w:rsid w:val="005472BC"/>
    <w:rsid w:val="0054740D"/>
    <w:rsid w:val="00552059"/>
    <w:rsid w:val="00552C93"/>
    <w:rsid w:val="005561D7"/>
    <w:rsid w:val="00561C21"/>
    <w:rsid w:val="00561D31"/>
    <w:rsid w:val="00563895"/>
    <w:rsid w:val="005645E6"/>
    <w:rsid w:val="0056787E"/>
    <w:rsid w:val="00567D46"/>
    <w:rsid w:val="0057769D"/>
    <w:rsid w:val="0058113E"/>
    <w:rsid w:val="0058285B"/>
    <w:rsid w:val="00583310"/>
    <w:rsid w:val="005846F2"/>
    <w:rsid w:val="005849A9"/>
    <w:rsid w:val="00584F0C"/>
    <w:rsid w:val="005854FB"/>
    <w:rsid w:val="00585A02"/>
    <w:rsid w:val="00586966"/>
    <w:rsid w:val="00591CA5"/>
    <w:rsid w:val="00591D1A"/>
    <w:rsid w:val="00592F00"/>
    <w:rsid w:val="0059488B"/>
    <w:rsid w:val="00594D83"/>
    <w:rsid w:val="005A14F3"/>
    <w:rsid w:val="005A1CC5"/>
    <w:rsid w:val="005A5612"/>
    <w:rsid w:val="005B22A4"/>
    <w:rsid w:val="005B2452"/>
    <w:rsid w:val="005B4C1F"/>
    <w:rsid w:val="005B7C95"/>
    <w:rsid w:val="005C0612"/>
    <w:rsid w:val="005C0DB9"/>
    <w:rsid w:val="005C0FF6"/>
    <w:rsid w:val="005C18B9"/>
    <w:rsid w:val="005C21EE"/>
    <w:rsid w:val="005C376C"/>
    <w:rsid w:val="005C39EA"/>
    <w:rsid w:val="005D2961"/>
    <w:rsid w:val="005D2B9C"/>
    <w:rsid w:val="005D2D8F"/>
    <w:rsid w:val="005D6EF3"/>
    <w:rsid w:val="005D7164"/>
    <w:rsid w:val="005D7190"/>
    <w:rsid w:val="005E0466"/>
    <w:rsid w:val="005E11F0"/>
    <w:rsid w:val="005E12D5"/>
    <w:rsid w:val="005F3217"/>
    <w:rsid w:val="005F34BB"/>
    <w:rsid w:val="005F72F4"/>
    <w:rsid w:val="005F73F0"/>
    <w:rsid w:val="006058BB"/>
    <w:rsid w:val="00606500"/>
    <w:rsid w:val="00606715"/>
    <w:rsid w:val="00611947"/>
    <w:rsid w:val="00617363"/>
    <w:rsid w:val="006224E7"/>
    <w:rsid w:val="00623981"/>
    <w:rsid w:val="00624FEC"/>
    <w:rsid w:val="0062754D"/>
    <w:rsid w:val="006345F3"/>
    <w:rsid w:val="00635A1A"/>
    <w:rsid w:val="006407B7"/>
    <w:rsid w:val="0064183A"/>
    <w:rsid w:val="0065138F"/>
    <w:rsid w:val="00651FD0"/>
    <w:rsid w:val="00653282"/>
    <w:rsid w:val="00655479"/>
    <w:rsid w:val="0065567F"/>
    <w:rsid w:val="006557EE"/>
    <w:rsid w:val="00655894"/>
    <w:rsid w:val="006568AF"/>
    <w:rsid w:val="00660AF8"/>
    <w:rsid w:val="00660BB2"/>
    <w:rsid w:val="006617BD"/>
    <w:rsid w:val="00663633"/>
    <w:rsid w:val="0066471D"/>
    <w:rsid w:val="00664B30"/>
    <w:rsid w:val="00665979"/>
    <w:rsid w:val="00665C9C"/>
    <w:rsid w:val="00666DAC"/>
    <w:rsid w:val="006728BE"/>
    <w:rsid w:val="00673CA0"/>
    <w:rsid w:val="00674B5A"/>
    <w:rsid w:val="00684DAC"/>
    <w:rsid w:val="00685691"/>
    <w:rsid w:val="00687623"/>
    <w:rsid w:val="00690937"/>
    <w:rsid w:val="0069104B"/>
    <w:rsid w:val="006A2C16"/>
    <w:rsid w:val="006B10AC"/>
    <w:rsid w:val="006B15B6"/>
    <w:rsid w:val="006B1DB6"/>
    <w:rsid w:val="006B2D41"/>
    <w:rsid w:val="006B2FC4"/>
    <w:rsid w:val="006B302C"/>
    <w:rsid w:val="006B39F9"/>
    <w:rsid w:val="006B5CA7"/>
    <w:rsid w:val="006C2747"/>
    <w:rsid w:val="006C5653"/>
    <w:rsid w:val="006C60D3"/>
    <w:rsid w:val="006D0495"/>
    <w:rsid w:val="006D0AA6"/>
    <w:rsid w:val="006D36F6"/>
    <w:rsid w:val="006D52B6"/>
    <w:rsid w:val="006D63F9"/>
    <w:rsid w:val="006D67E5"/>
    <w:rsid w:val="006D74CC"/>
    <w:rsid w:val="006E3571"/>
    <w:rsid w:val="006F34C6"/>
    <w:rsid w:val="006F41DA"/>
    <w:rsid w:val="00705BD8"/>
    <w:rsid w:val="007067D3"/>
    <w:rsid w:val="00712BD7"/>
    <w:rsid w:val="00715E57"/>
    <w:rsid w:val="00721170"/>
    <w:rsid w:val="007231EE"/>
    <w:rsid w:val="0072335A"/>
    <w:rsid w:val="00724B87"/>
    <w:rsid w:val="0073452B"/>
    <w:rsid w:val="007459E7"/>
    <w:rsid w:val="007506FD"/>
    <w:rsid w:val="00751A67"/>
    <w:rsid w:val="007549C8"/>
    <w:rsid w:val="007554E3"/>
    <w:rsid w:val="0075689D"/>
    <w:rsid w:val="00762137"/>
    <w:rsid w:val="00766224"/>
    <w:rsid w:val="00766F64"/>
    <w:rsid w:val="00767104"/>
    <w:rsid w:val="00767478"/>
    <w:rsid w:val="007674F3"/>
    <w:rsid w:val="0077138C"/>
    <w:rsid w:val="007754EA"/>
    <w:rsid w:val="007911A0"/>
    <w:rsid w:val="00792052"/>
    <w:rsid w:val="0079207E"/>
    <w:rsid w:val="00793A6A"/>
    <w:rsid w:val="00793E70"/>
    <w:rsid w:val="00795EEA"/>
    <w:rsid w:val="007A2875"/>
    <w:rsid w:val="007A31B9"/>
    <w:rsid w:val="007A5E09"/>
    <w:rsid w:val="007A6077"/>
    <w:rsid w:val="007A7D9F"/>
    <w:rsid w:val="007B0B0E"/>
    <w:rsid w:val="007B1962"/>
    <w:rsid w:val="007B2CF3"/>
    <w:rsid w:val="007B4661"/>
    <w:rsid w:val="007B4C65"/>
    <w:rsid w:val="007B71E6"/>
    <w:rsid w:val="007C65B3"/>
    <w:rsid w:val="007C6D54"/>
    <w:rsid w:val="007D2242"/>
    <w:rsid w:val="007D60DA"/>
    <w:rsid w:val="007E14DB"/>
    <w:rsid w:val="007E1EFD"/>
    <w:rsid w:val="007E21BE"/>
    <w:rsid w:val="007E2F5A"/>
    <w:rsid w:val="007E3C03"/>
    <w:rsid w:val="007E4868"/>
    <w:rsid w:val="007E5008"/>
    <w:rsid w:val="007E639A"/>
    <w:rsid w:val="007E6A9D"/>
    <w:rsid w:val="007F11C6"/>
    <w:rsid w:val="007F482C"/>
    <w:rsid w:val="007F4EB1"/>
    <w:rsid w:val="007F5918"/>
    <w:rsid w:val="00805C93"/>
    <w:rsid w:val="0080742D"/>
    <w:rsid w:val="00817206"/>
    <w:rsid w:val="00820766"/>
    <w:rsid w:val="0082380B"/>
    <w:rsid w:val="008251A1"/>
    <w:rsid w:val="008263E2"/>
    <w:rsid w:val="008263E4"/>
    <w:rsid w:val="0083051C"/>
    <w:rsid w:val="008309A8"/>
    <w:rsid w:val="00833FA9"/>
    <w:rsid w:val="008403CD"/>
    <w:rsid w:val="0084094C"/>
    <w:rsid w:val="008427DA"/>
    <w:rsid w:val="00842966"/>
    <w:rsid w:val="008455C7"/>
    <w:rsid w:val="00850054"/>
    <w:rsid w:val="0085171D"/>
    <w:rsid w:val="00854F19"/>
    <w:rsid w:val="008565A0"/>
    <w:rsid w:val="00857094"/>
    <w:rsid w:val="00861A84"/>
    <w:rsid w:val="00865720"/>
    <w:rsid w:val="00870650"/>
    <w:rsid w:val="00871AB4"/>
    <w:rsid w:val="008737E6"/>
    <w:rsid w:val="008747B2"/>
    <w:rsid w:val="00875B2C"/>
    <w:rsid w:val="0087626E"/>
    <w:rsid w:val="00877379"/>
    <w:rsid w:val="008807FE"/>
    <w:rsid w:val="00881C68"/>
    <w:rsid w:val="0088252F"/>
    <w:rsid w:val="00885641"/>
    <w:rsid w:val="008861D0"/>
    <w:rsid w:val="00886513"/>
    <w:rsid w:val="00887EC0"/>
    <w:rsid w:val="00893BD2"/>
    <w:rsid w:val="008A25D3"/>
    <w:rsid w:val="008A4861"/>
    <w:rsid w:val="008A4CB4"/>
    <w:rsid w:val="008A5E40"/>
    <w:rsid w:val="008A65A3"/>
    <w:rsid w:val="008A6A3B"/>
    <w:rsid w:val="008B1F31"/>
    <w:rsid w:val="008B2E71"/>
    <w:rsid w:val="008B64EF"/>
    <w:rsid w:val="008B7729"/>
    <w:rsid w:val="008C2C7E"/>
    <w:rsid w:val="008C3446"/>
    <w:rsid w:val="008C480B"/>
    <w:rsid w:val="008C7B89"/>
    <w:rsid w:val="008C7C25"/>
    <w:rsid w:val="008D19C5"/>
    <w:rsid w:val="008D1E8F"/>
    <w:rsid w:val="008D26F9"/>
    <w:rsid w:val="008D3CDF"/>
    <w:rsid w:val="008D5116"/>
    <w:rsid w:val="008E0FFC"/>
    <w:rsid w:val="008E2F0D"/>
    <w:rsid w:val="008E4F01"/>
    <w:rsid w:val="008E53DE"/>
    <w:rsid w:val="008E756B"/>
    <w:rsid w:val="008F4FC5"/>
    <w:rsid w:val="008F55F8"/>
    <w:rsid w:val="008F59A9"/>
    <w:rsid w:val="009016ED"/>
    <w:rsid w:val="009023CA"/>
    <w:rsid w:val="009063D1"/>
    <w:rsid w:val="00911F33"/>
    <w:rsid w:val="0091227D"/>
    <w:rsid w:val="00912EFF"/>
    <w:rsid w:val="00913747"/>
    <w:rsid w:val="00913757"/>
    <w:rsid w:val="00916D2F"/>
    <w:rsid w:val="0092132F"/>
    <w:rsid w:val="009240C5"/>
    <w:rsid w:val="00930AE6"/>
    <w:rsid w:val="009316D6"/>
    <w:rsid w:val="0093453E"/>
    <w:rsid w:val="009419C6"/>
    <w:rsid w:val="00945543"/>
    <w:rsid w:val="00945D1E"/>
    <w:rsid w:val="009462F5"/>
    <w:rsid w:val="009509C6"/>
    <w:rsid w:val="00953BDB"/>
    <w:rsid w:val="009550B7"/>
    <w:rsid w:val="009551C2"/>
    <w:rsid w:val="00955F27"/>
    <w:rsid w:val="009577F3"/>
    <w:rsid w:val="00957AAC"/>
    <w:rsid w:val="00963C1D"/>
    <w:rsid w:val="00966013"/>
    <w:rsid w:val="009763C1"/>
    <w:rsid w:val="009817D5"/>
    <w:rsid w:val="009828B2"/>
    <w:rsid w:val="00983F17"/>
    <w:rsid w:val="00986C27"/>
    <w:rsid w:val="009940DA"/>
    <w:rsid w:val="009A14F1"/>
    <w:rsid w:val="009A14FC"/>
    <w:rsid w:val="009A2C14"/>
    <w:rsid w:val="009A2D94"/>
    <w:rsid w:val="009A677E"/>
    <w:rsid w:val="009B027B"/>
    <w:rsid w:val="009B0B06"/>
    <w:rsid w:val="009B215B"/>
    <w:rsid w:val="009B49A7"/>
    <w:rsid w:val="009B511A"/>
    <w:rsid w:val="009B6DBF"/>
    <w:rsid w:val="009B78E0"/>
    <w:rsid w:val="009C136C"/>
    <w:rsid w:val="009C13FB"/>
    <w:rsid w:val="009C3577"/>
    <w:rsid w:val="009D0140"/>
    <w:rsid w:val="009D1ED7"/>
    <w:rsid w:val="009D2EED"/>
    <w:rsid w:val="009D33E5"/>
    <w:rsid w:val="009D69AC"/>
    <w:rsid w:val="009E2191"/>
    <w:rsid w:val="009E2DF6"/>
    <w:rsid w:val="009E33AD"/>
    <w:rsid w:val="009E489A"/>
    <w:rsid w:val="009E5198"/>
    <w:rsid w:val="009E7909"/>
    <w:rsid w:val="009E7AED"/>
    <w:rsid w:val="009F3DD5"/>
    <w:rsid w:val="009F44F1"/>
    <w:rsid w:val="009F51D2"/>
    <w:rsid w:val="009F55D5"/>
    <w:rsid w:val="009F6601"/>
    <w:rsid w:val="009F718C"/>
    <w:rsid w:val="00A027F7"/>
    <w:rsid w:val="00A02C9B"/>
    <w:rsid w:val="00A02E18"/>
    <w:rsid w:val="00A032CD"/>
    <w:rsid w:val="00A069B6"/>
    <w:rsid w:val="00A074EF"/>
    <w:rsid w:val="00A10E96"/>
    <w:rsid w:val="00A142B0"/>
    <w:rsid w:val="00A14D8B"/>
    <w:rsid w:val="00A162F6"/>
    <w:rsid w:val="00A1645C"/>
    <w:rsid w:val="00A1664A"/>
    <w:rsid w:val="00A201D9"/>
    <w:rsid w:val="00A239ED"/>
    <w:rsid w:val="00A24AE0"/>
    <w:rsid w:val="00A310B6"/>
    <w:rsid w:val="00A31944"/>
    <w:rsid w:val="00A374C0"/>
    <w:rsid w:val="00A45F09"/>
    <w:rsid w:val="00A46D3B"/>
    <w:rsid w:val="00A502C8"/>
    <w:rsid w:val="00A5098C"/>
    <w:rsid w:val="00A51C85"/>
    <w:rsid w:val="00A55D91"/>
    <w:rsid w:val="00A56485"/>
    <w:rsid w:val="00A57EBB"/>
    <w:rsid w:val="00A60952"/>
    <w:rsid w:val="00A60D7F"/>
    <w:rsid w:val="00A60D89"/>
    <w:rsid w:val="00A60EC4"/>
    <w:rsid w:val="00A6357A"/>
    <w:rsid w:val="00A63D62"/>
    <w:rsid w:val="00A6426E"/>
    <w:rsid w:val="00A643B5"/>
    <w:rsid w:val="00A649B8"/>
    <w:rsid w:val="00A64B9D"/>
    <w:rsid w:val="00A6519A"/>
    <w:rsid w:val="00A665BF"/>
    <w:rsid w:val="00A66941"/>
    <w:rsid w:val="00A67361"/>
    <w:rsid w:val="00A67450"/>
    <w:rsid w:val="00A757EA"/>
    <w:rsid w:val="00A77684"/>
    <w:rsid w:val="00A804E2"/>
    <w:rsid w:val="00A83284"/>
    <w:rsid w:val="00A83993"/>
    <w:rsid w:val="00A86F04"/>
    <w:rsid w:val="00AA0A7F"/>
    <w:rsid w:val="00AA37F1"/>
    <w:rsid w:val="00AA3988"/>
    <w:rsid w:val="00AA45BA"/>
    <w:rsid w:val="00AA5B34"/>
    <w:rsid w:val="00AA5D8D"/>
    <w:rsid w:val="00AB5CB3"/>
    <w:rsid w:val="00AB5D1D"/>
    <w:rsid w:val="00AC0D8B"/>
    <w:rsid w:val="00AC3837"/>
    <w:rsid w:val="00AC44F0"/>
    <w:rsid w:val="00AC5EF8"/>
    <w:rsid w:val="00AD2111"/>
    <w:rsid w:val="00AD21D5"/>
    <w:rsid w:val="00AD42B4"/>
    <w:rsid w:val="00AD50B7"/>
    <w:rsid w:val="00AD7E8D"/>
    <w:rsid w:val="00AE032D"/>
    <w:rsid w:val="00AE449B"/>
    <w:rsid w:val="00AE72AB"/>
    <w:rsid w:val="00AE78B1"/>
    <w:rsid w:val="00AF2E0D"/>
    <w:rsid w:val="00AF3EA3"/>
    <w:rsid w:val="00AF4405"/>
    <w:rsid w:val="00AF740C"/>
    <w:rsid w:val="00B00ACC"/>
    <w:rsid w:val="00B00C44"/>
    <w:rsid w:val="00B00ED0"/>
    <w:rsid w:val="00B02508"/>
    <w:rsid w:val="00B02C9B"/>
    <w:rsid w:val="00B13AB1"/>
    <w:rsid w:val="00B17A94"/>
    <w:rsid w:val="00B21FB4"/>
    <w:rsid w:val="00B27035"/>
    <w:rsid w:val="00B30B35"/>
    <w:rsid w:val="00B32F32"/>
    <w:rsid w:val="00B331DF"/>
    <w:rsid w:val="00B35B9D"/>
    <w:rsid w:val="00B4196D"/>
    <w:rsid w:val="00B42A58"/>
    <w:rsid w:val="00B4633F"/>
    <w:rsid w:val="00B50DB2"/>
    <w:rsid w:val="00B524CE"/>
    <w:rsid w:val="00B5284E"/>
    <w:rsid w:val="00B533AF"/>
    <w:rsid w:val="00B537DA"/>
    <w:rsid w:val="00B54A3F"/>
    <w:rsid w:val="00B56CB2"/>
    <w:rsid w:val="00B61C61"/>
    <w:rsid w:val="00B63752"/>
    <w:rsid w:val="00B640C8"/>
    <w:rsid w:val="00B64FE8"/>
    <w:rsid w:val="00B70132"/>
    <w:rsid w:val="00B7357C"/>
    <w:rsid w:val="00B736D6"/>
    <w:rsid w:val="00B73E65"/>
    <w:rsid w:val="00B741DD"/>
    <w:rsid w:val="00B75547"/>
    <w:rsid w:val="00B76306"/>
    <w:rsid w:val="00B763EB"/>
    <w:rsid w:val="00B764DF"/>
    <w:rsid w:val="00B77508"/>
    <w:rsid w:val="00B775C9"/>
    <w:rsid w:val="00B77E1B"/>
    <w:rsid w:val="00B80124"/>
    <w:rsid w:val="00B90217"/>
    <w:rsid w:val="00B90430"/>
    <w:rsid w:val="00B938C7"/>
    <w:rsid w:val="00B96CC4"/>
    <w:rsid w:val="00BA1DAD"/>
    <w:rsid w:val="00BA25AD"/>
    <w:rsid w:val="00BA28BD"/>
    <w:rsid w:val="00BA5D8C"/>
    <w:rsid w:val="00BC0516"/>
    <w:rsid w:val="00BC2FED"/>
    <w:rsid w:val="00BC3264"/>
    <w:rsid w:val="00BC3A3D"/>
    <w:rsid w:val="00BC4182"/>
    <w:rsid w:val="00BC4AA0"/>
    <w:rsid w:val="00BC71EC"/>
    <w:rsid w:val="00BD0B8A"/>
    <w:rsid w:val="00BD351E"/>
    <w:rsid w:val="00BD46C4"/>
    <w:rsid w:val="00BD5C35"/>
    <w:rsid w:val="00BD7DAB"/>
    <w:rsid w:val="00BE1D99"/>
    <w:rsid w:val="00BE23B9"/>
    <w:rsid w:val="00BE4657"/>
    <w:rsid w:val="00BF1223"/>
    <w:rsid w:val="00BF3ADD"/>
    <w:rsid w:val="00BF51A1"/>
    <w:rsid w:val="00BF6E77"/>
    <w:rsid w:val="00C00565"/>
    <w:rsid w:val="00C0683B"/>
    <w:rsid w:val="00C11BAF"/>
    <w:rsid w:val="00C17C22"/>
    <w:rsid w:val="00C21F05"/>
    <w:rsid w:val="00C24421"/>
    <w:rsid w:val="00C25B04"/>
    <w:rsid w:val="00C30332"/>
    <w:rsid w:val="00C33FC8"/>
    <w:rsid w:val="00C349AB"/>
    <w:rsid w:val="00C37BAB"/>
    <w:rsid w:val="00C4123C"/>
    <w:rsid w:val="00C4135E"/>
    <w:rsid w:val="00C42C4C"/>
    <w:rsid w:val="00C435EF"/>
    <w:rsid w:val="00C436B7"/>
    <w:rsid w:val="00C43A9E"/>
    <w:rsid w:val="00C445BC"/>
    <w:rsid w:val="00C452E0"/>
    <w:rsid w:val="00C45A07"/>
    <w:rsid w:val="00C461C0"/>
    <w:rsid w:val="00C51038"/>
    <w:rsid w:val="00C53685"/>
    <w:rsid w:val="00C53B8C"/>
    <w:rsid w:val="00C54590"/>
    <w:rsid w:val="00C54C0A"/>
    <w:rsid w:val="00C55B4E"/>
    <w:rsid w:val="00C60169"/>
    <w:rsid w:val="00C609F7"/>
    <w:rsid w:val="00C60C70"/>
    <w:rsid w:val="00C63322"/>
    <w:rsid w:val="00C63DBA"/>
    <w:rsid w:val="00C66F8B"/>
    <w:rsid w:val="00C77418"/>
    <w:rsid w:val="00C87668"/>
    <w:rsid w:val="00C9059A"/>
    <w:rsid w:val="00C912A5"/>
    <w:rsid w:val="00C92E18"/>
    <w:rsid w:val="00C96F99"/>
    <w:rsid w:val="00C97ECB"/>
    <w:rsid w:val="00CA03D2"/>
    <w:rsid w:val="00CA17E0"/>
    <w:rsid w:val="00CA3542"/>
    <w:rsid w:val="00CA64A0"/>
    <w:rsid w:val="00CA6E11"/>
    <w:rsid w:val="00CB53A1"/>
    <w:rsid w:val="00CB682E"/>
    <w:rsid w:val="00CB6C22"/>
    <w:rsid w:val="00CB6EF7"/>
    <w:rsid w:val="00CC0B91"/>
    <w:rsid w:val="00CC2104"/>
    <w:rsid w:val="00CC2DFF"/>
    <w:rsid w:val="00CC3BAE"/>
    <w:rsid w:val="00CC5694"/>
    <w:rsid w:val="00CC6334"/>
    <w:rsid w:val="00CC7092"/>
    <w:rsid w:val="00CC7F32"/>
    <w:rsid w:val="00CD44F8"/>
    <w:rsid w:val="00CD7ED6"/>
    <w:rsid w:val="00CE03C2"/>
    <w:rsid w:val="00CE1C0B"/>
    <w:rsid w:val="00CE4007"/>
    <w:rsid w:val="00CF0718"/>
    <w:rsid w:val="00CF4205"/>
    <w:rsid w:val="00CF442C"/>
    <w:rsid w:val="00D00895"/>
    <w:rsid w:val="00D00C1D"/>
    <w:rsid w:val="00D019D3"/>
    <w:rsid w:val="00D04EFB"/>
    <w:rsid w:val="00D05C96"/>
    <w:rsid w:val="00D07F61"/>
    <w:rsid w:val="00D121F2"/>
    <w:rsid w:val="00D128DB"/>
    <w:rsid w:val="00D16D64"/>
    <w:rsid w:val="00D21978"/>
    <w:rsid w:val="00D21E3F"/>
    <w:rsid w:val="00D246A8"/>
    <w:rsid w:val="00D24885"/>
    <w:rsid w:val="00D26440"/>
    <w:rsid w:val="00D27C91"/>
    <w:rsid w:val="00D319C3"/>
    <w:rsid w:val="00D407CB"/>
    <w:rsid w:val="00D428A8"/>
    <w:rsid w:val="00D4292D"/>
    <w:rsid w:val="00D42B1C"/>
    <w:rsid w:val="00D46AB3"/>
    <w:rsid w:val="00D516E0"/>
    <w:rsid w:val="00D52046"/>
    <w:rsid w:val="00D52471"/>
    <w:rsid w:val="00D53B1B"/>
    <w:rsid w:val="00D54E6C"/>
    <w:rsid w:val="00D54F48"/>
    <w:rsid w:val="00D55DA3"/>
    <w:rsid w:val="00D55FA7"/>
    <w:rsid w:val="00D56956"/>
    <w:rsid w:val="00D57811"/>
    <w:rsid w:val="00D654B1"/>
    <w:rsid w:val="00D65753"/>
    <w:rsid w:val="00D65B12"/>
    <w:rsid w:val="00D672AA"/>
    <w:rsid w:val="00D70E8F"/>
    <w:rsid w:val="00D71D82"/>
    <w:rsid w:val="00D76F49"/>
    <w:rsid w:val="00D77DF6"/>
    <w:rsid w:val="00D80D99"/>
    <w:rsid w:val="00D80DA6"/>
    <w:rsid w:val="00D841FD"/>
    <w:rsid w:val="00D846D8"/>
    <w:rsid w:val="00D914B0"/>
    <w:rsid w:val="00D93093"/>
    <w:rsid w:val="00D942FA"/>
    <w:rsid w:val="00D964CA"/>
    <w:rsid w:val="00D9655A"/>
    <w:rsid w:val="00DA0306"/>
    <w:rsid w:val="00DA0A15"/>
    <w:rsid w:val="00DA0C45"/>
    <w:rsid w:val="00DA3107"/>
    <w:rsid w:val="00DA38D7"/>
    <w:rsid w:val="00DB11B3"/>
    <w:rsid w:val="00DB4C26"/>
    <w:rsid w:val="00DB4DB4"/>
    <w:rsid w:val="00DB4F3C"/>
    <w:rsid w:val="00DB7859"/>
    <w:rsid w:val="00DC161B"/>
    <w:rsid w:val="00DC1AD7"/>
    <w:rsid w:val="00DC21E6"/>
    <w:rsid w:val="00DC664D"/>
    <w:rsid w:val="00DD0AA7"/>
    <w:rsid w:val="00DD2650"/>
    <w:rsid w:val="00DD2DB5"/>
    <w:rsid w:val="00DD3270"/>
    <w:rsid w:val="00DD4C84"/>
    <w:rsid w:val="00DD5591"/>
    <w:rsid w:val="00DD7C57"/>
    <w:rsid w:val="00DE39A2"/>
    <w:rsid w:val="00DE6373"/>
    <w:rsid w:val="00DE63AC"/>
    <w:rsid w:val="00DF0796"/>
    <w:rsid w:val="00DF127E"/>
    <w:rsid w:val="00DF2ECA"/>
    <w:rsid w:val="00DF446C"/>
    <w:rsid w:val="00DF768B"/>
    <w:rsid w:val="00DF77E7"/>
    <w:rsid w:val="00E045A1"/>
    <w:rsid w:val="00E05A31"/>
    <w:rsid w:val="00E07FA0"/>
    <w:rsid w:val="00E17025"/>
    <w:rsid w:val="00E17EA3"/>
    <w:rsid w:val="00E20A7B"/>
    <w:rsid w:val="00E24B4A"/>
    <w:rsid w:val="00E31592"/>
    <w:rsid w:val="00E32D31"/>
    <w:rsid w:val="00E4039F"/>
    <w:rsid w:val="00E419E0"/>
    <w:rsid w:val="00E452D2"/>
    <w:rsid w:val="00E45C42"/>
    <w:rsid w:val="00E477F2"/>
    <w:rsid w:val="00E47A8D"/>
    <w:rsid w:val="00E5125C"/>
    <w:rsid w:val="00E55EFA"/>
    <w:rsid w:val="00E60DCF"/>
    <w:rsid w:val="00E62194"/>
    <w:rsid w:val="00E66D09"/>
    <w:rsid w:val="00E71544"/>
    <w:rsid w:val="00E747E7"/>
    <w:rsid w:val="00E7494D"/>
    <w:rsid w:val="00E774D0"/>
    <w:rsid w:val="00E810BD"/>
    <w:rsid w:val="00E81975"/>
    <w:rsid w:val="00E81F69"/>
    <w:rsid w:val="00E83D09"/>
    <w:rsid w:val="00E85D49"/>
    <w:rsid w:val="00E8649E"/>
    <w:rsid w:val="00E91443"/>
    <w:rsid w:val="00E92A2D"/>
    <w:rsid w:val="00EA0149"/>
    <w:rsid w:val="00EA0AA3"/>
    <w:rsid w:val="00EA4E6D"/>
    <w:rsid w:val="00EB3315"/>
    <w:rsid w:val="00EB3BCA"/>
    <w:rsid w:val="00EB508D"/>
    <w:rsid w:val="00EC38B0"/>
    <w:rsid w:val="00EC43D8"/>
    <w:rsid w:val="00EE06C8"/>
    <w:rsid w:val="00EE0AD9"/>
    <w:rsid w:val="00EE12E6"/>
    <w:rsid w:val="00EE15A4"/>
    <w:rsid w:val="00EE2F50"/>
    <w:rsid w:val="00EF3E9B"/>
    <w:rsid w:val="00EF41F0"/>
    <w:rsid w:val="00EF6855"/>
    <w:rsid w:val="00EF77FA"/>
    <w:rsid w:val="00F02352"/>
    <w:rsid w:val="00F03DAF"/>
    <w:rsid w:val="00F04551"/>
    <w:rsid w:val="00F05A6D"/>
    <w:rsid w:val="00F10924"/>
    <w:rsid w:val="00F109D0"/>
    <w:rsid w:val="00F153E2"/>
    <w:rsid w:val="00F16D96"/>
    <w:rsid w:val="00F172AE"/>
    <w:rsid w:val="00F216C4"/>
    <w:rsid w:val="00F21C53"/>
    <w:rsid w:val="00F22DC0"/>
    <w:rsid w:val="00F277EB"/>
    <w:rsid w:val="00F27C48"/>
    <w:rsid w:val="00F3076C"/>
    <w:rsid w:val="00F32963"/>
    <w:rsid w:val="00F403B2"/>
    <w:rsid w:val="00F414BC"/>
    <w:rsid w:val="00F447B7"/>
    <w:rsid w:val="00F4480E"/>
    <w:rsid w:val="00F51931"/>
    <w:rsid w:val="00F53078"/>
    <w:rsid w:val="00F55E6A"/>
    <w:rsid w:val="00F56248"/>
    <w:rsid w:val="00F56A6E"/>
    <w:rsid w:val="00F57194"/>
    <w:rsid w:val="00F63359"/>
    <w:rsid w:val="00F633E3"/>
    <w:rsid w:val="00F66168"/>
    <w:rsid w:val="00F67E07"/>
    <w:rsid w:val="00F67F01"/>
    <w:rsid w:val="00F703EE"/>
    <w:rsid w:val="00F71631"/>
    <w:rsid w:val="00F71E09"/>
    <w:rsid w:val="00F728FD"/>
    <w:rsid w:val="00F7399A"/>
    <w:rsid w:val="00F74A11"/>
    <w:rsid w:val="00F77BE9"/>
    <w:rsid w:val="00F80E67"/>
    <w:rsid w:val="00F8219C"/>
    <w:rsid w:val="00F835A4"/>
    <w:rsid w:val="00F842A9"/>
    <w:rsid w:val="00F84912"/>
    <w:rsid w:val="00F914A2"/>
    <w:rsid w:val="00F91577"/>
    <w:rsid w:val="00F944AB"/>
    <w:rsid w:val="00F96976"/>
    <w:rsid w:val="00F96D60"/>
    <w:rsid w:val="00FA22E9"/>
    <w:rsid w:val="00FA4902"/>
    <w:rsid w:val="00FB1917"/>
    <w:rsid w:val="00FB6E20"/>
    <w:rsid w:val="00FC097B"/>
    <w:rsid w:val="00FC5177"/>
    <w:rsid w:val="00FD2559"/>
    <w:rsid w:val="00FD2E15"/>
    <w:rsid w:val="00FD3F8A"/>
    <w:rsid w:val="00FD484A"/>
    <w:rsid w:val="00FE305B"/>
    <w:rsid w:val="00FE3355"/>
    <w:rsid w:val="00FE3D27"/>
    <w:rsid w:val="00FE4F9C"/>
    <w:rsid w:val="00FF21D8"/>
    <w:rsid w:val="00FF48FD"/>
    <w:rsid w:val="00FF5757"/>
    <w:rsid w:val="00FF7D0D"/>
    <w:rsid w:val="01CF7782"/>
    <w:rsid w:val="023B6BC5"/>
    <w:rsid w:val="03936CB9"/>
    <w:rsid w:val="039B791C"/>
    <w:rsid w:val="04B95D27"/>
    <w:rsid w:val="05A86160"/>
    <w:rsid w:val="082500FC"/>
    <w:rsid w:val="09CB082F"/>
    <w:rsid w:val="0A5B7E05"/>
    <w:rsid w:val="0B760B22"/>
    <w:rsid w:val="0D2F096C"/>
    <w:rsid w:val="0E122ED0"/>
    <w:rsid w:val="0EB14497"/>
    <w:rsid w:val="105C6685"/>
    <w:rsid w:val="118539B9"/>
    <w:rsid w:val="120A5960"/>
    <w:rsid w:val="12382C51"/>
    <w:rsid w:val="132E255A"/>
    <w:rsid w:val="15542DDF"/>
    <w:rsid w:val="19457086"/>
    <w:rsid w:val="19C31523"/>
    <w:rsid w:val="1B4F2243"/>
    <w:rsid w:val="1BF26B2B"/>
    <w:rsid w:val="1E155F45"/>
    <w:rsid w:val="1E9516DF"/>
    <w:rsid w:val="1F244811"/>
    <w:rsid w:val="213056EF"/>
    <w:rsid w:val="218E68BA"/>
    <w:rsid w:val="24343749"/>
    <w:rsid w:val="24930B4D"/>
    <w:rsid w:val="25090731"/>
    <w:rsid w:val="271B299E"/>
    <w:rsid w:val="27E17743"/>
    <w:rsid w:val="2A2B114A"/>
    <w:rsid w:val="2B98280F"/>
    <w:rsid w:val="2C844B41"/>
    <w:rsid w:val="2CF04DB6"/>
    <w:rsid w:val="2DBE22D5"/>
    <w:rsid w:val="2E04418C"/>
    <w:rsid w:val="2F292845"/>
    <w:rsid w:val="31CD6F8B"/>
    <w:rsid w:val="31FB248A"/>
    <w:rsid w:val="33AF6948"/>
    <w:rsid w:val="33F507CF"/>
    <w:rsid w:val="349124F1"/>
    <w:rsid w:val="36CD6163"/>
    <w:rsid w:val="37621F23"/>
    <w:rsid w:val="394C2E8B"/>
    <w:rsid w:val="394D7CC7"/>
    <w:rsid w:val="39643CC4"/>
    <w:rsid w:val="3A557167"/>
    <w:rsid w:val="3B675D5A"/>
    <w:rsid w:val="3B9D5C20"/>
    <w:rsid w:val="3C1063F2"/>
    <w:rsid w:val="3ECF5007"/>
    <w:rsid w:val="403623E8"/>
    <w:rsid w:val="408D55B4"/>
    <w:rsid w:val="416F3F03"/>
    <w:rsid w:val="434F35D7"/>
    <w:rsid w:val="43EE7018"/>
    <w:rsid w:val="46A01EDB"/>
    <w:rsid w:val="46D83FB0"/>
    <w:rsid w:val="46EB5A91"/>
    <w:rsid w:val="4A912D42"/>
    <w:rsid w:val="4B6D116B"/>
    <w:rsid w:val="4B6F7F85"/>
    <w:rsid w:val="4B7D49B2"/>
    <w:rsid w:val="4C0B44E0"/>
    <w:rsid w:val="4EA03605"/>
    <w:rsid w:val="51114346"/>
    <w:rsid w:val="5239151B"/>
    <w:rsid w:val="53D02297"/>
    <w:rsid w:val="54D04518"/>
    <w:rsid w:val="57160908"/>
    <w:rsid w:val="5A971D60"/>
    <w:rsid w:val="5B547D34"/>
    <w:rsid w:val="5D900CE9"/>
    <w:rsid w:val="5DA86D0D"/>
    <w:rsid w:val="603E4A2C"/>
    <w:rsid w:val="608E7761"/>
    <w:rsid w:val="60C4072A"/>
    <w:rsid w:val="63235455"/>
    <w:rsid w:val="648F351A"/>
    <w:rsid w:val="64B92463"/>
    <w:rsid w:val="669929BC"/>
    <w:rsid w:val="67F33708"/>
    <w:rsid w:val="6BBF5D79"/>
    <w:rsid w:val="6D3237A9"/>
    <w:rsid w:val="71E41203"/>
    <w:rsid w:val="72C94904"/>
    <w:rsid w:val="741144D9"/>
    <w:rsid w:val="751B25EE"/>
    <w:rsid w:val="752244C4"/>
    <w:rsid w:val="75F7788F"/>
    <w:rsid w:val="76397D18"/>
    <w:rsid w:val="764C17F9"/>
    <w:rsid w:val="76E23F0B"/>
    <w:rsid w:val="7D3C4044"/>
    <w:rsid w:val="7DBF06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nhideWhenUsed="0" w:uiPriority="0"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29"/>
    <w:qFormat/>
    <w:uiPriority w:val="9"/>
    <w:pPr>
      <w:keepNext/>
      <w:keepLines/>
      <w:spacing w:before="100" w:after="90"/>
      <w:jc w:val="center"/>
      <w:outlineLvl w:val="0"/>
    </w:pPr>
    <w:rPr>
      <w:b/>
      <w:bCs/>
      <w:kern w:val="44"/>
      <w:sz w:val="36"/>
      <w:szCs w:val="44"/>
    </w:rPr>
  </w:style>
  <w:style w:type="paragraph" w:styleId="4">
    <w:name w:val="heading 2"/>
    <w:basedOn w:val="1"/>
    <w:next w:val="1"/>
    <w:link w:val="3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4"/>
    <w:basedOn w:val="1"/>
    <w:next w:val="1"/>
    <w:link w:val="28"/>
    <w:qFormat/>
    <w:uiPriority w:val="0"/>
    <w:pPr>
      <w:keepNext/>
      <w:keepLines/>
      <w:spacing w:before="160" w:after="170"/>
      <w:ind w:firstLine="200" w:firstLineChars="200"/>
      <w:outlineLvl w:val="3"/>
    </w:pPr>
    <w:rPr>
      <w:rFonts w:ascii="Cambria" w:hAnsi="Cambria" w:eastAsia="宋体" w:cs="Times New Roman"/>
      <w:b/>
      <w:bCs/>
      <w:sz w:val="24"/>
      <w:szCs w:val="28"/>
    </w:rPr>
  </w:style>
  <w:style w:type="paragraph" w:styleId="6">
    <w:name w:val="heading 5"/>
    <w:basedOn w:val="1"/>
    <w:next w:val="1"/>
    <w:link w:val="30"/>
    <w:unhideWhenUsed/>
    <w:qFormat/>
    <w:uiPriority w:val="9"/>
    <w:pPr>
      <w:keepNext/>
      <w:keepLines/>
      <w:spacing w:before="160" w:after="170"/>
      <w:ind w:firstLine="200" w:firstLineChars="200"/>
      <w:outlineLvl w:val="4"/>
    </w:pPr>
    <w:rPr>
      <w:b/>
      <w:bCs/>
      <w:sz w:val="24"/>
      <w:szCs w:val="28"/>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7">
    <w:name w:val="Normal Indent"/>
    <w:basedOn w:val="1"/>
    <w:link w:val="26"/>
    <w:qFormat/>
    <w:uiPriority w:val="0"/>
    <w:pPr>
      <w:ind w:firstLine="420" w:firstLineChars="200"/>
    </w:pPr>
    <w:rPr>
      <w:rFonts w:ascii="Times New Roman" w:hAnsi="Times New Roman" w:eastAsia="宋体" w:cs="Times New Roman"/>
      <w:szCs w:val="24"/>
    </w:rPr>
  </w:style>
  <w:style w:type="paragraph" w:styleId="8">
    <w:name w:val="annotation text"/>
    <w:basedOn w:val="1"/>
    <w:link w:val="39"/>
    <w:semiHidden/>
    <w:unhideWhenUsed/>
    <w:qFormat/>
    <w:uiPriority w:val="99"/>
    <w:pPr>
      <w:jc w:val="left"/>
    </w:pPr>
  </w:style>
  <w:style w:type="paragraph" w:styleId="9">
    <w:name w:val="Body Text Indent"/>
    <w:basedOn w:val="1"/>
    <w:semiHidden/>
    <w:unhideWhenUsed/>
    <w:qFormat/>
    <w:uiPriority w:val="99"/>
    <w:pPr>
      <w:spacing w:after="120"/>
      <w:ind w:left="420" w:leftChars="200"/>
    </w:pPr>
  </w:style>
  <w:style w:type="paragraph" w:styleId="10">
    <w:name w:val="Plain Text"/>
    <w:basedOn w:val="1"/>
    <w:link w:val="36"/>
    <w:qFormat/>
    <w:uiPriority w:val="99"/>
    <w:rPr>
      <w:rFonts w:ascii="宋体" w:hAnsi="Courier New" w:eastAsia="宋体" w:cs="Times New Roman"/>
      <w:kern w:val="10"/>
      <w:szCs w:val="21"/>
    </w:rPr>
  </w:style>
  <w:style w:type="paragraph" w:styleId="11">
    <w:name w:val="Date"/>
    <w:basedOn w:val="1"/>
    <w:next w:val="1"/>
    <w:link w:val="41"/>
    <w:semiHidden/>
    <w:unhideWhenUsed/>
    <w:qFormat/>
    <w:uiPriority w:val="99"/>
    <w:pPr>
      <w:ind w:left="100" w:leftChars="2500"/>
    </w:pPr>
  </w:style>
  <w:style w:type="paragraph" w:styleId="12">
    <w:name w:val="Balloon Text"/>
    <w:basedOn w:val="1"/>
    <w:link w:val="32"/>
    <w:semiHidden/>
    <w:unhideWhenUsed/>
    <w:qFormat/>
    <w:uiPriority w:val="99"/>
    <w:rPr>
      <w:sz w:val="18"/>
      <w:szCs w:val="18"/>
    </w:rPr>
  </w:style>
  <w:style w:type="paragraph" w:styleId="13">
    <w:name w:val="footer"/>
    <w:basedOn w:val="1"/>
    <w:link w:val="25"/>
    <w:unhideWhenUsed/>
    <w:qFormat/>
    <w:uiPriority w:val="99"/>
    <w:pPr>
      <w:tabs>
        <w:tab w:val="center" w:pos="4153"/>
        <w:tab w:val="right" w:pos="8306"/>
      </w:tabs>
      <w:snapToGrid w:val="0"/>
      <w:jc w:val="left"/>
    </w:pPr>
    <w:rPr>
      <w:sz w:val="18"/>
      <w:szCs w:val="18"/>
    </w:rPr>
  </w:style>
  <w:style w:type="paragraph" w:styleId="14">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unhideWhenUsed/>
    <w:qFormat/>
    <w:uiPriority w:val="39"/>
  </w:style>
  <w:style w:type="paragraph" w:styleId="16">
    <w:name w:val="toc 2"/>
    <w:basedOn w:val="1"/>
    <w:next w:val="1"/>
    <w:unhideWhenUsed/>
    <w:qFormat/>
    <w:uiPriority w:val="39"/>
    <w:pPr>
      <w:ind w:left="420" w:leftChars="200"/>
    </w:pPr>
  </w:style>
  <w:style w:type="paragraph" w:styleId="17">
    <w:name w:val="Normal (Web)"/>
    <w:basedOn w:val="1"/>
    <w:unhideWhenUsed/>
    <w:qFormat/>
    <w:uiPriority w:val="0"/>
    <w:pPr>
      <w:spacing w:beforeAutospacing="1" w:afterAutospacing="1"/>
      <w:jc w:val="left"/>
    </w:pPr>
    <w:rPr>
      <w:rFonts w:cs="Times New Roman"/>
      <w:kern w:val="0"/>
      <w:sz w:val="24"/>
    </w:rPr>
  </w:style>
  <w:style w:type="paragraph" w:styleId="18">
    <w:name w:val="Body Text First Indent 2"/>
    <w:basedOn w:val="9"/>
    <w:qFormat/>
    <w:uiPriority w:val="0"/>
    <w:pPr>
      <w:spacing w:after="0"/>
      <w:ind w:left="200" w:firstLine="200" w:firstLineChars="200"/>
    </w:pPr>
    <w:rPr>
      <w:rFonts w:ascii="Times New Roman" w:hAnsi="Times New Roman" w:eastAsia="宋体" w:cs="Times New Roman"/>
      <w:szCs w:val="24"/>
    </w:rPr>
  </w:style>
  <w:style w:type="table" w:styleId="20">
    <w:name w:val="Table Grid"/>
    <w:basedOn w:val="1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basedOn w:val="21"/>
    <w:qFormat/>
    <w:uiPriority w:val="99"/>
    <w:rPr>
      <w:color w:val="0000FF"/>
      <w:u w:val="single"/>
    </w:rPr>
  </w:style>
  <w:style w:type="character" w:styleId="23">
    <w:name w:val="annotation reference"/>
    <w:basedOn w:val="21"/>
    <w:semiHidden/>
    <w:unhideWhenUsed/>
    <w:qFormat/>
    <w:uiPriority w:val="99"/>
    <w:rPr>
      <w:sz w:val="21"/>
      <w:szCs w:val="21"/>
    </w:rPr>
  </w:style>
  <w:style w:type="character" w:customStyle="1" w:styleId="24">
    <w:name w:val="页眉 字符"/>
    <w:basedOn w:val="21"/>
    <w:link w:val="14"/>
    <w:qFormat/>
    <w:uiPriority w:val="99"/>
    <w:rPr>
      <w:sz w:val="18"/>
      <w:szCs w:val="18"/>
    </w:rPr>
  </w:style>
  <w:style w:type="character" w:customStyle="1" w:styleId="25">
    <w:name w:val="页脚 字符"/>
    <w:basedOn w:val="21"/>
    <w:link w:val="13"/>
    <w:qFormat/>
    <w:uiPriority w:val="99"/>
    <w:rPr>
      <w:sz w:val="18"/>
      <w:szCs w:val="18"/>
    </w:rPr>
  </w:style>
  <w:style w:type="character" w:customStyle="1" w:styleId="26">
    <w:name w:val="正文缩进 字符"/>
    <w:link w:val="7"/>
    <w:qFormat/>
    <w:uiPriority w:val="0"/>
    <w:rPr>
      <w:rFonts w:ascii="Times New Roman" w:hAnsi="Times New Roman" w:eastAsia="宋体" w:cs="Times New Roman"/>
      <w:szCs w:val="24"/>
    </w:rPr>
  </w:style>
  <w:style w:type="table" w:customStyle="1" w:styleId="27">
    <w:name w:val="网格型1"/>
    <w:basedOn w:val="1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8">
    <w:name w:val="标题 4 字符"/>
    <w:basedOn w:val="21"/>
    <w:link w:val="5"/>
    <w:qFormat/>
    <w:uiPriority w:val="0"/>
    <w:rPr>
      <w:rFonts w:ascii="Cambria" w:hAnsi="Cambria" w:eastAsia="宋体" w:cs="Times New Roman"/>
      <w:b/>
      <w:bCs/>
      <w:sz w:val="24"/>
      <w:szCs w:val="28"/>
    </w:rPr>
  </w:style>
  <w:style w:type="character" w:customStyle="1" w:styleId="29">
    <w:name w:val="标题 1 字符"/>
    <w:basedOn w:val="21"/>
    <w:link w:val="3"/>
    <w:qFormat/>
    <w:uiPriority w:val="9"/>
    <w:rPr>
      <w:b/>
      <w:bCs/>
      <w:kern w:val="44"/>
      <w:sz w:val="36"/>
      <w:szCs w:val="44"/>
    </w:rPr>
  </w:style>
  <w:style w:type="character" w:customStyle="1" w:styleId="30">
    <w:name w:val="标题 5 字符"/>
    <w:basedOn w:val="21"/>
    <w:link w:val="6"/>
    <w:qFormat/>
    <w:uiPriority w:val="9"/>
    <w:rPr>
      <w:b/>
      <w:bCs/>
      <w:sz w:val="24"/>
      <w:szCs w:val="28"/>
    </w:rPr>
  </w:style>
  <w:style w:type="paragraph" w:customStyle="1" w:styleId="31">
    <w:name w:val="TOC 标题1"/>
    <w:basedOn w:val="3"/>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2E75B6" w:themeColor="accent1" w:themeShade="BF"/>
      <w:kern w:val="0"/>
      <w:sz w:val="28"/>
      <w:szCs w:val="28"/>
    </w:rPr>
  </w:style>
  <w:style w:type="character" w:customStyle="1" w:styleId="32">
    <w:name w:val="批注框文本 字符"/>
    <w:basedOn w:val="21"/>
    <w:link w:val="12"/>
    <w:semiHidden/>
    <w:qFormat/>
    <w:uiPriority w:val="99"/>
    <w:rPr>
      <w:rFonts w:asciiTheme="minorHAnsi" w:hAnsiTheme="minorHAnsi" w:eastAsiaTheme="minorEastAsia" w:cstheme="minorBidi"/>
      <w:kern w:val="2"/>
      <w:sz w:val="18"/>
      <w:szCs w:val="18"/>
    </w:rPr>
  </w:style>
  <w:style w:type="paragraph" w:styleId="33">
    <w:name w:val="List Paragraph"/>
    <w:basedOn w:val="1"/>
    <w:unhideWhenUsed/>
    <w:qFormat/>
    <w:uiPriority w:val="99"/>
    <w:pPr>
      <w:ind w:firstLine="420" w:firstLineChars="200"/>
    </w:pPr>
  </w:style>
  <w:style w:type="table" w:customStyle="1" w:styleId="34">
    <w:name w:val="网格型2"/>
    <w:basedOn w:val="19"/>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5">
    <w:name w:val="纯文本 字符"/>
    <w:basedOn w:val="21"/>
    <w:qFormat/>
    <w:uiPriority w:val="99"/>
    <w:rPr>
      <w:rFonts w:hAnsi="Courier New" w:cs="Courier New" w:asciiTheme="minorEastAsia" w:eastAsiaTheme="minorEastAsia"/>
      <w:kern w:val="2"/>
      <w:sz w:val="21"/>
      <w:szCs w:val="22"/>
    </w:rPr>
  </w:style>
  <w:style w:type="character" w:customStyle="1" w:styleId="36">
    <w:name w:val="纯文本 字符1"/>
    <w:link w:val="10"/>
    <w:qFormat/>
    <w:uiPriority w:val="0"/>
    <w:rPr>
      <w:rFonts w:ascii="宋体" w:hAnsi="Courier New"/>
      <w:kern w:val="10"/>
      <w:sz w:val="21"/>
      <w:szCs w:val="21"/>
    </w:rPr>
  </w:style>
  <w:style w:type="character" w:customStyle="1" w:styleId="37">
    <w:name w:val="标题 2 字符"/>
    <w:basedOn w:val="21"/>
    <w:link w:val="4"/>
    <w:qFormat/>
    <w:uiPriority w:val="9"/>
    <w:rPr>
      <w:rFonts w:asciiTheme="majorHAnsi" w:hAnsiTheme="majorHAnsi" w:eastAsiaTheme="majorEastAsia" w:cstheme="majorBidi"/>
      <w:b/>
      <w:bCs/>
      <w:kern w:val="2"/>
      <w:sz w:val="32"/>
      <w:szCs w:val="32"/>
    </w:rPr>
  </w:style>
  <w:style w:type="paragraph" w:customStyle="1" w:styleId="3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39">
    <w:name w:val="批注文字 字符"/>
    <w:basedOn w:val="21"/>
    <w:link w:val="8"/>
    <w:semiHidden/>
    <w:qFormat/>
    <w:uiPriority w:val="99"/>
    <w:rPr>
      <w:rFonts w:asciiTheme="minorHAnsi" w:hAnsiTheme="minorHAnsi" w:eastAsiaTheme="minorEastAsia" w:cstheme="minorBidi"/>
      <w:kern w:val="2"/>
      <w:sz w:val="21"/>
      <w:szCs w:val="22"/>
    </w:rPr>
  </w:style>
  <w:style w:type="paragraph" w:customStyle="1" w:styleId="40">
    <w:name w:val="_Style 35"/>
    <w:basedOn w:val="1"/>
    <w:next w:val="33"/>
    <w:qFormat/>
    <w:uiPriority w:val="34"/>
    <w:pPr>
      <w:ind w:firstLine="420" w:firstLineChars="200"/>
    </w:pPr>
    <w:rPr>
      <w:rFonts w:ascii="Calibri" w:hAnsi="Calibri" w:eastAsia="宋体" w:cs="Times New Roman"/>
      <w:szCs w:val="21"/>
    </w:rPr>
  </w:style>
  <w:style w:type="character" w:customStyle="1" w:styleId="41">
    <w:name w:val="日期 字符"/>
    <w:basedOn w:val="21"/>
    <w:link w:val="11"/>
    <w:semiHidden/>
    <w:qFormat/>
    <w:uiPriority w:val="99"/>
    <w:rPr>
      <w:kern w:val="2"/>
      <w:sz w:val="21"/>
      <w:szCs w:val="22"/>
    </w:rPr>
  </w:style>
  <w:style w:type="character" w:customStyle="1" w:styleId="42">
    <w:name w:val="font11"/>
    <w:basedOn w:val="21"/>
    <w:qFormat/>
    <w:uiPriority w:val="0"/>
    <w:rPr>
      <w:rFonts w:hint="eastAsia" w:ascii="宋体" w:hAnsi="宋体" w:eastAsia="宋体" w:cs="宋体"/>
      <w:color w:val="000000"/>
      <w:sz w:val="22"/>
      <w:szCs w:val="22"/>
      <w:u w:val="none"/>
    </w:rPr>
  </w:style>
  <w:style w:type="character" w:customStyle="1" w:styleId="43">
    <w:name w:val="font41"/>
    <w:basedOn w:val="21"/>
    <w:qFormat/>
    <w:uiPriority w:val="0"/>
    <w:rPr>
      <w:rFonts w:ascii="Calibri" w:hAnsi="Calibri" w:cs="Calibri"/>
      <w:color w:val="000000"/>
      <w:sz w:val="22"/>
      <w:szCs w:val="22"/>
      <w:u w:val="none"/>
    </w:rPr>
  </w:style>
  <w:style w:type="character" w:customStyle="1" w:styleId="44">
    <w:name w:val="font51"/>
    <w:basedOn w:val="21"/>
    <w:qFormat/>
    <w:uiPriority w:val="0"/>
    <w:rPr>
      <w:rFonts w:ascii="Segoe UI Symbol" w:hAnsi="Segoe UI Symbol" w:eastAsia="Segoe UI Symbol" w:cs="Segoe UI Symbol"/>
      <w:color w:val="000000"/>
      <w:sz w:val="22"/>
      <w:szCs w:val="22"/>
      <w:u w:val="none"/>
    </w:rPr>
  </w:style>
  <w:style w:type="character" w:customStyle="1" w:styleId="45">
    <w:name w:val="font61"/>
    <w:basedOn w:val="21"/>
    <w:qFormat/>
    <w:uiPriority w:val="0"/>
    <w:rPr>
      <w:rFonts w:hint="default" w:ascii="Calibri" w:hAnsi="Calibri" w:cs="Calibri"/>
      <w:color w:val="000000"/>
      <w:sz w:val="22"/>
      <w:szCs w:val="22"/>
      <w:u w:val="none"/>
    </w:rPr>
  </w:style>
  <w:style w:type="character" w:customStyle="1" w:styleId="46">
    <w:name w:val="font71"/>
    <w:basedOn w:val="21"/>
    <w:qFormat/>
    <w:uiPriority w:val="0"/>
    <w:rPr>
      <w:rFonts w:hint="eastAsia" w:ascii="宋体" w:hAnsi="宋体" w:eastAsia="宋体" w:cs="宋体"/>
      <w:color w:val="000000"/>
      <w:sz w:val="22"/>
      <w:szCs w:val="22"/>
      <w:u w:val="none"/>
    </w:rPr>
  </w:style>
  <w:style w:type="character" w:customStyle="1" w:styleId="47">
    <w:name w:val="font01"/>
    <w:basedOn w:val="21"/>
    <w:qFormat/>
    <w:uiPriority w:val="0"/>
    <w:rPr>
      <w:rFonts w:hint="eastAsia" w:ascii="宋体" w:hAnsi="宋体" w:eastAsia="宋体" w:cs="宋体"/>
      <w:color w:val="000000"/>
      <w:sz w:val="22"/>
      <w:szCs w:val="22"/>
      <w:u w:val="none"/>
    </w:rPr>
  </w:style>
  <w:style w:type="paragraph" w:customStyle="1" w:styleId="48">
    <w:name w:val="null3"/>
    <w:hidden/>
    <w:qFormat/>
    <w:uiPriority w:val="0"/>
    <w:rPr>
      <w:rFonts w:hint="eastAsia" w:asciiTheme="minorHAnsi" w:hAnsiTheme="minorHAnsi" w:eastAsiaTheme="minorEastAsia" w:cstheme="minorBidi"/>
      <w:lang w:val="en-US" w:eastAsia="zh-Hans" w:bidi="ar-SA"/>
    </w:rPr>
  </w:style>
  <w:style w:type="character" w:customStyle="1" w:styleId="49">
    <w:name w:val="font21"/>
    <w:basedOn w:val="21"/>
    <w:qFormat/>
    <w:uiPriority w:val="0"/>
    <w:rPr>
      <w:rFonts w:hint="eastAsia" w:ascii="宋体" w:hAnsi="宋体" w:eastAsia="宋体" w:cs="宋体"/>
      <w:color w:val="000000"/>
      <w:sz w:val="21"/>
      <w:szCs w:val="21"/>
      <w:u w:val="none"/>
    </w:rPr>
  </w:style>
  <w:style w:type="character" w:customStyle="1" w:styleId="50">
    <w:name w:val="font31"/>
    <w:basedOn w:val="21"/>
    <w:qFormat/>
    <w:uiPriority w:val="0"/>
    <w:rPr>
      <w:rFonts w:ascii="Calibri" w:hAnsi="Calibri" w:cs="Calibri"/>
      <w:color w:val="000000"/>
      <w:sz w:val="21"/>
      <w:szCs w:val="21"/>
      <w:u w:val="none"/>
    </w:rPr>
  </w:style>
  <w:style w:type="paragraph" w:customStyle="1" w:styleId="51">
    <w:name w:val="列出段落1"/>
    <w:basedOn w:val="1"/>
    <w:qFormat/>
    <w:uiPriority w:val="34"/>
    <w:pPr>
      <w:ind w:firstLine="420" w:firstLineChars="200"/>
    </w:pPr>
    <w:rPr>
      <w:rFonts w:ascii="Times New Roman" w:hAnsi="Times New Roman" w:eastAsia="宋体" w:cs="Calibri"/>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D0B3D27-3B60-4239-9D2E-A5549BD77CA1}">
  <ds:schemaRefs/>
</ds:datastoreItem>
</file>

<file path=docProps/app.xml><?xml version="1.0" encoding="utf-8"?>
<Properties xmlns="http://schemas.openxmlformats.org/officeDocument/2006/extended-properties" xmlns:vt="http://schemas.openxmlformats.org/officeDocument/2006/docPropsVTypes">
  <Template>Normal</Template>
  <Pages>38</Pages>
  <Words>2930</Words>
  <Characters>3092</Characters>
  <Lines>149</Lines>
  <Paragraphs>42</Paragraphs>
  <TotalTime>269</TotalTime>
  <ScaleCrop>false</ScaleCrop>
  <LinksUpToDate>false</LinksUpToDate>
  <CharactersWithSpaces>3099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2021-06-06T03:46:00Z</dcterms:created>
  <dc:creator>安安的电脑</dc:creator>
  <cp:lastModifiedBy>J先生</cp:lastModifiedBy>
  <cp:lastPrinted>2025-11-25T03:04:44Z</cp:lastPrinted>
  <dcterms:modified xsi:type="dcterms:W3CDTF">2025-11-25T08:20:48Z</dcterms:modified>
  <cp:revision>501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4ABD5437AA6F4480A796856C14FEDC00_13</vt:lpwstr>
  </property>
  <property fmtid="{D5CDD505-2E9C-101B-9397-08002B2CF9AE}" pid="4" name="KSOTemplateDocerSaveRecord">
    <vt:lpwstr>eyJoZGlkIjoiZDYxNzQwMWY4MzNlNjA1OTlmNzkxYjE4MGVmNTM1NDAiLCJ1c2VySWQiOiIyNjEwOTk1MTEifQ==</vt:lpwstr>
  </property>
</Properties>
</file>