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28"/>
          <w:szCs w:val="28"/>
        </w:rPr>
      </w:pPr>
      <w:r>
        <w:rPr>
          <w:rFonts w:ascii="宋体" w:hAnsi="宋体" w:cs="宋体-18030"/>
          <w:b/>
          <w:bCs/>
          <w:color w:val="000000"/>
          <w:sz w:val="28"/>
          <w:szCs w:val="28"/>
        </w:rPr>
        <w:t>深圳市宝安区人民医院</w:t>
      </w:r>
    </w:p>
    <w:p>
      <w:pPr>
        <w:widowControl/>
        <w:snapToGrid w:val="0"/>
        <w:ind w:right="-172" w:rightChars="-82"/>
        <w:contextualSpacing/>
        <w:jc w:val="center"/>
        <w:rPr>
          <w:rFonts w:hint="eastAsia" w:ascii="宋体" w:hAnsi="宋体" w:cs="宋体-18030"/>
          <w:b/>
          <w:bCs/>
          <w:color w:val="000000"/>
          <w:sz w:val="28"/>
          <w:szCs w:val="28"/>
        </w:rPr>
      </w:pPr>
      <w:r>
        <w:rPr>
          <w:rFonts w:ascii="宋体" w:hAnsi="宋体" w:cs="宋体-18030"/>
          <w:b/>
          <w:bCs/>
          <w:color w:val="000000"/>
          <w:sz w:val="28"/>
          <w:szCs w:val="28"/>
        </w:rPr>
        <w:t>202</w:t>
      </w:r>
      <w:r>
        <w:rPr>
          <w:rFonts w:hint="eastAsia" w:ascii="宋体" w:hAnsi="宋体" w:cs="宋体-18030"/>
          <w:b/>
          <w:bCs/>
          <w:color w:val="000000"/>
          <w:sz w:val="28"/>
          <w:szCs w:val="28"/>
        </w:rPr>
        <w:t>5</w:t>
      </w:r>
      <w:r>
        <w:rPr>
          <w:rFonts w:ascii="宋体" w:hAnsi="宋体" w:cs="宋体-18030"/>
          <w:b/>
          <w:bCs/>
          <w:color w:val="000000"/>
          <w:sz w:val="28"/>
          <w:szCs w:val="28"/>
        </w:rPr>
        <w:t>年第</w:t>
      </w:r>
      <w:r>
        <w:rPr>
          <w:rFonts w:hint="eastAsia" w:ascii="宋体" w:hAnsi="宋体" w:cs="宋体-18030"/>
          <w:b/>
          <w:bCs/>
          <w:color w:val="000000"/>
          <w:sz w:val="28"/>
          <w:szCs w:val="28"/>
          <w:lang w:val="en-US" w:eastAsia="zh-CN"/>
        </w:rPr>
        <w:t>79期锐珂DR全保服务</w:t>
      </w:r>
      <w:r>
        <w:rPr>
          <w:rFonts w:ascii="宋体" w:hAnsi="宋体" w:cs="宋体-18030"/>
          <w:b/>
          <w:bCs/>
          <w:color w:val="000000"/>
          <w:sz w:val="28"/>
          <w:szCs w:val="28"/>
        </w:rPr>
        <w:t>采购公告</w:t>
      </w:r>
    </w:p>
    <w:p>
      <w:pPr>
        <w:pStyle w:val="9"/>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79</w:t>
      </w:r>
    </w:p>
    <w:p>
      <w:pPr>
        <w:widowControl/>
        <w:snapToGrid w:val="0"/>
        <w:ind w:left="-283" w:leftChars="-135" w:right="-456" w:rightChars="-217"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微软雅黑" w:hAnsi="微软雅黑" w:eastAsia="微软雅黑" w:cs="微软雅黑"/>
          <w:bCs/>
          <w:color w:val="000000"/>
          <w:szCs w:val="21"/>
        </w:rPr>
        <w:t>｡</w:t>
      </w:r>
      <w:r>
        <w:rPr>
          <w:rFonts w:hint="eastAsia" w:ascii="宋体" w:hAnsi="宋体" w:cs="宋体"/>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微软雅黑" w:hAnsi="微软雅黑" w:eastAsia="微软雅黑" w:cs="微软雅黑"/>
          <w:b/>
          <w:bCs/>
          <w:color w:val="000000"/>
          <w:szCs w:val="21"/>
        </w:rPr>
        <w:t>､</w:t>
      </w:r>
      <w:r>
        <w:rPr>
          <w:rFonts w:hint="eastAsia" w:ascii="宋体" w:hAnsi="宋体" w:cs="宋体"/>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5"/>
        <w:gridCol w:w="2820"/>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785" w:type="dxa"/>
            <w:vAlign w:val="center"/>
          </w:tcPr>
          <w:p>
            <w:pPr>
              <w:widowControl/>
              <w:snapToGrid w:val="0"/>
              <w:ind w:right="-617" w:rightChars="-294" w:firstLine="1260" w:firstLineChars="600"/>
              <w:contextualSpacing/>
              <w:rPr>
                <w:rFonts w:hint="eastAsia" w:ascii="宋体" w:hAnsi="宋体" w:cs="宋体-18030"/>
                <w:b/>
                <w:bCs/>
                <w:color w:val="000000"/>
                <w:szCs w:val="21"/>
              </w:rPr>
            </w:pPr>
            <w:r>
              <w:rPr>
                <w:rFonts w:ascii="宋体" w:hAnsi="宋体" w:cs="宋体-18030"/>
                <w:bCs/>
                <w:color w:val="000000"/>
                <w:szCs w:val="21"/>
              </w:rPr>
              <w:t>项目名称</w:t>
            </w:r>
          </w:p>
        </w:tc>
        <w:tc>
          <w:tcPr>
            <w:tcW w:w="2820" w:type="dxa"/>
            <w:vAlign w:val="center"/>
          </w:tcPr>
          <w:p>
            <w:pPr>
              <w:widowControl/>
              <w:snapToGrid w:val="0"/>
              <w:ind w:left="-8" w:leftChars="-4" w:right="-617" w:rightChars="-294" w:firstLine="888" w:firstLineChars="423"/>
              <w:contextualSpacing/>
              <w:rPr>
                <w:rFonts w:hint="eastAsia" w:ascii="宋体" w:hAnsi="宋体" w:cs="宋体-18030"/>
                <w:b/>
                <w:bCs/>
                <w:color w:val="000000"/>
                <w:szCs w:val="21"/>
              </w:rPr>
            </w:pPr>
            <w:r>
              <w:rPr>
                <w:rFonts w:ascii="宋体" w:hAnsi="宋体" w:cs="宋体-18030"/>
                <w:bCs/>
                <w:color w:val="000000"/>
                <w:szCs w:val="21"/>
              </w:rPr>
              <w:t>使用科室</w:t>
            </w:r>
          </w:p>
        </w:tc>
        <w:tc>
          <w:tcPr>
            <w:tcW w:w="2765"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785" w:type="dxa"/>
            <w:vAlign w:val="center"/>
          </w:tcPr>
          <w:p>
            <w:pPr>
              <w:widowControl/>
              <w:snapToGrid w:val="0"/>
              <w:ind w:left="-91" w:leftChars="-422" w:right="-617" w:rightChars="-294" w:hanging="795" w:hangingChars="379"/>
              <w:contextualSpacing/>
              <w:jc w:val="center"/>
              <w:rPr>
                <w:rFonts w:hint="eastAsia" w:ascii="宋体" w:hAnsi="宋体" w:cs="宋体-18030"/>
                <w:bCs/>
                <w:color w:val="000000"/>
                <w:szCs w:val="21"/>
              </w:rPr>
            </w:pPr>
            <w:r>
              <w:rPr>
                <w:rFonts w:hint="eastAsia" w:ascii="宋体" w:hAnsi="宋体" w:cs="宋体-18030"/>
                <w:bCs/>
                <w:color w:val="000000"/>
                <w:szCs w:val="21"/>
              </w:rPr>
              <w:t>锐珂DR全保服务</w:t>
            </w:r>
          </w:p>
        </w:tc>
        <w:tc>
          <w:tcPr>
            <w:tcW w:w="2820" w:type="dxa"/>
            <w:vAlign w:val="center"/>
          </w:tcPr>
          <w:p>
            <w:pPr>
              <w:widowControl/>
              <w:snapToGrid w:val="0"/>
              <w:ind w:left="-670" w:leftChars="-319" w:right="-617" w:rightChars="-294" w:firstLine="210" w:firstLineChars="100"/>
              <w:contextualSpacing/>
              <w:jc w:val="center"/>
              <w:rPr>
                <w:rFonts w:hint="eastAsia" w:ascii="宋体" w:hAnsi="宋体" w:eastAsia="宋体" w:cs="宋体-18030"/>
                <w:color w:val="000000"/>
                <w:szCs w:val="21"/>
                <w:lang w:val="en-US" w:eastAsia="zh-CN"/>
              </w:rPr>
            </w:pPr>
            <w:r>
              <w:rPr>
                <w:rFonts w:hint="eastAsia" w:ascii="宋体" w:hAnsi="宋体" w:cs="宋体-18030"/>
                <w:bCs/>
                <w:color w:val="000000"/>
                <w:szCs w:val="21"/>
              </w:rPr>
              <w:t>建安院区</w:t>
            </w:r>
            <w:r>
              <w:rPr>
                <w:rFonts w:hint="eastAsia" w:ascii="宋体" w:hAnsi="宋体" w:cs="宋体-18030"/>
                <w:color w:val="000000"/>
                <w:szCs w:val="21"/>
                <w:lang w:val="en-US" w:eastAsia="zh-CN"/>
              </w:rPr>
              <w:t>放射科</w:t>
            </w:r>
          </w:p>
        </w:tc>
        <w:tc>
          <w:tcPr>
            <w:tcW w:w="2765" w:type="dxa"/>
            <w:vAlign w:val="center"/>
          </w:tcPr>
          <w:p>
            <w:pPr>
              <w:widowControl/>
              <w:snapToGrid w:val="0"/>
              <w:ind w:right="-617" w:rightChars="-294" w:firstLine="420" w:firstLineChars="2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微软雅黑" w:hAnsi="微软雅黑" w:eastAsia="微软雅黑" w:cs="微软雅黑"/>
          <w:b/>
          <w:bCs/>
          <w:color w:val="000000"/>
          <w:szCs w:val="21"/>
        </w:rPr>
        <w:t>､</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11</w:t>
      </w:r>
      <w:r>
        <w:rPr>
          <w:rFonts w:hint="eastAsia" w:ascii="宋体" w:hAnsi="宋体"/>
        </w:rPr>
        <w:t>月</w:t>
      </w:r>
      <w:r>
        <w:rPr>
          <w:rFonts w:hint="eastAsia" w:ascii="宋体" w:hAnsi="宋体"/>
          <w:lang w:val="en-US" w:eastAsia="zh-CN"/>
        </w:rPr>
        <w:t>14</w:t>
      </w:r>
      <w:bookmarkStart w:id="10" w:name="_GoBack"/>
      <w:bookmarkEnd w:id="10"/>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11</w:t>
      </w:r>
      <w:r>
        <w:rPr>
          <w:rFonts w:ascii="宋体" w:hAnsi="宋体"/>
        </w:rPr>
        <w:t>月</w:t>
      </w:r>
      <w:r>
        <w:rPr>
          <w:rFonts w:hint="eastAsia" w:ascii="宋体" w:hAnsi="宋体"/>
          <w:lang w:val="en-US" w:eastAsia="zh-CN"/>
        </w:rPr>
        <w:t>24</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firstLine="141" w:firstLineChars="67"/>
        <w:contextualSpacing/>
        <w:jc w:val="left"/>
        <w:rPr>
          <w:rFonts w:hint="eastAsia" w:ascii="宋体" w:hAnsi="宋体" w:cs="微软雅黑"/>
          <w:color w:val="000000"/>
          <w:kern w:val="0"/>
          <w:szCs w:val="21"/>
        </w:rPr>
      </w:pPr>
      <w:r>
        <w:rPr>
          <w:rFonts w:hint="eastAsia" w:ascii="宋体" w:hAnsi="宋体" w:cs="宋体-18030"/>
          <w:b/>
          <w:bCs/>
          <w:color w:val="000000"/>
          <w:szCs w:val="21"/>
        </w:rPr>
        <w:t>六</w:t>
      </w:r>
      <w:r>
        <w:rPr>
          <w:rFonts w:hint="eastAsia" w:ascii="微软雅黑" w:hAnsi="微软雅黑" w:eastAsia="微软雅黑" w:cs="微软雅黑"/>
          <w:b/>
          <w:bCs/>
          <w:color w:val="00000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9"/>
        <w:snapToGrid w:val="0"/>
        <w:spacing w:line="240" w:lineRule="auto"/>
        <w:ind w:left="103" w:leftChars="18" w:hanging="65" w:hangingChars="31"/>
        <w:contextualSpacing/>
        <w:rPr>
          <w:rFonts w:hint="eastAsia" w:ascii="宋体" w:hAnsi="宋体" w:eastAsia="宋体" w:cs="Arial"/>
          <w:color w:val="000000"/>
          <w:sz w:val="21"/>
          <w:szCs w:val="21"/>
          <w:lang w:eastAsia="zh-CN"/>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w:t>
      </w:r>
      <w:r>
        <w:rPr>
          <w:rFonts w:hint="eastAsia" w:ascii="宋体" w:hAnsi="宋体" w:eastAsia="宋体" w:cs="Arial"/>
          <w:b/>
          <w:bCs/>
          <w:color w:val="000000"/>
          <w:sz w:val="21"/>
          <w:szCs w:val="21"/>
          <w:lang w:val="en-US" w:eastAsia="zh-CN"/>
        </w:rPr>
        <w:t>设备科</w:t>
      </w:r>
      <w:r>
        <w:rPr>
          <w:rFonts w:hint="eastAsia" w:ascii="宋体" w:hAnsi="宋体" w:eastAsia="宋体" w:cs="Arial"/>
          <w:b/>
          <w:bCs/>
          <w:color w:val="000000"/>
          <w:sz w:val="21"/>
          <w:szCs w:val="21"/>
        </w:rPr>
        <w:t>）联系电话：</w:t>
      </w:r>
      <w:r>
        <w:rPr>
          <w:rFonts w:hint="eastAsia" w:ascii="宋体" w:hAnsi="宋体" w:eastAsia="宋体" w:cs="Arial"/>
          <w:color w:val="000000"/>
          <w:sz w:val="21"/>
          <w:szCs w:val="21"/>
        </w:rPr>
        <w:t>0755-27788311转33</w:t>
      </w:r>
      <w:r>
        <w:rPr>
          <w:rFonts w:hint="eastAsia" w:ascii="宋体" w:hAnsi="宋体" w:eastAsia="宋体" w:cs="Arial"/>
          <w:color w:val="000000"/>
          <w:sz w:val="21"/>
          <w:szCs w:val="21"/>
          <w:lang w:val="en-US" w:eastAsia="zh-CN"/>
        </w:rPr>
        <w:t>73</w:t>
      </w:r>
      <w:r>
        <w:rPr>
          <w:rFonts w:hint="eastAsia" w:ascii="宋体" w:hAnsi="宋体" w:eastAsia="宋体" w:cs="Arial"/>
          <w:color w:val="000000"/>
          <w:sz w:val="21"/>
          <w:szCs w:val="21"/>
        </w:rPr>
        <w:t>（</w:t>
      </w:r>
      <w:r>
        <w:rPr>
          <w:rFonts w:hint="eastAsia" w:ascii="宋体" w:hAnsi="宋体" w:eastAsia="宋体" w:cs="Arial"/>
          <w:color w:val="000000"/>
          <w:sz w:val="21"/>
          <w:szCs w:val="21"/>
          <w:lang w:val="en-US" w:eastAsia="zh-CN"/>
        </w:rPr>
        <w:t>何工</w:t>
      </w:r>
      <w:r>
        <w:rPr>
          <w:rFonts w:hint="eastAsia" w:ascii="宋体" w:hAnsi="宋体" w:eastAsia="宋体" w:cs="Arial"/>
          <w:color w:val="000000"/>
          <w:sz w:val="21"/>
          <w:szCs w:val="21"/>
        </w:rPr>
        <w:t>）</w:t>
      </w:r>
      <w:r>
        <w:rPr>
          <w:rFonts w:hint="eastAsia" w:ascii="宋体" w:hAnsi="宋体" w:eastAsia="宋体" w:cs="Arial"/>
          <w:color w:val="000000"/>
          <w:sz w:val="21"/>
          <w:szCs w:val="21"/>
          <w:lang w:eastAsia="zh-CN"/>
        </w:rPr>
        <w:t>。</w:t>
      </w:r>
    </w:p>
    <w:p>
      <w:pPr>
        <w:widowControl/>
        <w:ind w:right="-309" w:rightChars="-147"/>
        <w:jc w:val="left"/>
        <w:rPr>
          <w:rFonts w:hint="eastAsia" w:ascii="宋体" w:hAnsi="宋体" w:cs="宋体-18030"/>
          <w:bCs/>
          <w:color w:val="000000"/>
          <w:sz w:val="20"/>
          <w:szCs w:val="20"/>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napToGrid w:val="0"/>
        <w:ind w:firstLine="5670" w:firstLineChars="2700"/>
        <w:contextualSpacing/>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11</w:t>
      </w:r>
      <w:r>
        <w:rPr>
          <w:rFonts w:ascii="宋体" w:hAnsi="宋体" w:cs="宋体-18030"/>
          <w:bCs/>
          <w:szCs w:val="21"/>
        </w:rPr>
        <w:t>月</w:t>
      </w:r>
      <w:r>
        <w:rPr>
          <w:rFonts w:hint="eastAsia" w:ascii="宋体" w:hAnsi="宋体" w:cs="宋体-18030"/>
          <w:bCs/>
          <w:szCs w:val="21"/>
          <w:lang w:val="en-US" w:eastAsia="zh-CN"/>
        </w:rPr>
        <w:t>14</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600" w:firstLineChars="9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adjustRightInd w:val="0"/>
        <w:snapToGrid w:val="0"/>
        <w:ind w:left="-283" w:leftChars="-135" w:firstLine="210" w:firstLineChars="100"/>
        <w:contextualSpacing/>
        <w:jc w:val="left"/>
        <w:rPr>
          <w:rFonts w:ascii="宋体" w:hAnsi="宋体" w:cs="Arial"/>
          <w:color w:val="000000"/>
          <w:kern w:val="0"/>
          <w:szCs w:val="21"/>
        </w:rPr>
      </w:pPr>
      <w:r>
        <w:rPr>
          <w:rFonts w:ascii="宋体" w:hAnsi="宋体" w:cs="Arial"/>
          <w:color w:val="000000"/>
          <w:kern w:val="0"/>
          <w:szCs w:val="21"/>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912"/>
        <w:gridCol w:w="967"/>
        <w:gridCol w:w="645"/>
        <w:gridCol w:w="5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hint="eastAsia"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b/>
                <w:bCs/>
                <w:szCs w:val="21"/>
              </w:rPr>
            </w:pPr>
            <w:r>
              <w:rPr>
                <w:rFonts w:hint="eastAsia" w:ascii="宋体" w:hAnsi="宋体"/>
                <w:b/>
                <w:bCs/>
                <w:szCs w:val="21"/>
              </w:rPr>
              <w:t>序号</w:t>
            </w:r>
          </w:p>
        </w:tc>
        <w:tc>
          <w:tcPr>
            <w:tcW w:w="1879" w:type="dxa"/>
            <w:gridSpan w:val="2"/>
            <w:vAlign w:val="center"/>
          </w:tcPr>
          <w:p>
            <w:pPr>
              <w:jc w:val="center"/>
              <w:rPr>
                <w:rFonts w:hint="eastAsia" w:ascii="宋体" w:hAnsi="宋体"/>
                <w:b/>
                <w:bCs/>
                <w:szCs w:val="21"/>
              </w:rPr>
            </w:pPr>
            <w:r>
              <w:rPr>
                <w:rFonts w:hint="eastAsia" w:ascii="宋体" w:hAnsi="宋体"/>
                <w:b/>
                <w:bCs/>
                <w:szCs w:val="21"/>
              </w:rPr>
              <w:t>评分因素</w:t>
            </w:r>
          </w:p>
        </w:tc>
        <w:tc>
          <w:tcPr>
            <w:tcW w:w="645" w:type="dxa"/>
            <w:vAlign w:val="center"/>
          </w:tcPr>
          <w:p>
            <w:pPr>
              <w:jc w:val="center"/>
              <w:rPr>
                <w:rFonts w:hint="eastAsia" w:ascii="宋体" w:hAnsi="宋体"/>
                <w:b/>
                <w:bCs/>
                <w:szCs w:val="21"/>
              </w:rPr>
            </w:pPr>
            <w:r>
              <w:rPr>
                <w:rFonts w:hint="eastAsia" w:ascii="宋体" w:hAnsi="宋体"/>
                <w:b/>
                <w:bCs/>
                <w:szCs w:val="21"/>
              </w:rPr>
              <w:t>分值</w:t>
            </w:r>
          </w:p>
        </w:tc>
        <w:tc>
          <w:tcPr>
            <w:tcW w:w="5717" w:type="dxa"/>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879" w:type="dxa"/>
            <w:gridSpan w:val="2"/>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服务要求标注“</w:t>
            </w:r>
            <w:r>
              <w:rPr>
                <w:rFonts w:hint="eastAsia" w:ascii="宋体" w:hAnsi="宋体" w:eastAsia="宋体" w:cs="宋体"/>
                <w:color w:val="auto"/>
                <w:kern w:val="0"/>
                <w:sz w:val="21"/>
                <w:szCs w:val="21"/>
                <w:lang w:val="en-US" w:eastAsia="zh-CN" w:bidi="zh-CN"/>
              </w:rPr>
              <w:t>▲</w:t>
            </w:r>
            <w:r>
              <w:rPr>
                <w:rFonts w:hint="eastAsia" w:ascii="宋体" w:hAnsi="宋体" w:eastAsia="宋体" w:cs="宋体"/>
                <w:color w:val="auto"/>
                <w:sz w:val="21"/>
                <w:szCs w:val="21"/>
                <w:highlight w:val="none"/>
                <w:lang w:val="en-US" w:eastAsia="zh-CN"/>
              </w:rPr>
              <w:t>”条款情况</w:t>
            </w:r>
          </w:p>
        </w:tc>
        <w:tc>
          <w:tcPr>
            <w:tcW w:w="64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5717" w:type="dxa"/>
            <w:vAlign w:val="center"/>
          </w:tcPr>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0"/>
                <w:sz w:val="21"/>
                <w:szCs w:val="21"/>
                <w:lang w:val="en-US" w:eastAsia="zh-CN" w:bidi="zh-CN"/>
              </w:rPr>
              <w:t>一、</w:t>
            </w:r>
            <w:r>
              <w:rPr>
                <w:rFonts w:hint="eastAsia" w:ascii="宋体" w:hAnsi="宋体" w:eastAsia="宋体" w:cs="宋体"/>
                <w:b/>
                <w:bCs/>
                <w:color w:val="auto"/>
                <w:kern w:val="2"/>
                <w:sz w:val="21"/>
                <w:szCs w:val="21"/>
                <w:lang w:val="en-US" w:eastAsia="zh-CN"/>
              </w:rPr>
              <w:t>评审内容：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考察投标人对招标文件《用户需求书：服务要求》内容中的“▲”参数响应情况。</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二、评审依据：</w:t>
            </w:r>
          </w:p>
          <w:p>
            <w:pPr>
              <w:adjustRightInd w:val="0"/>
              <w:snapToGrid w:val="0"/>
              <w:jc w:val="left"/>
              <w:rPr>
                <w:rFonts w:hint="eastAsia" w:ascii="宋体" w:hAnsi="宋体" w:eastAsia="宋体" w:cs="宋体"/>
                <w:sz w:val="21"/>
                <w:szCs w:val="21"/>
              </w:rPr>
            </w:pPr>
            <w:r>
              <w:rPr>
                <w:rFonts w:hint="eastAsia" w:ascii="宋体" w:hAnsi="宋体" w:eastAsia="宋体" w:cs="宋体"/>
                <w:color w:val="auto"/>
                <w:kern w:val="2"/>
                <w:sz w:val="21"/>
                <w:szCs w:val="21"/>
                <w:lang w:val="en-US" w:eastAsia="zh-CN"/>
              </w:rPr>
              <w:t>以投标文件《服务要求条款偏离表》为评审依据，完全符合招标要求的得8分，有一项“▲”参数不符合招标要求（或漏缺）的扣2分，扣完为止。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879" w:type="dxa"/>
            <w:gridSpan w:val="2"/>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服务要求未标注“</w:t>
            </w:r>
            <w:r>
              <w:rPr>
                <w:rFonts w:hint="eastAsia" w:ascii="宋体" w:hAnsi="宋体" w:eastAsia="宋体" w:cs="宋体"/>
                <w:color w:val="auto"/>
                <w:kern w:val="0"/>
                <w:sz w:val="21"/>
                <w:szCs w:val="21"/>
                <w:lang w:val="en-US" w:eastAsia="zh-CN" w:bidi="zh-CN"/>
              </w:rPr>
              <w:t>▲</w:t>
            </w:r>
            <w:r>
              <w:rPr>
                <w:rFonts w:hint="eastAsia" w:ascii="宋体" w:hAnsi="宋体" w:eastAsia="宋体" w:cs="宋体"/>
                <w:color w:val="auto"/>
                <w:sz w:val="21"/>
                <w:szCs w:val="21"/>
                <w:highlight w:val="none"/>
                <w:lang w:val="en-US" w:eastAsia="zh-CN"/>
              </w:rPr>
              <w:t>”条款情况</w:t>
            </w:r>
          </w:p>
        </w:tc>
        <w:tc>
          <w:tcPr>
            <w:tcW w:w="64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5717" w:type="dxa"/>
            <w:vAlign w:val="center"/>
          </w:tcPr>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0"/>
                <w:sz w:val="21"/>
                <w:szCs w:val="21"/>
                <w:lang w:val="en-US" w:eastAsia="zh-CN" w:bidi="zh-CN"/>
              </w:rPr>
              <w:t>一、</w:t>
            </w:r>
            <w:r>
              <w:rPr>
                <w:rFonts w:hint="eastAsia" w:ascii="宋体" w:hAnsi="宋体" w:eastAsia="宋体" w:cs="宋体"/>
                <w:b/>
                <w:bCs/>
                <w:color w:val="auto"/>
                <w:kern w:val="2"/>
                <w:sz w:val="21"/>
                <w:szCs w:val="21"/>
                <w:lang w:val="en-US" w:eastAsia="zh-CN"/>
              </w:rPr>
              <w:t>评审内容：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考察投标人对招标文件《用户需求书：服务要求》内容中的非“▲”参数响应情况。</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二、评审依据：</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color w:val="auto"/>
                <w:kern w:val="2"/>
                <w:sz w:val="21"/>
                <w:szCs w:val="21"/>
                <w:lang w:val="en-US" w:eastAsia="zh-CN"/>
              </w:rPr>
              <w:t>以投标文件《服务要求条款偏离表》为评审依据，完全符合中标要求的得14分，有一项非“▲”参数不符合招标要求（或漏缺）的扣2分，扣完为止。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879" w:type="dxa"/>
            <w:gridSpan w:val="2"/>
            <w:vAlign w:val="center"/>
          </w:tcPr>
          <w:p>
            <w:pPr>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zh-CN"/>
              </w:rPr>
              <w:t>项目服务方案</w:t>
            </w:r>
          </w:p>
        </w:tc>
        <w:tc>
          <w:tcPr>
            <w:tcW w:w="645"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5717" w:type="dxa"/>
            <w:vAlign w:val="center"/>
          </w:tcPr>
          <w:p>
            <w:pPr>
              <w:adjustRightInd w:val="0"/>
              <w:snapToGrid w:val="0"/>
              <w:jc w:val="left"/>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一、评审内容：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投标人须针对本项目需求提供</w:t>
            </w:r>
            <w:r>
              <w:rPr>
                <w:rFonts w:hint="eastAsia" w:ascii="宋体" w:hAnsi="宋体" w:eastAsia="宋体" w:cs="宋体"/>
                <w:color w:val="auto"/>
                <w:kern w:val="0"/>
                <w:sz w:val="21"/>
                <w:szCs w:val="21"/>
                <w:highlight w:val="none"/>
                <w:lang w:val="en-US" w:eastAsia="zh-CN" w:bidi="zh-CN"/>
              </w:rPr>
              <w:t>维保搬迁办证总体</w:t>
            </w:r>
            <w:r>
              <w:rPr>
                <w:rFonts w:hint="eastAsia" w:ascii="宋体" w:hAnsi="宋体" w:eastAsia="宋体" w:cs="宋体"/>
                <w:color w:val="auto"/>
                <w:kern w:val="2"/>
                <w:sz w:val="21"/>
                <w:szCs w:val="21"/>
                <w:lang w:val="en-US" w:eastAsia="zh-CN"/>
              </w:rPr>
              <w:t>服务方案，包括下述内容：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1.实施方案和实施计划；</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2.维修、保养方案；</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3.维修服务流程；</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4.安全检查方案；</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5.应急响应方案。</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二、评审依据：</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方案包含以上任一项内容得1分，全部提供得5分。</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color w:val="auto"/>
                <w:kern w:val="2"/>
                <w:sz w:val="21"/>
                <w:szCs w:val="21"/>
                <w:lang w:val="en-US" w:eastAsia="zh-CN"/>
              </w:rPr>
              <w:t>在此基础上，根据方案具体的时间节点和步骤，具体的人员安排及明确的分工，对突发情况有具体的应对措施等情况相应进一步评审：</w:t>
            </w:r>
          </w:p>
          <w:p>
            <w:pPr>
              <w:numPr>
                <w:ilvl w:val="0"/>
                <w:numId w:val="1"/>
              </w:numPr>
              <w:adjustRightInd w:val="0"/>
              <w:snapToGrid w:val="0"/>
              <w:jc w:val="left"/>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服务方案具体详细、内容完整准确；</w:t>
            </w:r>
          </w:p>
          <w:p>
            <w:pPr>
              <w:numPr>
                <w:ilvl w:val="0"/>
                <w:numId w:val="0"/>
              </w:numPr>
              <w:adjustRightInd w:val="0"/>
              <w:snapToGrid w:val="0"/>
              <w:jc w:val="left"/>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2、服务方案具体流程逻辑清晰；</w:t>
            </w:r>
          </w:p>
          <w:p>
            <w:pPr>
              <w:adjustRightInd w:val="0"/>
              <w:snapToGrid w:val="0"/>
              <w:jc w:val="left"/>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3、服务方案针对性性强；</w:t>
            </w:r>
          </w:p>
          <w:p>
            <w:pPr>
              <w:adjustRightInd w:val="0"/>
              <w:snapToGrid w:val="0"/>
              <w:jc w:val="left"/>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4、服务方案科学性；</w:t>
            </w:r>
          </w:p>
          <w:p>
            <w:pPr>
              <w:adjustRightInd w:val="0"/>
              <w:snapToGrid w:val="0"/>
              <w:jc w:val="left"/>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5、服务方案可操作性。</w:t>
            </w:r>
          </w:p>
          <w:p>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color w:val="auto"/>
                <w:kern w:val="2"/>
                <w:sz w:val="21"/>
                <w:szCs w:val="21"/>
                <w:lang w:val="en-US" w:eastAsia="zh-CN"/>
              </w:rPr>
              <w:t>方案满足以上任一项加1分，全部满足加5分。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79" w:type="dxa"/>
            <w:gridSpan w:val="2"/>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服务质量保证</w:t>
            </w:r>
          </w:p>
        </w:tc>
        <w:tc>
          <w:tcPr>
            <w:tcW w:w="64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5717" w:type="dxa"/>
            <w:vAlign w:val="center"/>
          </w:tcPr>
          <w:p>
            <w:pPr>
              <w:adjustRightInd w:val="0"/>
              <w:snapToGrid w:val="0"/>
              <w:jc w:val="left"/>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一、评审内容：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考察投标人提供的质量保障措施及方案，包含以下内容：</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1.投标人对采购人实际情况及本项目设备实际情况制定完善的质量保障措施方案；</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2.服务质量检查、整改方案；</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3.维修更换关键部位需原厂全新配件、渠道来源合法可追溯性和配件及时性保证措施。</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二、评审依据：</w:t>
            </w:r>
          </w:p>
          <w:p>
            <w:pPr>
              <w:pStyle w:val="68"/>
              <w:keepNext w:val="0"/>
              <w:keepLines w:val="0"/>
              <w:pageBreakBefore w:val="0"/>
              <w:framePr w:wrap="auto" w:vAnchor="margin" w:hAnchor="text" w:yAlign="inline"/>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方案包含以上任一项内容得2分，全部包含得6分。</w:t>
            </w:r>
          </w:p>
          <w:p>
            <w:pPr>
              <w:pStyle w:val="68"/>
              <w:keepNext w:val="0"/>
              <w:keepLines w:val="0"/>
              <w:pageBreakBefore w:val="0"/>
              <w:framePr w:wrap="auto" w:vAnchor="margin" w:hAnchor="text" w:yAlign="inline"/>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在此基础上，根据方案响应情况进一步评审：</w:t>
            </w:r>
          </w:p>
          <w:p>
            <w:pPr>
              <w:pStyle w:val="68"/>
              <w:keepNext w:val="0"/>
              <w:keepLines w:val="0"/>
              <w:pageBreakBefore w:val="0"/>
              <w:framePr w:wrap="auto" w:vAnchor="margin" w:hAnchor="text" w:yAlign="inline"/>
              <w:widowControl w:val="0"/>
              <w:numPr>
                <w:ilvl w:val="0"/>
                <w:numId w:val="2"/>
              </w:numPr>
              <w:tabs>
                <w:tab w:val="clear" w:pos="312"/>
              </w:tabs>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质量（完成时间、安全、环保）保障措施及方案内容全面、具体；</w:t>
            </w:r>
          </w:p>
          <w:p>
            <w:pPr>
              <w:pStyle w:val="68"/>
              <w:keepNext w:val="0"/>
              <w:keepLines w:val="0"/>
              <w:pageBreakBefore w:val="0"/>
              <w:framePr w:wrap="auto" w:vAnchor="margin" w:hAnchor="text" w:yAlign="inline"/>
              <w:widowControl w:val="0"/>
              <w:numPr>
                <w:ilvl w:val="0"/>
                <w:numId w:val="2"/>
              </w:numPr>
              <w:tabs>
                <w:tab w:val="clear" w:pos="312"/>
              </w:tabs>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质量（完成时间、安全、环保）保障措施及方案内容针对性强；</w:t>
            </w:r>
          </w:p>
          <w:p>
            <w:pPr>
              <w:pStyle w:val="68"/>
              <w:keepNext w:val="0"/>
              <w:keepLines w:val="0"/>
              <w:pageBreakBefore w:val="0"/>
              <w:framePr w:wrap="auto" w:vAnchor="margin" w:hAnchor="text" w:yAlign="inline"/>
              <w:widowControl w:val="0"/>
              <w:numPr>
                <w:ilvl w:val="0"/>
                <w:numId w:val="2"/>
              </w:numPr>
              <w:tabs>
                <w:tab w:val="clear" w:pos="312"/>
              </w:tabs>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质量（完成时间、安全、环保）保障措施及方案内容科学合理；</w:t>
            </w:r>
          </w:p>
          <w:p>
            <w:pPr>
              <w:pStyle w:val="68"/>
              <w:keepNext w:val="0"/>
              <w:keepLines w:val="0"/>
              <w:pageBreakBefore w:val="0"/>
              <w:framePr w:wrap="auto" w:vAnchor="margin" w:hAnchor="text" w:yAlign="inline"/>
              <w:widowControl w:val="0"/>
              <w:numPr>
                <w:ilvl w:val="0"/>
                <w:numId w:val="2"/>
              </w:numPr>
              <w:tabs>
                <w:tab w:val="clear" w:pos="312"/>
              </w:tabs>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质量（完成时间、安全、环保）保障措施及方案内容可操作性强；</w:t>
            </w:r>
          </w:p>
          <w:p>
            <w:pPr>
              <w:adjustRightInd w:val="0"/>
              <w:snapToGrid w:val="0"/>
              <w:jc w:val="left"/>
              <w:rPr>
                <w:rFonts w:hint="eastAsia" w:ascii="宋体" w:hAnsi="宋体" w:eastAsia="宋体" w:cs="宋体"/>
                <w:sz w:val="21"/>
                <w:szCs w:val="21"/>
              </w:rPr>
            </w:pPr>
            <w:r>
              <w:rPr>
                <w:rFonts w:hint="eastAsia" w:ascii="宋体" w:hAnsi="宋体" w:eastAsia="宋体" w:cs="宋体"/>
                <w:color w:val="auto"/>
                <w:kern w:val="2"/>
                <w:sz w:val="21"/>
                <w:szCs w:val="21"/>
                <w:lang w:val="en-US" w:eastAsia="zh-CN"/>
              </w:rPr>
              <w:t>方案满足以上任一项加1分，全部满足加4分。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879" w:type="dxa"/>
            <w:gridSpan w:val="2"/>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拟投入的服务资源（</w:t>
            </w:r>
            <w:r>
              <w:rPr>
                <w:rFonts w:hint="eastAsia" w:ascii="宋体" w:hAnsi="宋体" w:eastAsia="宋体" w:cs="宋体"/>
                <w:color w:val="auto"/>
                <w:sz w:val="21"/>
                <w:szCs w:val="21"/>
                <w:lang w:eastAsia="zh-CN"/>
              </w:rPr>
              <w:t>仓库</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车辆、物流</w:t>
            </w:r>
            <w:r>
              <w:rPr>
                <w:rFonts w:hint="eastAsia" w:ascii="宋体" w:hAnsi="宋体" w:eastAsia="宋体" w:cs="宋体"/>
                <w:color w:val="auto"/>
                <w:sz w:val="21"/>
                <w:szCs w:val="21"/>
              </w:rPr>
              <w:t>等）情况</w:t>
            </w:r>
          </w:p>
        </w:tc>
        <w:tc>
          <w:tcPr>
            <w:tcW w:w="64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5717" w:type="dxa"/>
            <w:vAlign w:val="center"/>
          </w:tcPr>
          <w:p>
            <w:pPr>
              <w:adjustRightInd w:val="0"/>
              <w:snapToGrid w:val="0"/>
              <w:jc w:val="left"/>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一、评审内容：</w:t>
            </w:r>
          </w:p>
          <w:p>
            <w:pPr>
              <w:adjustRightInd w:val="0"/>
              <w:snapToGrid w:val="0"/>
              <w:jc w:val="left"/>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1、投标人设有配件仓库的，得1分；</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2、提供库存跟本项目维保设备相关的关键备件清单的，得1分；</w:t>
            </w:r>
          </w:p>
          <w:p>
            <w:pPr>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val="en-US" w:eastAsia="zh-CN" w:bidi="zh-CN"/>
              </w:rPr>
              <w:t>3、供应商承诺中标后提供本地（深圳市）售后服务驻点的，得1分；</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zh-CN"/>
              </w:rPr>
              <w:t>4、</w:t>
            </w:r>
            <w:r>
              <w:rPr>
                <w:rFonts w:hint="eastAsia" w:ascii="宋体" w:hAnsi="宋体" w:eastAsia="宋体" w:cs="宋体"/>
                <w:color w:val="auto"/>
                <w:sz w:val="21"/>
                <w:szCs w:val="21"/>
                <w:lang w:val="en-US" w:eastAsia="zh-CN"/>
              </w:rPr>
              <w:t>确保全年备件供应服务的物流渠道，得2分。</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二、评审依据：</w:t>
            </w:r>
          </w:p>
          <w:p>
            <w:pPr>
              <w:adjustRightInd w:val="0"/>
              <w:snapToGrid w:val="0"/>
              <w:jc w:val="left"/>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1、提供备件库证明文件：工商登记证明或场地租赁证明与备件库图片；</w:t>
            </w:r>
          </w:p>
          <w:p>
            <w:pPr>
              <w:adjustRightInd w:val="0"/>
              <w:snapToGrid w:val="0"/>
              <w:jc w:val="left"/>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2、提供库存关键备件清单；</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0"/>
                <w:sz w:val="21"/>
                <w:szCs w:val="21"/>
                <w:lang w:val="en-US" w:eastAsia="zh-CN" w:bidi="zh-CN"/>
              </w:rPr>
            </w:pPr>
            <w:r>
              <w:rPr>
                <w:rFonts w:hint="eastAsia" w:ascii="宋体" w:hAnsi="宋体" w:eastAsia="宋体" w:cs="宋体"/>
                <w:color w:val="auto"/>
                <w:kern w:val="0"/>
                <w:sz w:val="21"/>
                <w:szCs w:val="21"/>
                <w:lang w:val="en-US" w:eastAsia="zh-CN" w:bidi="zh-CN"/>
              </w:rPr>
              <w:t>3、要求提供承诺函（格式自定）作为得分依据，未提供承诺函或承诺函内容不满足要求不得分。</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val="en-US" w:eastAsia="zh-CN" w:bidi="zh-CN"/>
              </w:rPr>
              <w:t>4、</w:t>
            </w:r>
            <w:r>
              <w:rPr>
                <w:rFonts w:hint="eastAsia" w:ascii="宋体" w:hAnsi="宋体" w:eastAsia="宋体" w:cs="宋体"/>
                <w:color w:val="auto"/>
                <w:sz w:val="21"/>
                <w:szCs w:val="21"/>
                <w:lang w:val="en-US" w:eastAsia="zh-CN"/>
              </w:rPr>
              <w:t>提供第三方物流公司的合作协议等证明文件复印件并加盖投标人公章，未提供证明文件者或提供的证明文件不符合要求（或不清晰）导致评委无法辨别，作不得分处理，原件备查。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879" w:type="dxa"/>
            <w:gridSpan w:val="2"/>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拟安排的项目主要团队成员情况</w:t>
            </w:r>
          </w:p>
        </w:tc>
        <w:tc>
          <w:tcPr>
            <w:tcW w:w="64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5717" w:type="dxa"/>
            <w:vAlign w:val="center"/>
          </w:tcPr>
          <w:p>
            <w:pPr>
              <w:adjustRightInd w:val="0"/>
              <w:snapToGrid w:val="0"/>
              <w:jc w:val="left"/>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一、评审内容：</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color w:val="auto"/>
                <w:sz w:val="21"/>
                <w:szCs w:val="21"/>
                <w:lang w:val="en-US" w:eastAsia="zh-CN"/>
              </w:rPr>
              <w:t>拟安排的项目主要团队成员情况，</w:t>
            </w:r>
            <w:r>
              <w:rPr>
                <w:rFonts w:hint="eastAsia" w:ascii="宋体" w:hAnsi="宋体" w:eastAsia="宋体" w:cs="宋体"/>
                <w:color w:val="auto"/>
                <w:sz w:val="21"/>
                <w:szCs w:val="21"/>
                <w:lang w:val="en-US" w:eastAsia="zh-CN" w:bidi="ar-SA"/>
              </w:rPr>
              <w:t>为投标单位在职员工（以社保文件为准）；</w:t>
            </w:r>
            <w:r>
              <w:rPr>
                <w:rFonts w:hint="eastAsia" w:ascii="宋体" w:hAnsi="宋体" w:eastAsia="宋体" w:cs="宋体"/>
                <w:b w:val="0"/>
                <w:bCs w:val="0"/>
                <w:sz w:val="21"/>
                <w:szCs w:val="21"/>
                <w:lang w:val="en-US" w:eastAsia="zh-CN"/>
              </w:rPr>
              <w:t>具有大专或以上学历；同时具有DR生产厂家培训上岗工程师。每提供一人满足上述要求得1分，本小项最高得5分；</w:t>
            </w:r>
          </w:p>
          <w:p>
            <w:pPr>
              <w:pStyle w:val="68"/>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auto"/>
                <w:kern w:val="0"/>
                <w:sz w:val="21"/>
                <w:szCs w:val="21"/>
                <w:highlight w:val="none"/>
                <w:lang w:val="en-US" w:eastAsia="zh-CN" w:bidi="zh-CN"/>
              </w:rPr>
            </w:pPr>
            <w:r>
              <w:rPr>
                <w:rFonts w:hint="eastAsia" w:ascii="宋体" w:hAnsi="宋体" w:eastAsia="宋体" w:cs="宋体"/>
                <w:b/>
                <w:bCs/>
                <w:color w:val="auto"/>
                <w:kern w:val="0"/>
                <w:sz w:val="21"/>
                <w:szCs w:val="21"/>
                <w:highlight w:val="none"/>
                <w:lang w:val="en-US" w:eastAsia="zh-CN" w:bidi="zh-CN"/>
              </w:rPr>
              <w:t>二、评审依据：</w:t>
            </w:r>
          </w:p>
          <w:p>
            <w:pPr>
              <w:snapToGrid w:val="0"/>
              <w:contextualSpacing/>
              <w:jc w:val="left"/>
              <w:rPr>
                <w:rFonts w:hint="eastAsia"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pStyle w:val="68"/>
              <w:keepNext w:val="0"/>
              <w:keepLines w:val="0"/>
              <w:pageBreakBefore w:val="0"/>
              <w:widowControl/>
              <w:numPr>
                <w:ilvl w:val="0"/>
                <w:numId w:val="0"/>
              </w:numPr>
              <w:kinsoku/>
              <w:overflowPunct/>
              <w:topLinePunct w:val="0"/>
              <w:autoSpaceDE/>
              <w:autoSpaceDN/>
              <w:bidi w:val="0"/>
              <w:adjustRightInd/>
              <w:snapToGrid/>
              <w:ind w:leftChars="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学历证书还需提供学信网查询记录，对于较早颁发的学历学位证书，学信网无法查询的，除提供证书扫描件、注明原件备查外，可提供其他佐证材料（如毕业院校、人社部门等颁发机构或监管机构等单位出具的证明）作为得分依据；留学归国人员如无法提供学信网查询记录截图，提供国（境）外学历证书扫描件（以及中文翻译件）和教育部留学服务中心出具的国外学历学位认证书扫描件【或教育部留学服务中心网站（http://zwfw.cscse.edu.cn/）在线查询截图】也予以认可；</w:t>
            </w:r>
          </w:p>
          <w:p>
            <w:pPr>
              <w:pStyle w:val="68"/>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sz w:val="21"/>
                <w:szCs w:val="21"/>
                <w:lang w:val="en-US" w:eastAsia="zh-CN"/>
              </w:rPr>
              <w:t>3.提供有效的DR生产商家培训证书扫描件；</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lang w:val="en-US" w:eastAsia="zh-CN"/>
              </w:rPr>
              <w:t>4.以上资料原件备查，评分中出现无证明材料或专家无法凭所提供资料判断是否得分的情况，一律作不得分处理。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hint="eastAsia"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jc w:val="center"/>
              <w:rPr>
                <w:rFonts w:hint="eastAsia" w:ascii="宋体" w:hAnsi="宋体"/>
                <w:szCs w:val="21"/>
              </w:rPr>
            </w:pPr>
            <w:r>
              <w:rPr>
                <w:rFonts w:hint="eastAsia" w:ascii="宋体" w:hAnsi="宋体"/>
                <w:b/>
                <w:bCs/>
                <w:szCs w:val="21"/>
              </w:rPr>
              <w:t>序号</w:t>
            </w:r>
          </w:p>
        </w:tc>
        <w:tc>
          <w:tcPr>
            <w:tcW w:w="1879" w:type="dxa"/>
            <w:gridSpan w:val="2"/>
            <w:vAlign w:val="center"/>
          </w:tcPr>
          <w:p>
            <w:pPr>
              <w:jc w:val="center"/>
              <w:rPr>
                <w:rFonts w:hint="eastAsia" w:ascii="宋体" w:hAnsi="宋体"/>
                <w:szCs w:val="21"/>
              </w:rPr>
            </w:pPr>
            <w:r>
              <w:rPr>
                <w:rFonts w:hint="eastAsia" w:ascii="宋体" w:hAnsi="宋体"/>
                <w:b/>
                <w:bCs/>
                <w:szCs w:val="21"/>
              </w:rPr>
              <w:t>评分因素</w:t>
            </w:r>
          </w:p>
        </w:tc>
        <w:tc>
          <w:tcPr>
            <w:tcW w:w="645" w:type="dxa"/>
            <w:vAlign w:val="center"/>
          </w:tcPr>
          <w:p>
            <w:pPr>
              <w:jc w:val="center"/>
              <w:rPr>
                <w:rFonts w:hint="eastAsia" w:ascii="宋体" w:hAnsi="宋体"/>
                <w:szCs w:val="21"/>
              </w:rPr>
            </w:pPr>
            <w:r>
              <w:rPr>
                <w:rFonts w:hint="eastAsia" w:ascii="宋体" w:hAnsi="宋体"/>
                <w:b/>
                <w:bCs/>
                <w:szCs w:val="21"/>
              </w:rPr>
              <w:t>分值</w:t>
            </w:r>
          </w:p>
        </w:tc>
        <w:tc>
          <w:tcPr>
            <w:tcW w:w="5717" w:type="dxa"/>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33"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1879" w:type="dxa"/>
            <w:gridSpan w:val="2"/>
            <w:vAlign w:val="center"/>
          </w:tcPr>
          <w:p>
            <w:pPr>
              <w:jc w:val="center"/>
              <w:rPr>
                <w:rFonts w:hint="eastAsia" w:ascii="宋体" w:hAnsi="宋体"/>
                <w:szCs w:val="21"/>
              </w:rPr>
            </w:pPr>
            <w:r>
              <w:rPr>
                <w:rFonts w:hint="eastAsia" w:ascii="宋体" w:hAnsi="宋体"/>
                <w:sz w:val="21"/>
                <w:szCs w:val="21"/>
                <w:lang w:val="en-US" w:eastAsia="zh-CN"/>
              </w:rPr>
              <w:t>服务商综合实力</w:t>
            </w:r>
          </w:p>
        </w:tc>
        <w:tc>
          <w:tcPr>
            <w:tcW w:w="645"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10</w:t>
            </w:r>
          </w:p>
        </w:tc>
        <w:tc>
          <w:tcPr>
            <w:tcW w:w="5717" w:type="dxa"/>
            <w:vAlign w:val="center"/>
          </w:tcPr>
          <w:p>
            <w:pPr>
              <w:adjustRightInd w:val="0"/>
              <w:snapToGrid w:val="0"/>
              <w:jc w:val="left"/>
              <w:rPr>
                <w:rFonts w:hint="eastAsia"/>
                <w:b/>
                <w:bCs/>
                <w:lang w:val="en-US" w:eastAsia="zh-CN"/>
              </w:rPr>
            </w:pPr>
            <w:r>
              <w:rPr>
                <w:rFonts w:hint="eastAsia"/>
                <w:b/>
                <w:bCs/>
                <w:lang w:val="en-US" w:eastAsia="zh-CN"/>
              </w:rPr>
              <w:t>一、评审内容：</w:t>
            </w:r>
          </w:p>
          <w:p>
            <w:pPr>
              <w:adjustRightInd w:val="0"/>
              <w:snapToGrid w:val="0"/>
              <w:jc w:val="left"/>
              <w:rPr>
                <w:rFonts w:hint="eastAsia"/>
                <w:lang w:val="en-US" w:eastAsia="zh-CN"/>
              </w:rPr>
            </w:pPr>
            <w:r>
              <w:rPr>
                <w:rFonts w:hint="eastAsia"/>
                <w:lang w:val="en-US" w:eastAsia="zh-CN"/>
              </w:rPr>
              <w:t xml:space="preserve">1.具备在有效期内的质量管理体系认证证书，得2分； </w:t>
            </w:r>
          </w:p>
          <w:p>
            <w:pPr>
              <w:adjustRightInd w:val="0"/>
              <w:snapToGrid w:val="0"/>
              <w:jc w:val="left"/>
              <w:rPr>
                <w:rFonts w:hint="eastAsia"/>
                <w:lang w:val="en-US" w:eastAsia="zh-CN"/>
              </w:rPr>
            </w:pPr>
            <w:r>
              <w:rPr>
                <w:rFonts w:hint="eastAsia"/>
                <w:lang w:val="en-US" w:eastAsia="zh-CN"/>
              </w:rPr>
              <w:t xml:space="preserve">2.具备在有效期内的环境管理体系认证证书，得2分； </w:t>
            </w:r>
          </w:p>
          <w:p>
            <w:pPr>
              <w:adjustRightInd w:val="0"/>
              <w:snapToGrid w:val="0"/>
              <w:jc w:val="left"/>
              <w:rPr>
                <w:rFonts w:hint="eastAsia"/>
                <w:lang w:val="en-US" w:eastAsia="zh-CN"/>
              </w:rPr>
            </w:pPr>
            <w:r>
              <w:rPr>
                <w:rFonts w:hint="eastAsia"/>
                <w:lang w:val="en-US" w:eastAsia="zh-CN"/>
              </w:rPr>
              <w:t>3.具备在有效期内的职业健康安全管理体系认证证书，得2分；</w:t>
            </w:r>
          </w:p>
          <w:p>
            <w:pPr>
              <w:adjustRightInd w:val="0"/>
              <w:snapToGrid w:val="0"/>
              <w:jc w:val="left"/>
              <w:rPr>
                <w:rFonts w:hint="eastAsia"/>
                <w:lang w:val="en-US" w:eastAsia="zh-CN"/>
              </w:rPr>
            </w:pPr>
            <w:r>
              <w:rPr>
                <w:rFonts w:hint="eastAsia"/>
                <w:lang w:val="en-US" w:eastAsia="zh-CN"/>
              </w:rPr>
              <w:t>4.具备在有效期内的辐射安全许可证书，得4分。</w:t>
            </w:r>
          </w:p>
          <w:p>
            <w:pPr>
              <w:pStyle w:val="2"/>
              <w:rPr>
                <w:rFonts w:hint="eastAsia"/>
                <w:lang w:val="en-US" w:eastAsia="zh-CN"/>
              </w:rPr>
            </w:pPr>
            <w:r>
              <w:rPr>
                <w:rFonts w:hint="eastAsia"/>
                <w:lang w:val="en-US" w:eastAsia="zh-CN"/>
              </w:rPr>
              <w:t>包含以上全部内容，最高得10分。</w:t>
            </w:r>
          </w:p>
          <w:p>
            <w:pPr>
              <w:adjustRightInd w:val="0"/>
              <w:snapToGrid w:val="0"/>
              <w:jc w:val="left"/>
              <w:rPr>
                <w:rFonts w:hint="eastAsia"/>
                <w:b/>
                <w:bCs/>
                <w:lang w:val="en-US" w:eastAsia="zh-CN"/>
              </w:rPr>
            </w:pPr>
            <w:r>
              <w:rPr>
                <w:rFonts w:hint="eastAsia"/>
                <w:b/>
                <w:bCs/>
                <w:lang w:val="en-US" w:eastAsia="zh-CN"/>
              </w:rPr>
              <w:t>二、评审依据：</w:t>
            </w:r>
          </w:p>
          <w:p>
            <w:pPr>
              <w:adjustRightInd w:val="0"/>
              <w:snapToGrid w:val="0"/>
              <w:jc w:val="left"/>
              <w:rPr>
                <w:rFonts w:hint="eastAsia"/>
                <w:lang w:val="en-US" w:eastAsia="zh-CN"/>
              </w:rPr>
            </w:pPr>
            <w:r>
              <w:rPr>
                <w:rFonts w:hint="eastAsia"/>
                <w:lang w:val="en-US" w:eastAsia="zh-CN"/>
              </w:rPr>
              <w:t>1.须提供相关证书复印件，且质量管理体系认证证书、环境管理体系认证证书及职业健康安全管理体系认证证书须在全国认证认可信息公共服务平台上“http: //cx.cnca.cn”查询结果的截图,证书状态必须为“有效”。</w:t>
            </w:r>
          </w:p>
          <w:p>
            <w:pPr>
              <w:adjustRightInd w:val="0"/>
              <w:snapToGrid w:val="0"/>
              <w:jc w:val="left"/>
              <w:rPr>
                <w:rFonts w:hint="eastAsia"/>
                <w:lang w:val="en-US" w:eastAsia="zh-CN"/>
              </w:rPr>
            </w:pPr>
            <w:r>
              <w:rPr>
                <w:rFonts w:hint="eastAsia"/>
                <w:lang w:val="en-US" w:eastAsia="zh-CN"/>
              </w:rPr>
              <w:t>2.辐射安全许可证书须提供证书复印件，且证书须在全国认证认可信息公共服务平台上“http://rr.mee.gov.cn查询结果的截图。</w:t>
            </w:r>
          </w:p>
          <w:p>
            <w:pPr>
              <w:pStyle w:val="2"/>
              <w:rPr>
                <w:rFonts w:hint="eastAsia"/>
              </w:rPr>
            </w:pPr>
            <w:r>
              <w:rPr>
                <w:rFonts w:hint="eastAsia" w:ascii="宋体" w:hAnsi="宋体" w:eastAsia="宋体" w:cs="宋体"/>
                <w:b w:val="0"/>
                <w:bCs w:val="0"/>
                <w:color w:val="auto"/>
                <w:sz w:val="21"/>
                <w:szCs w:val="21"/>
                <w:lang w:val="en-US" w:eastAsia="zh-CN"/>
              </w:rPr>
              <w:t>3.以上资料原件备查，评分中出现无证明材料或专家无法凭所提供资料判断是否得分的情况，一律作不得分处理。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1879" w:type="dxa"/>
            <w:gridSpan w:val="2"/>
            <w:vAlign w:val="center"/>
          </w:tcPr>
          <w:p>
            <w:pPr>
              <w:jc w:val="center"/>
              <w:rPr>
                <w:rFonts w:hint="default" w:ascii="宋体" w:hAnsi="宋体" w:eastAsia="宋体"/>
                <w:szCs w:val="21"/>
                <w:lang w:val="en-US" w:eastAsia="zh-CN"/>
              </w:rPr>
            </w:pPr>
            <w:r>
              <w:rPr>
                <w:rFonts w:hint="eastAsia" w:ascii="宋体" w:hAnsi="宋体"/>
                <w:szCs w:val="21"/>
                <w:lang w:val="en-US" w:eastAsia="zh-CN"/>
              </w:rPr>
              <w:t>业绩情况</w:t>
            </w:r>
          </w:p>
        </w:tc>
        <w:tc>
          <w:tcPr>
            <w:tcW w:w="64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717" w:type="dxa"/>
            <w:vAlign w:val="center"/>
          </w:tcPr>
          <w:p>
            <w:pPr>
              <w:adjustRightInd w:val="0"/>
              <w:snapToGrid w:val="0"/>
              <w:jc w:val="left"/>
              <w:rPr>
                <w:rFonts w:hint="eastAsia"/>
                <w:b/>
                <w:bCs/>
                <w:lang w:val="en-US" w:eastAsia="zh-CN"/>
              </w:rPr>
            </w:pPr>
            <w:r>
              <w:rPr>
                <w:rFonts w:hint="eastAsia"/>
                <w:b/>
                <w:bCs/>
                <w:lang w:val="en-US" w:eastAsia="zh-CN"/>
              </w:rPr>
              <w:t>一、评审内容：</w:t>
            </w:r>
          </w:p>
          <w:p>
            <w:pPr>
              <w:pStyle w:val="68"/>
              <w:keepNext w:val="0"/>
              <w:keepLines w:val="0"/>
              <w:pageBreakBefore w:val="0"/>
              <w:widowControl/>
              <w:numPr>
                <w:ilvl w:val="0"/>
                <w:numId w:val="0"/>
              </w:numPr>
              <w:kinsoku/>
              <w:overflowPunct/>
              <w:topLinePunct w:val="0"/>
              <w:autoSpaceDE/>
              <w:autoSpaceDN/>
              <w:bidi w:val="0"/>
              <w:adjustRightInd/>
              <w:snapToGrid/>
              <w:ind w:leftChars="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投标人2022年11月1日至本项目投标截止日（以合同签订时间为准）承担过DR设备年度保修服务项目业绩情况，每提供1个的得2.5分，满分5分。</w:t>
            </w:r>
          </w:p>
          <w:p>
            <w:pPr>
              <w:adjustRightInd w:val="0"/>
              <w:snapToGrid w:val="0"/>
              <w:jc w:val="left"/>
              <w:rPr>
                <w:rFonts w:hint="eastAsia"/>
                <w:b/>
                <w:bCs/>
                <w:lang w:val="en-US" w:eastAsia="zh-CN"/>
              </w:rPr>
            </w:pPr>
            <w:r>
              <w:rPr>
                <w:rFonts w:hint="eastAsia"/>
                <w:b/>
                <w:bCs/>
                <w:lang w:val="en-US" w:eastAsia="zh-CN"/>
              </w:rPr>
              <w:t>二、评审依据：</w:t>
            </w:r>
          </w:p>
          <w:p>
            <w:pPr>
              <w:pStyle w:val="68"/>
              <w:keepNext w:val="0"/>
              <w:keepLines w:val="0"/>
              <w:pageBreakBefore w:val="0"/>
              <w:widowControl/>
              <w:numPr>
                <w:ilvl w:val="0"/>
                <w:numId w:val="0"/>
              </w:numPr>
              <w:kinsoku/>
              <w:overflowPunct/>
              <w:topLinePunct w:val="0"/>
              <w:autoSpaceDE/>
              <w:autoSpaceDN/>
              <w:bidi w:val="0"/>
              <w:adjustRightInd/>
              <w:snapToGrid/>
              <w:ind w:left="0" w:leftChars="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1.提供合同关键页【包括但不限于项目（合同）名称、服务内容、签订日期、合同双方签字盖章页】；</w:t>
            </w:r>
          </w:p>
          <w:p>
            <w:pPr>
              <w:jc w:val="center"/>
              <w:rPr>
                <w:rFonts w:hint="eastAsia" w:ascii="宋体" w:hAnsi="宋体"/>
                <w:szCs w:val="21"/>
              </w:rPr>
            </w:pPr>
            <w:r>
              <w:rPr>
                <w:rFonts w:hint="eastAsia" w:ascii="宋体" w:hAnsi="宋体" w:eastAsia="宋体" w:cs="宋体"/>
                <w:b w:val="0"/>
                <w:bCs w:val="0"/>
                <w:color w:val="auto"/>
                <w:sz w:val="21"/>
                <w:szCs w:val="21"/>
                <w:lang w:val="en-US" w:eastAsia="zh-CN"/>
              </w:rPr>
              <w:t>2.以上资料原件备查，评分中出现无证明材料或专家无法凭所提供资料判断是否得分的情况，一律作不得分处理。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1879" w:type="dxa"/>
            <w:gridSpan w:val="2"/>
            <w:vAlign w:val="center"/>
          </w:tcPr>
          <w:p>
            <w:pPr>
              <w:jc w:val="center"/>
              <w:rPr>
                <w:rFonts w:hint="eastAsia" w:ascii="宋体" w:hAnsi="宋体"/>
                <w:szCs w:val="21"/>
              </w:rPr>
            </w:pPr>
            <w:r>
              <w:rPr>
                <w:rFonts w:hint="eastAsia" w:ascii="宋体" w:hAnsi="宋体" w:eastAsia="宋体" w:cs="宋体"/>
                <w:sz w:val="21"/>
                <w:szCs w:val="21"/>
              </w:rPr>
              <w:t>诚信情况</w:t>
            </w:r>
          </w:p>
        </w:tc>
        <w:tc>
          <w:tcPr>
            <w:tcW w:w="64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717" w:type="dxa"/>
            <w:vAlign w:val="center"/>
          </w:tcPr>
          <w:p>
            <w:pPr>
              <w:jc w:val="left"/>
              <w:rPr>
                <w:rFonts w:ascii="宋体" w:hAnsi="宋体" w:cs="宋体"/>
                <w:kern w:val="0"/>
                <w:szCs w:val="21"/>
                <w:lang w:bidi="ar"/>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p>
          <w:p>
            <w:pPr>
              <w:jc w:val="left"/>
              <w:rPr>
                <w:rFonts w:ascii="宋体" w:hAnsi="宋体" w:cs="宋体"/>
                <w:kern w:val="0"/>
                <w:szCs w:val="21"/>
                <w:lang w:bidi="ar"/>
              </w:rPr>
            </w:pPr>
            <w:r>
              <w:rPr>
                <w:rFonts w:hint="eastAsia" w:asciiTheme="minorEastAsia" w:hAnsiTheme="minorEastAsia" w:cstheme="minorEastAsia"/>
                <w:b/>
                <w:bCs/>
                <w:szCs w:val="21"/>
              </w:rPr>
              <w:t>（二）评审依据</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1. 提供“信用中国”、“中国政府采购网”、“深圳信用网”“深圳市政府采购监管网”等查询记录网络截图；</w:t>
            </w:r>
          </w:p>
          <w:p>
            <w:pPr>
              <w:jc w:val="left"/>
              <w:rPr>
                <w:rFonts w:hint="eastAsia" w:ascii="宋体" w:hAnsi="宋体"/>
                <w:szCs w:val="21"/>
              </w:rPr>
            </w:pPr>
            <w:r>
              <w:rPr>
                <w:rFonts w:hint="eastAsia" w:ascii="宋体" w:hAnsi="宋体" w:cs="宋体"/>
                <w:kern w:val="0"/>
                <w:szCs w:val="21"/>
                <w:lang w:bidi="ar"/>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gridSpan w:val="2"/>
            <w:vAlign w:val="center"/>
          </w:tcPr>
          <w:p>
            <w:pPr>
              <w:jc w:val="center"/>
              <w:rPr>
                <w:rFonts w:hint="eastAsia" w:ascii="宋体" w:hAnsi="宋体"/>
                <w:b/>
                <w:bCs/>
                <w:szCs w:val="21"/>
              </w:rPr>
            </w:pPr>
            <w:r>
              <w:rPr>
                <w:rFonts w:hint="eastAsia" w:ascii="宋体" w:hAnsi="宋体"/>
                <w:b/>
                <w:bCs/>
                <w:szCs w:val="21"/>
              </w:rPr>
              <w:t>三、价格部分（20分）</w:t>
            </w:r>
          </w:p>
        </w:tc>
        <w:tc>
          <w:tcPr>
            <w:tcW w:w="7329" w:type="dxa"/>
            <w:gridSpan w:val="3"/>
            <w:vAlign w:val="center"/>
          </w:tcPr>
          <w:p>
            <w:pPr>
              <w:jc w:val="left"/>
              <w:rPr>
                <w:rFonts w:hint="eastAsia"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Cs/>
                <w:szCs w:val="21"/>
                <w:lang w:val="zh-CN"/>
              </w:rPr>
              <w:t>投标报价得分=(评标基准价／投标报价)×20</w:t>
            </w:r>
          </w:p>
        </w:tc>
      </w:tr>
    </w:tbl>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ascii="宋体" w:hAnsi="宋体" w:cs="宋体-18030"/>
          <w:bCs/>
          <w:sz w:val="24"/>
        </w:rPr>
      </w:pPr>
      <w:r>
        <w:rPr>
          <w:rFonts w:hint="eastAsia" w:ascii="宋体" w:hAnsi="宋体" w:cs="宋体-18030"/>
          <w:bCs/>
          <w:sz w:val="24"/>
        </w:rPr>
        <w:t xml:space="preserve"> </w:t>
      </w:r>
      <w:r>
        <w:rPr>
          <w:rFonts w:ascii="宋体" w:hAnsi="宋体" w:cs="宋体-18030"/>
          <w:bCs/>
          <w:sz w:val="24"/>
        </w:rPr>
        <w:t xml:space="preserve">  </w:t>
      </w:r>
    </w:p>
    <w:p>
      <w:pPr>
        <w:snapToGrid w:val="0"/>
        <w:ind w:right="150" w:firstLine="480" w:firstLineChars="200"/>
        <w:jc w:val="right"/>
        <w:rPr>
          <w:rFonts w:ascii="宋体" w:hAnsi="宋体" w:cs="宋体-18030"/>
          <w:bCs/>
          <w:sz w:val="24"/>
        </w:rPr>
      </w:pPr>
    </w:p>
    <w:p>
      <w:pPr>
        <w:snapToGrid w:val="0"/>
        <w:ind w:right="150" w:firstLine="480" w:firstLineChars="200"/>
        <w:jc w:val="right"/>
        <w:rPr>
          <w:rFonts w:ascii="宋体" w:hAnsi="宋体" w:cs="宋体-18030"/>
          <w:bCs/>
          <w:sz w:val="24"/>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ascii="宋体" w:hAnsi="宋体" w:cs="宋体-18030"/>
          <w:bCs/>
          <w:sz w:val="24"/>
        </w:rPr>
        <w:t>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4526"/>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33" w:type="dxa"/>
            <w:vAlign w:val="center"/>
          </w:tcPr>
          <w:p>
            <w:pPr>
              <w:pStyle w:val="10"/>
              <w:jc w:val="center"/>
              <w:rPr>
                <w:rFonts w:hint="eastAsia" w:hAnsi="宋体"/>
                <w:b/>
                <w:kern w:val="0"/>
              </w:rPr>
            </w:pPr>
            <w:r>
              <w:rPr>
                <w:rFonts w:hint="eastAsia" w:hAnsi="宋体"/>
                <w:b/>
                <w:kern w:val="0"/>
              </w:rPr>
              <w:t>序号</w:t>
            </w:r>
          </w:p>
        </w:tc>
        <w:tc>
          <w:tcPr>
            <w:tcW w:w="4526" w:type="dxa"/>
            <w:vAlign w:val="center"/>
          </w:tcPr>
          <w:p>
            <w:pPr>
              <w:pStyle w:val="10"/>
              <w:jc w:val="center"/>
              <w:rPr>
                <w:rFonts w:hint="eastAsia" w:hAnsi="宋体"/>
                <w:b/>
                <w:kern w:val="0"/>
              </w:rPr>
            </w:pPr>
            <w:r>
              <w:rPr>
                <w:rFonts w:hint="eastAsia" w:hAnsi="宋体"/>
                <w:b/>
                <w:kern w:val="0"/>
              </w:rPr>
              <w:t>采购项目名称</w:t>
            </w:r>
          </w:p>
        </w:tc>
        <w:tc>
          <w:tcPr>
            <w:tcW w:w="4176"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33" w:type="dxa"/>
            <w:vAlign w:val="center"/>
          </w:tcPr>
          <w:p>
            <w:pPr>
              <w:pStyle w:val="10"/>
              <w:jc w:val="center"/>
              <w:rPr>
                <w:rFonts w:hint="eastAsia" w:hAnsi="宋体"/>
                <w:bCs/>
                <w:kern w:val="0"/>
              </w:rPr>
            </w:pPr>
            <w:r>
              <w:rPr>
                <w:rFonts w:hint="eastAsia" w:hAnsi="宋体"/>
                <w:bCs/>
                <w:kern w:val="0"/>
              </w:rPr>
              <w:t>1</w:t>
            </w:r>
          </w:p>
        </w:tc>
        <w:tc>
          <w:tcPr>
            <w:tcW w:w="4526" w:type="dxa"/>
            <w:vAlign w:val="center"/>
          </w:tcPr>
          <w:p>
            <w:pPr>
              <w:widowControl/>
              <w:snapToGrid w:val="0"/>
              <w:ind w:right="-617" w:rightChars="-294"/>
              <w:contextualSpacing/>
              <w:jc w:val="both"/>
              <w:rPr>
                <w:rFonts w:hint="default" w:ascii="宋体" w:hAnsi="宋体" w:eastAsia="宋体"/>
                <w:bCs/>
                <w:szCs w:val="21"/>
                <w:lang w:val="en-US" w:eastAsia="zh-CN"/>
              </w:rPr>
            </w:pPr>
            <w:r>
              <w:rPr>
                <w:rFonts w:hint="eastAsia" w:ascii="宋体" w:hAnsi="宋体" w:cs="宋体-18030"/>
                <w:bCs/>
                <w:color w:val="000000"/>
                <w:szCs w:val="21"/>
                <w:lang w:val="en-US" w:eastAsia="zh-CN"/>
              </w:rPr>
              <w:t xml:space="preserve">      </w:t>
            </w:r>
            <w:r>
              <w:rPr>
                <w:rFonts w:hint="eastAsia" w:ascii="宋体" w:hAnsi="宋体" w:cs="宋体-18030"/>
                <w:bCs/>
                <w:color w:val="000000"/>
                <w:szCs w:val="21"/>
              </w:rPr>
              <w:t>建安院区放射科锐珂DR全保服务</w:t>
            </w:r>
          </w:p>
        </w:tc>
        <w:tc>
          <w:tcPr>
            <w:tcW w:w="4176" w:type="dxa"/>
            <w:vAlign w:val="center"/>
          </w:tcPr>
          <w:p>
            <w:pPr>
              <w:pStyle w:val="10"/>
              <w:jc w:val="center"/>
              <w:rPr>
                <w:rFonts w:hint="eastAsia" w:hAnsi="宋体"/>
                <w:bCs/>
                <w:kern w:val="0"/>
              </w:rPr>
            </w:pPr>
            <w:r>
              <w:rPr>
                <w:rFonts w:hint="eastAsia" w:hAnsi="宋体"/>
                <w:bCs/>
                <w:kern w:val="0"/>
                <w:lang w:val="en-US" w:eastAsia="zh-CN"/>
              </w:rPr>
              <w:t>150000</w:t>
            </w: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5"/>
        <w:ind w:firstLine="0"/>
        <w:rPr>
          <w:rStyle w:val="30"/>
          <w:b/>
          <w:bCs/>
        </w:rPr>
      </w:pPr>
      <w:bookmarkStart w:id="3" w:name="_Toc480449081"/>
      <w:bookmarkStart w:id="4" w:name="_Toc450137347"/>
      <w:bookmarkStart w:id="5" w:name="_Toc178049979"/>
      <w:r>
        <w:rPr>
          <w:rStyle w:val="30"/>
          <w:rFonts w:hint="eastAsia"/>
          <w:b/>
          <w:bCs/>
        </w:rPr>
        <w:t>（一）项目概况</w:t>
      </w:r>
    </w:p>
    <w:p>
      <w:pPr>
        <w:numPr>
          <w:ilvl w:val="0"/>
          <w:numId w:val="0"/>
        </w:numPr>
        <w:spacing w:line="400" w:lineRule="exact"/>
        <w:ind w:left="-5" w:leftChars="0" w:firstLine="420" w:firstLineChars="200"/>
        <w:jc w:val="both"/>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建安院区放射科DR室目前在用的“数字化医用X射线摄影系统”（以下简称：锐珂DR），型号：VX3733-SYS（原值：￥2098000元），购置启用于2020年12月。主要用于满足建安院区的检查需求。现将建安院区“锐珂DR”迁至院内放射科2号机房替换原有的2007年装机已使用超17年的“飞利浦DR”解决院内放射科设备更新使用。考虑设备的长途移机及后续使用问题，现招标购买设备全保服务，服务包含：1.设备迁移两次（二期搬迁）。2.设备迁移后的验收办证使用。3.投入使用后的设备全保服务。</w:t>
      </w:r>
    </w:p>
    <w:p>
      <w:pPr>
        <w:pStyle w:val="46"/>
        <w:spacing w:before="0" w:after="0" w:line="240" w:lineRule="auto"/>
        <w:ind w:left="0" w:leftChars="0" w:firstLine="0" w:firstLineChars="0"/>
        <w:contextualSpacing/>
        <w:jc w:val="left"/>
        <w:rPr>
          <w:rFonts w:hint="eastAsia" w:ascii="宋体" w:hAnsi="宋体"/>
          <w:b/>
          <w:bCs/>
          <w:sz w:val="21"/>
          <w:szCs w:val="21"/>
        </w:rPr>
      </w:pPr>
      <w:r>
        <w:rPr>
          <w:rFonts w:hint="eastAsia" w:ascii="宋体" w:hAnsi="宋体"/>
          <w:b/>
          <w:bCs/>
          <w:sz w:val="21"/>
          <w:szCs w:val="21"/>
        </w:rPr>
        <w:t>（二）服务内容</w:t>
      </w:r>
    </w:p>
    <w:p>
      <w:pPr>
        <w:numPr>
          <w:ilvl w:val="0"/>
          <w:numId w:val="0"/>
        </w:numPr>
        <w:spacing w:line="400" w:lineRule="exact"/>
        <w:ind w:left="-425" w:leftChars="0" w:firstLine="840" w:firstLineChars="400"/>
        <w:jc w:val="both"/>
        <w:rPr>
          <w:rFonts w:hint="eastAsia" w:ascii="宋体" w:hAnsi="宋体" w:eastAsia="宋体" w:cs="Times New Roman"/>
          <w:szCs w:val="21"/>
          <w:lang w:eastAsia="zh-CN"/>
        </w:rPr>
      </w:pPr>
      <w:r>
        <w:rPr>
          <w:rFonts w:hint="eastAsia" w:ascii="宋体" w:hAnsi="宋体" w:cs="Times New Roman"/>
          <w:szCs w:val="21"/>
          <w:lang w:val="en-US" w:eastAsia="zh-CN"/>
        </w:rPr>
        <w:t>1.</w:t>
      </w:r>
      <w:r>
        <w:rPr>
          <w:rFonts w:hint="eastAsia" w:ascii="宋体" w:hAnsi="宋体" w:eastAsia="宋体" w:cs="Times New Roman"/>
          <w:szCs w:val="21"/>
          <w:lang w:eastAsia="zh-CN"/>
        </w:rPr>
        <w:t>整机保修</w:t>
      </w:r>
      <w:r>
        <w:rPr>
          <w:rFonts w:hint="eastAsia" w:ascii="宋体" w:hAnsi="宋体" w:eastAsia="宋体" w:cs="Times New Roman"/>
          <w:szCs w:val="21"/>
          <w:lang w:val="en-US" w:eastAsia="zh-CN"/>
        </w:rPr>
        <w:t>壹年</w:t>
      </w:r>
    </w:p>
    <w:p>
      <w:pPr>
        <w:snapToGrid w:val="0"/>
        <w:spacing w:line="400" w:lineRule="exact"/>
        <w:ind w:firstLine="420" w:firstLineChars="200"/>
        <w:rPr>
          <w:rFonts w:hint="eastAsia" w:ascii="宋体" w:hAnsi="宋体" w:eastAsia="宋体" w:cs="Times New Roman"/>
          <w:szCs w:val="21"/>
          <w:lang w:eastAsia="zh-CN"/>
        </w:rPr>
      </w:pPr>
      <w:r>
        <w:rPr>
          <w:rFonts w:hint="eastAsia" w:ascii="宋体" w:hAnsi="宋体" w:eastAsia="宋体" w:cs="Times New Roman"/>
          <w:color w:val="auto"/>
          <w:szCs w:val="21"/>
          <w:lang w:val="en-US" w:eastAsia="zh-CN"/>
        </w:rPr>
        <w:t>2.</w:t>
      </w:r>
      <w:r>
        <w:rPr>
          <w:rFonts w:hint="eastAsia" w:ascii="宋体" w:hAnsi="宋体" w:eastAsia="宋体" w:cs="Times New Roman"/>
          <w:szCs w:val="21"/>
          <w:lang w:eastAsia="zh-CN"/>
        </w:rPr>
        <w:t>投标方有配件储备，</w:t>
      </w:r>
      <w:r>
        <w:rPr>
          <w:rFonts w:hint="eastAsia" w:ascii="宋体" w:hAnsi="宋体" w:cs="宋体"/>
          <w:b w:val="0"/>
          <w:bCs w:val="0"/>
          <w:kern w:val="0"/>
          <w:sz w:val="21"/>
          <w:szCs w:val="21"/>
          <w:lang w:val="en-US" w:eastAsia="zh-CN" w:bidi="ar-SA"/>
        </w:rPr>
        <w:t>中标人</w:t>
      </w:r>
      <w:r>
        <w:rPr>
          <w:sz w:val="21"/>
        </w:rPr>
        <w:t>接</w:t>
      </w:r>
      <w:r>
        <w:rPr>
          <w:rFonts w:hint="eastAsia"/>
          <w:sz w:val="21"/>
          <w:lang w:val="en-US" w:eastAsia="zh-CN"/>
        </w:rPr>
        <w:t>到</w:t>
      </w:r>
      <w:r>
        <w:rPr>
          <w:sz w:val="21"/>
        </w:rPr>
        <w:t>报修电话后提供突发性问题的解决措施及特殊紧急的合理化处理措施</w:t>
      </w:r>
      <w:r>
        <w:rPr>
          <w:rFonts w:hint="eastAsia"/>
          <w:sz w:val="21"/>
          <w:lang w:eastAsia="zh-CN"/>
        </w:rPr>
        <w:t>，</w:t>
      </w:r>
      <w:r>
        <w:rPr>
          <w:sz w:val="21"/>
        </w:rPr>
        <w:t>响应时间≤</w:t>
      </w:r>
      <w:r>
        <w:rPr>
          <w:rFonts w:hint="eastAsia"/>
          <w:sz w:val="21"/>
          <w:lang w:val="en-US" w:eastAsia="zh-CN"/>
        </w:rPr>
        <w:t>1</w:t>
      </w:r>
      <w:r>
        <w:rPr>
          <w:sz w:val="21"/>
        </w:rPr>
        <w:t>小时</w:t>
      </w:r>
      <w:r>
        <w:rPr>
          <w:rFonts w:hint="eastAsia"/>
          <w:sz w:val="21"/>
          <w:lang w:eastAsia="zh-CN"/>
        </w:rPr>
        <w:t>。</w:t>
      </w:r>
      <w:r>
        <w:rPr>
          <w:rFonts w:hint="eastAsia" w:ascii="宋体" w:hAnsi="宋体" w:eastAsia="宋体" w:cs="Times New Roman"/>
          <w:szCs w:val="21"/>
          <w:lang w:eastAsia="zh-CN"/>
        </w:rPr>
        <w:t>设备故障</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小时</w:t>
      </w:r>
      <w:r>
        <w:rPr>
          <w:rFonts w:hint="eastAsia" w:ascii="宋体" w:hAnsi="宋体" w:eastAsia="宋体" w:cs="Times New Roman"/>
          <w:szCs w:val="21"/>
          <w:lang w:val="en-US" w:eastAsia="zh-CN"/>
        </w:rPr>
        <w:t>内到达</w:t>
      </w:r>
      <w:r>
        <w:rPr>
          <w:rFonts w:hint="eastAsia" w:ascii="宋体" w:hAnsi="宋体" w:eastAsia="宋体" w:cs="Times New Roman"/>
          <w:szCs w:val="21"/>
          <w:lang w:eastAsia="zh-CN"/>
        </w:rPr>
        <w:t>现场维修，故障</w:t>
      </w:r>
      <w:r>
        <w:rPr>
          <w:rFonts w:hint="eastAsia" w:ascii="宋体" w:hAnsi="宋体" w:eastAsia="宋体" w:cs="Times New Roman"/>
          <w:szCs w:val="21"/>
          <w:lang w:val="en-US" w:eastAsia="zh-CN"/>
        </w:rPr>
        <w:t>48</w:t>
      </w:r>
      <w:r>
        <w:rPr>
          <w:rFonts w:hint="eastAsia" w:ascii="宋体" w:hAnsi="宋体" w:eastAsia="宋体" w:cs="Times New Roman"/>
          <w:szCs w:val="21"/>
          <w:lang w:eastAsia="zh-CN"/>
        </w:rPr>
        <w:t>小时内修复，保修的机器开机率达到95%以上（按一年365天计算），开机率低于90%采购方有权终止合同。</w:t>
      </w:r>
    </w:p>
    <w:p>
      <w:pPr>
        <w:snapToGrid w:val="0"/>
        <w:spacing w:line="400" w:lineRule="exact"/>
        <w:ind w:firstLine="420" w:firstLineChars="200"/>
        <w:rPr>
          <w:rFonts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▲服务期内所有故障的配件（包含球管、平板探测器）免费无限次数的更换</w:t>
      </w:r>
      <w:r>
        <w:rPr>
          <w:rFonts w:hint="eastAsia" w:ascii="宋体" w:hAnsi="宋体" w:cs="宋体"/>
          <w:kern w:val="0"/>
          <w:szCs w:val="21"/>
          <w:lang w:eastAsia="zh-CN"/>
        </w:rPr>
        <w:t>，更换的配件需为</w:t>
      </w:r>
      <w:r>
        <w:rPr>
          <w:rFonts w:hint="eastAsia" w:ascii="宋体" w:hAnsi="宋体" w:cs="宋体"/>
          <w:kern w:val="0"/>
          <w:szCs w:val="21"/>
          <w:lang w:val="en-US" w:eastAsia="zh-CN"/>
        </w:rPr>
        <w:t>原厂、全新、</w:t>
      </w:r>
      <w:r>
        <w:rPr>
          <w:rFonts w:hint="eastAsia" w:ascii="宋体" w:hAnsi="宋体" w:cs="宋体"/>
          <w:kern w:val="0"/>
          <w:szCs w:val="21"/>
          <w:lang w:eastAsia="zh-CN"/>
        </w:rPr>
        <w:t>同一型号配件，必须需是符合国家有关质量安全标准的合格配件</w:t>
      </w:r>
      <w:r>
        <w:rPr>
          <w:rFonts w:hint="eastAsia" w:ascii="宋体" w:hAnsi="宋体" w:cs="宋体"/>
          <w:kern w:val="0"/>
          <w:szCs w:val="21"/>
        </w:rPr>
        <w:t>。维修过后每台设备均应按照设备科要求在信息系统上录入维修记录,或出具书面维修报告，使用科室签字存档，按季度上交设备科以备查验。</w:t>
      </w:r>
    </w:p>
    <w:p>
      <w:pPr>
        <w:numPr>
          <w:ilvl w:val="0"/>
          <w:numId w:val="0"/>
        </w:numPr>
        <w:spacing w:line="400" w:lineRule="exact"/>
        <w:ind w:leftChars="0" w:firstLine="420" w:firstLineChars="200"/>
        <w:jc w:val="both"/>
        <w:rPr>
          <w:rFonts w:hint="eastAsia" w:ascii="宋体" w:hAnsi="宋体" w:eastAsia="宋体" w:cs="Times New Roman"/>
          <w:szCs w:val="21"/>
          <w:lang w:eastAsia="zh-CN"/>
        </w:rPr>
      </w:pPr>
      <w:r>
        <w:rPr>
          <w:rFonts w:hint="eastAsia" w:ascii="宋体" w:hAnsi="宋体" w:cs="宋体"/>
          <w:kern w:val="0"/>
          <w:szCs w:val="21"/>
          <w:lang w:val="en-US" w:eastAsia="zh-CN"/>
        </w:rPr>
        <w:t>4.</w:t>
      </w:r>
      <w:r>
        <w:rPr>
          <w:rFonts w:hint="eastAsia" w:ascii="宋体" w:hAnsi="宋体" w:cs="宋体"/>
          <w:kern w:val="0"/>
          <w:szCs w:val="21"/>
        </w:rPr>
        <w:t>▲</w:t>
      </w:r>
      <w:r>
        <w:rPr>
          <w:rFonts w:hint="eastAsia" w:ascii="宋体" w:hAnsi="宋体" w:eastAsia="宋体" w:cs="Times New Roman"/>
          <w:szCs w:val="21"/>
          <w:lang w:eastAsia="zh-CN"/>
        </w:rPr>
        <w:t>每年</w:t>
      </w: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次保养（包</w:t>
      </w:r>
      <w:r>
        <w:rPr>
          <w:rFonts w:hint="eastAsia" w:ascii="宋体" w:hAnsi="宋体" w:eastAsia="宋体" w:cs="Times New Roman"/>
          <w:szCs w:val="21"/>
          <w:lang w:val="en-US" w:eastAsia="zh-CN"/>
        </w:rPr>
        <w:t>含</w:t>
      </w:r>
      <w:r>
        <w:rPr>
          <w:rFonts w:hint="eastAsia" w:ascii="宋体" w:hAnsi="宋体" w:eastAsia="宋体" w:cs="Times New Roman"/>
          <w:szCs w:val="21"/>
          <w:lang w:eastAsia="zh-CN"/>
        </w:rPr>
        <w:t>保养耗材）。</w:t>
      </w:r>
    </w:p>
    <w:p>
      <w:pPr>
        <w:snapToGrid w:val="0"/>
        <w:spacing w:line="400" w:lineRule="exact"/>
        <w:ind w:firstLine="420" w:firstLineChars="200"/>
        <w:rPr>
          <w:rFonts w:hint="eastAsia" w:ascii="宋体" w:hAnsi="宋体" w:cs="宋体"/>
          <w:kern w:val="0"/>
          <w:szCs w:val="21"/>
        </w:rPr>
      </w:pPr>
      <w:r>
        <w:rPr>
          <w:rFonts w:hint="eastAsia" w:ascii="宋体" w:hAnsi="宋体" w:eastAsia="宋体" w:cs="Times New Roman"/>
          <w:szCs w:val="21"/>
          <w:lang w:val="en-US" w:eastAsia="zh-CN"/>
        </w:rPr>
        <w:t>5.</w:t>
      </w:r>
      <w:r>
        <w:rPr>
          <w:rFonts w:hint="eastAsia" w:ascii="宋体" w:hAnsi="宋体" w:cs="宋体"/>
          <w:kern w:val="0"/>
          <w:szCs w:val="21"/>
        </w:rPr>
        <w:t>在合同期内，投标方</w:t>
      </w:r>
      <w:r>
        <w:rPr>
          <w:rFonts w:hint="eastAsia" w:ascii="宋体" w:hAnsi="宋体" w:cs="宋体"/>
          <w:kern w:val="0"/>
          <w:szCs w:val="21"/>
          <w:lang w:val="en-US" w:eastAsia="zh-CN"/>
        </w:rPr>
        <w:t>需使用</w:t>
      </w:r>
      <w:r>
        <w:rPr>
          <w:rFonts w:hint="eastAsia" w:ascii="宋体" w:hAnsi="宋体" w:cs="宋体"/>
          <w:kern w:val="0"/>
          <w:szCs w:val="21"/>
        </w:rPr>
        <w:t>科室相关人员提供设备的操作，维护培训，科室相关人员在使用过程中提出的问题及时回应并解答</w:t>
      </w:r>
      <w:r>
        <w:rPr>
          <w:rFonts w:hint="eastAsia" w:ascii="宋体" w:hAnsi="宋体" w:cs="宋体"/>
          <w:kern w:val="0"/>
          <w:szCs w:val="21"/>
          <w:lang w:val="en-US" w:eastAsia="zh-CN"/>
        </w:rPr>
        <w:t>并</w:t>
      </w:r>
      <w:r>
        <w:rPr>
          <w:rFonts w:hint="eastAsia" w:ascii="宋体" w:hAnsi="宋体" w:cs="宋体"/>
          <w:kern w:val="0"/>
          <w:szCs w:val="21"/>
        </w:rPr>
        <w:t>做好培训记录档案备查。</w:t>
      </w:r>
    </w:p>
    <w:p>
      <w:pPr>
        <w:snapToGrid w:val="0"/>
        <w:spacing w:line="400" w:lineRule="exact"/>
        <w:ind w:firstLine="420" w:firstLineChars="200"/>
        <w:rPr>
          <w:rFonts w:hint="eastAsia"/>
        </w:rPr>
      </w:pPr>
      <w:r>
        <w:rPr>
          <w:rFonts w:hint="eastAsia" w:ascii="宋体" w:hAnsi="宋体" w:cs="宋体"/>
          <w:b w:val="0"/>
          <w:bCs w:val="0"/>
          <w:kern w:val="0"/>
          <w:sz w:val="21"/>
          <w:szCs w:val="21"/>
          <w:lang w:val="en-US" w:eastAsia="zh-CN"/>
        </w:rPr>
        <w:t>6.</w:t>
      </w:r>
      <w:r>
        <w:rPr>
          <w:rFonts w:hint="eastAsia" w:ascii="宋体" w:hAnsi="宋体" w:cs="宋体"/>
          <w:kern w:val="0"/>
          <w:szCs w:val="21"/>
          <w:lang w:val="en-US" w:eastAsia="zh-CN"/>
        </w:rPr>
        <w:t>重大故障维修或</w:t>
      </w:r>
      <w:r>
        <w:rPr>
          <w:rFonts w:hint="eastAsia" w:ascii="宋体" w:hAnsi="宋体" w:cs="宋体"/>
          <w:kern w:val="0"/>
          <w:szCs w:val="21"/>
        </w:rPr>
        <w:t>管理部门检查需要</w:t>
      </w:r>
      <w:r>
        <w:rPr>
          <w:rFonts w:hint="eastAsia" w:ascii="宋体" w:hAnsi="宋体" w:cs="宋体"/>
          <w:kern w:val="0"/>
          <w:szCs w:val="21"/>
          <w:lang w:eastAsia="zh-CN"/>
        </w:rPr>
        <w:t>及</w:t>
      </w:r>
      <w:r>
        <w:rPr>
          <w:rFonts w:hint="eastAsia" w:ascii="宋体" w:hAnsi="宋体" w:cs="宋体"/>
          <w:kern w:val="0"/>
          <w:szCs w:val="21"/>
        </w:rPr>
        <w:t>时提供认可的第三方性能检测报告（提供第三方检测公司的合作协议等证明文件）。</w:t>
      </w:r>
    </w:p>
    <w:p>
      <w:pPr>
        <w:pStyle w:val="2"/>
        <w:autoSpaceDE/>
        <w:autoSpaceDN/>
        <w:spacing w:line="400" w:lineRule="exact"/>
        <w:ind w:left="0" w:leftChars="0" w:firstLine="420" w:firstLineChars="200"/>
        <w:jc w:val="both"/>
        <w:rPr>
          <w:rFonts w:hint="eastAsia" w:ascii="宋体" w:hAnsi="宋体" w:eastAsia="宋体" w:cs="宋体"/>
          <w:b w:val="0"/>
          <w:bCs w:val="0"/>
          <w:kern w:val="0"/>
          <w:sz w:val="21"/>
          <w:szCs w:val="21"/>
          <w:lang w:val="en-US" w:eastAsia="zh-CN" w:bidi="ar-SA"/>
        </w:rPr>
      </w:pPr>
      <w:r>
        <w:rPr>
          <w:rFonts w:hint="eastAsia"/>
          <w:b w:val="0"/>
          <w:bCs w:val="0"/>
          <w:sz w:val="21"/>
          <w:szCs w:val="21"/>
          <w:lang w:val="en-US" w:eastAsia="zh-CN"/>
        </w:rPr>
        <w:t>7.</w:t>
      </w:r>
      <w:r>
        <w:rPr>
          <w:rFonts w:hint="eastAsia" w:ascii="宋体" w:hAnsi="宋体" w:eastAsia="宋体" w:cs="宋体"/>
          <w:b w:val="0"/>
          <w:bCs w:val="0"/>
          <w:kern w:val="0"/>
          <w:sz w:val="21"/>
          <w:szCs w:val="21"/>
          <w:lang w:val="en-US" w:eastAsia="zh-CN" w:bidi="ar-SA"/>
        </w:rPr>
        <w:t>设备目前已经产生的故障包含在本项目维保范围内。</w:t>
      </w:r>
    </w:p>
    <w:p>
      <w:pPr>
        <w:numPr>
          <w:ilvl w:val="0"/>
          <w:numId w:val="0"/>
        </w:numPr>
        <w:spacing w:line="400" w:lineRule="exact"/>
        <w:ind w:leftChars="0" w:firstLine="420" w:firstLineChars="200"/>
        <w:jc w:val="both"/>
        <w:rPr>
          <w:rFonts w:hint="eastAsia"/>
          <w:lang w:eastAsia="zh-CN"/>
        </w:rPr>
      </w:pPr>
      <w:r>
        <w:rPr>
          <w:rFonts w:hint="eastAsia" w:ascii="宋体" w:hAnsi="宋体" w:eastAsia="宋体" w:cs="宋体"/>
          <w:b w:val="0"/>
          <w:bCs w:val="0"/>
          <w:kern w:val="0"/>
          <w:sz w:val="21"/>
          <w:szCs w:val="21"/>
          <w:lang w:val="en-US" w:eastAsia="zh-CN" w:bidi="ar-SA"/>
        </w:rPr>
        <w:t>8.</w:t>
      </w:r>
      <w:r>
        <w:rPr>
          <w:rFonts w:hint="eastAsia" w:ascii="宋体" w:hAnsi="宋体" w:cs="Calibri"/>
          <w:szCs w:val="21"/>
        </w:rPr>
        <w:t>★</w:t>
      </w:r>
      <w:r>
        <w:rPr>
          <w:rFonts w:hint="eastAsia" w:ascii="宋体" w:hAnsi="宋体" w:eastAsia="宋体" w:cs="宋体"/>
          <w:b w:val="0"/>
          <w:bCs w:val="0"/>
          <w:kern w:val="0"/>
          <w:sz w:val="21"/>
          <w:szCs w:val="21"/>
          <w:lang w:val="en-US" w:eastAsia="zh-CN" w:bidi="ar-SA"/>
        </w:rPr>
        <w:t>合同期内，免费提供两次搬迁并办证服务（辐射安全许可证、放射诊疗许可证）。</w:t>
      </w:r>
    </w:p>
    <w:p>
      <w:pPr>
        <w:numPr>
          <w:ilvl w:val="0"/>
          <w:numId w:val="0"/>
        </w:numPr>
        <w:spacing w:line="400" w:lineRule="exact"/>
        <w:ind w:leftChars="0" w:firstLine="420" w:firstLineChars="200"/>
        <w:jc w:val="both"/>
        <w:rPr>
          <w:rFonts w:hint="eastAsia" w:ascii="宋体" w:hAnsi="宋体" w:eastAsia="宋体" w:cs="Times New Roman"/>
          <w:szCs w:val="21"/>
          <w:lang w:eastAsia="zh-CN"/>
        </w:rPr>
      </w:pPr>
      <w:r>
        <w:rPr>
          <w:rFonts w:hint="eastAsia" w:ascii="宋体" w:hAnsi="宋体" w:eastAsia="宋体" w:cs="Times New Roman"/>
          <w:szCs w:val="21"/>
          <w:lang w:val="en-US" w:eastAsia="zh-CN"/>
        </w:rPr>
        <w:t>9.合同期内，每年</w:t>
      </w:r>
      <w:r>
        <w:rPr>
          <w:rFonts w:hint="eastAsia" w:ascii="宋体" w:hAnsi="宋体" w:eastAsia="宋体" w:cs="Times New Roman"/>
          <w:szCs w:val="21"/>
          <w:lang w:eastAsia="zh-CN"/>
        </w:rPr>
        <w:t>提供维修年度总结报告</w:t>
      </w:r>
    </w:p>
    <w:p>
      <w:pPr>
        <w:pStyle w:val="2"/>
        <w:autoSpaceDE/>
        <w:autoSpaceDN/>
        <w:spacing w:line="400" w:lineRule="exact"/>
        <w:ind w:left="0" w:leftChars="0" w:firstLine="420" w:firstLineChars="200"/>
        <w:jc w:val="both"/>
        <w:rPr>
          <w:rFonts w:hint="default" w:ascii="宋体" w:hAnsi="宋体" w:eastAsia="宋体" w:cs="Times New Roman"/>
          <w:b w:val="0"/>
          <w:bCs w:val="0"/>
          <w:sz w:val="21"/>
          <w:szCs w:val="21"/>
          <w:lang w:eastAsia="zh-CN"/>
        </w:rPr>
      </w:pPr>
      <w:r>
        <w:rPr>
          <w:rFonts w:hint="eastAsia" w:ascii="宋体" w:hAnsi="宋体" w:eastAsia="宋体" w:cs="Times New Roman"/>
          <w:b w:val="0"/>
          <w:bCs w:val="0"/>
          <w:sz w:val="21"/>
          <w:szCs w:val="21"/>
          <w:lang w:val="en-US" w:eastAsia="zh-CN"/>
        </w:rPr>
        <w:t>10.</w:t>
      </w:r>
      <w:r>
        <w:rPr>
          <w:rFonts w:hint="default" w:ascii="宋体" w:hAnsi="宋体" w:eastAsia="宋体" w:cs="Times New Roman"/>
          <w:b w:val="0"/>
          <w:bCs w:val="0"/>
          <w:sz w:val="21"/>
          <w:szCs w:val="21"/>
          <w:lang w:eastAsia="zh-CN"/>
        </w:rPr>
        <w:t>协助</w:t>
      </w:r>
      <w:r>
        <w:rPr>
          <w:rFonts w:hint="eastAsia" w:ascii="宋体" w:hAnsi="宋体" w:eastAsia="宋体" w:cs="Times New Roman"/>
          <w:b w:val="0"/>
          <w:bCs w:val="0"/>
          <w:sz w:val="21"/>
          <w:szCs w:val="21"/>
          <w:lang w:eastAsia="zh-CN"/>
        </w:rPr>
        <w:t>采购人</w:t>
      </w:r>
      <w:r>
        <w:rPr>
          <w:rFonts w:hint="default" w:ascii="宋体" w:hAnsi="宋体" w:eastAsia="宋体" w:cs="Times New Roman"/>
          <w:b w:val="0"/>
          <w:bCs w:val="0"/>
          <w:sz w:val="21"/>
          <w:szCs w:val="21"/>
          <w:lang w:eastAsia="zh-CN"/>
        </w:rPr>
        <w:t>完成每</w:t>
      </w:r>
      <w:r>
        <w:rPr>
          <w:rFonts w:hint="eastAsia" w:ascii="宋体" w:hAnsi="宋体" w:eastAsia="宋体" w:cs="Times New Roman"/>
          <w:b w:val="0"/>
          <w:bCs w:val="0"/>
          <w:sz w:val="21"/>
          <w:szCs w:val="21"/>
          <w:lang w:val="en-US" w:eastAsia="zh-CN"/>
        </w:rPr>
        <w:t>年度放射性能</w:t>
      </w:r>
      <w:r>
        <w:rPr>
          <w:rFonts w:hint="default" w:ascii="宋体" w:hAnsi="宋体" w:eastAsia="宋体" w:cs="Times New Roman"/>
          <w:b w:val="0"/>
          <w:bCs w:val="0"/>
          <w:sz w:val="21"/>
          <w:szCs w:val="21"/>
          <w:lang w:eastAsia="zh-CN"/>
        </w:rPr>
        <w:t>检测、计量检测等检查工作。</w:t>
      </w:r>
    </w:p>
    <w:p>
      <w:pPr>
        <w:numPr>
          <w:ilvl w:val="0"/>
          <w:numId w:val="0"/>
        </w:numPr>
        <w:tabs>
          <w:tab w:val="left" w:pos="567"/>
        </w:tabs>
        <w:snapToGrid w:val="0"/>
        <w:ind w:leftChars="0"/>
        <w:rPr>
          <w:rFonts w:hint="eastAsia" w:hAnsi="宋体"/>
          <w:szCs w:val="21"/>
          <w:lang w:val="en-US" w:eastAsia="zh-CN"/>
        </w:rPr>
      </w:pPr>
      <w:r>
        <w:rPr>
          <w:rFonts w:hint="eastAsia" w:hAnsi="宋体"/>
          <w:b/>
          <w:bCs/>
          <w:szCs w:val="21"/>
          <w:lang w:val="en-US" w:eastAsia="zh-CN"/>
        </w:rPr>
        <w:t>（三）人员要求</w:t>
      </w:r>
    </w:p>
    <w:p>
      <w:pPr>
        <w:pStyle w:val="10"/>
        <w:numPr>
          <w:ilvl w:val="0"/>
          <w:numId w:val="0"/>
        </w:numPr>
        <w:ind w:firstLine="420" w:firstLineChars="200"/>
        <w:rPr>
          <w:rFonts w:hint="eastAsia" w:ascii="宋体" w:hAnsi="宋体"/>
          <w:bCs/>
          <w:szCs w:val="21"/>
        </w:rPr>
      </w:pPr>
      <w:r>
        <w:rPr>
          <w:rFonts w:hint="eastAsia" w:ascii="宋体" w:hAnsi="宋体"/>
          <w:bCs/>
          <w:szCs w:val="21"/>
        </w:rPr>
        <w:t>服务商以及受服务商指派从事维保服务的人员均具有相应的资格，完全能胜任服务的要求。服务商承诺将指定原厂工程师或经原厂培训认证的工程师（提供相应证书或者证明）专门负责</w:t>
      </w:r>
      <w:r>
        <w:rPr>
          <w:rFonts w:hint="eastAsia" w:ascii="宋体" w:hAnsi="宋体"/>
          <w:bCs/>
          <w:szCs w:val="21"/>
          <w:lang w:eastAsia="zh-CN"/>
        </w:rPr>
        <w:t>采购人</w:t>
      </w:r>
      <w:r>
        <w:rPr>
          <w:rFonts w:hint="eastAsia" w:ascii="宋体" w:hAnsi="宋体"/>
          <w:bCs/>
          <w:szCs w:val="21"/>
        </w:rPr>
        <w:t>的维修和相应的培训工作，如指定工程师有变更，将另行通知</w:t>
      </w:r>
      <w:r>
        <w:rPr>
          <w:rFonts w:hint="eastAsia" w:ascii="宋体" w:hAnsi="宋体"/>
          <w:bCs/>
          <w:szCs w:val="21"/>
          <w:lang w:eastAsia="zh-CN"/>
        </w:rPr>
        <w:t>采购人</w:t>
      </w:r>
      <w:r>
        <w:rPr>
          <w:rFonts w:hint="eastAsia" w:ascii="宋体" w:hAnsi="宋体"/>
          <w:bCs/>
          <w:szCs w:val="21"/>
        </w:rPr>
        <w:t>变更情况。</w:t>
      </w:r>
    </w:p>
    <w:p>
      <w:pPr>
        <w:pStyle w:val="10"/>
        <w:numPr>
          <w:ilvl w:val="0"/>
          <w:numId w:val="0"/>
        </w:numPr>
        <w:rPr>
          <w:rFonts w:hint="default" w:ascii="Times New Roman" w:hAnsi="宋体" w:eastAsia="宋体" w:cs="Times New Roman"/>
          <w:b/>
          <w:bCs/>
          <w:kern w:val="2"/>
          <w:sz w:val="21"/>
          <w:szCs w:val="21"/>
          <w:lang w:val="en-US" w:eastAsia="zh-CN" w:bidi="ar-SA"/>
        </w:rPr>
      </w:pPr>
      <w:r>
        <w:rPr>
          <w:rFonts w:hint="eastAsia" w:ascii="Times New Roman" w:hAnsi="宋体" w:cs="Times New Roman"/>
          <w:b/>
          <w:bCs/>
          <w:kern w:val="2"/>
          <w:sz w:val="21"/>
          <w:szCs w:val="21"/>
          <w:lang w:val="en-US" w:eastAsia="zh-CN" w:bidi="ar-SA"/>
        </w:rPr>
        <w:t>（四）投入设施要求</w:t>
      </w:r>
    </w:p>
    <w:p>
      <w:pPr>
        <w:pStyle w:val="10"/>
        <w:numPr>
          <w:ilvl w:val="0"/>
          <w:numId w:val="0"/>
        </w:numPr>
        <w:ind w:firstLine="420" w:firstLineChars="200"/>
        <w:rPr>
          <w:rFonts w:hint="eastAsia" w:ascii="宋体" w:hAnsi="宋体" w:eastAsia="宋体" w:cs="宋体"/>
          <w:bCs/>
          <w:szCs w:val="21"/>
        </w:rPr>
      </w:pPr>
      <w:r>
        <w:rPr>
          <w:rFonts w:hint="eastAsia" w:ascii="宋体" w:hAnsi="宋体" w:eastAsia="宋体" w:cs="宋体"/>
          <w:bCs/>
          <w:szCs w:val="21"/>
          <w:lang w:val="en-US" w:eastAsia="zh-CN"/>
        </w:rPr>
        <w:t>1.</w:t>
      </w:r>
      <w:r>
        <w:rPr>
          <w:rFonts w:hint="eastAsia" w:ascii="宋体" w:hAnsi="宋体" w:eastAsia="宋体" w:cs="宋体"/>
          <w:bCs/>
          <w:szCs w:val="21"/>
        </w:rPr>
        <w:t>投标</w:t>
      </w:r>
      <w:r>
        <w:rPr>
          <w:rFonts w:hint="eastAsia" w:ascii="宋体" w:hAnsi="宋体" w:eastAsia="宋体" w:cs="宋体"/>
          <w:bCs/>
          <w:szCs w:val="21"/>
          <w:lang w:val="en-US" w:eastAsia="zh-CN"/>
        </w:rPr>
        <w:t>公司</w:t>
      </w:r>
      <w:r>
        <w:rPr>
          <w:rFonts w:hint="eastAsia" w:ascii="宋体" w:hAnsi="宋体" w:eastAsia="宋体" w:cs="宋体"/>
          <w:bCs/>
          <w:szCs w:val="21"/>
        </w:rPr>
        <w:t>设有</w:t>
      </w:r>
      <w:r>
        <w:rPr>
          <w:rFonts w:hint="eastAsia" w:ascii="宋体" w:hAnsi="宋体" w:eastAsia="宋体" w:cs="宋体"/>
          <w:bCs/>
          <w:szCs w:val="21"/>
          <w:lang w:val="en-US" w:eastAsia="zh-CN"/>
        </w:rPr>
        <w:t>相应的</w:t>
      </w:r>
      <w:r>
        <w:rPr>
          <w:rFonts w:hint="eastAsia" w:ascii="宋体" w:hAnsi="宋体" w:eastAsia="宋体" w:cs="宋体"/>
          <w:bCs/>
          <w:szCs w:val="21"/>
        </w:rPr>
        <w:t>配件仓库</w:t>
      </w:r>
      <w:r>
        <w:rPr>
          <w:rFonts w:hint="eastAsia" w:ascii="宋体" w:hAnsi="宋体" w:eastAsia="宋体" w:cs="宋体"/>
          <w:bCs/>
          <w:szCs w:val="21"/>
          <w:lang w:eastAsia="zh-CN"/>
        </w:rPr>
        <w:t>，</w:t>
      </w:r>
      <w:r>
        <w:rPr>
          <w:rFonts w:hint="eastAsia" w:ascii="宋体" w:hAnsi="宋体" w:eastAsia="宋体" w:cs="宋体"/>
          <w:bCs/>
          <w:szCs w:val="21"/>
        </w:rPr>
        <w:t>提供库存跟本项目维保设备相关的关键备件清单；</w:t>
      </w:r>
    </w:p>
    <w:p>
      <w:pPr>
        <w:pStyle w:val="10"/>
        <w:numPr>
          <w:ilvl w:val="0"/>
          <w:numId w:val="0"/>
        </w:numPr>
        <w:ind w:firstLine="420" w:firstLineChars="200"/>
        <w:rPr>
          <w:rFonts w:hint="eastAsia" w:ascii="宋体" w:hAnsi="宋体" w:eastAsia="宋体" w:cs="宋体"/>
          <w:bCs/>
          <w:szCs w:val="21"/>
          <w:lang w:val="en-US" w:eastAsia="zh-CN"/>
        </w:rPr>
      </w:pPr>
      <w:r>
        <w:rPr>
          <w:rFonts w:hint="eastAsia" w:ascii="宋体" w:hAnsi="宋体" w:eastAsia="宋体" w:cs="宋体"/>
          <w:bCs/>
          <w:szCs w:val="21"/>
        </w:rPr>
        <w:t>2</w:t>
      </w:r>
      <w:r>
        <w:rPr>
          <w:rFonts w:hint="eastAsia" w:ascii="宋体" w:hAnsi="宋体" w:eastAsia="宋体" w:cs="宋体"/>
          <w:bCs/>
          <w:szCs w:val="21"/>
          <w:lang w:val="en-US" w:eastAsia="zh-CN"/>
        </w:rPr>
        <w:t>.供应商承诺中标后提供本地（深圳市）售后服务驻点；</w:t>
      </w:r>
    </w:p>
    <w:p>
      <w:pPr>
        <w:pStyle w:val="10"/>
        <w:numPr>
          <w:ilvl w:val="0"/>
          <w:numId w:val="0"/>
        </w:numPr>
        <w:ind w:firstLine="420" w:firstLineChars="200"/>
        <w:rPr>
          <w:rFonts w:hint="eastAsia" w:ascii="宋体" w:hAnsi="宋体" w:eastAsia="宋体" w:cs="宋体"/>
          <w:bCs/>
          <w:szCs w:val="21"/>
        </w:rPr>
      </w:pPr>
      <w:r>
        <w:rPr>
          <w:rFonts w:hint="eastAsia" w:ascii="宋体" w:hAnsi="宋体" w:eastAsia="宋体" w:cs="宋体"/>
          <w:bCs/>
          <w:szCs w:val="21"/>
          <w:lang w:val="en-US" w:eastAsia="zh-CN"/>
        </w:rPr>
        <w:t>3.投标公司有</w:t>
      </w:r>
      <w:r>
        <w:rPr>
          <w:rFonts w:hint="eastAsia" w:ascii="宋体" w:hAnsi="宋体" w:eastAsia="宋体" w:cs="宋体"/>
          <w:bCs/>
          <w:szCs w:val="21"/>
        </w:rPr>
        <w:t>确保全年备件供应服务</w:t>
      </w:r>
      <w:r>
        <w:rPr>
          <w:rFonts w:hint="eastAsia" w:ascii="宋体" w:hAnsi="宋体" w:eastAsia="宋体" w:cs="宋体"/>
          <w:bCs/>
          <w:szCs w:val="21"/>
          <w:lang w:val="en-US" w:eastAsia="zh-CN"/>
        </w:rPr>
        <w:t>的</w:t>
      </w:r>
      <w:r>
        <w:rPr>
          <w:rFonts w:hint="eastAsia" w:ascii="宋体" w:hAnsi="宋体" w:eastAsia="宋体" w:cs="宋体"/>
          <w:bCs/>
          <w:szCs w:val="21"/>
        </w:rPr>
        <w:t>物流渠道</w:t>
      </w:r>
      <w:r>
        <w:rPr>
          <w:rFonts w:hint="eastAsia" w:ascii="宋体" w:hAnsi="宋体" w:eastAsia="宋体" w:cs="宋体"/>
          <w:bCs/>
          <w:szCs w:val="21"/>
          <w:lang w:val="en-US" w:eastAsia="zh-CN"/>
        </w:rPr>
        <w:t>保证。</w:t>
      </w:r>
    </w:p>
    <w:p>
      <w:pPr>
        <w:pStyle w:val="10"/>
        <w:numPr>
          <w:ilvl w:val="0"/>
          <w:numId w:val="0"/>
        </w:numPr>
        <w:rPr>
          <w:rFonts w:hint="eastAsia" w:ascii="Times New Roman" w:hAnsi="宋体" w:eastAsia="宋体" w:cs="Times New Roman"/>
          <w:b/>
          <w:bCs/>
          <w:kern w:val="2"/>
          <w:sz w:val="21"/>
          <w:szCs w:val="21"/>
          <w:lang w:val="en-US" w:eastAsia="zh-CN" w:bidi="ar-SA"/>
        </w:rPr>
      </w:pPr>
      <w:r>
        <w:rPr>
          <w:rFonts w:hint="eastAsia" w:ascii="Times New Roman" w:hAnsi="宋体" w:cs="Times New Roman"/>
          <w:b/>
          <w:bCs/>
          <w:kern w:val="2"/>
          <w:sz w:val="21"/>
          <w:szCs w:val="21"/>
          <w:lang w:val="en-US" w:eastAsia="zh-CN" w:bidi="ar-SA"/>
        </w:rPr>
        <w:t>（五）成果</w:t>
      </w:r>
      <w:r>
        <w:rPr>
          <w:rFonts w:hint="eastAsia" w:ascii="Times New Roman" w:hAnsi="宋体" w:eastAsia="宋体" w:cs="Times New Roman"/>
          <w:b/>
          <w:bCs/>
          <w:kern w:val="2"/>
          <w:sz w:val="21"/>
          <w:szCs w:val="21"/>
          <w:lang w:val="en-US" w:eastAsia="zh-CN" w:bidi="ar-SA"/>
        </w:rPr>
        <w:t>要求</w:t>
      </w:r>
    </w:p>
    <w:p>
      <w:pPr>
        <w:pStyle w:val="2"/>
        <w:ind w:firstLine="420" w:firstLineChars="200"/>
        <w:rPr>
          <w:rFonts w:hint="eastAsia"/>
          <w:szCs w:val="21"/>
        </w:rPr>
      </w:pPr>
      <w:r>
        <w:rPr>
          <w:rFonts w:hint="eastAsia"/>
          <w:szCs w:val="21"/>
        </w:rPr>
        <w:t>投标人必须按国家、行业的标准及招标文件的要求对项目内的设备进行系统的、全面的检测、维护及保养，以保证设备的高效、正常运作。</w:t>
      </w:r>
    </w:p>
    <w:p>
      <w:pPr>
        <w:pStyle w:val="10"/>
        <w:numPr>
          <w:ilvl w:val="0"/>
          <w:numId w:val="0"/>
        </w:numPr>
        <w:rPr>
          <w:rFonts w:hint="eastAsia" w:ascii="Times New Roman" w:hAnsi="宋体" w:eastAsia="宋体" w:cs="Times New Roman"/>
          <w:b/>
          <w:bCs/>
          <w:kern w:val="2"/>
          <w:sz w:val="21"/>
          <w:szCs w:val="21"/>
          <w:lang w:val="en-US" w:eastAsia="zh-CN" w:bidi="ar-SA"/>
        </w:rPr>
      </w:pPr>
      <w:r>
        <w:rPr>
          <w:rFonts w:hint="eastAsia" w:ascii="Times New Roman" w:hAnsi="宋体" w:eastAsia="宋体" w:cs="Times New Roman"/>
          <w:b/>
          <w:bCs/>
          <w:kern w:val="2"/>
          <w:sz w:val="21"/>
          <w:szCs w:val="21"/>
          <w:lang w:val="en-US" w:eastAsia="zh-CN" w:bidi="ar-SA"/>
        </w:rPr>
        <w:t>（六）技术资料要求</w:t>
      </w:r>
    </w:p>
    <w:p>
      <w:pPr>
        <w:pStyle w:val="10"/>
        <w:numPr>
          <w:ilvl w:val="0"/>
          <w:numId w:val="0"/>
        </w:numPr>
        <w:ind w:firstLine="420" w:firstLineChars="200"/>
        <w:rPr>
          <w:rFonts w:hint="eastAsia" w:ascii="宋体" w:hAnsi="宋体" w:eastAsia="宋体" w:cs="宋体"/>
          <w:bCs/>
          <w:szCs w:val="21"/>
          <w:lang w:val="en-US" w:eastAsia="zh-CN"/>
        </w:rPr>
      </w:pPr>
      <w:r>
        <w:rPr>
          <w:rFonts w:hint="eastAsia" w:ascii="宋体" w:hAnsi="宋体" w:eastAsia="宋体" w:cs="宋体"/>
          <w:bCs/>
          <w:szCs w:val="21"/>
          <w:lang w:val="en-US" w:eastAsia="zh-CN"/>
        </w:rPr>
        <w:t>1.具有设备生产制造厂家关于售后服务的授权或技术合作协议（提供相应证明材料）。</w:t>
      </w:r>
    </w:p>
    <w:p>
      <w:pPr>
        <w:pStyle w:val="10"/>
        <w:numPr>
          <w:ilvl w:val="0"/>
          <w:numId w:val="0"/>
        </w:numPr>
        <w:ind w:firstLine="420" w:firstLineChars="200"/>
        <w:rPr>
          <w:rFonts w:hint="eastAsia" w:ascii="宋体" w:hAnsi="宋体" w:eastAsia="宋体" w:cs="宋体"/>
          <w:bCs/>
          <w:szCs w:val="21"/>
          <w:lang w:val="en-US" w:eastAsia="zh-CN"/>
        </w:rPr>
      </w:pPr>
      <w:r>
        <w:rPr>
          <w:rFonts w:hint="eastAsia" w:ascii="宋体" w:hAnsi="宋体" w:eastAsia="宋体" w:cs="宋体"/>
          <w:bCs/>
          <w:szCs w:val="21"/>
          <w:lang w:val="en-US" w:eastAsia="zh-CN"/>
        </w:rPr>
        <w:t>2.提供详细的维保服务方案及拟投入服务人员团队情况。</w:t>
      </w:r>
    </w:p>
    <w:p>
      <w:pPr>
        <w:pStyle w:val="2"/>
        <w:numPr>
          <w:ilvl w:val="0"/>
          <w:numId w:val="0"/>
        </w:numPr>
        <w:rPr>
          <w:rFonts w:hint="eastAsia"/>
          <w:lang w:eastAsia="zh-CN"/>
        </w:rPr>
      </w:pP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Cs w:val="21"/>
        </w:rPr>
      </w:pPr>
    </w:p>
    <w:p>
      <w:pPr>
        <w:pStyle w:val="5"/>
        <w:numPr>
          <w:ilvl w:val="0"/>
          <w:numId w:val="3"/>
        </w:numPr>
        <w:jc w:val="center"/>
        <w:rPr>
          <w:b/>
          <w:bCs/>
          <w:sz w:val="30"/>
          <w:szCs w:val="30"/>
        </w:rPr>
      </w:pPr>
      <w:r>
        <w:rPr>
          <w:rFonts w:hint="eastAsia"/>
          <w:b/>
          <w:bCs/>
          <w:sz w:val="30"/>
          <w:szCs w:val="30"/>
        </w:rPr>
        <w:t>商务条款要求</w:t>
      </w:r>
    </w:p>
    <w:bookmarkEnd w:id="3"/>
    <w:bookmarkEnd w:id="4"/>
    <w:bookmarkEnd w:id="5"/>
    <w:p>
      <w:pPr>
        <w:pStyle w:val="10"/>
        <w:ind w:firstLine="420" w:firstLineChars="200"/>
        <w:rPr>
          <w:rFonts w:hint="eastAsia" w:hAnsi="宋体"/>
        </w:rPr>
      </w:pPr>
    </w:p>
    <w:p>
      <w:pPr>
        <w:rPr>
          <w:rFonts w:ascii="宋体" w:hAnsi="宋体"/>
          <w:b/>
          <w:szCs w:val="21"/>
          <w:u w:val="single"/>
        </w:rPr>
      </w:pPr>
      <w:r>
        <w:rPr>
          <w:rFonts w:hint="eastAsia" w:ascii="宋体" w:hAnsi="宋体"/>
          <w:szCs w:val="21"/>
        </w:rPr>
        <w:t>1.服务期要求</w:t>
      </w:r>
      <w:r>
        <w:rPr>
          <w:rFonts w:hint="eastAsia" w:ascii="宋体" w:hAnsi="宋体"/>
          <w:bCs/>
          <w:szCs w:val="21"/>
        </w:rPr>
        <w:t>：</w:t>
      </w:r>
      <w:r>
        <w:rPr>
          <w:rFonts w:hint="eastAsia"/>
        </w:rPr>
        <w:t>自合同签订之日起1年。</w:t>
      </w:r>
      <w:r>
        <w:rPr>
          <w:rFonts w:hint="eastAsia" w:ascii="宋体" w:hAnsi="宋体" w:cs="宋体"/>
          <w:bCs/>
          <w:szCs w:val="21"/>
        </w:rPr>
        <w:t>合同服务期满前，由采购人根据中标人提供的服务情况及自身需求，决定是否续签。合同最长可续签2次，服务期限累计不得超过36个月。</w:t>
      </w:r>
    </w:p>
    <w:p>
      <w:pPr>
        <w:pStyle w:val="35"/>
        <w:numPr>
          <w:ilvl w:val="0"/>
          <w:numId w:val="0"/>
        </w:numPr>
        <w:ind w:lef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2.服务地点：深圳市宝安区人民医院</w:t>
      </w:r>
    </w:p>
    <w:p>
      <w:pPr>
        <w:pStyle w:val="46"/>
        <w:numPr>
          <w:ilvl w:val="0"/>
          <w:numId w:val="0"/>
        </w:numPr>
        <w:spacing w:before="0" w:after="0" w:line="400" w:lineRule="exact"/>
        <w:ind w:leftChars="0"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服务形式：中标人上门服务。</w:t>
      </w:r>
      <w:r>
        <w:rPr>
          <w:rFonts w:hint="eastAsia" w:ascii="宋体" w:hAnsi="宋体" w:eastAsia="宋体" w:cs="宋体"/>
          <w:sz w:val="21"/>
          <w:szCs w:val="21"/>
          <w:lang w:val="en-US" w:eastAsia="zh-CN"/>
        </w:rPr>
        <w:t xml:space="preserve">     </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4.付款方式：本合同总价款分两期支付</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第一期：本合同生效后，采购人支付中标人合同总价款的50%作为首付款；</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第二期：合同期满后，经采购人使用科室和医学工程科验收确认中标人提供的维保服务符合要求后，采购人支付合同总价款50%。</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5.验收</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1）本项目的采购文件以及中标人响应内容均构成项目验收的标准。且采购文件或响应的内容的验收标准与国际公认，或者国家、深圳市，或行业标准不一致的，以标准最高者为准进行验收。</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2）若发现中标人交付的工作成果与各项验收标准不符时，采购人将拒绝签发验收合格证明文件。</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3）验收合格报告是采购人向中标人支付合同价款的凭证之一。必要时，采购人有权外聘专家进行验收，并以专家验收意见为准，外聘专家的费用由中标人承担。</w:t>
      </w:r>
    </w:p>
    <w:p>
      <w:pPr>
        <w:pStyle w:val="46"/>
        <w:numPr>
          <w:ilvl w:val="0"/>
          <w:numId w:val="0"/>
        </w:numPr>
        <w:spacing w:before="0" w:after="0" w:line="400" w:lineRule="exact"/>
        <w:ind w:right="0" w:rightChars="0"/>
        <w:contextualSpacing/>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4）中标人提供的服务经过双方检验认可后，采购人签署验收报告。</w:t>
      </w:r>
    </w:p>
    <w:p>
      <w:pPr>
        <w:pStyle w:val="35"/>
        <w:numPr>
          <w:ilvl w:val="0"/>
          <w:numId w:val="0"/>
        </w:numPr>
        <w:spacing w:line="400" w:lineRule="exact"/>
        <w:ind w:leftChars="0"/>
        <w:rPr>
          <w:rFonts w:hint="eastAsia" w:ascii="宋体" w:hAnsi="宋体" w:eastAsia="宋体" w:cs="宋体"/>
          <w:kern w:val="0"/>
          <w:sz w:val="21"/>
          <w:szCs w:val="21"/>
          <w:lang w:val="en-US" w:eastAsia="zh-CN" w:bidi="ar-SA"/>
        </w:rPr>
      </w:pPr>
      <w:r>
        <w:rPr>
          <w:rFonts w:hint="eastAsia" w:ascii="宋体" w:hAnsi="宋体"/>
          <w:szCs w:val="21"/>
          <w:lang w:val="en-US" w:eastAsia="zh-CN"/>
        </w:rPr>
        <w:t>6.</w:t>
      </w:r>
      <w:r>
        <w:rPr>
          <w:rFonts w:hint="eastAsia" w:ascii="宋体" w:hAnsi="宋体" w:eastAsia="宋体" w:cs="宋体"/>
          <w:kern w:val="0"/>
          <w:sz w:val="21"/>
          <w:szCs w:val="21"/>
          <w:lang w:val="en-US" w:eastAsia="zh-CN" w:bidi="ar-SA"/>
        </w:rPr>
        <w:t>维保期限内，由于设备更新等原因停用，采购人有权终止本服务项目，终止时间以采购人向中标人出具书面通知书载明的时间为准，保修费按比例按天数结算，中标人无权提出任何形式的赔偿。</w:t>
      </w:r>
    </w:p>
    <w:p>
      <w:pPr>
        <w:pStyle w:val="35"/>
        <w:numPr>
          <w:ilvl w:val="0"/>
          <w:numId w:val="0"/>
        </w:numPr>
        <w:spacing w:line="400" w:lineRule="exact"/>
        <w:ind w:lef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7.违约责任</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1</w:t>
      </w:r>
      <w:r>
        <w:rPr>
          <w:rFonts w:hint="eastAsia" w:ascii="宋体" w:hAnsi="宋体" w:eastAsia="宋体" w:cs="宋体"/>
          <w:kern w:val="0"/>
          <w:sz w:val="21"/>
          <w:szCs w:val="21"/>
          <w:lang w:val="en-US" w:eastAsia="zh-CN" w:bidi="ar-SA"/>
        </w:rPr>
        <w:t>）</w:t>
      </w:r>
      <w:r>
        <w:rPr>
          <w:rFonts w:hint="default" w:ascii="宋体" w:hAnsi="宋体" w:eastAsia="宋体" w:cs="宋体"/>
          <w:kern w:val="0"/>
          <w:sz w:val="21"/>
          <w:szCs w:val="21"/>
          <w:lang w:val="en-US" w:eastAsia="zh-CN" w:bidi="ar-SA"/>
        </w:rPr>
        <w:t>如果</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服务不及时，由此影响</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使用的，</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承担1000元/小时的违约金，该违约金可由</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在合同金额中扣减，出现上述问题达到 3 次时</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有权单方解除合同。如果设备年检时，质量达不到约定标准，不能通过相关专业检测的，</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有权拒绝支付剩余服务款，同时有权要求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 xml:space="preserve">支付合同总价款10%的违约金，并单方解除合同。 </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2）中标人</w:t>
      </w:r>
      <w:r>
        <w:rPr>
          <w:rFonts w:hint="default" w:ascii="宋体" w:hAnsi="宋体" w:eastAsia="宋体" w:cs="宋体"/>
          <w:kern w:val="0"/>
          <w:sz w:val="21"/>
          <w:szCs w:val="21"/>
          <w:lang w:val="en-US" w:eastAsia="zh-CN" w:bidi="ar-SA"/>
        </w:rPr>
        <w:t>使用的耗材、零配件不符合本合同的约定时，</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予以更换。</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以假充真、以次充好或以旧件冒充新件或更换的零配件不符合合同约定的，</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有权解除合同，并有权要求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支付合同总价款30%的违约金；或者，要求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按合同的约定彻底更换这些零配件，并向</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支付合同总价款30%的违约金。如因此导致其它侵犯第三方人身、财产安全的，该责任由</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承担，</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保留对</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索赔权。</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default" w:ascii="宋体" w:hAnsi="宋体" w:eastAsia="宋体" w:cs="宋体"/>
          <w:kern w:val="0"/>
          <w:sz w:val="21"/>
          <w:szCs w:val="21"/>
          <w:lang w:val="en-US" w:eastAsia="zh-CN" w:bidi="ar-SA"/>
        </w:rPr>
        <w:t>在合同期限内，未经</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认可</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擅自更换第三方零配件，</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有权拒绝对该第三方零配件提供后续维保服务；但由于</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未按合同约定履行维保服务义务，导致</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因工作需要必须及时更换的除外。</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w:t>
      </w:r>
      <w:r>
        <w:rPr>
          <w:rFonts w:hint="default" w:ascii="宋体" w:hAnsi="宋体" w:eastAsia="宋体" w:cs="宋体"/>
          <w:kern w:val="0"/>
          <w:sz w:val="21"/>
          <w:szCs w:val="21"/>
          <w:lang w:val="en-US" w:eastAsia="zh-CN" w:bidi="ar-SA"/>
        </w:rPr>
        <w:t>在合同期限内，由于</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原因而不再履行本合同，</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除应退还未执行合同相应比例的款项，并需向</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赔付此款项的10%违约金。</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5）中标人</w:t>
      </w:r>
      <w:r>
        <w:rPr>
          <w:rFonts w:hint="default" w:ascii="宋体" w:hAnsi="宋体" w:eastAsia="宋体" w:cs="宋体"/>
          <w:kern w:val="0"/>
          <w:sz w:val="21"/>
          <w:szCs w:val="21"/>
          <w:lang w:val="en-US" w:eastAsia="zh-CN" w:bidi="ar-SA"/>
        </w:rPr>
        <w:t>不按合同的约定提供售后服务，导致</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委托第三方提供相应的服务而支出的全部费用，均由</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承担，且</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有权按次要求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支付合同总价款5%的违约金。</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w:t>
      </w:r>
      <w:r>
        <w:rPr>
          <w:rFonts w:hint="default" w:ascii="宋体" w:hAnsi="宋体" w:eastAsia="宋体" w:cs="宋体"/>
          <w:kern w:val="0"/>
          <w:sz w:val="21"/>
          <w:szCs w:val="21"/>
          <w:lang w:val="en-US" w:eastAsia="zh-CN" w:bidi="ar-SA"/>
        </w:rPr>
        <w:t>未经</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书面同意，</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将项目分包或转包给第三方的，</w:t>
      </w:r>
      <w:r>
        <w:rPr>
          <w:rFonts w:hint="eastAsia" w:ascii="宋体" w:hAnsi="宋体" w:eastAsia="宋体" w:cs="宋体"/>
          <w:kern w:val="0"/>
          <w:sz w:val="21"/>
          <w:szCs w:val="21"/>
          <w:lang w:val="en-US" w:eastAsia="zh-CN" w:bidi="ar-SA"/>
        </w:rPr>
        <w:t>采购人</w:t>
      </w:r>
      <w:r>
        <w:rPr>
          <w:rFonts w:hint="default" w:ascii="宋体" w:hAnsi="宋体" w:eastAsia="宋体" w:cs="宋体"/>
          <w:kern w:val="0"/>
          <w:sz w:val="21"/>
          <w:szCs w:val="21"/>
          <w:lang w:val="en-US" w:eastAsia="zh-CN" w:bidi="ar-SA"/>
        </w:rPr>
        <w:t>可立即解除本合同，并要求</w:t>
      </w:r>
      <w:r>
        <w:rPr>
          <w:rFonts w:hint="eastAsia" w:ascii="宋体" w:hAnsi="宋体" w:eastAsia="宋体" w:cs="宋体"/>
          <w:kern w:val="0"/>
          <w:sz w:val="21"/>
          <w:szCs w:val="21"/>
          <w:lang w:val="en-US" w:eastAsia="zh-CN" w:bidi="ar-SA"/>
        </w:rPr>
        <w:t>中标人</w:t>
      </w:r>
      <w:r>
        <w:rPr>
          <w:rFonts w:hint="default" w:ascii="宋体" w:hAnsi="宋体" w:eastAsia="宋体" w:cs="宋体"/>
          <w:kern w:val="0"/>
          <w:sz w:val="21"/>
          <w:szCs w:val="21"/>
          <w:lang w:val="en-US" w:eastAsia="zh-CN" w:bidi="ar-SA"/>
        </w:rPr>
        <w:t>支付合同总价款20%的违约金。</w:t>
      </w:r>
    </w:p>
    <w:p>
      <w:pPr>
        <w:pStyle w:val="35"/>
        <w:numPr>
          <w:ilvl w:val="0"/>
          <w:numId w:val="0"/>
        </w:numPr>
        <w:spacing w:line="400" w:lineRule="exact"/>
        <w:ind w:left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7）</w:t>
      </w:r>
      <w:r>
        <w:rPr>
          <w:rFonts w:hint="default" w:ascii="宋体" w:hAnsi="宋体" w:eastAsia="宋体" w:cs="宋体"/>
          <w:kern w:val="0"/>
          <w:sz w:val="21"/>
          <w:szCs w:val="21"/>
          <w:lang w:val="en-US" w:eastAsia="zh-CN" w:bidi="ar-SA"/>
        </w:rPr>
        <w:t>任何一方违反本合同项下其应承担的责任或义务、或基于本合同做出的任何保证、声明或承诺被违反即构成违约行为，违约方应当赔偿守约方因此遭受的损失，包括但不限于守约方的直接经济损失、间接经济损失、守约方为追究违约责任所发生的诉讼费、律师费、差旅费、交通费等。</w:t>
      </w:r>
    </w:p>
    <w:p>
      <w:pPr>
        <w:pStyle w:val="35"/>
        <w:numPr>
          <w:ilvl w:val="0"/>
          <w:numId w:val="0"/>
        </w:numPr>
        <w:spacing w:line="400" w:lineRule="exact"/>
        <w:ind w:lef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8）中标人对维修更换配件所引起的医疗风险及设备损坏负完全责任。</w:t>
      </w:r>
    </w:p>
    <w:p>
      <w:pPr>
        <w:pStyle w:val="35"/>
        <w:numPr>
          <w:ilvl w:val="0"/>
          <w:numId w:val="0"/>
        </w:numPr>
        <w:spacing w:line="400" w:lineRule="exact"/>
        <w:ind w:lef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8.报价要求：投标总价必须是完成该项目的一切费用总和，包括人工费、保险费、管理费、技术培训费、设备安装费、调试费、售后服务费、国家规定的各项税费等全部费用。 </w:t>
      </w:r>
    </w:p>
    <w:p>
      <w:pPr>
        <w:pStyle w:val="10"/>
        <w:ind w:firstLine="420" w:firstLineChars="200"/>
        <w:rPr>
          <w:rFonts w:hint="eastAsia" w:hAnsi="宋体"/>
        </w:rPr>
      </w:pPr>
    </w:p>
    <w:p>
      <w:pPr>
        <w:pStyle w:val="10"/>
        <w:rPr>
          <w:rFonts w:hint="eastAsia" w:hAnsi="宋体"/>
        </w:rPr>
      </w:pPr>
    </w:p>
    <w:p>
      <w:pPr>
        <w:widowControl/>
        <w:spacing w:line="500" w:lineRule="exact"/>
        <w:jc w:val="left"/>
        <w:rPr>
          <w:rFonts w:ascii="宋体" w:hAnsi="宋体" w:cs="Arial"/>
          <w:b/>
          <w:color w:val="000000"/>
          <w:kern w:val="0"/>
          <w:sz w:val="32"/>
          <w:szCs w:val="32"/>
        </w:rPr>
      </w:pPr>
    </w:p>
    <w:p>
      <w:pPr>
        <w:widowControl/>
        <w:spacing w:line="500" w:lineRule="exact"/>
        <w:jc w:val="left"/>
        <w:rPr>
          <w:rFonts w:ascii="宋体" w:hAnsi="宋体" w:cs="Arial"/>
          <w:b/>
          <w:color w:val="000000"/>
          <w:kern w:val="0"/>
          <w:sz w:val="32"/>
          <w:szCs w:val="32"/>
        </w:rPr>
      </w:pPr>
    </w:p>
    <w:p>
      <w:pPr>
        <w:widowControl/>
        <w:spacing w:line="500" w:lineRule="exact"/>
        <w:jc w:val="left"/>
        <w:rPr>
          <w:rFonts w:ascii="宋体" w:hAnsi="宋体" w:cs="Arial"/>
          <w:b/>
          <w:color w:val="000000"/>
          <w:kern w:val="0"/>
          <w:sz w:val="32"/>
          <w:szCs w:val="32"/>
        </w:rPr>
      </w:pPr>
    </w:p>
    <w:p>
      <w:pPr>
        <w:widowControl/>
        <w:spacing w:line="500" w:lineRule="exact"/>
        <w:jc w:val="left"/>
        <w:rPr>
          <w:rFonts w:ascii="宋体" w:hAnsi="宋体" w:cs="Arial"/>
          <w:b/>
          <w:color w:val="000000"/>
          <w:kern w:val="0"/>
          <w:sz w:val="32"/>
          <w:szCs w:val="32"/>
        </w:rPr>
      </w:pPr>
    </w:p>
    <w:p>
      <w:pPr>
        <w:widowControl/>
        <w:spacing w:line="500" w:lineRule="exact"/>
        <w:jc w:val="left"/>
        <w:rPr>
          <w:rFonts w:ascii="宋体" w:hAnsi="宋体" w:cs="Arial"/>
          <w:b/>
          <w:color w:val="000000"/>
          <w:kern w:val="0"/>
          <w:sz w:val="32"/>
          <w:szCs w:val="32"/>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rPr>
        <w:t>7</w:t>
      </w:r>
      <w:r>
        <w:rPr>
          <w:rFonts w:hint="eastAsia" w:ascii="宋体" w:hAnsi="宋体"/>
          <w:b/>
          <w:bCs/>
          <w:sz w:val="28"/>
          <w:szCs w:val="28"/>
          <w:lang w:val="en-US" w:eastAsia="zh-CN"/>
        </w:rPr>
        <w:t>9</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rPr>
        <w:t>7</w:t>
      </w:r>
      <w:r>
        <w:rPr>
          <w:rFonts w:hint="eastAsia" w:ascii="宋体" w:hAnsi="宋体"/>
          <w:b/>
          <w:bCs/>
          <w:sz w:val="30"/>
          <w:szCs w:val="30"/>
          <w:lang w:val="en-US" w:eastAsia="zh-CN"/>
        </w:rPr>
        <w:t>9</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eastAsia="宋体"/>
          <w:b w:val="0"/>
          <w:color w:val="000000"/>
          <w:szCs w:val="28"/>
          <w:u w:val="single"/>
        </w:rPr>
      </w:pPr>
      <w:r>
        <w:rPr>
          <w:rStyle w:val="23"/>
          <w:rFonts w:eastAsia="宋体"/>
          <w:color w:val="000000"/>
          <w:szCs w:val="28"/>
        </w:rPr>
        <w:t>项目名称:</w:t>
      </w:r>
      <w:r>
        <w:rPr>
          <w:rFonts w:hint="eastAsia" w:ascii="宋体" w:hAnsi="宋体" w:cs="宋体-18030"/>
          <w:bCs/>
          <w:color w:val="000000"/>
          <w:szCs w:val="21"/>
        </w:rPr>
        <w:t xml:space="preserve"> </w:t>
      </w:r>
      <w:r>
        <w:rPr>
          <w:rStyle w:val="23"/>
          <w:rFonts w:hint="eastAsia" w:eastAsia="宋体"/>
          <w:b w:val="0"/>
          <w:szCs w:val="28"/>
          <w:u w:val="single"/>
        </w:rPr>
        <w:t xml:space="preserve"> </w:t>
      </w:r>
      <w:r>
        <w:rPr>
          <w:rStyle w:val="23"/>
          <w:rFonts w:eastAsia="宋体"/>
          <w:color w:val="000000"/>
          <w:szCs w:val="28"/>
          <w:u w:val="single"/>
        </w:rPr>
        <w:t xml:space="preserve">                       </w:t>
      </w:r>
    </w:p>
    <w:p>
      <w:pPr>
        <w:widowControl/>
        <w:spacing w:line="500" w:lineRule="exact"/>
        <w:ind w:firstLine="970" w:firstLineChars="345"/>
        <w:rPr>
          <w:rStyle w:val="23"/>
          <w:rFonts w:eastAsia="宋体"/>
          <w:color w:val="000000"/>
          <w:szCs w:val="28"/>
        </w:rPr>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r>
        <w:rPr>
          <w:rStyle w:val="23"/>
          <w:rFonts w:eastAsia="宋体"/>
          <w:color w:val="000000"/>
          <w:szCs w:val="28"/>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联系人: </w:t>
      </w:r>
      <w:r>
        <w:rPr>
          <w:rStyle w:val="23"/>
          <w:rFonts w:eastAsia="宋体"/>
          <w:color w:val="000000"/>
          <w:szCs w:val="28"/>
          <w:u w:val="single"/>
        </w:rPr>
        <w:t xml:space="preserve">                               </w:t>
      </w:r>
      <w:r>
        <w:rPr>
          <w:rStyle w:val="23"/>
          <w:rFonts w:eastAsia="宋体"/>
          <w:color w:val="000000"/>
          <w:szCs w:val="28"/>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3"/>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ascii="微软雅黑" w:hAnsi="微软雅黑" w:eastAsia="微软雅黑" w:cs="微软雅黑"/>
          <w:color w:val="000000"/>
          <w:szCs w:val="28"/>
        </w:rPr>
        <w:t>二､</w:t>
      </w:r>
      <w:r>
        <w:rPr>
          <w:rStyle w:val="23"/>
          <w:rFonts w:hint="eastAsia" w:ascii="黑体" w:hAnsi="黑体" w:cs="黑体"/>
          <w:color w:val="000000"/>
          <w:szCs w:val="28"/>
        </w:rPr>
        <w:t>开标现场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标题格式：2025年第X期 投标公司名称-投标文件</w:t>
      </w:r>
      <w:r>
        <w:rPr>
          <w:rFonts w:hint="eastAsia"/>
          <w:b/>
          <w:bCs/>
          <w:color w:val="000000"/>
          <w:kern w:val="0"/>
        </w:rPr>
        <w:t>】</w:t>
      </w:r>
    </w:p>
    <w:p>
      <w:pPr>
        <w:widowControl/>
        <w:spacing w:line="500" w:lineRule="exact"/>
        <w:jc w:val="left"/>
        <w:rPr>
          <w:rStyle w:val="23"/>
          <w:rFonts w:hint="eastAsia" w:eastAsia="宋体"/>
          <w:color w:val="FF0000"/>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4"/>
        </w:numPr>
        <w:snapToGrid w:val="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4"/>
        </w:numPr>
        <w:snapToGrid w:val="0"/>
        <w:ind w:left="442" w:hanging="442"/>
        <w:contextualSpacing/>
        <w:rPr>
          <w:rFonts w:hint="eastAsia" w:ascii="宋体" w:hAnsi="宋体"/>
          <w:szCs w:val="21"/>
        </w:rPr>
      </w:pPr>
      <w:r>
        <w:rPr>
          <w:rFonts w:hint="eastAsia" w:ascii="宋体" w:hAnsi="宋体"/>
          <w:szCs w:val="21"/>
        </w:rPr>
        <w:t>投标函</w:t>
      </w:r>
    </w:p>
    <w:p>
      <w:pPr>
        <w:numPr>
          <w:ilvl w:val="0"/>
          <w:numId w:val="4"/>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4"/>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4"/>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4"/>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cn/cgjg/c*da.</w:t>
      </w:r>
      <w:r>
        <w:rPr>
          <w:rFonts w:ascii="宋体" w:hAnsi="宋体"/>
          <w:szCs w:val="21"/>
        </w:rPr>
        <w:t xml:space="preserve">inde*.html)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https://www.szcredit.org.cn/?cdType=sgsl&amp;type=*Z*K#/*yfw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https://www.gs*t.gov.cninde*.html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numPr>
          <w:ilvl w:val="0"/>
          <w:numId w:val="5"/>
        </w:numPr>
        <w:spacing w:after="60"/>
        <w:contextualSpacing/>
        <w:rPr>
          <w:rFonts w:hint="eastAsia" w:ascii="微软雅黑" w:hAnsi="微软雅黑" w:eastAsia="微软雅黑" w:cs="微软雅黑"/>
          <w:szCs w:val="21"/>
        </w:rPr>
      </w:pPr>
      <w:r>
        <w:rPr>
          <w:rFonts w:hint="eastAsia" w:ascii="宋体" w:hAnsi="宋体"/>
          <w:szCs w:val="21"/>
        </w:rPr>
        <w:t>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pPr>
    </w:p>
    <w:p>
      <w:pPr>
        <w:pStyle w:val="10"/>
        <w:rPr>
          <w:b/>
        </w:rPr>
      </w:pPr>
      <w:r>
        <w:rPr>
          <w:rFonts w:hint="eastAsia"/>
          <w:b/>
        </w:rPr>
        <w:t>备注：只要填写在《供应商基本情况表》的人员都要提供近一个月社保缴交凭证证明，未提供按招标文件资格审查处理，视为投标无效。</w:t>
      </w:r>
    </w:p>
    <w:p>
      <w:pPr>
        <w:pStyle w:val="10"/>
      </w:pPr>
    </w:p>
    <w:p>
      <w:pPr>
        <w:pStyle w:val="10"/>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9"/>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cn/cgjg/c*da.</w:t>
      </w:r>
      <w:r>
        <w:rPr>
          <w:rFonts w:ascii="宋体" w:hAnsi="宋体" w:cs="Arial"/>
          <w:b/>
          <w:sz w:val="28"/>
          <w:szCs w:val="28"/>
        </w:rPr>
        <w:t>inde*.html)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https://www.szcredit.org.cn/?cdType=sgsl&amp;type=*Z*K#/*yfw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https://www.gs*t.gov.cninde*.html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6"/>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38925"/>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图片 1"/>
                    <pic:cNvPicPr>
                      <a:picLocks noChangeAspect="1"/>
                    </pic:cNvPicPr>
                  </pic:nvPicPr>
                  <pic:blipFill>
                    <a:blip r:embed="rId6"/>
                    <a:stretch>
                      <a:fillRect/>
                    </a:stretch>
                  </pic:blipFill>
                  <pic:spPr>
                    <a:xfrm>
                      <a:off x="0" y="0"/>
                      <a:ext cx="6645910" cy="7905750"/>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60" w:hanging="640"/>
      </w:pPr>
      <w:r>
        <w:drawing>
          <wp:inline distT="0" distB="0" distL="0" distR="0">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图片 1"/>
                    <pic:cNvPicPr>
                      <a:picLocks noChangeAspect="1"/>
                    </pic:cNvPicPr>
                  </pic:nvPicPr>
                  <pic:blipFill>
                    <a:blip r:embed="rId7"/>
                    <a:stretch>
                      <a:fillRect/>
                    </a:stretch>
                  </pic:blipFill>
                  <pic:spPr>
                    <a:xfrm>
                      <a:off x="0" y="0"/>
                      <a:ext cx="6645910" cy="6753225"/>
                    </a:xfrm>
                    <a:prstGeom prst="rect">
                      <a:avLst/>
                    </a:prstGeom>
                  </pic:spPr>
                </pic:pic>
              </a:graphicData>
            </a:graphic>
          </wp:inline>
        </w:drawing>
      </w:r>
    </w:p>
    <w:p>
      <w:pPr>
        <w:spacing w:after="78" w:afterLines="25" w:line="300" w:lineRule="auto"/>
        <w:rPr>
          <w:b/>
          <w:color w:val="000000"/>
          <w:szCs w:val="21"/>
        </w:rPr>
      </w:pP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（http://zfcg.sz.gov.cn/cgjg/c*da/inde*.html)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https://www.szcredit.org.cn/?cdType=sgsl&amp;type=*Z*K#/*yfw</w:t>
      </w:r>
      <w:r>
        <w:rPr>
          <w:rStyle w:val="21"/>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highlight w:val="yellow"/>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https://www.gs*t.gov.cninde*.html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79</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bCs/>
                <w:sz w:val="24"/>
              </w:rPr>
            </w:pPr>
            <w:bookmarkStart w:id="9"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9"/>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Arial Unicode MS">
    <w:altName w:val="Arial"/>
    <w:panose1 w:val="020B0604020202020204"/>
    <w:charset w:val="00"/>
    <w:family w:val="roman"/>
    <w:pitch w:val="default"/>
    <w:sig w:usb0="00000000" w:usb1="00000000" w:usb2="00000000" w:usb3="00000000" w:csb0="00000001"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3A70A"/>
    <w:multiLevelType w:val="singleLevel"/>
    <w:tmpl w:val="8393A70A"/>
    <w:lvl w:ilvl="0" w:tentative="0">
      <w:start w:val="15"/>
      <w:numFmt w:val="decimal"/>
      <w:suff w:val="space"/>
      <w:lvlText w:val="%1."/>
      <w:lvlJc w:val="left"/>
    </w:lvl>
  </w:abstractNum>
  <w:abstractNum w:abstractNumId="1">
    <w:nsid w:val="A581BCC3"/>
    <w:multiLevelType w:val="singleLevel"/>
    <w:tmpl w:val="A581BCC3"/>
    <w:lvl w:ilvl="0" w:tentative="0">
      <w:start w:val="1"/>
      <w:numFmt w:val="decimal"/>
      <w:lvlText w:val="%1."/>
      <w:lvlJc w:val="left"/>
      <w:pPr>
        <w:tabs>
          <w:tab w:val="left" w:pos="312"/>
        </w:tabs>
      </w:pPr>
    </w:lvl>
  </w:abstractNum>
  <w:abstractNum w:abstractNumId="2">
    <w:nsid w:val="B22590A4"/>
    <w:multiLevelType w:val="singleLevel"/>
    <w:tmpl w:val="B22590A4"/>
    <w:lvl w:ilvl="0" w:tentative="0">
      <w:start w:val="1"/>
      <w:numFmt w:val="decimal"/>
      <w:suff w:val="nothing"/>
      <w:lvlText w:val="%1、"/>
      <w:lvlJc w:val="left"/>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53B46D9"/>
    <w:multiLevelType w:val="multilevel"/>
    <w:tmpl w:val="353B46D9"/>
    <w:lvl w:ilvl="0" w:tentative="0">
      <w:start w:val="4"/>
      <w:numFmt w:val="japaneseCounting"/>
      <w:lvlText w:val="%1、"/>
      <w:lvlJc w:val="left"/>
      <w:pPr>
        <w:ind w:left="630" w:hanging="63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16A6D"/>
    <w:rsid w:val="000259BC"/>
    <w:rsid w:val="00025AD6"/>
    <w:rsid w:val="00027997"/>
    <w:rsid w:val="000313CC"/>
    <w:rsid w:val="0003161B"/>
    <w:rsid w:val="00031838"/>
    <w:rsid w:val="000327EA"/>
    <w:rsid w:val="00036505"/>
    <w:rsid w:val="00036947"/>
    <w:rsid w:val="00036E2A"/>
    <w:rsid w:val="00037F15"/>
    <w:rsid w:val="00042BB7"/>
    <w:rsid w:val="000430B0"/>
    <w:rsid w:val="00044D74"/>
    <w:rsid w:val="000456DE"/>
    <w:rsid w:val="0005014D"/>
    <w:rsid w:val="00051F82"/>
    <w:rsid w:val="000534DA"/>
    <w:rsid w:val="00053536"/>
    <w:rsid w:val="000546AA"/>
    <w:rsid w:val="00054DF9"/>
    <w:rsid w:val="000576F1"/>
    <w:rsid w:val="00057DD7"/>
    <w:rsid w:val="0006304C"/>
    <w:rsid w:val="0006542A"/>
    <w:rsid w:val="000674D2"/>
    <w:rsid w:val="000679BE"/>
    <w:rsid w:val="00067F88"/>
    <w:rsid w:val="000714C3"/>
    <w:rsid w:val="00072D1C"/>
    <w:rsid w:val="0007547E"/>
    <w:rsid w:val="00075763"/>
    <w:rsid w:val="00075F9F"/>
    <w:rsid w:val="00076A6E"/>
    <w:rsid w:val="00076F7A"/>
    <w:rsid w:val="00077845"/>
    <w:rsid w:val="00082543"/>
    <w:rsid w:val="00083132"/>
    <w:rsid w:val="00085776"/>
    <w:rsid w:val="000863B9"/>
    <w:rsid w:val="00087452"/>
    <w:rsid w:val="00090C0A"/>
    <w:rsid w:val="00090C4B"/>
    <w:rsid w:val="00091616"/>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2622"/>
    <w:rsid w:val="00104905"/>
    <w:rsid w:val="00106609"/>
    <w:rsid w:val="0010660A"/>
    <w:rsid w:val="0010762D"/>
    <w:rsid w:val="00110D6E"/>
    <w:rsid w:val="001119C4"/>
    <w:rsid w:val="0011301E"/>
    <w:rsid w:val="0011448A"/>
    <w:rsid w:val="00114F11"/>
    <w:rsid w:val="00123BA6"/>
    <w:rsid w:val="0012694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B18"/>
    <w:rsid w:val="001C6C0F"/>
    <w:rsid w:val="001C752A"/>
    <w:rsid w:val="001C791D"/>
    <w:rsid w:val="001D10CB"/>
    <w:rsid w:val="001D130F"/>
    <w:rsid w:val="001D15BE"/>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054"/>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879"/>
    <w:rsid w:val="002E6FAC"/>
    <w:rsid w:val="002E770A"/>
    <w:rsid w:val="002F131C"/>
    <w:rsid w:val="002F3F1B"/>
    <w:rsid w:val="002F4257"/>
    <w:rsid w:val="002F4CAE"/>
    <w:rsid w:val="002F4E0C"/>
    <w:rsid w:val="002F71F0"/>
    <w:rsid w:val="002F7E60"/>
    <w:rsid w:val="00301201"/>
    <w:rsid w:val="00301716"/>
    <w:rsid w:val="00303567"/>
    <w:rsid w:val="00304455"/>
    <w:rsid w:val="00304E7B"/>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955"/>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005"/>
    <w:rsid w:val="00550142"/>
    <w:rsid w:val="005509AC"/>
    <w:rsid w:val="005530BE"/>
    <w:rsid w:val="005546F6"/>
    <w:rsid w:val="00560677"/>
    <w:rsid w:val="0056246C"/>
    <w:rsid w:val="005627A8"/>
    <w:rsid w:val="00565BE4"/>
    <w:rsid w:val="00566F17"/>
    <w:rsid w:val="005753A2"/>
    <w:rsid w:val="005773C0"/>
    <w:rsid w:val="00580AEF"/>
    <w:rsid w:val="00581309"/>
    <w:rsid w:val="00582EE3"/>
    <w:rsid w:val="0058309A"/>
    <w:rsid w:val="005837F2"/>
    <w:rsid w:val="00584EFC"/>
    <w:rsid w:val="00590829"/>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2F2E"/>
    <w:rsid w:val="0063330B"/>
    <w:rsid w:val="00633B27"/>
    <w:rsid w:val="00634969"/>
    <w:rsid w:val="00635419"/>
    <w:rsid w:val="00635705"/>
    <w:rsid w:val="006358AC"/>
    <w:rsid w:val="006358B4"/>
    <w:rsid w:val="00636D05"/>
    <w:rsid w:val="006427D7"/>
    <w:rsid w:val="006429CE"/>
    <w:rsid w:val="0064492D"/>
    <w:rsid w:val="00647056"/>
    <w:rsid w:val="00647E4E"/>
    <w:rsid w:val="00654B14"/>
    <w:rsid w:val="0065624A"/>
    <w:rsid w:val="006563ED"/>
    <w:rsid w:val="006564F0"/>
    <w:rsid w:val="00656907"/>
    <w:rsid w:val="00656F0C"/>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A33"/>
    <w:rsid w:val="006A0EDC"/>
    <w:rsid w:val="006A3834"/>
    <w:rsid w:val="006A3BE6"/>
    <w:rsid w:val="006A3C40"/>
    <w:rsid w:val="006A4A66"/>
    <w:rsid w:val="006A6BE9"/>
    <w:rsid w:val="006A70D2"/>
    <w:rsid w:val="006B1AC8"/>
    <w:rsid w:val="006B25F9"/>
    <w:rsid w:val="006B7023"/>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20721"/>
    <w:rsid w:val="00721A80"/>
    <w:rsid w:val="00723A9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2B7"/>
    <w:rsid w:val="007D16E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5F83"/>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03C"/>
    <w:rsid w:val="008F648C"/>
    <w:rsid w:val="008F65C6"/>
    <w:rsid w:val="008F6934"/>
    <w:rsid w:val="00903F29"/>
    <w:rsid w:val="009040D7"/>
    <w:rsid w:val="00905879"/>
    <w:rsid w:val="009072D6"/>
    <w:rsid w:val="00910729"/>
    <w:rsid w:val="00910978"/>
    <w:rsid w:val="0091174D"/>
    <w:rsid w:val="00911866"/>
    <w:rsid w:val="00911CB8"/>
    <w:rsid w:val="00914EA0"/>
    <w:rsid w:val="00914F52"/>
    <w:rsid w:val="00917B09"/>
    <w:rsid w:val="009200B3"/>
    <w:rsid w:val="00920C0D"/>
    <w:rsid w:val="00920F46"/>
    <w:rsid w:val="00922D26"/>
    <w:rsid w:val="009238F3"/>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06DD"/>
    <w:rsid w:val="00961134"/>
    <w:rsid w:val="00961B85"/>
    <w:rsid w:val="009626DB"/>
    <w:rsid w:val="00963B23"/>
    <w:rsid w:val="00963C4A"/>
    <w:rsid w:val="009640E2"/>
    <w:rsid w:val="00965DB7"/>
    <w:rsid w:val="009669DF"/>
    <w:rsid w:val="00967587"/>
    <w:rsid w:val="00970BF6"/>
    <w:rsid w:val="00971C7C"/>
    <w:rsid w:val="00975415"/>
    <w:rsid w:val="00975472"/>
    <w:rsid w:val="00977F26"/>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524C"/>
    <w:rsid w:val="00A07083"/>
    <w:rsid w:val="00A071A4"/>
    <w:rsid w:val="00A126B5"/>
    <w:rsid w:val="00A153F7"/>
    <w:rsid w:val="00A15F3E"/>
    <w:rsid w:val="00A20524"/>
    <w:rsid w:val="00A21136"/>
    <w:rsid w:val="00A223C0"/>
    <w:rsid w:val="00A22419"/>
    <w:rsid w:val="00A26D5D"/>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57400"/>
    <w:rsid w:val="00A616A3"/>
    <w:rsid w:val="00A6432B"/>
    <w:rsid w:val="00A7031B"/>
    <w:rsid w:val="00A719F8"/>
    <w:rsid w:val="00A71BFA"/>
    <w:rsid w:val="00A7371F"/>
    <w:rsid w:val="00A74528"/>
    <w:rsid w:val="00A779F2"/>
    <w:rsid w:val="00A85C0E"/>
    <w:rsid w:val="00A863DA"/>
    <w:rsid w:val="00A86CBE"/>
    <w:rsid w:val="00A92517"/>
    <w:rsid w:val="00A9414B"/>
    <w:rsid w:val="00A964BF"/>
    <w:rsid w:val="00A96910"/>
    <w:rsid w:val="00AA1BEC"/>
    <w:rsid w:val="00AA2EDB"/>
    <w:rsid w:val="00AA53BC"/>
    <w:rsid w:val="00AA5C58"/>
    <w:rsid w:val="00AA64E6"/>
    <w:rsid w:val="00AB1041"/>
    <w:rsid w:val="00AB10CF"/>
    <w:rsid w:val="00AB27DC"/>
    <w:rsid w:val="00AB47D4"/>
    <w:rsid w:val="00AB6805"/>
    <w:rsid w:val="00AC3B41"/>
    <w:rsid w:val="00AC51FB"/>
    <w:rsid w:val="00AC72E9"/>
    <w:rsid w:val="00AD1DDF"/>
    <w:rsid w:val="00AD3E24"/>
    <w:rsid w:val="00AD7280"/>
    <w:rsid w:val="00AE153E"/>
    <w:rsid w:val="00AE465F"/>
    <w:rsid w:val="00AE49CD"/>
    <w:rsid w:val="00AE5C7C"/>
    <w:rsid w:val="00AE628E"/>
    <w:rsid w:val="00AE7804"/>
    <w:rsid w:val="00AF1891"/>
    <w:rsid w:val="00AF28FF"/>
    <w:rsid w:val="00AF3EE9"/>
    <w:rsid w:val="00AF4EFC"/>
    <w:rsid w:val="00AF5CFA"/>
    <w:rsid w:val="00AF6D57"/>
    <w:rsid w:val="00AF7E05"/>
    <w:rsid w:val="00B01C5E"/>
    <w:rsid w:val="00B01DCA"/>
    <w:rsid w:val="00B06E73"/>
    <w:rsid w:val="00B145C6"/>
    <w:rsid w:val="00B1548A"/>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3ED8"/>
    <w:rsid w:val="00BB511A"/>
    <w:rsid w:val="00BB627E"/>
    <w:rsid w:val="00BB7923"/>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4D8D"/>
    <w:rsid w:val="00BD5655"/>
    <w:rsid w:val="00BE1468"/>
    <w:rsid w:val="00BE1C1E"/>
    <w:rsid w:val="00BE43EA"/>
    <w:rsid w:val="00BE47AA"/>
    <w:rsid w:val="00BE772C"/>
    <w:rsid w:val="00BF04EB"/>
    <w:rsid w:val="00BF0BE4"/>
    <w:rsid w:val="00BF0D2F"/>
    <w:rsid w:val="00BF6979"/>
    <w:rsid w:val="00C003FF"/>
    <w:rsid w:val="00C0174B"/>
    <w:rsid w:val="00C034EC"/>
    <w:rsid w:val="00C05E87"/>
    <w:rsid w:val="00C07A77"/>
    <w:rsid w:val="00C11107"/>
    <w:rsid w:val="00C12D07"/>
    <w:rsid w:val="00C14288"/>
    <w:rsid w:val="00C147D6"/>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2E34"/>
    <w:rsid w:val="00C443B3"/>
    <w:rsid w:val="00C451D4"/>
    <w:rsid w:val="00C47BB7"/>
    <w:rsid w:val="00C520DC"/>
    <w:rsid w:val="00C53CCB"/>
    <w:rsid w:val="00C53E5D"/>
    <w:rsid w:val="00C5571B"/>
    <w:rsid w:val="00C565EE"/>
    <w:rsid w:val="00C57CD8"/>
    <w:rsid w:val="00C57D57"/>
    <w:rsid w:val="00C622BF"/>
    <w:rsid w:val="00C62316"/>
    <w:rsid w:val="00C62B92"/>
    <w:rsid w:val="00C638B9"/>
    <w:rsid w:val="00C63A77"/>
    <w:rsid w:val="00C64782"/>
    <w:rsid w:val="00C700E3"/>
    <w:rsid w:val="00C705A5"/>
    <w:rsid w:val="00C70F84"/>
    <w:rsid w:val="00C71527"/>
    <w:rsid w:val="00C86DFF"/>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5C76"/>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48DC"/>
    <w:rsid w:val="00CF5D51"/>
    <w:rsid w:val="00CF7E74"/>
    <w:rsid w:val="00D01623"/>
    <w:rsid w:val="00D035B3"/>
    <w:rsid w:val="00D059DA"/>
    <w:rsid w:val="00D05F33"/>
    <w:rsid w:val="00D06094"/>
    <w:rsid w:val="00D07464"/>
    <w:rsid w:val="00D123DC"/>
    <w:rsid w:val="00D12711"/>
    <w:rsid w:val="00D134D5"/>
    <w:rsid w:val="00D13D24"/>
    <w:rsid w:val="00D20DA2"/>
    <w:rsid w:val="00D2267C"/>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1E4"/>
    <w:rsid w:val="00DE6544"/>
    <w:rsid w:val="00DE6E4B"/>
    <w:rsid w:val="00DE7D03"/>
    <w:rsid w:val="00DE7D4D"/>
    <w:rsid w:val="00DF37A0"/>
    <w:rsid w:val="00DF51DE"/>
    <w:rsid w:val="00E015F1"/>
    <w:rsid w:val="00E017AF"/>
    <w:rsid w:val="00E025DD"/>
    <w:rsid w:val="00E03B5A"/>
    <w:rsid w:val="00E058FD"/>
    <w:rsid w:val="00E05EE3"/>
    <w:rsid w:val="00E06855"/>
    <w:rsid w:val="00E11617"/>
    <w:rsid w:val="00E12404"/>
    <w:rsid w:val="00E12C60"/>
    <w:rsid w:val="00E14116"/>
    <w:rsid w:val="00E16410"/>
    <w:rsid w:val="00E20760"/>
    <w:rsid w:val="00E20849"/>
    <w:rsid w:val="00E20EB2"/>
    <w:rsid w:val="00E2216F"/>
    <w:rsid w:val="00E2369B"/>
    <w:rsid w:val="00E246EA"/>
    <w:rsid w:val="00E24CB5"/>
    <w:rsid w:val="00E26218"/>
    <w:rsid w:val="00E301A3"/>
    <w:rsid w:val="00E30DAD"/>
    <w:rsid w:val="00E32677"/>
    <w:rsid w:val="00E32F62"/>
    <w:rsid w:val="00E34251"/>
    <w:rsid w:val="00E359C0"/>
    <w:rsid w:val="00E36C5A"/>
    <w:rsid w:val="00E4034A"/>
    <w:rsid w:val="00E40BBB"/>
    <w:rsid w:val="00E4522F"/>
    <w:rsid w:val="00E47724"/>
    <w:rsid w:val="00E47AB9"/>
    <w:rsid w:val="00E520A1"/>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5080"/>
    <w:rsid w:val="00E95986"/>
    <w:rsid w:val="00E978FE"/>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3099"/>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4C54"/>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7F"/>
    <w:rsid w:val="00F578DD"/>
    <w:rsid w:val="00F600F7"/>
    <w:rsid w:val="00F60716"/>
    <w:rsid w:val="00F6080A"/>
    <w:rsid w:val="00F61D94"/>
    <w:rsid w:val="00F63073"/>
    <w:rsid w:val="00F66A32"/>
    <w:rsid w:val="00F7355B"/>
    <w:rsid w:val="00F9333A"/>
    <w:rsid w:val="00F94D71"/>
    <w:rsid w:val="00F957AB"/>
    <w:rsid w:val="00F958CB"/>
    <w:rsid w:val="00F959B1"/>
    <w:rsid w:val="00F96B36"/>
    <w:rsid w:val="00F96E32"/>
    <w:rsid w:val="00F97724"/>
    <w:rsid w:val="00FA1A2A"/>
    <w:rsid w:val="00FA1E6D"/>
    <w:rsid w:val="00FA3179"/>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214"/>
    <w:rsid w:val="00FF2BBC"/>
    <w:rsid w:val="00FF695D"/>
    <w:rsid w:val="00FF6AE5"/>
    <w:rsid w:val="01B3097E"/>
    <w:rsid w:val="02BA602B"/>
    <w:rsid w:val="02E041EE"/>
    <w:rsid w:val="04BA6D56"/>
    <w:rsid w:val="054D6166"/>
    <w:rsid w:val="05772532"/>
    <w:rsid w:val="0B297377"/>
    <w:rsid w:val="0BC419DA"/>
    <w:rsid w:val="0C8C4337"/>
    <w:rsid w:val="153E3549"/>
    <w:rsid w:val="168F3C34"/>
    <w:rsid w:val="1984103F"/>
    <w:rsid w:val="1A572B1F"/>
    <w:rsid w:val="1A663D17"/>
    <w:rsid w:val="1B76742B"/>
    <w:rsid w:val="1E37428D"/>
    <w:rsid w:val="1E8245AD"/>
    <w:rsid w:val="222A2093"/>
    <w:rsid w:val="28321027"/>
    <w:rsid w:val="287B37A3"/>
    <w:rsid w:val="290548F8"/>
    <w:rsid w:val="29126661"/>
    <w:rsid w:val="29856A22"/>
    <w:rsid w:val="2999337E"/>
    <w:rsid w:val="299C3D7C"/>
    <w:rsid w:val="299D5ED5"/>
    <w:rsid w:val="29B63249"/>
    <w:rsid w:val="29F8398C"/>
    <w:rsid w:val="2F4E7E28"/>
    <w:rsid w:val="307C56EC"/>
    <w:rsid w:val="316F6FDA"/>
    <w:rsid w:val="317971C0"/>
    <w:rsid w:val="317F1137"/>
    <w:rsid w:val="329C76FF"/>
    <w:rsid w:val="34D7691B"/>
    <w:rsid w:val="34E13287"/>
    <w:rsid w:val="3A227ADB"/>
    <w:rsid w:val="42E3216A"/>
    <w:rsid w:val="43605BF7"/>
    <w:rsid w:val="436E1CBB"/>
    <w:rsid w:val="43EC179D"/>
    <w:rsid w:val="46EE37D3"/>
    <w:rsid w:val="49A308A5"/>
    <w:rsid w:val="49E22A33"/>
    <w:rsid w:val="4B687861"/>
    <w:rsid w:val="4B8A7F8A"/>
    <w:rsid w:val="4D6C5536"/>
    <w:rsid w:val="4E4C7A1B"/>
    <w:rsid w:val="4E8F1C60"/>
    <w:rsid w:val="50684BB3"/>
    <w:rsid w:val="51981FF4"/>
    <w:rsid w:val="51FF032F"/>
    <w:rsid w:val="559702DC"/>
    <w:rsid w:val="564F6EA2"/>
    <w:rsid w:val="5A3D7F5A"/>
    <w:rsid w:val="5CCC3817"/>
    <w:rsid w:val="5DFF4054"/>
    <w:rsid w:val="5F404B37"/>
    <w:rsid w:val="5F5F2503"/>
    <w:rsid w:val="609B59DA"/>
    <w:rsid w:val="61187829"/>
    <w:rsid w:val="611E71C2"/>
    <w:rsid w:val="638E704D"/>
    <w:rsid w:val="645D3BCA"/>
    <w:rsid w:val="64C45B85"/>
    <w:rsid w:val="673E09F7"/>
    <w:rsid w:val="677C37D9"/>
    <w:rsid w:val="684E7CC7"/>
    <w:rsid w:val="6A073068"/>
    <w:rsid w:val="6A1203A8"/>
    <w:rsid w:val="6C67530A"/>
    <w:rsid w:val="6D9D4CB1"/>
    <w:rsid w:val="6FF764D4"/>
    <w:rsid w:val="733C6D53"/>
    <w:rsid w:val="74554A5C"/>
    <w:rsid w:val="784C7CCE"/>
    <w:rsid w:val="78B638A1"/>
    <w:rsid w:val="7953080D"/>
    <w:rsid w:val="7BC6204D"/>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3"/>
    <w:qFormat/>
    <w:uiPriority w:val="1"/>
    <w:pPr>
      <w:spacing w:after="120"/>
    </w:pPr>
  </w:style>
  <w:style w:type="paragraph" w:styleId="5">
    <w:name w:val="Normal Indent"/>
    <w:basedOn w:val="1"/>
    <w:link w:val="25"/>
    <w:qFormat/>
    <w:uiPriority w:val="0"/>
    <w:pPr>
      <w:ind w:firstLine="420"/>
    </w:pPr>
    <w:rPr>
      <w:szCs w:val="20"/>
    </w:rPr>
  </w:style>
  <w:style w:type="paragraph" w:styleId="6">
    <w:name w:val="annotation text"/>
    <w:basedOn w:val="1"/>
    <w:link w:val="41"/>
    <w:qFormat/>
    <w:uiPriority w:val="99"/>
    <w:pPr>
      <w:jc w:val="left"/>
    </w:pPr>
  </w:style>
  <w:style w:type="paragraph" w:styleId="7">
    <w:name w:val="index 6"/>
    <w:basedOn w:val="1"/>
    <w:next w:val="1"/>
    <w:qFormat/>
    <w:uiPriority w:val="0"/>
  </w:style>
  <w:style w:type="paragraph" w:styleId="8">
    <w:name w:val="Body Text Indent"/>
    <w:basedOn w:val="1"/>
    <w:link w:val="55"/>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6"/>
    <w:qFormat/>
    <w:uiPriority w:val="0"/>
    <w:rPr>
      <w:rFonts w:ascii="宋体" w:hAnsi="Courier New" w:cs="宋体"/>
      <w:szCs w:val="21"/>
    </w:r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6"/>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paragraph" w:customStyle="1" w:styleId="22">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0"/>
    <w:qFormat/>
    <w:uiPriority w:val="0"/>
    <w:rPr>
      <w:rFonts w:hAnsi="Courier New" w:cs="Courier New" w:asciiTheme="minorEastAsia"/>
      <w:szCs w:val="24"/>
    </w:rPr>
  </w:style>
  <w:style w:type="character" w:customStyle="1" w:styleId="25">
    <w:name w:val="正文缩进 字符"/>
    <w:basedOn w:val="20"/>
    <w:link w:val="5"/>
    <w:qFormat/>
    <w:uiPriority w:val="0"/>
    <w:rPr>
      <w:rFonts w:ascii="Times New Roman" w:hAnsi="Times New Roman" w:eastAsia="宋体" w:cs="Times New Roman"/>
      <w:szCs w:val="20"/>
    </w:rPr>
  </w:style>
  <w:style w:type="character" w:customStyle="1" w:styleId="26">
    <w:name w:val="纯文本 字符1"/>
    <w:basedOn w:val="20"/>
    <w:link w:val="10"/>
    <w:qFormat/>
    <w:uiPriority w:val="0"/>
    <w:rPr>
      <w:rFonts w:ascii="宋体" w:hAnsi="Courier New" w:eastAsia="宋体" w:cs="宋体"/>
      <w:szCs w:val="21"/>
    </w:rPr>
  </w:style>
  <w:style w:type="character" w:customStyle="1" w:styleId="27">
    <w:name w:val="页眉 字符"/>
    <w:basedOn w:val="20"/>
    <w:link w:val="14"/>
    <w:qFormat/>
    <w:uiPriority w:val="99"/>
    <w:rPr>
      <w:rFonts w:ascii="Times New Roman" w:hAnsi="Times New Roman" w:eastAsia="宋体" w:cs="Times New Roman"/>
      <w:sz w:val="18"/>
      <w:szCs w:val="18"/>
    </w:rPr>
  </w:style>
  <w:style w:type="character" w:customStyle="1" w:styleId="28">
    <w:name w:val="页脚 字符"/>
    <w:basedOn w:val="20"/>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0"/>
    <w:qFormat/>
    <w:uiPriority w:val="0"/>
    <w:rPr>
      <w:kern w:val="2"/>
      <w:sz w:val="21"/>
    </w:rPr>
  </w:style>
  <w:style w:type="character" w:customStyle="1" w:styleId="31">
    <w:name w:val="纯文本 Char"/>
    <w:basedOn w:val="20"/>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0"/>
    <w:link w:val="2"/>
    <w:qFormat/>
    <w:uiPriority w:val="1"/>
    <w:rPr>
      <w:rFonts w:ascii="Times New Roman" w:hAnsi="Times New Roman" w:eastAsia="宋体" w:cs="Times New Roman"/>
      <w:szCs w:val="24"/>
    </w:rPr>
  </w:style>
  <w:style w:type="character" w:customStyle="1" w:styleId="34">
    <w:name w:val="列表段落 字符"/>
    <w:link w:val="35"/>
    <w:qFormat/>
    <w:uiPriority w:val="0"/>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0"/>
    <w:link w:val="11"/>
    <w:semiHidden/>
    <w:qFormat/>
    <w:uiPriority w:val="99"/>
    <w:rPr>
      <w:rFonts w:ascii="Times New Roman" w:hAnsi="Times New Roman" w:eastAsia="宋体" w:cs="Times New Roman"/>
      <w:szCs w:val="24"/>
    </w:rPr>
  </w:style>
  <w:style w:type="character" w:customStyle="1" w:styleId="41">
    <w:name w:val="批注文字 字符"/>
    <w:basedOn w:val="20"/>
    <w:link w:val="6"/>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0"/>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0"/>
    <w:qFormat/>
    <w:uiPriority w:val="0"/>
    <w:rPr>
      <w:rFonts w:hint="eastAsia" w:ascii="微软雅黑" w:hAnsi="微软雅黑" w:eastAsia="微软雅黑" w:cs="微软雅黑"/>
      <w:color w:val="FF0000"/>
      <w:sz w:val="24"/>
      <w:szCs w:val="24"/>
      <w:u w:val="none"/>
    </w:rPr>
  </w:style>
  <w:style w:type="character" w:customStyle="1" w:styleId="50">
    <w:name w:val="font01"/>
    <w:basedOn w:val="20"/>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0"/>
    <w:link w:val="8"/>
    <w:semiHidden/>
    <w:qFormat/>
    <w:uiPriority w:val="99"/>
    <w:rPr>
      <w:kern w:val="2"/>
      <w:sz w:val="21"/>
      <w:szCs w:val="24"/>
    </w:rPr>
  </w:style>
  <w:style w:type="character" w:customStyle="1" w:styleId="56">
    <w:name w:val="正文文本首行缩进 2 字符"/>
    <w:basedOn w:val="55"/>
    <w:link w:val="17"/>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0"/>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0"/>
    <w:link w:val="15"/>
    <w:semiHidden/>
    <w:qFormat/>
    <w:uiPriority w:val="99"/>
    <w:rPr>
      <w:kern w:val="2"/>
      <w:sz w:val="21"/>
      <w:szCs w:val="24"/>
    </w:rPr>
  </w:style>
  <w:style w:type="character" w:customStyle="1" w:styleId="66">
    <w:name w:val="未处理的提及2"/>
    <w:basedOn w:val="20"/>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 w:type="paragraph" w:customStyle="1" w:styleId="68">
    <w:name w:val="默认 A A"/>
    <w:qFormat/>
    <w:uiPriority w:val="0"/>
    <w:pPr>
      <w:framePr w:wrap="around" w:vAnchor="margin" w:hAnchor="text" w:y="1"/>
      <w:widowControl w:val="0"/>
      <w:jc w:val="both"/>
    </w:pPr>
    <w:rPr>
      <w:rFonts w:ascii="Arial Unicode MS" w:hAnsi="Arial Unicode MS" w:eastAsia="Times New Roman" w:cs="Arial Unicode MS"/>
      <w:color w:val="000000"/>
      <w:sz w:val="22"/>
      <w:szCs w:val="22"/>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37</Pages>
  <Words>19263</Words>
  <Characters>20351</Characters>
  <Lines>243</Lines>
  <Paragraphs>68</Paragraphs>
  <TotalTime>4</TotalTime>
  <ScaleCrop>false</ScaleCrop>
  <LinksUpToDate>false</LinksUpToDate>
  <CharactersWithSpaces>22766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2025-10-30T01:03:00Z</cp:lastPrinted>
  <dcterms:modified xsi:type="dcterms:W3CDTF">2025-11-14T06:42:56Z</dcterms:modified>
  <dc:title>院内招标采购公告</dc:title>
  <cp:revision>934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024DA8960ED54949997E50B131BF3D1B_13</vt:lpwstr>
  </property>
  <property fmtid="{D5CDD505-2E9C-101B-9397-08002B2CF9AE}" pid="4" name="KSOTemplateDocerSaveRecord">
    <vt:lpwstr>eyJoZGlkIjoiM2RiZDYyM2NhMGE3ZjRiOGMzMjQ4Y2YyZDIwNDUyN2MiLCJ1c2VySWQiOiI0ODgxNzEwNTUifQ==</vt:lpwstr>
  </property>
</Properties>
</file>