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2025年第14期人体成分分析仪采购公告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采购编号:SYYYZBCG2025-14</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5"/>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915"/>
        <w:gridCol w:w="1440"/>
        <w:gridCol w:w="1365"/>
        <w:gridCol w:w="2205"/>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915"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440"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365"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205"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eastAsia="zh-CN"/>
              </w:rPr>
              <w:t>人体成分分析仪</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915"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440"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内分泌</w:t>
            </w:r>
            <w:r>
              <w:rPr>
                <w:rFonts w:hint="eastAsia" w:ascii="宋体" w:hAnsi="宋体" w:eastAsia="宋体" w:cs="宋体"/>
                <w:b w:val="0"/>
                <w:bCs/>
                <w:color w:val="000000"/>
                <w:kern w:val="0"/>
                <w:szCs w:val="21"/>
              </w:rPr>
              <w:t>科</w:t>
            </w:r>
          </w:p>
        </w:tc>
        <w:tc>
          <w:tcPr>
            <w:tcW w:w="1365"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205"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2025</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11</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6</w:t>
      </w:r>
      <w:bookmarkStart w:id="13" w:name="_GoBack"/>
      <w:bookmarkEnd w:id="13"/>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2025</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27</w:t>
      </w:r>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46</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eastAsia="宋体" w:cs="宋体"/>
                <w:color w:val="FF0000"/>
                <w:sz w:val="21"/>
                <w:szCs w:val="21"/>
                <w:highlight w:val="none"/>
                <w:u w:val="single"/>
                <w:lang w:val="en-US" w:eastAsia="zh-CN"/>
              </w:rPr>
              <w:t>4</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eastAsia="宋体" w:cs="宋体"/>
                <w:color w:val="FF0000"/>
                <w:sz w:val="21"/>
                <w:szCs w:val="21"/>
                <w:highlight w:val="none"/>
                <w:u w:val="single"/>
              </w:rPr>
              <w:t xml:space="preserve"> </w:t>
            </w:r>
            <w:r>
              <w:rPr>
                <w:rFonts w:hint="eastAsia" w:ascii="宋体" w:hAnsi="宋体" w:cs="宋体"/>
                <w:color w:val="FF0000"/>
                <w:sz w:val="21"/>
                <w:szCs w:val="21"/>
                <w:highlight w:val="none"/>
                <w:u w:val="single"/>
                <w:lang w:val="en-US" w:eastAsia="zh-CN"/>
              </w:rPr>
              <w:t>2</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8</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5835D932">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F03CACD">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8</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每满足一项内容得1分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最高得3分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39E74609">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430992E">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eastAsia="宋体"/>
          <w:sz w:val="32"/>
          <w:szCs w:val="32"/>
          <w:lang w:eastAsia="zh-CN"/>
        </w:rPr>
      </w:pPr>
      <w:r>
        <w:rPr>
          <w:rFonts w:hint="eastAsia" w:ascii="宋体" w:hAnsi="宋体"/>
          <w:b/>
          <w:bCs/>
          <w:sz w:val="32"/>
          <w:szCs w:val="32"/>
          <w:lang w:eastAsia="zh-CN"/>
        </w:rPr>
        <w:t>人体成分分析仪</w:t>
      </w:r>
    </w:p>
    <w:p w14:paraId="094FE005">
      <w:pPr>
        <w:tabs>
          <w:tab w:val="left" w:pos="425"/>
        </w:tabs>
        <w:rPr>
          <w:rFonts w:asciiTheme="minorEastAsia" w:hAnsiTheme="minorEastAsia" w:eastAsiaTheme="minorEastAsia"/>
          <w:b/>
          <w:szCs w:val="21"/>
          <w:highlight w:val="none"/>
          <w:lang w:val="en-US"/>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预算单价</w:t>
      </w:r>
      <w:r>
        <w:rPr>
          <w:rFonts w:asciiTheme="minorEastAsia" w:hAnsiTheme="minorEastAsia" w:eastAsiaTheme="minorEastAsia"/>
          <w:b/>
          <w:szCs w:val="21"/>
          <w:highlight w:val="none"/>
        </w:rPr>
        <w:t>】</w:t>
      </w:r>
    </w:p>
    <w:p w14:paraId="14CF74DB">
      <w:pPr>
        <w:tabs>
          <w:tab w:val="left" w:pos="425"/>
        </w:tabs>
        <w:ind w:firstLine="420" w:firstLineChars="200"/>
        <w:rPr>
          <w:rFonts w:hint="default" w:asciiTheme="minorEastAsia" w:hAnsiTheme="minorEastAsia" w:eastAsiaTheme="minorEastAsia"/>
          <w:b w:val="0"/>
          <w:bCs/>
          <w:szCs w:val="21"/>
          <w:highlight w:val="none"/>
          <w:lang w:val="en-US" w:eastAsia="zh-CN"/>
        </w:rPr>
      </w:pPr>
      <w:r>
        <w:rPr>
          <w:rFonts w:hint="eastAsia" w:asciiTheme="minorEastAsia" w:hAnsiTheme="minorEastAsia" w:eastAsiaTheme="minorEastAsia"/>
          <w:b w:val="0"/>
          <w:bCs/>
          <w:szCs w:val="21"/>
          <w:highlight w:val="none"/>
          <w:lang w:val="en-US" w:eastAsia="zh-CN"/>
        </w:rPr>
        <w:t>15万元/套。</w:t>
      </w:r>
    </w:p>
    <w:p w14:paraId="338360DF">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5"/>
        <w:tblW w:w="7243" w:type="dxa"/>
        <w:jc w:val="center"/>
        <w:tblLayout w:type="fixed"/>
        <w:tblCellMar>
          <w:top w:w="15" w:type="dxa"/>
          <w:left w:w="15" w:type="dxa"/>
          <w:bottom w:w="15" w:type="dxa"/>
          <w:right w:w="15" w:type="dxa"/>
        </w:tblCellMar>
      </w:tblPr>
      <w:tblGrid>
        <w:gridCol w:w="1250"/>
        <w:gridCol w:w="4129"/>
        <w:gridCol w:w="787"/>
        <w:gridCol w:w="994"/>
        <w:gridCol w:w="83"/>
      </w:tblGrid>
      <w:tr w14:paraId="2504AF16">
        <w:tblPrEx>
          <w:tblCellMar>
            <w:top w:w="15" w:type="dxa"/>
            <w:left w:w="15" w:type="dxa"/>
            <w:bottom w:w="15" w:type="dxa"/>
            <w:right w:w="15" w:type="dxa"/>
          </w:tblCellMar>
        </w:tblPrEx>
        <w:trPr>
          <w:gridAfter w:val="1"/>
          <w:wAfter w:w="83" w:type="dxa"/>
          <w:trHeight w:val="556" w:hRule="atLeast"/>
          <w:jc w:val="center"/>
        </w:trPr>
        <w:tc>
          <w:tcPr>
            <w:tcW w:w="1250" w:type="dxa"/>
            <w:tcBorders>
              <w:top w:val="single" w:color="000000" w:sz="4" w:space="0"/>
              <w:left w:val="single" w:color="000000" w:sz="4" w:space="0"/>
              <w:bottom w:val="single" w:color="000000" w:sz="4" w:space="0"/>
              <w:right w:val="single" w:color="auto" w:sz="4" w:space="0"/>
            </w:tcBorders>
            <w:shd w:val="clear" w:color="auto" w:fill="C6D9F1"/>
            <w:noWrap w:val="0"/>
            <w:vAlign w:val="center"/>
          </w:tcPr>
          <w:p w14:paraId="36253144">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序号</w:t>
            </w:r>
          </w:p>
        </w:tc>
        <w:tc>
          <w:tcPr>
            <w:tcW w:w="4129" w:type="dxa"/>
            <w:tcBorders>
              <w:top w:val="single" w:color="000000" w:sz="4" w:space="0"/>
              <w:left w:val="single" w:color="auto" w:sz="4" w:space="0"/>
              <w:bottom w:val="single" w:color="000000" w:sz="4" w:space="0"/>
              <w:right w:val="single" w:color="000000" w:sz="4" w:space="0"/>
            </w:tcBorders>
            <w:shd w:val="clear" w:color="auto" w:fill="C6D9F1"/>
            <w:noWrap w:val="0"/>
            <w:vAlign w:val="center"/>
          </w:tcPr>
          <w:p w14:paraId="055B53DD">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货物名称</w:t>
            </w:r>
          </w:p>
        </w:tc>
        <w:tc>
          <w:tcPr>
            <w:tcW w:w="787"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510534AE">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单位</w:t>
            </w:r>
          </w:p>
        </w:tc>
        <w:tc>
          <w:tcPr>
            <w:tcW w:w="994"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6FE9E63D">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数 量</w:t>
            </w:r>
          </w:p>
        </w:tc>
      </w:tr>
      <w:tr w14:paraId="52644B2B">
        <w:tblPrEx>
          <w:tblCellMar>
            <w:top w:w="15" w:type="dxa"/>
            <w:left w:w="15" w:type="dxa"/>
            <w:bottom w:w="15" w:type="dxa"/>
            <w:right w:w="15" w:type="dxa"/>
          </w:tblCellMar>
        </w:tblPrEx>
        <w:trPr>
          <w:trHeight w:val="91" w:hRule="atLeast"/>
          <w:jc w:val="center"/>
        </w:trPr>
        <w:tc>
          <w:tcPr>
            <w:tcW w:w="5379" w:type="dxa"/>
            <w:gridSpan w:val="2"/>
            <w:tcBorders>
              <w:top w:val="single" w:color="000000" w:sz="4" w:space="0"/>
              <w:left w:val="single" w:color="000000" w:sz="4" w:space="0"/>
              <w:bottom w:val="single" w:color="000000" w:sz="4" w:space="0"/>
              <w:right w:val="single" w:color="000000" w:sz="4" w:space="0"/>
            </w:tcBorders>
            <w:noWrap w:val="0"/>
            <w:vAlign w:val="center"/>
          </w:tcPr>
          <w:p w14:paraId="37892655">
            <w:pPr>
              <w:widowControl/>
              <w:spacing w:after="60"/>
              <w:jc w:val="center"/>
              <w:textAlignment w:val="center"/>
              <w:rPr>
                <w:rFonts w:hint="eastAsia" w:ascii="宋体" w:hAnsi="宋体" w:eastAsia="宋体" w:cs="宋体"/>
                <w:b/>
                <w:bCs/>
                <w:kern w:val="0"/>
                <w:szCs w:val="21"/>
                <w:lang w:eastAsia="zh-CN"/>
              </w:rPr>
            </w:pPr>
            <w:r>
              <w:rPr>
                <w:rFonts w:hint="eastAsia" w:ascii="宋体" w:hAnsi="宋体" w:cs="宋体"/>
                <w:szCs w:val="21"/>
                <w:lang w:val="en-US" w:eastAsia="zh-CN"/>
              </w:rPr>
              <w:t xml:space="preserve">          人体成分分析仪</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6F6EEBD2">
            <w:pPr>
              <w:widowControl/>
              <w:spacing w:after="60"/>
              <w:jc w:val="center"/>
              <w:textAlignment w:val="center"/>
              <w:rPr>
                <w:rFonts w:hint="eastAsia" w:ascii="宋体" w:hAnsi="宋体" w:cs="宋体"/>
                <w:bCs/>
                <w:kern w:val="0"/>
                <w:szCs w:val="21"/>
              </w:rPr>
            </w:pPr>
            <w:r>
              <w:rPr>
                <w:rFonts w:hint="eastAsia" w:ascii="宋体" w:hAnsi="宋体" w:cs="宋体"/>
                <w:bCs/>
                <w:kern w:val="0"/>
                <w:szCs w:val="21"/>
              </w:rPr>
              <w:t>套</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4AAD79AE">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c>
          <w:tcPr>
            <w:tcW w:w="83" w:type="dxa"/>
            <w:tcBorders>
              <w:left w:val="single" w:color="000000" w:sz="4" w:space="0"/>
              <w:right w:val="single" w:color="000000" w:sz="4" w:space="0"/>
            </w:tcBorders>
            <w:noWrap w:val="0"/>
            <w:vAlign w:val="center"/>
          </w:tcPr>
          <w:p w14:paraId="432FCBCB">
            <w:pPr>
              <w:widowControl/>
              <w:spacing w:after="60"/>
              <w:jc w:val="center"/>
              <w:textAlignment w:val="center"/>
              <w:rPr>
                <w:rFonts w:hint="eastAsia" w:ascii="宋体" w:hAnsi="宋体" w:cs="宋体"/>
                <w:b/>
                <w:bCs/>
                <w:kern w:val="0"/>
                <w:szCs w:val="21"/>
              </w:rPr>
            </w:pPr>
          </w:p>
        </w:tc>
      </w:tr>
      <w:tr w14:paraId="5B5C6E4A">
        <w:tblPrEx>
          <w:tblCellMar>
            <w:top w:w="15" w:type="dxa"/>
            <w:left w:w="15" w:type="dxa"/>
            <w:bottom w:w="15" w:type="dxa"/>
            <w:right w:w="15" w:type="dxa"/>
          </w:tblCellMar>
        </w:tblPrEx>
        <w:trPr>
          <w:gridAfter w:val="1"/>
          <w:wAfter w:w="83" w:type="dxa"/>
          <w:trHeight w:val="173" w:hRule="atLeast"/>
          <w:jc w:val="center"/>
        </w:trPr>
        <w:tc>
          <w:tcPr>
            <w:tcW w:w="1250" w:type="dxa"/>
            <w:tcBorders>
              <w:top w:val="single" w:color="000000" w:sz="4" w:space="0"/>
              <w:left w:val="single" w:color="000000" w:sz="4" w:space="0"/>
              <w:bottom w:val="single" w:color="auto" w:sz="4" w:space="0"/>
              <w:right w:val="single" w:color="auto" w:sz="4" w:space="0"/>
            </w:tcBorders>
            <w:noWrap w:val="0"/>
            <w:vAlign w:val="center"/>
          </w:tcPr>
          <w:p w14:paraId="743C10A5">
            <w:pPr>
              <w:widowControl/>
              <w:adjustRightInd w:val="0"/>
              <w:spacing w:after="78"/>
              <w:jc w:val="center"/>
              <w:rPr>
                <w:rFonts w:hint="eastAsia" w:ascii="宋体" w:hAnsi="宋体" w:cs="宋体"/>
                <w:szCs w:val="21"/>
              </w:rPr>
            </w:pPr>
            <w:r>
              <w:rPr>
                <w:rFonts w:hint="eastAsia" w:ascii="宋体" w:hAnsi="宋体" w:cs="宋体"/>
                <w:szCs w:val="21"/>
              </w:rPr>
              <w:t>一</w:t>
            </w:r>
          </w:p>
        </w:tc>
        <w:tc>
          <w:tcPr>
            <w:tcW w:w="4129" w:type="dxa"/>
            <w:tcBorders>
              <w:top w:val="single" w:color="000000" w:sz="4" w:space="0"/>
              <w:left w:val="single" w:color="auto" w:sz="4" w:space="0"/>
              <w:bottom w:val="single" w:color="auto" w:sz="4" w:space="0"/>
              <w:right w:val="single" w:color="000000" w:sz="4" w:space="0"/>
            </w:tcBorders>
            <w:noWrap w:val="0"/>
            <w:vAlign w:val="center"/>
          </w:tcPr>
          <w:p w14:paraId="4C6E36D1">
            <w:pPr>
              <w:pStyle w:val="10"/>
              <w:spacing w:after="78"/>
              <w:rPr>
                <w:rFonts w:hint="eastAsia" w:cs="宋体"/>
                <w:color w:val="auto"/>
                <w:szCs w:val="21"/>
              </w:rPr>
            </w:pPr>
            <w:r>
              <w:rPr>
                <w:rFonts w:hint="eastAsia" w:cs="宋体"/>
                <w:color w:val="auto"/>
                <w:szCs w:val="21"/>
              </w:rPr>
              <w:t>主机</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14:paraId="4E8B043F">
            <w:pPr>
              <w:spacing w:after="78"/>
              <w:jc w:val="center"/>
              <w:rPr>
                <w:rFonts w:hint="eastAsia" w:ascii="宋体" w:hAnsi="宋体" w:cs="宋体"/>
                <w:szCs w:val="21"/>
                <w:highlight w:val="yellow"/>
              </w:rPr>
            </w:pPr>
            <w:r>
              <w:rPr>
                <w:rFonts w:hint="eastAsia" w:ascii="宋体" w:hAnsi="宋体" w:cs="宋体"/>
                <w:szCs w:val="21"/>
              </w:rPr>
              <w:t>台</w:t>
            </w:r>
          </w:p>
        </w:tc>
        <w:tc>
          <w:tcPr>
            <w:tcW w:w="994" w:type="dxa"/>
            <w:tcBorders>
              <w:top w:val="single" w:color="000000" w:sz="4" w:space="0"/>
              <w:left w:val="single" w:color="000000" w:sz="4" w:space="0"/>
              <w:bottom w:val="single" w:color="auto" w:sz="4" w:space="0"/>
              <w:right w:val="single" w:color="000000" w:sz="4" w:space="0"/>
            </w:tcBorders>
            <w:noWrap w:val="0"/>
            <w:vAlign w:val="center"/>
          </w:tcPr>
          <w:p w14:paraId="09F2E2B6">
            <w:pPr>
              <w:widowControl/>
              <w:spacing w:after="60"/>
              <w:jc w:val="center"/>
              <w:textAlignment w:val="center"/>
              <w:rPr>
                <w:rFonts w:ascii="宋体" w:hAnsi="宋体" w:cs="宋体"/>
                <w:bCs/>
                <w:kern w:val="0"/>
                <w:szCs w:val="21"/>
                <w:highlight w:val="yellow"/>
              </w:rPr>
            </w:pPr>
            <w:r>
              <w:rPr>
                <w:rFonts w:hint="eastAsia" w:ascii="宋体" w:hAnsi="宋体" w:cs="宋体"/>
                <w:bCs/>
                <w:kern w:val="0"/>
                <w:szCs w:val="21"/>
              </w:rPr>
              <w:t>1</w:t>
            </w:r>
          </w:p>
        </w:tc>
      </w:tr>
      <w:tr w14:paraId="17058FFF">
        <w:tblPrEx>
          <w:tblCellMar>
            <w:top w:w="15" w:type="dxa"/>
            <w:left w:w="15" w:type="dxa"/>
            <w:bottom w:w="15" w:type="dxa"/>
            <w:right w:w="15" w:type="dxa"/>
          </w:tblCellMar>
        </w:tblPrEx>
        <w:trPr>
          <w:gridAfter w:val="1"/>
          <w:wAfter w:w="83" w:type="dxa"/>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center"/>
          </w:tcPr>
          <w:p w14:paraId="36310BE8">
            <w:pPr>
              <w:widowControl/>
              <w:adjustRightInd w:val="0"/>
              <w:spacing w:after="78"/>
              <w:jc w:val="center"/>
              <w:rPr>
                <w:rFonts w:hint="eastAsia" w:ascii="宋体" w:hAnsi="宋体" w:cs="宋体"/>
                <w:szCs w:val="21"/>
              </w:rPr>
            </w:pPr>
            <w:r>
              <w:rPr>
                <w:rFonts w:hint="eastAsia" w:ascii="宋体" w:hAnsi="宋体" w:cs="宋体"/>
                <w:szCs w:val="21"/>
              </w:rPr>
              <w:t>二</w:t>
            </w:r>
          </w:p>
        </w:tc>
        <w:tc>
          <w:tcPr>
            <w:tcW w:w="4129" w:type="dxa"/>
            <w:tcBorders>
              <w:top w:val="single" w:color="auto" w:sz="4" w:space="0"/>
              <w:left w:val="single" w:color="auto" w:sz="4" w:space="0"/>
              <w:right w:val="single" w:color="000000" w:sz="4" w:space="0"/>
            </w:tcBorders>
            <w:noWrap w:val="0"/>
            <w:vAlign w:val="center"/>
          </w:tcPr>
          <w:p w14:paraId="7A3E4A10">
            <w:pPr>
              <w:pStyle w:val="10"/>
              <w:spacing w:after="78"/>
              <w:rPr>
                <w:rFonts w:hint="eastAsia" w:eastAsia="宋体" w:cs="宋体"/>
                <w:color w:val="auto"/>
                <w:szCs w:val="21"/>
                <w:lang w:val="en-US" w:eastAsia="zh-CN"/>
              </w:rPr>
            </w:pPr>
            <w:r>
              <w:rPr>
                <w:rFonts w:hint="eastAsia" w:cs="宋体"/>
                <w:color w:val="auto"/>
                <w:szCs w:val="21"/>
                <w:lang w:val="en-US" w:eastAsia="zh-CN"/>
              </w:rPr>
              <w:t>使用说明书</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71807411">
            <w:pPr>
              <w:spacing w:after="78"/>
              <w:jc w:val="center"/>
              <w:rPr>
                <w:rFonts w:hint="eastAsia" w:ascii="宋体" w:hAnsi="宋体" w:eastAsia="宋体" w:cs="宋体"/>
                <w:szCs w:val="21"/>
                <w:lang w:val="en-US" w:eastAsia="zh-CN"/>
              </w:rPr>
            </w:pPr>
            <w:r>
              <w:rPr>
                <w:rFonts w:hint="eastAsia" w:ascii="宋体" w:hAnsi="宋体" w:cs="宋体"/>
                <w:szCs w:val="21"/>
                <w:lang w:val="en-US" w:eastAsia="zh-CN"/>
              </w:rPr>
              <w:t>本</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387D1B9F">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r>
      <w:tr w14:paraId="55251F9E">
        <w:tblPrEx>
          <w:tblCellMar>
            <w:top w:w="15" w:type="dxa"/>
            <w:left w:w="15" w:type="dxa"/>
            <w:bottom w:w="15" w:type="dxa"/>
            <w:right w:w="15" w:type="dxa"/>
          </w:tblCellMar>
        </w:tblPrEx>
        <w:trPr>
          <w:gridAfter w:val="1"/>
          <w:wAfter w:w="83" w:type="dxa"/>
          <w:trHeight w:val="181" w:hRule="atLeast"/>
          <w:jc w:val="center"/>
        </w:trPr>
        <w:tc>
          <w:tcPr>
            <w:tcW w:w="1250" w:type="dxa"/>
            <w:tcBorders>
              <w:top w:val="single" w:color="auto" w:sz="4" w:space="0"/>
              <w:left w:val="single" w:color="000000" w:sz="4" w:space="0"/>
              <w:right w:val="single" w:color="000000" w:sz="4" w:space="0"/>
            </w:tcBorders>
            <w:noWrap w:val="0"/>
            <w:vAlign w:val="center"/>
          </w:tcPr>
          <w:p w14:paraId="5E26CF9B">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三</w:t>
            </w:r>
          </w:p>
        </w:tc>
        <w:tc>
          <w:tcPr>
            <w:tcW w:w="4129" w:type="dxa"/>
            <w:tcBorders>
              <w:top w:val="single" w:color="auto" w:sz="4" w:space="0"/>
              <w:left w:val="single" w:color="000000" w:sz="4" w:space="0"/>
              <w:right w:val="single" w:color="000000" w:sz="4" w:space="0"/>
            </w:tcBorders>
            <w:noWrap w:val="0"/>
            <w:vAlign w:val="center"/>
          </w:tcPr>
          <w:p w14:paraId="296893FD">
            <w:pPr>
              <w:pStyle w:val="10"/>
              <w:spacing w:after="78"/>
              <w:rPr>
                <w:rFonts w:hint="eastAsia" w:eastAsia="宋体" w:cs="宋体"/>
                <w:color w:val="auto"/>
                <w:szCs w:val="21"/>
                <w:lang w:val="en-US" w:eastAsia="zh-CN"/>
              </w:rPr>
            </w:pPr>
            <w:r>
              <w:rPr>
                <w:rFonts w:hint="eastAsia" w:cs="宋体"/>
                <w:color w:val="auto"/>
                <w:szCs w:val="21"/>
                <w:lang w:val="en-US" w:eastAsia="zh-CN"/>
              </w:rPr>
              <w:t>电源线</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6D31AFA9">
            <w:pPr>
              <w:spacing w:after="78"/>
              <w:jc w:val="center"/>
              <w:rPr>
                <w:rFonts w:hint="eastAsia" w:ascii="宋体" w:hAnsi="宋体" w:eastAsia="宋体" w:cs="宋体"/>
                <w:szCs w:val="21"/>
                <w:lang w:eastAsia="zh-CN"/>
              </w:rPr>
            </w:pPr>
            <w:r>
              <w:rPr>
                <w:rFonts w:hint="eastAsia" w:ascii="宋体" w:hAnsi="宋体" w:eastAsia="宋体" w:cs="宋体"/>
                <w:szCs w:val="21"/>
                <w:lang w:val="en-US" w:eastAsia="zh-CN"/>
              </w:rPr>
              <w:t>根</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32F80EBE">
            <w:pPr>
              <w:widowControl/>
              <w:spacing w:after="60"/>
              <w:jc w:val="center"/>
              <w:textAlignment w:val="center"/>
              <w:rPr>
                <w:rFonts w:ascii="宋体" w:hAnsi="宋体" w:cs="宋体"/>
                <w:bCs/>
                <w:color w:val="000000"/>
                <w:kern w:val="0"/>
                <w:szCs w:val="21"/>
              </w:rPr>
            </w:pPr>
            <w:r>
              <w:rPr>
                <w:rFonts w:hint="eastAsia" w:ascii="宋体" w:hAnsi="宋体" w:cs="宋体"/>
                <w:bCs/>
                <w:color w:val="000000"/>
                <w:kern w:val="0"/>
                <w:szCs w:val="21"/>
              </w:rPr>
              <w:t>1</w:t>
            </w:r>
          </w:p>
        </w:tc>
      </w:tr>
    </w:tbl>
    <w:p w14:paraId="7134A5DD">
      <w:pPr>
        <w:tabs>
          <w:tab w:val="left" w:pos="425"/>
        </w:tabs>
        <w:rPr>
          <w:rFonts w:hint="eastAsia" w:asciiTheme="minorEastAsia" w:hAnsiTheme="minorEastAsia" w:eastAsiaTheme="minorEastAsia"/>
          <w:b/>
          <w:szCs w:val="21"/>
          <w:highlight w:val="yellow"/>
          <w:lang w:val="en-US" w:eastAsia="zh-CN"/>
        </w:rPr>
      </w:pPr>
    </w:p>
    <w:p w14:paraId="477A190E">
      <w:pPr>
        <w:tabs>
          <w:tab w:val="left" w:pos="425"/>
        </w:tabs>
        <w:ind w:firstLine="420" w:firstLineChars="200"/>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0C3B7B7F">
      <w:pPr>
        <w:widowControl/>
        <w:tabs>
          <w:tab w:val="left" w:pos="314"/>
        </w:tabs>
        <w:jc w:val="left"/>
        <w:rPr>
          <w:rFonts w:hint="eastAsia" w:ascii="Times New Roman" w:hAnsi="Times New Roman" w:eastAsia="宋体" w:cs="Times New Roman"/>
          <w:szCs w:val="21"/>
          <w:lang w:eastAsia="zh-CN"/>
        </w:rPr>
      </w:pPr>
      <w:r>
        <w:rPr>
          <w:rFonts w:hint="default" w:ascii="Times New Roman" w:hAnsi="Times New Roman" w:eastAsia="宋体" w:cs="Times New Roman"/>
          <w:szCs w:val="21"/>
        </w:rPr>
        <w:t>1.肥胖的诊断、营养状况的评估</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量化内脏脂肪、肌肉量等</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依据体成分数据（如高体脂/低肌肉量）制定个体化方案，如减重或增肌干预</w:t>
      </w:r>
      <w:r>
        <w:rPr>
          <w:rFonts w:hint="eastAsia" w:ascii="Times New Roman" w:hAnsi="Times New Roman" w:eastAsia="宋体" w:cs="Times New Roman"/>
          <w:szCs w:val="21"/>
          <w:lang w:eastAsia="zh-CN"/>
        </w:rPr>
        <w:t>。</w:t>
      </w:r>
    </w:p>
    <w:p w14:paraId="6EC7A3F9">
      <w:pPr>
        <w:widowControl/>
        <w:tabs>
          <w:tab w:val="left" w:pos="314"/>
        </w:tabs>
        <w:jc w:val="left"/>
        <w:rPr>
          <w:rFonts w:hint="default" w:ascii="Times New Roman" w:hAnsi="Times New Roman" w:eastAsia="宋体" w:cs="Times New Roman"/>
          <w:szCs w:val="21"/>
        </w:rPr>
      </w:pPr>
      <w:r>
        <w:rPr>
          <w:rFonts w:hint="default" w:ascii="Times New Roman" w:hAnsi="Times New Roman" w:eastAsia="宋体" w:cs="Times New Roman"/>
          <w:szCs w:val="21"/>
        </w:rPr>
        <w:t>2.水肿、慢性疾病、身体平衡、透析后体内水分改变、治疗前后身体成分的改变。</w:t>
      </w:r>
      <w:r>
        <w:rPr>
          <w:rFonts w:hint="eastAsia" w:ascii="Times New Roman" w:hAnsi="Times New Roman" w:eastAsia="宋体" w:cs="Times New Roman"/>
          <w:szCs w:val="21"/>
        </w:rPr>
        <w:t>通过体成分变化判断治疗效果，及时调整方案，避免仅看体重的偏差。</w:t>
      </w:r>
    </w:p>
    <w:p w14:paraId="5B1225D2">
      <w:pPr>
        <w:widowControl/>
        <w:tabs>
          <w:tab w:val="left" w:pos="314"/>
        </w:tabs>
        <w:jc w:val="left"/>
        <w:rPr>
          <w:rFonts w:hint="eastAsia" w:ascii="Times New Roman" w:hAnsi="Times New Roman" w:eastAsia="宋体" w:cs="Times New Roman"/>
          <w:szCs w:val="21"/>
          <w:lang w:eastAsia="zh-CN"/>
        </w:rPr>
      </w:pPr>
      <w:r>
        <w:rPr>
          <w:rFonts w:hint="default" w:ascii="Times New Roman" w:hAnsi="Times New Roman" w:eastAsia="宋体" w:cs="Times New Roman"/>
          <w:szCs w:val="21"/>
        </w:rPr>
        <w:t>3.身体脂肪比例和脂肪分布的测定，可用于健康检查及老年病诊断，如：高血压、糖尿病、动脉硬化和高血脂。</w:t>
      </w:r>
      <w:r>
        <w:rPr>
          <w:rFonts w:hint="eastAsia" w:ascii="Times New Roman" w:hAnsi="Times New Roman" w:eastAsia="宋体" w:cs="Times New Roman"/>
          <w:szCs w:val="21"/>
        </w:rPr>
        <w:t>比BMI更精准反映糖尿病、多囊卵巢综合征等疾病的代谢异常根源。更精准反映身体质量指数</w:t>
      </w:r>
      <w:r>
        <w:rPr>
          <w:rFonts w:hint="eastAsia" w:ascii="Times New Roman" w:hAnsi="Times New Roman" w:eastAsia="宋体" w:cs="Times New Roman"/>
          <w:szCs w:val="21"/>
          <w:lang w:eastAsia="zh-CN"/>
        </w:rPr>
        <w:t>。</w:t>
      </w:r>
    </w:p>
    <w:p w14:paraId="163C47C9">
      <w:pPr>
        <w:widowControl/>
        <w:tabs>
          <w:tab w:val="left" w:pos="314"/>
        </w:tabs>
        <w:jc w:val="left"/>
        <w:rPr>
          <w:rFonts w:hint="default" w:ascii="Times New Roman" w:hAnsi="Times New Roman" w:eastAsia="宋体" w:cs="Times New Roman"/>
          <w:szCs w:val="21"/>
        </w:rPr>
      </w:pPr>
      <w:r>
        <w:rPr>
          <w:rFonts w:hint="default" w:ascii="Times New Roman" w:hAnsi="Times New Roman" w:eastAsia="宋体" w:cs="Times New Roman"/>
          <w:szCs w:val="21"/>
        </w:rPr>
        <w:t>4.为体重控制、减脂、肌肉训练、营养平衡和诊断疾病等提出科学有效的依据。</w:t>
      </w:r>
    </w:p>
    <w:p w14:paraId="550E0514">
      <w:pPr>
        <w:tabs>
          <w:tab w:val="left" w:pos="425"/>
        </w:tabs>
        <w:rPr>
          <w:rFonts w:hint="eastAsia" w:ascii="Times New Roman" w:hAnsi="Times New Roman" w:eastAsia="宋体" w:cs="Times New Roman"/>
          <w:szCs w:val="21"/>
        </w:rPr>
      </w:pPr>
      <w:r>
        <w:rPr>
          <w:rFonts w:hint="default" w:ascii="Times New Roman" w:hAnsi="Times New Roman" w:eastAsia="宋体" w:cs="Times New Roman"/>
          <w:szCs w:val="21"/>
        </w:rPr>
        <w:t>5.监测癌症等消耗性疾病患者的人体细胞总量及相位角等</w:t>
      </w:r>
      <w:r>
        <w:rPr>
          <w:rFonts w:hint="eastAsia" w:ascii="Times New Roman" w:hAnsi="Times New Roman" w:eastAsia="宋体" w:cs="Times New Roman"/>
          <w:szCs w:val="21"/>
        </w:rPr>
        <w:t>。</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tbl>
      <w:tblPr>
        <w:tblStyle w:val="25"/>
        <w:tblW w:w="8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6881"/>
      </w:tblGrid>
      <w:tr w14:paraId="5228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73CA0B38">
            <w:pPr>
              <w:rPr>
                <w:rFonts w:ascii="宋体" w:hAnsi="宋体" w:cs="宋体"/>
                <w:color w:val="000000"/>
                <w:szCs w:val="21"/>
              </w:rPr>
            </w:pPr>
            <w:r>
              <w:rPr>
                <w:rFonts w:ascii="宋体" w:hAnsi="宋体" w:cs="宋体"/>
                <w:color w:val="000000"/>
                <w:szCs w:val="21"/>
              </w:rPr>
              <w:t>主机</w:t>
            </w:r>
          </w:p>
        </w:tc>
        <w:tc>
          <w:tcPr>
            <w:tcW w:w="6881" w:type="dxa"/>
            <w:noWrap w:val="0"/>
            <w:vAlign w:val="top"/>
          </w:tcPr>
          <w:p w14:paraId="58FEEAC0">
            <w:pPr>
              <w:spacing w:line="360" w:lineRule="auto"/>
              <w:rPr>
                <w:rFonts w:ascii="宋体" w:hAnsi="宋体" w:eastAsia="宋体"/>
                <w:sz w:val="24"/>
              </w:rPr>
            </w:pPr>
            <w:r>
              <w:rPr>
                <w:rFonts w:hint="eastAsia" w:ascii="宋体" w:hAnsi="宋体" w:eastAsia="宋体"/>
                <w:sz w:val="24"/>
                <w:lang w:val="en-US" w:eastAsia="zh-CN"/>
              </w:rPr>
              <w:t>1</w:t>
            </w:r>
            <w:r>
              <w:rPr>
                <w:rFonts w:hint="eastAsia" w:ascii="宋体" w:hAnsi="宋体" w:eastAsia="宋体"/>
                <w:sz w:val="24"/>
              </w:rPr>
              <w:t>、测量方法：8点接触式电极，生物电阻抗测量方法（BIA）</w:t>
            </w:r>
          </w:p>
          <w:p w14:paraId="35666F58">
            <w:pPr>
              <w:spacing w:line="360" w:lineRule="auto"/>
              <w:rPr>
                <w:rFonts w:ascii="宋体" w:hAnsi="宋体" w:eastAsia="宋体"/>
                <w:sz w:val="24"/>
              </w:rPr>
            </w:pPr>
            <w:r>
              <w:rPr>
                <w:rFonts w:hint="eastAsia" w:ascii="宋体" w:hAnsi="宋体" w:eastAsia="宋体"/>
                <w:sz w:val="24"/>
                <w:lang w:val="en-US" w:eastAsia="zh-CN"/>
              </w:rPr>
              <w:t>2</w:t>
            </w:r>
            <w:r>
              <w:rPr>
                <w:rFonts w:hint="eastAsia" w:ascii="宋体" w:hAnsi="宋体" w:eastAsia="宋体"/>
                <w:sz w:val="24"/>
              </w:rPr>
              <w:t>、测量频率：</w:t>
            </w:r>
            <w:r>
              <w:rPr>
                <w:rFonts w:hint="eastAsia" w:ascii="宋体" w:hAnsi="宋体" w:eastAsia="宋体"/>
                <w:sz w:val="24"/>
                <w:lang w:val="en-US" w:eastAsia="zh-CN"/>
              </w:rPr>
              <w:t>至少包括</w:t>
            </w:r>
            <w:r>
              <w:rPr>
                <w:rFonts w:hint="eastAsia" w:ascii="宋体" w:hAnsi="宋体" w:eastAsia="宋体"/>
                <w:sz w:val="24"/>
              </w:rPr>
              <w:t>1、5、50、250、500kHz</w:t>
            </w:r>
            <w:r>
              <w:rPr>
                <w:rFonts w:hint="eastAsia" w:ascii="宋体" w:hAnsi="宋体" w:eastAsia="宋体"/>
                <w:sz w:val="24"/>
                <w:lang w:val="en-US" w:eastAsia="zh-CN"/>
              </w:rPr>
              <w:t>四种</w:t>
            </w:r>
          </w:p>
          <w:p w14:paraId="16B471F5">
            <w:pPr>
              <w:spacing w:line="360" w:lineRule="auto"/>
              <w:rPr>
                <w:rFonts w:hint="default" w:ascii="宋体" w:hAnsi="宋体" w:eastAsia="宋体"/>
                <w:sz w:val="24"/>
                <w:lang w:val="en-US" w:eastAsia="zh-CN"/>
              </w:rPr>
            </w:pPr>
            <w:r>
              <w:rPr>
                <w:rFonts w:hint="eastAsia" w:ascii="宋体" w:hAnsi="宋体" w:eastAsia="宋体"/>
                <w:sz w:val="24"/>
                <w:lang w:val="en-US" w:eastAsia="zh-CN"/>
              </w:rPr>
              <w:t>3</w:t>
            </w:r>
            <w:r>
              <w:rPr>
                <w:rFonts w:hint="eastAsia" w:ascii="宋体" w:hAnsi="宋体" w:eastAsia="宋体"/>
                <w:sz w:val="24"/>
              </w:rPr>
              <w:t>、测量时间：≤</w:t>
            </w:r>
            <w:r>
              <w:rPr>
                <w:rFonts w:hint="eastAsia" w:ascii="宋体" w:hAnsi="宋体" w:eastAsia="宋体"/>
                <w:sz w:val="24"/>
                <w:lang w:val="en-US" w:eastAsia="zh-CN"/>
              </w:rPr>
              <w:t>90秒</w:t>
            </w:r>
          </w:p>
          <w:p w14:paraId="1B089AB0">
            <w:pPr>
              <w:spacing w:line="360" w:lineRule="auto"/>
              <w:rPr>
                <w:rFonts w:ascii="宋体" w:hAnsi="宋体" w:eastAsia="宋体"/>
                <w:sz w:val="24"/>
              </w:rPr>
            </w:pPr>
            <w:r>
              <w:rPr>
                <w:rFonts w:hint="eastAsia" w:ascii="宋体" w:hAnsi="宋体" w:eastAsia="宋体"/>
                <w:sz w:val="24"/>
                <w:lang w:val="en-US" w:eastAsia="zh-CN"/>
              </w:rPr>
              <w:t>4</w:t>
            </w:r>
            <w:r>
              <w:rPr>
                <w:rFonts w:hint="eastAsia" w:ascii="宋体" w:hAnsi="宋体" w:eastAsia="宋体"/>
                <w:sz w:val="24"/>
              </w:rPr>
              <w:t>、测试部位：5个节段分段测量(右上肢、左上肢、躯干、右下肢、左下肢)</w:t>
            </w:r>
          </w:p>
          <w:p w14:paraId="1ABC9AA1">
            <w:pPr>
              <w:spacing w:line="360" w:lineRule="auto"/>
              <w:rPr>
                <w:rFonts w:ascii="宋体" w:hAnsi="宋体" w:eastAsia="宋体"/>
                <w:sz w:val="24"/>
              </w:rPr>
            </w:pPr>
            <w:r>
              <w:rPr>
                <w:rFonts w:hint="eastAsia" w:ascii="宋体" w:hAnsi="宋体" w:eastAsia="宋体"/>
                <w:sz w:val="24"/>
              </w:rPr>
              <w:t>▲</w:t>
            </w:r>
            <w:r>
              <w:rPr>
                <w:rFonts w:hint="eastAsia" w:ascii="宋体" w:hAnsi="宋体" w:eastAsia="宋体"/>
                <w:sz w:val="24"/>
                <w:lang w:val="en-US" w:eastAsia="zh-CN"/>
              </w:rPr>
              <w:t>5</w:t>
            </w:r>
            <w:r>
              <w:rPr>
                <w:rFonts w:hint="eastAsia" w:ascii="宋体" w:hAnsi="宋体" w:eastAsia="宋体"/>
                <w:sz w:val="24"/>
              </w:rPr>
              <w:t>、显示界面：分辨率≥1024x768，≥9.7</w:t>
            </w:r>
            <w:r>
              <w:rPr>
                <w:rFonts w:ascii="宋体" w:hAnsi="宋体" w:eastAsia="宋体"/>
                <w:sz w:val="24"/>
              </w:rPr>
              <w:t>寸</w:t>
            </w:r>
            <w:r>
              <w:rPr>
                <w:rFonts w:hint="eastAsia" w:ascii="宋体" w:hAnsi="宋体" w:eastAsia="宋体"/>
                <w:sz w:val="24"/>
              </w:rPr>
              <w:t>LCD彩色液晶触摸屏</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27836C3E">
            <w:pPr>
              <w:spacing w:line="360" w:lineRule="auto"/>
              <w:rPr>
                <w:rFonts w:hint="eastAsia" w:ascii="宋体" w:hAnsi="宋体" w:eastAsia="宋体"/>
                <w:sz w:val="24"/>
                <w:lang w:eastAsia="zh-CN"/>
              </w:rPr>
            </w:pPr>
            <w:r>
              <w:rPr>
                <w:rFonts w:hint="eastAsia" w:ascii="宋体" w:hAnsi="宋体" w:eastAsia="宋体"/>
                <w:sz w:val="24"/>
                <w:lang w:val="en-US" w:eastAsia="zh-CN"/>
              </w:rPr>
              <w:t>6</w:t>
            </w:r>
            <w:r>
              <w:rPr>
                <w:rFonts w:hint="eastAsia" w:ascii="宋体" w:hAnsi="宋体" w:eastAsia="宋体"/>
                <w:sz w:val="24"/>
              </w:rPr>
              <w:t>、阻抗测量范围：20-1200Ω,误差≤3%</w:t>
            </w:r>
            <w:r>
              <w:rPr>
                <w:rFonts w:hint="eastAsia" w:ascii="宋体" w:hAnsi="宋体" w:eastAsia="宋体"/>
                <w:sz w:val="24"/>
                <w:lang w:eastAsia="zh-CN"/>
              </w:rPr>
              <w:t>。</w:t>
            </w:r>
          </w:p>
          <w:p w14:paraId="7FFB9427">
            <w:pPr>
              <w:spacing w:line="360" w:lineRule="auto"/>
              <w:rPr>
                <w:rFonts w:ascii="宋体" w:hAnsi="宋体" w:eastAsia="宋体"/>
                <w:sz w:val="24"/>
              </w:rPr>
            </w:pPr>
            <w:r>
              <w:rPr>
                <w:rFonts w:hint="eastAsia" w:ascii="宋体" w:hAnsi="宋体" w:eastAsia="宋体"/>
                <w:sz w:val="24"/>
                <w:lang w:val="en-US" w:eastAsia="zh-CN"/>
              </w:rPr>
              <w:t>7</w:t>
            </w:r>
            <w:r>
              <w:rPr>
                <w:rFonts w:hint="eastAsia" w:ascii="宋体" w:hAnsi="宋体" w:eastAsia="宋体"/>
                <w:sz w:val="24"/>
              </w:rPr>
              <w:t>、重量测量范围: 5-250kg</w:t>
            </w:r>
          </w:p>
          <w:p w14:paraId="5A921E3E">
            <w:pPr>
              <w:spacing w:line="360" w:lineRule="auto"/>
              <w:rPr>
                <w:rFonts w:ascii="宋体" w:hAnsi="宋体" w:eastAsia="宋体"/>
                <w:sz w:val="24"/>
              </w:rPr>
            </w:pPr>
            <w:r>
              <w:rPr>
                <w:rFonts w:hint="eastAsia" w:ascii="宋体" w:hAnsi="宋体" w:eastAsia="宋体"/>
                <w:sz w:val="24"/>
                <w:lang w:val="en-US" w:eastAsia="zh-CN"/>
              </w:rPr>
              <w:t>8</w:t>
            </w:r>
            <w:r>
              <w:rPr>
                <w:rFonts w:ascii="宋体" w:hAnsi="宋体" w:eastAsia="宋体"/>
                <w:sz w:val="24"/>
              </w:rPr>
              <w:t>、年龄支持范围：</w:t>
            </w:r>
            <w:r>
              <w:rPr>
                <w:rFonts w:hint="eastAsia" w:ascii="宋体" w:hAnsi="宋体" w:eastAsia="宋体"/>
                <w:sz w:val="24"/>
              </w:rPr>
              <w:t>1</w:t>
            </w:r>
            <w:r>
              <w:rPr>
                <w:rFonts w:ascii="宋体" w:hAnsi="宋体" w:eastAsia="宋体"/>
                <w:sz w:val="24"/>
              </w:rPr>
              <w:t>-99岁</w:t>
            </w:r>
            <w:r>
              <w:rPr>
                <w:rFonts w:ascii="宋体" w:hAnsi="宋体" w:eastAsia="宋体"/>
                <w:sz w:val="24"/>
              </w:rPr>
              <w:br w:type="textWrapping"/>
            </w:r>
            <w:r>
              <w:rPr>
                <w:rFonts w:hint="eastAsia" w:ascii="宋体" w:hAnsi="宋体" w:eastAsia="宋体"/>
                <w:sz w:val="24"/>
                <w:lang w:val="en-US" w:eastAsia="zh-CN"/>
              </w:rPr>
              <w:t>9</w:t>
            </w:r>
            <w:r>
              <w:rPr>
                <w:rFonts w:hint="eastAsia" w:ascii="宋体" w:hAnsi="宋体" w:eastAsia="宋体"/>
                <w:sz w:val="24"/>
              </w:rPr>
              <w:t>、打印报告纸：通用A4式报告纸。</w:t>
            </w:r>
          </w:p>
          <w:p w14:paraId="0208AE86">
            <w:pPr>
              <w:spacing w:line="360" w:lineRule="auto"/>
              <w:rPr>
                <w:rFonts w:ascii="宋体" w:hAnsi="宋体" w:eastAsia="宋体"/>
                <w:sz w:val="24"/>
              </w:rPr>
            </w:pPr>
            <w:r>
              <w:rPr>
                <w:rFonts w:hint="eastAsia" w:ascii="宋体" w:hAnsi="宋体" w:eastAsia="宋体"/>
                <w:sz w:val="24"/>
              </w:rPr>
              <w:t>▲</w:t>
            </w:r>
            <w:r>
              <w:rPr>
                <w:rFonts w:hint="eastAsia" w:ascii="宋体" w:hAnsi="宋体" w:eastAsia="宋体"/>
                <w:sz w:val="24"/>
                <w:lang w:val="en-US" w:eastAsia="zh-CN"/>
              </w:rPr>
              <w:t>10</w:t>
            </w:r>
            <w:r>
              <w:rPr>
                <w:rFonts w:hint="eastAsia" w:ascii="宋体" w:hAnsi="宋体" w:eastAsia="宋体"/>
                <w:sz w:val="24"/>
              </w:rPr>
              <w:t>、提供多种测量结果报告：成年人群报告；儿童专用报告；营养处方报告。</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7F29FD89">
            <w:pPr>
              <w:spacing w:line="360" w:lineRule="auto"/>
              <w:rPr>
                <w:rFonts w:ascii="宋体" w:hAnsi="宋体" w:eastAsia="宋体"/>
                <w:sz w:val="24"/>
              </w:rPr>
            </w:pPr>
            <w:r>
              <w:rPr>
                <w:rFonts w:hint="eastAsia" w:ascii="宋体" w:hAnsi="宋体" w:eastAsia="宋体"/>
                <w:sz w:val="24"/>
              </w:rPr>
              <w:t>1</w:t>
            </w:r>
            <w:r>
              <w:rPr>
                <w:rFonts w:hint="eastAsia" w:ascii="宋体" w:hAnsi="宋体" w:eastAsia="宋体"/>
                <w:sz w:val="24"/>
                <w:lang w:val="en-US" w:eastAsia="zh-CN"/>
              </w:rPr>
              <w:t>1</w:t>
            </w:r>
            <w:r>
              <w:rPr>
                <w:rFonts w:ascii="宋体" w:hAnsi="宋体" w:eastAsia="宋体"/>
                <w:sz w:val="24"/>
              </w:rPr>
              <w:t>、</w:t>
            </w:r>
            <w:r>
              <w:rPr>
                <w:rFonts w:hint="eastAsia" w:ascii="宋体" w:hAnsi="宋体" w:eastAsia="宋体"/>
                <w:sz w:val="24"/>
              </w:rPr>
              <w:t>测量项目：</w:t>
            </w:r>
          </w:p>
          <w:p w14:paraId="273FE9CD">
            <w:pPr>
              <w:spacing w:line="360" w:lineRule="auto"/>
              <w:rPr>
                <w:rFonts w:ascii="宋体" w:hAnsi="宋体"/>
                <w:sz w:val="24"/>
                <w:szCs w:val="32"/>
              </w:rPr>
            </w:pPr>
            <w:r>
              <w:rPr>
                <w:rFonts w:hint="eastAsia" w:ascii="宋体" w:hAnsi="宋体" w:eastAsia="宋体"/>
                <w:sz w:val="24"/>
                <w:lang w:val="en-US" w:eastAsia="zh-CN"/>
              </w:rPr>
              <w:t>11.1</w:t>
            </w:r>
            <w:r>
              <w:rPr>
                <w:rFonts w:hint="eastAsia" w:ascii="宋体" w:hAnsi="宋体" w:eastAsia="宋体"/>
                <w:sz w:val="24"/>
              </w:rPr>
              <w:t>成人报告：总水分，细胞内液，细胞外液，蛋白质，无机盐，体脂肪量，体重，肌肉量，去脂体重，骨骼肌肉量，身体质量指数，体脂肪率，腰臀比，内脏脂肪面积，节段肌肉量（左臂、右臂、左腿、右腿和躯干），体重控制（目标体重、体重控制、肌肉控制、脂肪控制），基础代谢量，体型判定，全身浮肿指数，营养评估，肌肉评估（上下肢均衡及发达情况），身体总评分，不同频率下的阻抗指标，体重、B</w:t>
            </w:r>
            <w:r>
              <w:rPr>
                <w:rFonts w:ascii="宋体" w:hAnsi="宋体" w:eastAsia="宋体"/>
                <w:sz w:val="24"/>
              </w:rPr>
              <w:t>MI</w:t>
            </w:r>
            <w:r>
              <w:rPr>
                <w:rFonts w:hint="eastAsia" w:ascii="宋体" w:hAnsi="宋体" w:eastAsia="宋体"/>
                <w:sz w:val="24"/>
              </w:rPr>
              <w:t>、P</w:t>
            </w:r>
            <w:r>
              <w:rPr>
                <w:rFonts w:ascii="宋体" w:hAnsi="宋体" w:eastAsia="宋体"/>
                <w:sz w:val="24"/>
              </w:rPr>
              <w:t>BF</w:t>
            </w:r>
            <w:r>
              <w:rPr>
                <w:rFonts w:hint="eastAsia" w:ascii="宋体" w:hAnsi="宋体" w:eastAsia="宋体"/>
                <w:sz w:val="24"/>
              </w:rPr>
              <w:t>和S</w:t>
            </w:r>
            <w:r>
              <w:rPr>
                <w:rFonts w:ascii="宋体" w:hAnsi="宋体" w:eastAsia="宋体"/>
                <w:sz w:val="24"/>
              </w:rPr>
              <w:t>MM</w:t>
            </w:r>
            <w:r>
              <w:rPr>
                <w:rFonts w:hint="eastAsia" w:ascii="宋体" w:hAnsi="宋体" w:eastAsia="宋体"/>
                <w:sz w:val="24"/>
              </w:rPr>
              <w:t>四项指标的历</w:t>
            </w:r>
            <w:r>
              <w:rPr>
                <w:rFonts w:hint="eastAsia" w:ascii="宋体" w:hAnsi="宋体"/>
                <w:sz w:val="24"/>
                <w:szCs w:val="32"/>
              </w:rPr>
              <w:t>史记录等。</w:t>
            </w:r>
          </w:p>
          <w:p w14:paraId="71B05A90">
            <w:pPr>
              <w:spacing w:line="360" w:lineRule="auto"/>
              <w:rPr>
                <w:rFonts w:ascii="宋体" w:hAnsi="宋体"/>
                <w:sz w:val="24"/>
                <w:szCs w:val="32"/>
              </w:rPr>
            </w:pPr>
            <w:r>
              <w:rPr>
                <w:rFonts w:hint="eastAsia" w:ascii="宋体" w:hAnsi="宋体"/>
                <w:sz w:val="24"/>
                <w:szCs w:val="32"/>
                <w:lang w:val="en-US" w:eastAsia="zh-CN"/>
              </w:rPr>
              <w:t>11.2</w:t>
            </w:r>
            <w:r>
              <w:rPr>
                <w:rFonts w:hint="eastAsia" w:ascii="宋体" w:hAnsi="宋体"/>
                <w:sz w:val="24"/>
                <w:szCs w:val="32"/>
              </w:rPr>
              <w:t>儿童报告：体重、肌肉量、体脂肪、身体质量指数、体脂肪率、身高曲线、体重曲线、水分、蛋白质、无机盐、营养评估、身体总评分。</w:t>
            </w:r>
          </w:p>
          <w:p w14:paraId="41D7BE1B">
            <w:pPr>
              <w:spacing w:line="360" w:lineRule="auto"/>
              <w:rPr>
                <w:rFonts w:hint="eastAsia" w:ascii="宋体" w:hAnsi="宋体"/>
                <w:sz w:val="24"/>
              </w:rPr>
            </w:pPr>
            <w:r>
              <w:rPr>
                <w:rFonts w:hint="eastAsia" w:ascii="宋体" w:hAnsi="宋体"/>
                <w:sz w:val="24"/>
                <w:szCs w:val="32"/>
                <w:lang w:val="en-US" w:eastAsia="zh-CN"/>
              </w:rPr>
              <w:t>11.3</w:t>
            </w:r>
            <w:r>
              <w:rPr>
                <w:rFonts w:hint="eastAsia" w:ascii="宋体" w:hAnsi="宋体"/>
                <w:sz w:val="24"/>
                <w:szCs w:val="32"/>
              </w:rPr>
              <w:t>营养与运动处方：营养膳食指导，一周三餐推荐菜谱、每日总能量推荐摄入量，以及对主要营养素蛋白质、脂肪和碳水化合物推荐摄入量，提供运动项目与时长建议等。</w:t>
            </w:r>
            <w:r>
              <w:rPr>
                <w:rFonts w:hint="eastAsia" w:ascii="宋体" w:hAnsi="宋体"/>
                <w:sz w:val="24"/>
                <w:szCs w:val="32"/>
              </w:rPr>
              <w:br w:type="textWrapping"/>
            </w:r>
            <w:r>
              <w:rPr>
                <w:rFonts w:hint="eastAsia" w:ascii="宋体" w:hAnsi="宋体" w:eastAsia="宋体" w:cs="宋体"/>
                <w:sz w:val="24"/>
                <w:szCs w:val="32"/>
              </w:rPr>
              <w:t>▲</w:t>
            </w:r>
            <w:r>
              <w:rPr>
                <w:rFonts w:hint="eastAsia" w:ascii="宋体" w:hAnsi="宋体"/>
                <w:sz w:val="24"/>
                <w:lang w:val="en-US" w:eastAsia="zh-CN"/>
              </w:rPr>
              <w:t>12、</w:t>
            </w:r>
            <w:r>
              <w:rPr>
                <w:rFonts w:hint="eastAsia" w:ascii="宋体" w:hAnsi="宋体"/>
                <w:sz w:val="24"/>
              </w:rPr>
              <w:t>支持采用管理端连接营养分析系统，通过设备检测及数据分析输出专用人群的营养报告。提供营养处方系统专用著作权证。</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1.</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color w:val="0000FF"/>
                <w:sz w:val="21"/>
                <w:szCs w:val="21"/>
                <w:lang w:val="en-US" w:eastAsia="zh-CN"/>
              </w:rPr>
              <w:t>2.</w:t>
            </w:r>
            <w:r>
              <w:rPr>
                <w:rFonts w:hint="eastAsia" w:ascii="宋体" w:hAnsi="宋体" w:eastAsia="宋体" w:cs="宋体"/>
                <w:b/>
                <w:bCs/>
                <w:color w:val="0000FF"/>
                <w:sz w:val="21"/>
                <w:szCs w:val="21"/>
              </w:rPr>
              <w:t>提供营养处方系统专用著作权证</w:t>
            </w:r>
            <w:r>
              <w:rPr>
                <w:rFonts w:hint="eastAsia" w:ascii="宋体" w:hAnsi="宋体" w:eastAsia="宋体" w:cs="宋体"/>
                <w:b/>
                <w:bCs/>
                <w:color w:val="0000FF"/>
                <w:sz w:val="21"/>
                <w:szCs w:val="21"/>
                <w:lang w:val="en-US" w:eastAsia="zh-CN"/>
              </w:rPr>
              <w:t>复印件</w:t>
            </w:r>
            <w:r>
              <w:rPr>
                <w:rFonts w:hint="eastAsia" w:ascii="宋体" w:hAnsi="宋体" w:eastAsia="宋体" w:cs="宋体"/>
                <w:b/>
                <w:bCs/>
                <w:color w:val="0000FF"/>
                <w:sz w:val="21"/>
                <w:szCs w:val="21"/>
              </w:rPr>
              <w:t>。</w:t>
            </w:r>
            <w:r>
              <w:rPr>
                <w:rFonts w:hint="eastAsia" w:ascii="宋体" w:hAnsi="宋体" w:eastAsia="宋体" w:cs="宋体"/>
                <w:b/>
                <w:bCs/>
                <w:sz w:val="21"/>
                <w:szCs w:val="21"/>
              </w:rPr>
              <w:t>）</w:t>
            </w:r>
          </w:p>
          <w:p w14:paraId="0AF563F5">
            <w:pPr>
              <w:spacing w:line="360" w:lineRule="auto"/>
              <w:rPr>
                <w:rFonts w:ascii="宋体" w:hAnsi="宋体"/>
                <w:sz w:val="24"/>
              </w:rPr>
            </w:pPr>
            <w:r>
              <w:rPr>
                <w:rFonts w:hint="eastAsia" w:ascii="宋体" w:hAnsi="宋体"/>
                <w:sz w:val="24"/>
                <w:lang w:val="en-US" w:eastAsia="zh-CN"/>
              </w:rPr>
              <w:t>13、</w:t>
            </w:r>
            <w:r>
              <w:rPr>
                <w:rFonts w:hint="eastAsia" w:ascii="宋体" w:hAnsi="宋体"/>
                <w:sz w:val="24"/>
              </w:rPr>
              <w:t>有云平台接口和云端服务支持，主机具备无线和蓝牙连接模式。</w:t>
            </w:r>
          </w:p>
          <w:p w14:paraId="32EF86E4">
            <w:pPr>
              <w:spacing w:line="360" w:lineRule="auto"/>
              <w:rPr>
                <w:rFonts w:ascii="宋体" w:hAnsi="宋体"/>
                <w:sz w:val="24"/>
              </w:rPr>
            </w:pPr>
            <w:r>
              <w:rPr>
                <w:rFonts w:hint="eastAsia" w:ascii="宋体" w:hAnsi="宋体"/>
                <w:sz w:val="24"/>
                <w:lang w:val="en-US" w:eastAsia="zh-CN"/>
              </w:rPr>
              <w:t>14</w:t>
            </w:r>
            <w:r>
              <w:rPr>
                <w:rFonts w:hint="eastAsia" w:ascii="宋体" w:hAnsi="宋体"/>
                <w:sz w:val="24"/>
              </w:rPr>
              <w:t>、数据存储：自动存储，大容量存储，可存储≥50万组测量数据</w:t>
            </w:r>
          </w:p>
          <w:p w14:paraId="6647A2F3">
            <w:pPr>
              <w:spacing w:line="360" w:lineRule="auto"/>
              <w:rPr>
                <w:rFonts w:ascii="宋体" w:hAnsi="宋体"/>
                <w:sz w:val="24"/>
              </w:rPr>
            </w:pPr>
            <w:r>
              <w:rPr>
                <w:rFonts w:hint="eastAsia" w:ascii="宋体" w:hAnsi="宋体"/>
                <w:sz w:val="24"/>
                <w:lang w:val="en-US" w:eastAsia="zh-CN"/>
              </w:rPr>
              <w:t>15</w:t>
            </w:r>
            <w:r>
              <w:rPr>
                <w:rFonts w:hint="eastAsia" w:ascii="宋体" w:hAnsi="宋体"/>
                <w:sz w:val="24"/>
              </w:rPr>
              <w:t>、查询功能：在设备上直接进行多种数据查询（ID号、身高、体重、年龄、性别查询）</w:t>
            </w:r>
          </w:p>
          <w:p w14:paraId="26049D23">
            <w:pPr>
              <w:spacing w:line="360" w:lineRule="auto"/>
              <w:rPr>
                <w:rFonts w:ascii="宋体" w:hAnsi="宋体"/>
                <w:sz w:val="24"/>
                <w:szCs w:val="32"/>
              </w:rPr>
            </w:pPr>
            <w:r>
              <w:rPr>
                <w:rFonts w:hint="eastAsia" w:ascii="宋体" w:hAnsi="宋体"/>
                <w:sz w:val="24"/>
                <w:lang w:val="en-US" w:eastAsia="zh-CN"/>
              </w:rPr>
              <w:t>16</w:t>
            </w:r>
            <w:r>
              <w:rPr>
                <w:rFonts w:hint="eastAsia" w:ascii="宋体" w:hAnsi="宋体"/>
                <w:sz w:val="24"/>
              </w:rPr>
              <w:t>、设备安全管理：具有密码设置功能</w:t>
            </w:r>
          </w:p>
          <w:p w14:paraId="2B0E2A47">
            <w:pPr>
              <w:spacing w:line="360" w:lineRule="auto"/>
              <w:rPr>
                <w:rFonts w:ascii="宋体" w:hAnsi="宋体"/>
                <w:color w:val="000000"/>
                <w:sz w:val="24"/>
              </w:rPr>
            </w:pPr>
            <w:r>
              <w:rPr>
                <w:rFonts w:ascii="宋体" w:hAnsi="宋体" w:eastAsia="宋体"/>
                <w:sz w:val="24"/>
              </w:rPr>
              <w:t>1</w:t>
            </w:r>
            <w:r>
              <w:rPr>
                <w:rFonts w:hint="eastAsia" w:ascii="宋体" w:hAnsi="宋体" w:eastAsia="宋体"/>
                <w:sz w:val="24"/>
                <w:lang w:val="en-US" w:eastAsia="zh-CN"/>
              </w:rPr>
              <w:t>7</w:t>
            </w:r>
            <w:r>
              <w:rPr>
                <w:rFonts w:ascii="宋体" w:hAnsi="宋体" w:eastAsia="宋体"/>
                <w:sz w:val="24"/>
              </w:rPr>
              <w:t>、</w:t>
            </w:r>
            <w:r>
              <w:rPr>
                <w:rFonts w:hint="eastAsia" w:ascii="宋体" w:hAnsi="宋体"/>
                <w:sz w:val="24"/>
                <w:szCs w:val="32"/>
              </w:rPr>
              <w:t>电源：电击保护I类设备，BF型应用部分</w:t>
            </w:r>
          </w:p>
          <w:p w14:paraId="024AEC32">
            <w:pPr>
              <w:spacing w:line="360" w:lineRule="auto"/>
              <w:rPr>
                <w:rFonts w:hint="eastAsia" w:ascii="宋体" w:hAnsi="宋体" w:eastAsia="宋体"/>
                <w:sz w:val="24"/>
                <w:szCs w:val="32"/>
                <w:lang w:val="en-US" w:eastAsia="zh-CN"/>
              </w:rPr>
            </w:pPr>
            <w:r>
              <w:rPr>
                <w:rFonts w:hint="eastAsia" w:ascii="宋体" w:hAnsi="宋体"/>
                <w:color w:val="000000"/>
                <w:sz w:val="24"/>
              </w:rPr>
              <w:t>1</w:t>
            </w:r>
            <w:r>
              <w:rPr>
                <w:rFonts w:hint="eastAsia" w:ascii="宋体" w:hAnsi="宋体"/>
                <w:color w:val="000000"/>
                <w:sz w:val="24"/>
                <w:lang w:val="en-US" w:eastAsia="zh-CN"/>
              </w:rPr>
              <w:t>8</w:t>
            </w:r>
            <w:r>
              <w:rPr>
                <w:rFonts w:hint="eastAsia" w:ascii="宋体" w:hAnsi="宋体"/>
                <w:color w:val="000000"/>
                <w:sz w:val="24"/>
              </w:rPr>
              <w:t>、具备电脑管理软件及</w:t>
            </w:r>
            <w:r>
              <w:rPr>
                <w:rFonts w:hint="eastAsia" w:ascii="宋体" w:hAnsi="宋体"/>
                <w:color w:val="000000"/>
                <w:sz w:val="24"/>
                <w:lang w:eastAsia="zh-CN"/>
              </w:rPr>
              <w:t>《</w:t>
            </w:r>
            <w:r>
              <w:rPr>
                <w:rFonts w:hint="eastAsia" w:ascii="宋体" w:hAnsi="宋体"/>
                <w:color w:val="000000"/>
                <w:sz w:val="24"/>
              </w:rPr>
              <w:t>人体成分分析仪嵌入式软件</w:t>
            </w:r>
            <w:r>
              <w:rPr>
                <w:rFonts w:hint="eastAsia" w:ascii="宋体" w:hAnsi="宋体"/>
                <w:color w:val="000000"/>
                <w:sz w:val="24"/>
                <w:lang w:eastAsia="zh-CN"/>
              </w:rPr>
              <w:t>》</w:t>
            </w:r>
            <w:r>
              <w:rPr>
                <w:rFonts w:hint="eastAsia" w:ascii="宋体" w:hAnsi="宋体"/>
                <w:color w:val="000000"/>
                <w:sz w:val="24"/>
              </w:rPr>
              <w:t>著作权证</w:t>
            </w:r>
            <w:r>
              <w:rPr>
                <w:rFonts w:hint="eastAsia" w:ascii="宋体" w:hAnsi="宋体"/>
                <w:color w:val="000000"/>
                <w:sz w:val="24"/>
                <w:lang w:val="en-US" w:eastAsia="zh-CN"/>
              </w:rPr>
              <w:t>书，</w:t>
            </w:r>
            <w:r>
              <w:rPr>
                <w:rFonts w:hint="eastAsia" w:ascii="宋体" w:hAnsi="宋体"/>
                <w:color w:val="000000"/>
                <w:sz w:val="24"/>
              </w:rPr>
              <w:t>便于电脑控制和系统对接。</w:t>
            </w:r>
          </w:p>
        </w:tc>
      </w:tr>
    </w:tbl>
    <w:p w14:paraId="6003FB17">
      <w:pPr>
        <w:tabs>
          <w:tab w:val="left" w:pos="425"/>
        </w:tabs>
        <w:rPr>
          <w:rFonts w:hint="eastAsia" w:asciiTheme="minorEastAsia" w:hAnsiTheme="minorEastAsia" w:eastAsiaTheme="minorEastAsia"/>
          <w:b/>
          <w:szCs w:val="21"/>
          <w:highlight w:val="none"/>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5A039B9A">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63BE76A2">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1.提供技术资料、操作手册。</w:t>
      </w:r>
    </w:p>
    <w:p w14:paraId="0C61FB3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2.专业工程师现场安装及调试。</w:t>
      </w:r>
    </w:p>
    <w:p w14:paraId="5F2C558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3.中标供应商必须对科室使用人员进行设备必要的操作培训，保证科室使用人员能够熟练掌握各种设备和软件等常规使用方法，以及小故障的判断与解决。</w:t>
      </w:r>
    </w:p>
    <w:p w14:paraId="54516398">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4.提供不少于3个月做一次机器维护服务。（服务期内协调安排巡检并出具巡检报告盖公司公章）。</w:t>
      </w:r>
    </w:p>
    <w:p w14:paraId="64E661C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5.提供技术咨询；</w:t>
      </w:r>
    </w:p>
    <w:p w14:paraId="57076D12">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6.终身提供用户系统软件升级，并提供升级所需的硬件。</w:t>
      </w:r>
    </w:p>
    <w:p w14:paraId="400048BE">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7.保证供应仪器的维修与配件。</w:t>
      </w:r>
    </w:p>
    <w:p w14:paraId="1B4B7CA3">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8.维修响应时间为24小时 *365天，接到报修电话后工程师必须在4小时内赶到现场处理故障。需更换零部件的故障24小时内维修完毕；48小时内不能完成维修的，需提供备用机。（并提供详细的解决方案说明）</w:t>
      </w:r>
    </w:p>
    <w:p w14:paraId="42AB61B6">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9.保证更换的零配件是全新且由原厂提供；保证设备维护达到符合厂家标准及相应的国家质量标准要求，并保证设备正常使用。</w:t>
      </w:r>
    </w:p>
    <w:p w14:paraId="7620DC2E">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10.设备如涉及数据传输（包括但不限于HIS、LIS、PACS等医疗信息系统），中标方必须免费开放接口，并承担对接其他系统所需要的接口开发、数据传输以及对接过程中产生的一切费用。</w:t>
      </w:r>
    </w:p>
    <w:p w14:paraId="1933109C">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11.如设备涉及要开放维修密码，中标方必须开放。</w:t>
      </w:r>
    </w:p>
    <w:p w14:paraId="637DC215">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12.质保期：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ind w:left="420" w:leftChars="200" w:firstLine="0" w:firstLineChars="0"/>
        <w:rPr>
          <w:rFonts w:hint="eastAsia" w:ascii="宋体" w:hAnsi="宋体" w:eastAsia="宋体" w:cs="Times New Roman"/>
          <w:szCs w:val="21"/>
          <w:lang w:val="en-US" w:eastAsia="zh-CN"/>
        </w:rPr>
      </w:pPr>
      <w:r>
        <w:rPr>
          <w:rFonts w:hint="eastAsia" w:ascii="宋体" w:hAnsi="宋体" w:cs="Times New Roman"/>
          <w:szCs w:val="21"/>
          <w:lang w:val="en-US" w:eastAsia="zh-CN"/>
        </w:rPr>
        <w:t>13.交货期：签订合同后60个日历日内交货。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14.交货地点：</w:t>
      </w:r>
      <w:r>
        <w:rPr>
          <w:rFonts w:hint="eastAsia"/>
          <w:szCs w:val="21"/>
        </w:rPr>
        <w:t>深圳市宝安区石岩人民医院指定地点</w:t>
      </w:r>
      <w:r>
        <w:rPr>
          <w:rFonts w:hint="eastAsia"/>
          <w:szCs w:val="21"/>
          <w:lang w:eastAsia="zh-CN"/>
        </w:rPr>
        <w:t>。</w:t>
      </w:r>
    </w:p>
    <w:p w14:paraId="17A5B158">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41F728BC">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60CD0E55">
      <w:pPr>
        <w:ind w:firstLine="420" w:firstLineChars="200"/>
        <w:rPr>
          <w:rFonts w:hint="eastAsia" w:ascii="宋体" w:hAnsi="宋体" w:eastAsia="宋体" w:cs="宋体"/>
          <w:sz w:val="21"/>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2"/>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5E27FD56">
      <w:pPr>
        <w:ind w:firstLine="210" w:firstLineChars="100"/>
        <w:rPr>
          <w:rFonts w:cs="Arial" w:asciiTheme="minorEastAsia" w:hAnsiTheme="minorEastAsia" w:eastAsiaTheme="minorEastAsia"/>
          <w:b/>
          <w:color w:val="000000"/>
          <w:sz w:val="32"/>
          <w:szCs w:val="32"/>
          <w:highlight w:val="none"/>
        </w:rPr>
      </w:pPr>
      <w:r>
        <w:rPr>
          <w:rFonts w:hint="eastAsia" w:ascii="宋体" w:hAnsi="宋体" w:eastAsia="宋体" w:cs="Times New Roman"/>
          <w:szCs w:val="21"/>
          <w:lang w:val="en-US" w:eastAsia="zh-CN"/>
        </w:rPr>
        <w:t>投标供应商必须提供所投产品的《医疗器械注册(备案)证》的复印件，原件备查(开标时，该注册证应在有效期内;若不在有效期内，则需提供该注册证和所投产品在该注册证有效期内生产的药监局出具的证明文件)</w:t>
      </w:r>
      <w:r>
        <w:rPr>
          <w:rFonts w:cs="Arial" w:asciiTheme="minorEastAsia" w:hAnsiTheme="minorEastAsia" w:eastAsiaTheme="minorEastAsia"/>
          <w:b/>
          <w:color w:val="000000"/>
          <w:sz w:val="32"/>
          <w:szCs w:val="32"/>
          <w:highlight w:val="none"/>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深圳市宝安区石岩人民医院2025年第14期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项目编号:SYYYZBCG2025-14</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10"/>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9"/>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5"/>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5"/>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8"/>
          <w:rFonts w:hint="eastAsia"/>
          <w:b w:val="0"/>
          <w:bCs w:val="0"/>
          <w:color w:val="FF0000"/>
          <w:sz w:val="21"/>
          <w:szCs w:val="21"/>
        </w:rPr>
        <w:t>请在</w:t>
      </w:r>
      <w:r>
        <w:rPr>
          <w:rStyle w:val="28"/>
          <w:b w:val="0"/>
          <w:bCs w:val="0"/>
          <w:color w:val="FF0000"/>
          <w:sz w:val="21"/>
          <w:szCs w:val="21"/>
        </w:rPr>
        <w:t>自查结论</w:t>
      </w:r>
      <w:r>
        <w:rPr>
          <w:rStyle w:val="28"/>
          <w:rFonts w:hint="eastAsia"/>
          <w:b w:val="0"/>
          <w:bCs w:val="0"/>
          <w:color w:val="FF0000"/>
          <w:sz w:val="21"/>
          <w:szCs w:val="21"/>
        </w:rPr>
        <w:t>表格中“</w:t>
      </w:r>
      <w:r>
        <w:rPr>
          <w:rStyle w:val="28"/>
          <w:b w:val="0"/>
          <w:bCs w:val="0"/>
          <w:color w:val="FF0000"/>
          <w:sz w:val="21"/>
          <w:szCs w:val="21"/>
        </w:rPr>
        <w:t>通过</w:t>
      </w:r>
      <w:r>
        <w:rPr>
          <w:rStyle w:val="28"/>
          <w:rFonts w:hint="eastAsia"/>
          <w:b w:val="0"/>
          <w:bCs w:val="0"/>
          <w:color w:val="FF0000"/>
          <w:sz w:val="21"/>
          <w:szCs w:val="21"/>
        </w:rPr>
        <w:t>”或“不</w:t>
      </w:r>
      <w:r>
        <w:rPr>
          <w:rStyle w:val="28"/>
          <w:b w:val="0"/>
          <w:bCs w:val="0"/>
          <w:color w:val="FF0000"/>
          <w:sz w:val="21"/>
          <w:szCs w:val="21"/>
        </w:rPr>
        <w:t>通过</w:t>
      </w:r>
      <w:r>
        <w:rPr>
          <w:rStyle w:val="28"/>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5"/>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3"/>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3"/>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719"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719"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719"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719"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E1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gridSpan w:val="5"/>
            <w:vAlign w:val="center"/>
          </w:tcPr>
          <w:p w14:paraId="5431BBCD">
            <w:pPr>
              <w:pStyle w:val="2"/>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b/>
                <w:kern w:val="2"/>
                <w:sz w:val="21"/>
                <w:szCs w:val="21"/>
                <w:lang w:val="en-US" w:eastAsia="zh-CN" w:bidi="ar-SA"/>
              </w:rPr>
              <w:t>【报价要求】</w:t>
            </w:r>
          </w:p>
        </w:tc>
      </w:tr>
      <w:tr w14:paraId="5ADB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A8B6E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70BF20C4">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4B2852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928A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63B9C0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1F5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5E3289B2">
            <w:pPr>
              <w:pStyle w:val="2"/>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lang w:val="en-US" w:eastAsia="zh-CN" w:bidi="ar-SA"/>
              </w:rPr>
              <w:t>【</w:t>
            </w:r>
            <w:r>
              <w:rPr>
                <w:rFonts w:hint="eastAsia" w:ascii="宋体" w:hAnsi="宋体" w:eastAsia="宋体" w:cs="Times New Roman"/>
                <w:b/>
                <w:bCs/>
                <w:kern w:val="2"/>
                <w:sz w:val="21"/>
                <w:szCs w:val="21"/>
                <w:lang w:val="en-US" w:eastAsia="zh-CN" w:bidi="ar-SA"/>
              </w:rPr>
              <w:t>其它要求</w:t>
            </w:r>
            <w:r>
              <w:rPr>
                <w:rFonts w:hint="eastAsia" w:ascii="宋体" w:hAnsi="宋体" w:eastAsia="宋体" w:cs="Times New Roman"/>
                <w:kern w:val="2"/>
                <w:sz w:val="21"/>
                <w:szCs w:val="21"/>
                <w:lang w:val="en-US" w:eastAsia="zh-CN" w:bidi="ar-SA"/>
              </w:rPr>
              <w:t>】</w:t>
            </w:r>
          </w:p>
        </w:tc>
      </w:tr>
      <w:tr w14:paraId="675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073B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3FFBEB0B">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018AB7E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1AC72E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CCF6EBF">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435514855"/>
      <w:bookmarkStart w:id="7" w:name="_Toc435515295"/>
      <w:bookmarkStart w:id="8" w:name="_Toc24650"/>
      <w:bookmarkStart w:id="9" w:name="_Toc17479"/>
      <w:bookmarkStart w:id="10"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10"/>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2BD62B3C">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3"/>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3"/>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5"/>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10"/>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3"/>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5"/>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5"/>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5"/>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
        <w:ind w:firstLine="420"/>
        <w:rPr>
          <w:rFonts w:asciiTheme="minorEastAsia" w:hAnsiTheme="minorEastAsia" w:eastAsiaTheme="minorEastAsia"/>
        </w:rPr>
      </w:pPr>
    </w:p>
    <w:p w14:paraId="46CEA70A">
      <w:pPr>
        <w:pStyle w:val="2"/>
        <w:ind w:firstLine="420"/>
        <w:rPr>
          <w:rFonts w:asciiTheme="minorEastAsia" w:hAnsiTheme="minorEastAsia" w:eastAsiaTheme="minorEastAsia"/>
        </w:rPr>
      </w:pPr>
    </w:p>
    <w:p w14:paraId="49658AAF">
      <w:pPr>
        <w:pStyle w:val="2"/>
        <w:ind w:firstLine="420"/>
        <w:rPr>
          <w:rFonts w:asciiTheme="minorEastAsia" w:hAnsiTheme="minorEastAsia" w:eastAsiaTheme="minorEastAsia"/>
        </w:rPr>
      </w:pPr>
    </w:p>
    <w:p w14:paraId="36C1336E">
      <w:pPr>
        <w:pStyle w:val="2"/>
        <w:ind w:firstLine="420"/>
        <w:rPr>
          <w:rFonts w:asciiTheme="minorEastAsia" w:hAnsiTheme="minorEastAsia" w:eastAsiaTheme="minorEastAsia"/>
        </w:rPr>
      </w:pPr>
    </w:p>
    <w:p w14:paraId="25BAF7E8">
      <w:pPr>
        <w:pStyle w:val="2"/>
        <w:ind w:firstLine="420"/>
        <w:rPr>
          <w:rFonts w:asciiTheme="minorEastAsia" w:hAnsiTheme="minorEastAsia" w:eastAsiaTheme="minorEastAsia"/>
        </w:rPr>
      </w:pPr>
    </w:p>
    <w:p w14:paraId="65F601D7">
      <w:pPr>
        <w:pStyle w:val="2"/>
        <w:ind w:firstLine="420"/>
        <w:rPr>
          <w:rFonts w:asciiTheme="minorEastAsia" w:hAnsiTheme="minorEastAsia" w:eastAsiaTheme="minorEastAsia"/>
        </w:rPr>
      </w:pPr>
    </w:p>
    <w:p w14:paraId="1CC30CEF">
      <w:pPr>
        <w:pStyle w:val="2"/>
        <w:ind w:firstLine="420"/>
        <w:rPr>
          <w:rFonts w:asciiTheme="minorEastAsia" w:hAnsiTheme="minorEastAsia" w:eastAsiaTheme="minorEastAsia"/>
        </w:rPr>
      </w:pPr>
    </w:p>
    <w:p w14:paraId="1B7A7B20">
      <w:pPr>
        <w:pStyle w:val="2"/>
        <w:ind w:firstLine="420"/>
        <w:rPr>
          <w:rFonts w:asciiTheme="minorEastAsia" w:hAnsiTheme="minorEastAsia" w:eastAsiaTheme="minorEastAsia"/>
        </w:rPr>
      </w:pPr>
    </w:p>
    <w:p w14:paraId="1C6123C4">
      <w:pPr>
        <w:pStyle w:val="2"/>
        <w:ind w:firstLine="420"/>
        <w:rPr>
          <w:rFonts w:asciiTheme="minorEastAsia" w:hAnsiTheme="minorEastAsia" w:eastAsiaTheme="minorEastAsia"/>
        </w:rPr>
      </w:pPr>
    </w:p>
    <w:p w14:paraId="527E1812">
      <w:pPr>
        <w:pStyle w:val="2"/>
        <w:ind w:firstLine="420"/>
        <w:rPr>
          <w:rFonts w:asciiTheme="minorEastAsia" w:hAnsiTheme="minorEastAsia" w:eastAsiaTheme="minorEastAsia"/>
        </w:rPr>
      </w:pPr>
    </w:p>
    <w:p w14:paraId="535CA35A">
      <w:pPr>
        <w:pStyle w:val="2"/>
        <w:ind w:firstLine="420"/>
        <w:rPr>
          <w:rFonts w:asciiTheme="minorEastAsia" w:hAnsiTheme="minorEastAsia" w:eastAsiaTheme="minorEastAsia"/>
        </w:rPr>
      </w:pPr>
    </w:p>
    <w:p w14:paraId="3F0D1F05">
      <w:pPr>
        <w:pStyle w:val="2"/>
        <w:ind w:firstLine="420"/>
        <w:rPr>
          <w:rFonts w:asciiTheme="minorEastAsia" w:hAnsiTheme="minorEastAsia" w:eastAsiaTheme="minorEastAsia"/>
        </w:rPr>
      </w:pPr>
    </w:p>
    <w:p w14:paraId="16E72AE0">
      <w:pPr>
        <w:pStyle w:val="2"/>
        <w:ind w:firstLine="420"/>
        <w:rPr>
          <w:rFonts w:asciiTheme="minorEastAsia" w:hAnsiTheme="minorEastAsia" w:eastAsiaTheme="minorEastAsia"/>
        </w:rPr>
      </w:pPr>
    </w:p>
    <w:p w14:paraId="15CDAD3F">
      <w:pPr>
        <w:pStyle w:val="2"/>
        <w:ind w:firstLine="420"/>
        <w:rPr>
          <w:rFonts w:asciiTheme="minorEastAsia" w:hAnsiTheme="minorEastAsia" w:eastAsiaTheme="minorEastAsia"/>
        </w:rPr>
      </w:pPr>
    </w:p>
    <w:p w14:paraId="428F365C">
      <w:pPr>
        <w:pStyle w:val="2"/>
        <w:ind w:firstLine="420"/>
        <w:rPr>
          <w:rFonts w:asciiTheme="minorEastAsia" w:hAnsiTheme="minorEastAsia" w:eastAsiaTheme="minorEastAsia"/>
        </w:rPr>
      </w:pPr>
    </w:p>
    <w:p w14:paraId="45901412">
      <w:pPr>
        <w:pStyle w:val="2"/>
        <w:ind w:firstLine="420"/>
        <w:rPr>
          <w:rFonts w:asciiTheme="minorEastAsia" w:hAnsiTheme="minorEastAsia" w:eastAsiaTheme="minorEastAsia"/>
        </w:rPr>
      </w:pPr>
    </w:p>
    <w:p w14:paraId="47A8BE55">
      <w:pPr>
        <w:pStyle w:val="2"/>
        <w:ind w:firstLine="420"/>
        <w:rPr>
          <w:rFonts w:asciiTheme="minorEastAsia" w:hAnsiTheme="minorEastAsia" w:eastAsiaTheme="minorEastAsia"/>
        </w:rPr>
      </w:pPr>
    </w:p>
    <w:p w14:paraId="64B8DE04">
      <w:pPr>
        <w:pStyle w:val="2"/>
        <w:ind w:firstLine="420"/>
        <w:rPr>
          <w:rFonts w:asciiTheme="minorEastAsia" w:hAnsiTheme="minorEastAsia" w:eastAsiaTheme="minorEastAsia"/>
        </w:rPr>
      </w:pPr>
    </w:p>
    <w:p w14:paraId="659D756C">
      <w:pPr>
        <w:pStyle w:val="2"/>
        <w:ind w:firstLine="420"/>
        <w:rPr>
          <w:rFonts w:asciiTheme="minorEastAsia" w:hAnsiTheme="minorEastAsia" w:eastAsiaTheme="minorEastAsia"/>
        </w:rPr>
      </w:pPr>
    </w:p>
    <w:p w14:paraId="491B156C">
      <w:pPr>
        <w:pStyle w:val="2"/>
        <w:ind w:firstLine="420"/>
        <w:rPr>
          <w:rFonts w:asciiTheme="minorEastAsia" w:hAnsiTheme="minorEastAsia" w:eastAsiaTheme="minorEastAsia"/>
        </w:rPr>
      </w:pPr>
    </w:p>
    <w:p w14:paraId="27A3FEAD">
      <w:pPr>
        <w:pStyle w:val="2"/>
        <w:ind w:firstLine="420"/>
        <w:rPr>
          <w:rFonts w:asciiTheme="minorEastAsia" w:hAnsiTheme="minorEastAsia" w:eastAsiaTheme="minorEastAsia"/>
        </w:rPr>
      </w:pPr>
    </w:p>
    <w:p w14:paraId="5550959C">
      <w:pPr>
        <w:pStyle w:val="2"/>
        <w:ind w:firstLine="420"/>
        <w:rPr>
          <w:rFonts w:asciiTheme="minorEastAsia" w:hAnsiTheme="minorEastAsia" w:eastAsiaTheme="minorEastAsia"/>
        </w:rPr>
      </w:pPr>
    </w:p>
    <w:p w14:paraId="05F9DA3C">
      <w:pPr>
        <w:pStyle w:val="2"/>
        <w:ind w:firstLine="420"/>
        <w:rPr>
          <w:rFonts w:asciiTheme="minorEastAsia" w:hAnsiTheme="minorEastAsia" w:eastAsiaTheme="minorEastAsia"/>
        </w:rPr>
      </w:pPr>
    </w:p>
    <w:p w14:paraId="7B91D0DD">
      <w:pPr>
        <w:pStyle w:val="2"/>
        <w:ind w:firstLine="420"/>
        <w:rPr>
          <w:rFonts w:asciiTheme="minorEastAsia" w:hAnsiTheme="minorEastAsia" w:eastAsiaTheme="minorEastAsia"/>
        </w:rPr>
      </w:pPr>
    </w:p>
    <w:p w14:paraId="190FE48A">
      <w:pPr>
        <w:pStyle w:val="2"/>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深圳市宝安区石岩人民医院2025年第14期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项目编号:SYYYZBCG2025-14</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5"/>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5"/>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13C6B1ED">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3AA7D25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B85089"/>
    <w:rsid w:val="01E201F8"/>
    <w:rsid w:val="01EA0A25"/>
    <w:rsid w:val="01F26FB9"/>
    <w:rsid w:val="023579C8"/>
    <w:rsid w:val="023A1380"/>
    <w:rsid w:val="02A143D0"/>
    <w:rsid w:val="02A623F4"/>
    <w:rsid w:val="031F3DF1"/>
    <w:rsid w:val="03CE5557"/>
    <w:rsid w:val="04147B6B"/>
    <w:rsid w:val="04410970"/>
    <w:rsid w:val="0458764A"/>
    <w:rsid w:val="045E78EA"/>
    <w:rsid w:val="046D23D6"/>
    <w:rsid w:val="053900D9"/>
    <w:rsid w:val="058003D3"/>
    <w:rsid w:val="0585243C"/>
    <w:rsid w:val="05A70ABC"/>
    <w:rsid w:val="05A916FD"/>
    <w:rsid w:val="05C85AC2"/>
    <w:rsid w:val="05EA06F1"/>
    <w:rsid w:val="06311C08"/>
    <w:rsid w:val="064F28F7"/>
    <w:rsid w:val="06604E4C"/>
    <w:rsid w:val="06606E3A"/>
    <w:rsid w:val="06947DDF"/>
    <w:rsid w:val="0695239C"/>
    <w:rsid w:val="06A4344F"/>
    <w:rsid w:val="07235607"/>
    <w:rsid w:val="07750484"/>
    <w:rsid w:val="07CB416F"/>
    <w:rsid w:val="07D50310"/>
    <w:rsid w:val="08277A83"/>
    <w:rsid w:val="084148CC"/>
    <w:rsid w:val="08634ECD"/>
    <w:rsid w:val="08B43E5E"/>
    <w:rsid w:val="08CB0CA3"/>
    <w:rsid w:val="08DF3D52"/>
    <w:rsid w:val="094009C2"/>
    <w:rsid w:val="09975CDD"/>
    <w:rsid w:val="09A03EDE"/>
    <w:rsid w:val="09A12E0A"/>
    <w:rsid w:val="09DB5757"/>
    <w:rsid w:val="0A2B08CC"/>
    <w:rsid w:val="0A454A85"/>
    <w:rsid w:val="0ACF69F6"/>
    <w:rsid w:val="0AD42A6C"/>
    <w:rsid w:val="0ADB6776"/>
    <w:rsid w:val="0B6E5B51"/>
    <w:rsid w:val="0BF4035C"/>
    <w:rsid w:val="0C026B10"/>
    <w:rsid w:val="0C61289A"/>
    <w:rsid w:val="0D0137BF"/>
    <w:rsid w:val="0D476125"/>
    <w:rsid w:val="0D607708"/>
    <w:rsid w:val="0DA7141F"/>
    <w:rsid w:val="0DAD030B"/>
    <w:rsid w:val="0DB87CD2"/>
    <w:rsid w:val="0DFB52FC"/>
    <w:rsid w:val="0E415753"/>
    <w:rsid w:val="0E572FD9"/>
    <w:rsid w:val="0E6E1608"/>
    <w:rsid w:val="0EEF2A8D"/>
    <w:rsid w:val="0F065696"/>
    <w:rsid w:val="0F0C2F2C"/>
    <w:rsid w:val="0F293116"/>
    <w:rsid w:val="0F467170"/>
    <w:rsid w:val="0F7B0BBA"/>
    <w:rsid w:val="0FCE0F47"/>
    <w:rsid w:val="0FE12519"/>
    <w:rsid w:val="0FE26120"/>
    <w:rsid w:val="0FFB6426"/>
    <w:rsid w:val="108C7EE0"/>
    <w:rsid w:val="10B25721"/>
    <w:rsid w:val="10D34359"/>
    <w:rsid w:val="11107554"/>
    <w:rsid w:val="11537214"/>
    <w:rsid w:val="11F01C84"/>
    <w:rsid w:val="120078F0"/>
    <w:rsid w:val="123B1F6E"/>
    <w:rsid w:val="12495F8E"/>
    <w:rsid w:val="12594A2B"/>
    <w:rsid w:val="12655DAA"/>
    <w:rsid w:val="12752FAF"/>
    <w:rsid w:val="12C53CBF"/>
    <w:rsid w:val="12FA4D3D"/>
    <w:rsid w:val="13324923"/>
    <w:rsid w:val="13640A4D"/>
    <w:rsid w:val="137C08A6"/>
    <w:rsid w:val="138342C3"/>
    <w:rsid w:val="13A60619"/>
    <w:rsid w:val="14201F34"/>
    <w:rsid w:val="1469095F"/>
    <w:rsid w:val="15022918"/>
    <w:rsid w:val="151C63E2"/>
    <w:rsid w:val="15271495"/>
    <w:rsid w:val="158B6386"/>
    <w:rsid w:val="15941E22"/>
    <w:rsid w:val="15D12470"/>
    <w:rsid w:val="15E52C78"/>
    <w:rsid w:val="161D2575"/>
    <w:rsid w:val="167F3E50"/>
    <w:rsid w:val="16B37F65"/>
    <w:rsid w:val="16BA2357"/>
    <w:rsid w:val="16CD72D2"/>
    <w:rsid w:val="16D72D03"/>
    <w:rsid w:val="17193B6F"/>
    <w:rsid w:val="171E4558"/>
    <w:rsid w:val="172C618F"/>
    <w:rsid w:val="17424826"/>
    <w:rsid w:val="1791646E"/>
    <w:rsid w:val="17CF144B"/>
    <w:rsid w:val="17D6136C"/>
    <w:rsid w:val="17E943D9"/>
    <w:rsid w:val="195C4BF4"/>
    <w:rsid w:val="197C0007"/>
    <w:rsid w:val="19B749E9"/>
    <w:rsid w:val="1A451613"/>
    <w:rsid w:val="1A7B35E5"/>
    <w:rsid w:val="1A943556"/>
    <w:rsid w:val="1AAB623F"/>
    <w:rsid w:val="1AB258A4"/>
    <w:rsid w:val="1AC008F7"/>
    <w:rsid w:val="1AE810AB"/>
    <w:rsid w:val="1B5D4C6F"/>
    <w:rsid w:val="1BBE3026"/>
    <w:rsid w:val="1C3D2105"/>
    <w:rsid w:val="1C4A1E12"/>
    <w:rsid w:val="1C813548"/>
    <w:rsid w:val="1C8F27F1"/>
    <w:rsid w:val="1CA36361"/>
    <w:rsid w:val="1CF82E88"/>
    <w:rsid w:val="1DC454C9"/>
    <w:rsid w:val="1DE57900"/>
    <w:rsid w:val="1E105B1F"/>
    <w:rsid w:val="1EBA1E08"/>
    <w:rsid w:val="1ED701A5"/>
    <w:rsid w:val="1EE96648"/>
    <w:rsid w:val="1F277B72"/>
    <w:rsid w:val="1F6C5D0D"/>
    <w:rsid w:val="1F884DA0"/>
    <w:rsid w:val="1F951999"/>
    <w:rsid w:val="1FB262C1"/>
    <w:rsid w:val="1FF27875"/>
    <w:rsid w:val="20142AD8"/>
    <w:rsid w:val="20254EDC"/>
    <w:rsid w:val="2055466D"/>
    <w:rsid w:val="2058454C"/>
    <w:rsid w:val="206E6027"/>
    <w:rsid w:val="209D4C41"/>
    <w:rsid w:val="20AA2093"/>
    <w:rsid w:val="211F048E"/>
    <w:rsid w:val="214C4304"/>
    <w:rsid w:val="21A217E8"/>
    <w:rsid w:val="21A41CD4"/>
    <w:rsid w:val="21AD2898"/>
    <w:rsid w:val="21EA7433"/>
    <w:rsid w:val="22133E57"/>
    <w:rsid w:val="223B7515"/>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DF58EA"/>
    <w:rsid w:val="26E86FA4"/>
    <w:rsid w:val="26F369E1"/>
    <w:rsid w:val="278A7B32"/>
    <w:rsid w:val="27D26266"/>
    <w:rsid w:val="27DA025D"/>
    <w:rsid w:val="28011B74"/>
    <w:rsid w:val="2861644F"/>
    <w:rsid w:val="28683667"/>
    <w:rsid w:val="286E6127"/>
    <w:rsid w:val="28787037"/>
    <w:rsid w:val="287D074A"/>
    <w:rsid w:val="28832A7D"/>
    <w:rsid w:val="28B75145"/>
    <w:rsid w:val="28F76ACD"/>
    <w:rsid w:val="29835E2E"/>
    <w:rsid w:val="29B02846"/>
    <w:rsid w:val="29FE6F59"/>
    <w:rsid w:val="2A5F682C"/>
    <w:rsid w:val="2B903A3A"/>
    <w:rsid w:val="2BB92785"/>
    <w:rsid w:val="2BE11EED"/>
    <w:rsid w:val="2BE47A1F"/>
    <w:rsid w:val="2BEA5A48"/>
    <w:rsid w:val="2C1F6752"/>
    <w:rsid w:val="2C3342E6"/>
    <w:rsid w:val="2C3B319A"/>
    <w:rsid w:val="2C6234F2"/>
    <w:rsid w:val="2C707634"/>
    <w:rsid w:val="2CCC7151"/>
    <w:rsid w:val="2CD6118A"/>
    <w:rsid w:val="2CF008E7"/>
    <w:rsid w:val="2D03418D"/>
    <w:rsid w:val="2D216D06"/>
    <w:rsid w:val="2D5568C4"/>
    <w:rsid w:val="2D5C355C"/>
    <w:rsid w:val="2DBB1C5C"/>
    <w:rsid w:val="2DE85EFD"/>
    <w:rsid w:val="2E40760B"/>
    <w:rsid w:val="2E6356A7"/>
    <w:rsid w:val="2EA1520D"/>
    <w:rsid w:val="2F36293F"/>
    <w:rsid w:val="2F600347"/>
    <w:rsid w:val="2F7A5790"/>
    <w:rsid w:val="2F834F89"/>
    <w:rsid w:val="2F9B5244"/>
    <w:rsid w:val="2FA02C29"/>
    <w:rsid w:val="30110A49"/>
    <w:rsid w:val="304235BD"/>
    <w:rsid w:val="30EC75C0"/>
    <w:rsid w:val="311F45E1"/>
    <w:rsid w:val="314074A8"/>
    <w:rsid w:val="31600B93"/>
    <w:rsid w:val="31B42A02"/>
    <w:rsid w:val="321761DD"/>
    <w:rsid w:val="324A2A66"/>
    <w:rsid w:val="32A035D1"/>
    <w:rsid w:val="32D2354E"/>
    <w:rsid w:val="337F4D09"/>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67D5F75"/>
    <w:rsid w:val="37B80232"/>
    <w:rsid w:val="37EF5645"/>
    <w:rsid w:val="384E323D"/>
    <w:rsid w:val="388574E5"/>
    <w:rsid w:val="388E2006"/>
    <w:rsid w:val="38CD48A4"/>
    <w:rsid w:val="391705BD"/>
    <w:rsid w:val="392419CF"/>
    <w:rsid w:val="394413FB"/>
    <w:rsid w:val="397658F0"/>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AC5CA6"/>
    <w:rsid w:val="3DB50E5B"/>
    <w:rsid w:val="3DFA1540"/>
    <w:rsid w:val="3E1C3315"/>
    <w:rsid w:val="3E247A94"/>
    <w:rsid w:val="3E2D18ED"/>
    <w:rsid w:val="3E723E2B"/>
    <w:rsid w:val="3F1955BD"/>
    <w:rsid w:val="3F6260FB"/>
    <w:rsid w:val="3FA41E8B"/>
    <w:rsid w:val="3FE82935"/>
    <w:rsid w:val="3FF8211E"/>
    <w:rsid w:val="3FFB33B2"/>
    <w:rsid w:val="401D2DFC"/>
    <w:rsid w:val="403E3527"/>
    <w:rsid w:val="404F3622"/>
    <w:rsid w:val="4071181D"/>
    <w:rsid w:val="40CA3130"/>
    <w:rsid w:val="411A6C40"/>
    <w:rsid w:val="416D2F7D"/>
    <w:rsid w:val="41BA25F5"/>
    <w:rsid w:val="41D97346"/>
    <w:rsid w:val="41E060B7"/>
    <w:rsid w:val="422E7B30"/>
    <w:rsid w:val="4281305B"/>
    <w:rsid w:val="42FC0A69"/>
    <w:rsid w:val="43343E26"/>
    <w:rsid w:val="433A2253"/>
    <w:rsid w:val="4340170F"/>
    <w:rsid w:val="434D08AF"/>
    <w:rsid w:val="435968D0"/>
    <w:rsid w:val="436D6BB9"/>
    <w:rsid w:val="43740C1D"/>
    <w:rsid w:val="43CA332A"/>
    <w:rsid w:val="43F237F3"/>
    <w:rsid w:val="444929F9"/>
    <w:rsid w:val="4487121B"/>
    <w:rsid w:val="448A1F0F"/>
    <w:rsid w:val="448E5211"/>
    <w:rsid w:val="44CD1E32"/>
    <w:rsid w:val="44DE39F5"/>
    <w:rsid w:val="45234642"/>
    <w:rsid w:val="456227F4"/>
    <w:rsid w:val="46026FB0"/>
    <w:rsid w:val="46297974"/>
    <w:rsid w:val="466B0DF4"/>
    <w:rsid w:val="46C93BCD"/>
    <w:rsid w:val="46F221FE"/>
    <w:rsid w:val="47D75D20"/>
    <w:rsid w:val="47D91706"/>
    <w:rsid w:val="47FA2D2E"/>
    <w:rsid w:val="49682E11"/>
    <w:rsid w:val="49D3002D"/>
    <w:rsid w:val="4A012B81"/>
    <w:rsid w:val="4AAE19D8"/>
    <w:rsid w:val="4B0C247A"/>
    <w:rsid w:val="4B783852"/>
    <w:rsid w:val="4C3C4C39"/>
    <w:rsid w:val="4C664853"/>
    <w:rsid w:val="4CB311FE"/>
    <w:rsid w:val="4CE60A20"/>
    <w:rsid w:val="4D0A1CC7"/>
    <w:rsid w:val="4D3A3304"/>
    <w:rsid w:val="4D6C0AE1"/>
    <w:rsid w:val="4DD21613"/>
    <w:rsid w:val="4E2054D7"/>
    <w:rsid w:val="4E212877"/>
    <w:rsid w:val="4E274B68"/>
    <w:rsid w:val="4E394F2A"/>
    <w:rsid w:val="4E4F1146"/>
    <w:rsid w:val="4E5C1022"/>
    <w:rsid w:val="4ED51CE3"/>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B54930"/>
    <w:rsid w:val="53CE3177"/>
    <w:rsid w:val="53F87A3F"/>
    <w:rsid w:val="5409540B"/>
    <w:rsid w:val="548A7C35"/>
    <w:rsid w:val="54A36C24"/>
    <w:rsid w:val="54F1729A"/>
    <w:rsid w:val="55670D23"/>
    <w:rsid w:val="559076EE"/>
    <w:rsid w:val="560E29D8"/>
    <w:rsid w:val="561B066F"/>
    <w:rsid w:val="562E599A"/>
    <w:rsid w:val="5649544A"/>
    <w:rsid w:val="56685A5F"/>
    <w:rsid w:val="567A204F"/>
    <w:rsid w:val="56BD5754"/>
    <w:rsid w:val="5712720C"/>
    <w:rsid w:val="57E83B4D"/>
    <w:rsid w:val="58626A55"/>
    <w:rsid w:val="589E5285"/>
    <w:rsid w:val="58B02FBD"/>
    <w:rsid w:val="58EB214D"/>
    <w:rsid w:val="59606088"/>
    <w:rsid w:val="5A1F5B49"/>
    <w:rsid w:val="5A952A70"/>
    <w:rsid w:val="5AAF3568"/>
    <w:rsid w:val="5B6156CC"/>
    <w:rsid w:val="5C12034F"/>
    <w:rsid w:val="5C834BA6"/>
    <w:rsid w:val="5C991000"/>
    <w:rsid w:val="5CBC47AD"/>
    <w:rsid w:val="5CE32F49"/>
    <w:rsid w:val="5D445AA3"/>
    <w:rsid w:val="5D620393"/>
    <w:rsid w:val="5D88386E"/>
    <w:rsid w:val="5E4F7594"/>
    <w:rsid w:val="5E651423"/>
    <w:rsid w:val="5E943229"/>
    <w:rsid w:val="5EBA3E20"/>
    <w:rsid w:val="5ED35A81"/>
    <w:rsid w:val="5F8A33DA"/>
    <w:rsid w:val="5FA83F53"/>
    <w:rsid w:val="5FB174C5"/>
    <w:rsid w:val="601E4304"/>
    <w:rsid w:val="602844BB"/>
    <w:rsid w:val="606469A1"/>
    <w:rsid w:val="606E7AE8"/>
    <w:rsid w:val="606F170E"/>
    <w:rsid w:val="60C97836"/>
    <w:rsid w:val="60EB0FF0"/>
    <w:rsid w:val="6101665F"/>
    <w:rsid w:val="616D02E8"/>
    <w:rsid w:val="619024AA"/>
    <w:rsid w:val="61A74EFB"/>
    <w:rsid w:val="61AF0925"/>
    <w:rsid w:val="61F734FF"/>
    <w:rsid w:val="61F74869"/>
    <w:rsid w:val="62312A9A"/>
    <w:rsid w:val="623D12B8"/>
    <w:rsid w:val="62683FE2"/>
    <w:rsid w:val="626F0E29"/>
    <w:rsid w:val="62A10CA5"/>
    <w:rsid w:val="62A17D34"/>
    <w:rsid w:val="62F24EF0"/>
    <w:rsid w:val="63811696"/>
    <w:rsid w:val="63BF400D"/>
    <w:rsid w:val="63DC0075"/>
    <w:rsid w:val="63E15A7D"/>
    <w:rsid w:val="63FE1DB7"/>
    <w:rsid w:val="64354559"/>
    <w:rsid w:val="64582E10"/>
    <w:rsid w:val="64925E76"/>
    <w:rsid w:val="649A7622"/>
    <w:rsid w:val="651537A8"/>
    <w:rsid w:val="65312B0C"/>
    <w:rsid w:val="65326CE0"/>
    <w:rsid w:val="653B7E49"/>
    <w:rsid w:val="65565C63"/>
    <w:rsid w:val="655A5E64"/>
    <w:rsid w:val="65651AD3"/>
    <w:rsid w:val="65986EAB"/>
    <w:rsid w:val="65A61FF0"/>
    <w:rsid w:val="65BE0868"/>
    <w:rsid w:val="65BE4AE3"/>
    <w:rsid w:val="65CC6BBB"/>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9040D6"/>
    <w:rsid w:val="6AB86746"/>
    <w:rsid w:val="6ABE7379"/>
    <w:rsid w:val="6AEB1C2B"/>
    <w:rsid w:val="6B0034CD"/>
    <w:rsid w:val="6B892505"/>
    <w:rsid w:val="6B897030"/>
    <w:rsid w:val="6B8C66BD"/>
    <w:rsid w:val="6BCF0494"/>
    <w:rsid w:val="6BED516E"/>
    <w:rsid w:val="6C1A0813"/>
    <w:rsid w:val="6C2D4165"/>
    <w:rsid w:val="6CA56CEA"/>
    <w:rsid w:val="6CEA04E7"/>
    <w:rsid w:val="6CF801DC"/>
    <w:rsid w:val="6D115B9C"/>
    <w:rsid w:val="6D312A7D"/>
    <w:rsid w:val="6D396CFB"/>
    <w:rsid w:val="6D3F33CC"/>
    <w:rsid w:val="6D5A3D43"/>
    <w:rsid w:val="6DD4449B"/>
    <w:rsid w:val="6E16454E"/>
    <w:rsid w:val="6E4D05F9"/>
    <w:rsid w:val="6E530994"/>
    <w:rsid w:val="6E615616"/>
    <w:rsid w:val="6E7362C6"/>
    <w:rsid w:val="6E805766"/>
    <w:rsid w:val="6E8B1913"/>
    <w:rsid w:val="6EF07817"/>
    <w:rsid w:val="6F5B05E8"/>
    <w:rsid w:val="6F655B31"/>
    <w:rsid w:val="6F9A0300"/>
    <w:rsid w:val="6FD346A9"/>
    <w:rsid w:val="701D586D"/>
    <w:rsid w:val="7113224A"/>
    <w:rsid w:val="71157C60"/>
    <w:rsid w:val="714C1EF3"/>
    <w:rsid w:val="717779D3"/>
    <w:rsid w:val="725162FB"/>
    <w:rsid w:val="72564976"/>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2C3307"/>
    <w:rsid w:val="7536480C"/>
    <w:rsid w:val="754341A3"/>
    <w:rsid w:val="75643B8A"/>
    <w:rsid w:val="767C658F"/>
    <w:rsid w:val="769A0BED"/>
    <w:rsid w:val="769B452E"/>
    <w:rsid w:val="76CC54DC"/>
    <w:rsid w:val="76EA6FF0"/>
    <w:rsid w:val="76EE63EF"/>
    <w:rsid w:val="779B7BAD"/>
    <w:rsid w:val="77E43D15"/>
    <w:rsid w:val="787B5C11"/>
    <w:rsid w:val="78FD327E"/>
    <w:rsid w:val="791653FC"/>
    <w:rsid w:val="792E7646"/>
    <w:rsid w:val="79650AA5"/>
    <w:rsid w:val="79836DA7"/>
    <w:rsid w:val="79A26C57"/>
    <w:rsid w:val="79B060D9"/>
    <w:rsid w:val="79BD0E2F"/>
    <w:rsid w:val="7A2D0AA1"/>
    <w:rsid w:val="7A483EF9"/>
    <w:rsid w:val="7A7E6973"/>
    <w:rsid w:val="7AAD6DD9"/>
    <w:rsid w:val="7B282F94"/>
    <w:rsid w:val="7B355031"/>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styleId="6">
    <w:name w:val="Normal Indent"/>
    <w:basedOn w:val="1"/>
    <w:next w:val="7"/>
    <w:link w:val="34"/>
    <w:qFormat/>
    <w:uiPriority w:val="0"/>
    <w:pPr>
      <w:ind w:firstLine="420"/>
    </w:pPr>
    <w:rPr>
      <w:szCs w:val="20"/>
    </w:rPr>
  </w:style>
  <w:style w:type="paragraph" w:styleId="7">
    <w:name w:val="footer"/>
    <w:basedOn w:val="1"/>
    <w:link w:val="37"/>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w:basedOn w:val="1"/>
    <w:link w:val="45"/>
    <w:qFormat/>
    <w:uiPriority w:val="0"/>
    <w:pPr>
      <w:tabs>
        <w:tab w:val="left" w:pos="562"/>
        <w:tab w:val="left" w:pos="3372"/>
        <w:tab w:val="left" w:pos="3653"/>
      </w:tabs>
    </w:pPr>
    <w:rPr>
      <w:sz w:val="24"/>
    </w:rPr>
  </w:style>
  <w:style w:type="paragraph" w:styleId="11">
    <w:name w:val="Body Text Indent"/>
    <w:basedOn w:val="1"/>
    <w:next w:val="1"/>
    <w:semiHidden/>
    <w:qFormat/>
    <w:uiPriority w:val="0"/>
    <w:pPr>
      <w:spacing w:line="360" w:lineRule="auto"/>
      <w:ind w:left="720" w:hanging="720" w:hangingChars="300"/>
    </w:pPr>
    <w:rPr>
      <w:sz w:val="24"/>
      <w:szCs w:val="20"/>
    </w:rPr>
  </w:style>
  <w:style w:type="paragraph" w:styleId="12">
    <w:name w:val="List 2"/>
    <w:basedOn w:val="1"/>
    <w:next w:val="1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3">
    <w:name w:val="Plain Text"/>
    <w:basedOn w:val="1"/>
    <w:link w:val="35"/>
    <w:qFormat/>
    <w:uiPriority w:val="0"/>
    <w:rPr>
      <w:rFonts w:ascii="宋体" w:hAnsi="Courier New" w:cs="宋体"/>
      <w:szCs w:val="21"/>
    </w:rPr>
  </w:style>
  <w:style w:type="paragraph" w:styleId="14">
    <w:name w:val="Balloon Text"/>
    <w:basedOn w:val="1"/>
    <w:link w:val="52"/>
    <w:semiHidden/>
    <w:unhideWhenUsed/>
    <w:qFormat/>
    <w:uiPriority w:val="99"/>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qFormat/>
    <w:uiPriority w:val="0"/>
    <w:pPr>
      <w:spacing w:afterLines="0" w:line="240" w:lineRule="auto"/>
    </w:pPr>
    <w:rPr>
      <w:rFonts w:ascii="Calibri" w:hAnsi="Calibri"/>
      <w:szCs w:val="20"/>
    </w:rPr>
  </w:style>
  <w:style w:type="paragraph" w:styleId="17">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8">
    <w:name w:val="footnote text"/>
    <w:basedOn w:val="1"/>
    <w:semiHidden/>
    <w:unhideWhenUsed/>
    <w:qFormat/>
    <w:uiPriority w:val="99"/>
    <w:pPr>
      <w:snapToGrid w:val="0"/>
      <w:jc w:val="left"/>
    </w:pPr>
    <w:rPr>
      <w:sz w:val="18"/>
    </w:rPr>
  </w:style>
  <w:style w:type="paragraph" w:styleId="19">
    <w:name w:val="Body Text 2"/>
    <w:basedOn w:val="1"/>
    <w:unhideWhenUsed/>
    <w:qFormat/>
    <w:uiPriority w:val="0"/>
    <w:pPr>
      <w:spacing w:line="360" w:lineRule="auto"/>
    </w:pPr>
    <w:rPr>
      <w:rFonts w:hint="default" w:ascii="宋体" w:hAnsi="宋体"/>
      <w:color w:val="000000"/>
      <w:sz w:val="24"/>
      <w:szCs w:val="20"/>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Title"/>
    <w:basedOn w:val="1"/>
    <w:next w:val="1"/>
    <w:qFormat/>
    <w:uiPriority w:val="0"/>
    <w:pPr>
      <w:spacing w:before="240" w:after="60"/>
      <w:jc w:val="center"/>
      <w:outlineLvl w:val="0"/>
    </w:pPr>
    <w:rPr>
      <w:rFonts w:ascii="Arial" w:hAnsi="Arial" w:eastAsia="隶书"/>
      <w:b/>
      <w:bCs/>
      <w:sz w:val="32"/>
      <w:szCs w:val="32"/>
    </w:rPr>
  </w:style>
  <w:style w:type="paragraph" w:styleId="23">
    <w:name w:val="Body Text First Indent"/>
    <w:basedOn w:val="10"/>
    <w:next w:val="1"/>
    <w:qFormat/>
    <w:uiPriority w:val="0"/>
    <w:pPr>
      <w:ind w:firstLine="420" w:firstLineChars="100"/>
    </w:pPr>
  </w:style>
  <w:style w:type="paragraph" w:styleId="24">
    <w:name w:val="Body Text First Indent 2"/>
    <w:basedOn w:val="11"/>
    <w:next w:val="1"/>
    <w:qFormat/>
    <w:uiPriority w:val="0"/>
    <w:pPr>
      <w:ind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Hyperlink"/>
    <w:qFormat/>
    <w:uiPriority w:val="0"/>
    <w:rPr>
      <w:color w:val="0000FF"/>
      <w:u w:val="single"/>
    </w:rPr>
  </w:style>
  <w:style w:type="character" w:styleId="30">
    <w:name w:val="annotation reference"/>
    <w:qFormat/>
    <w:uiPriority w:val="0"/>
    <w:rPr>
      <w:sz w:val="21"/>
      <w:szCs w:val="21"/>
    </w:rPr>
  </w:style>
  <w:style w:type="character" w:styleId="31">
    <w:name w:val="footnote reference"/>
    <w:basedOn w:val="27"/>
    <w:semiHidden/>
    <w:unhideWhenUsed/>
    <w:qFormat/>
    <w:uiPriority w:val="99"/>
    <w:rPr>
      <w:vertAlign w:val="superscript"/>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7"/>
    <w:semiHidden/>
    <w:qFormat/>
    <w:uiPriority w:val="99"/>
    <w:rPr>
      <w:rFonts w:hAnsi="Courier New" w:cs="Courier New" w:asciiTheme="minorEastAsia"/>
      <w:szCs w:val="24"/>
    </w:rPr>
  </w:style>
  <w:style w:type="character" w:customStyle="1" w:styleId="34">
    <w:name w:val="正文缩进 Char1"/>
    <w:basedOn w:val="27"/>
    <w:link w:val="6"/>
    <w:qFormat/>
    <w:uiPriority w:val="0"/>
    <w:rPr>
      <w:rFonts w:ascii="Times New Roman" w:hAnsi="Times New Roman" w:eastAsia="宋体" w:cs="Times New Roman"/>
      <w:szCs w:val="20"/>
    </w:rPr>
  </w:style>
  <w:style w:type="character" w:customStyle="1" w:styleId="35">
    <w:name w:val="纯文本 Char1"/>
    <w:basedOn w:val="27"/>
    <w:link w:val="13"/>
    <w:qFormat/>
    <w:uiPriority w:val="0"/>
    <w:rPr>
      <w:rFonts w:ascii="宋体" w:hAnsi="Courier New" w:eastAsia="宋体" w:cs="宋体"/>
      <w:szCs w:val="21"/>
    </w:rPr>
  </w:style>
  <w:style w:type="character" w:customStyle="1" w:styleId="36">
    <w:name w:val="页眉 Char"/>
    <w:basedOn w:val="27"/>
    <w:link w:val="15"/>
    <w:qFormat/>
    <w:uiPriority w:val="99"/>
    <w:rPr>
      <w:rFonts w:ascii="Times New Roman" w:hAnsi="Times New Roman" w:eastAsia="宋体" w:cs="Times New Roman"/>
      <w:sz w:val="18"/>
      <w:szCs w:val="18"/>
    </w:rPr>
  </w:style>
  <w:style w:type="character" w:customStyle="1" w:styleId="37">
    <w:name w:val="页脚 Char"/>
    <w:basedOn w:val="27"/>
    <w:link w:val="7"/>
    <w:qFormat/>
    <w:uiPriority w:val="99"/>
    <w:rPr>
      <w:rFonts w:ascii="Times New Roman" w:hAnsi="Times New Roman" w:eastAsia="宋体" w:cs="Times New Roman"/>
      <w:sz w:val="18"/>
      <w:szCs w:val="18"/>
    </w:rPr>
  </w:style>
  <w:style w:type="character" w:customStyle="1" w:styleId="38">
    <w:name w:val="正文缩进 Char1 Char"/>
    <w:basedOn w:val="27"/>
    <w:qFormat/>
    <w:uiPriority w:val="0"/>
    <w:rPr>
      <w:kern w:val="2"/>
      <w:sz w:val="21"/>
    </w:rPr>
  </w:style>
  <w:style w:type="character" w:customStyle="1" w:styleId="39">
    <w:name w:val="纯文本 Char"/>
    <w:basedOn w:val="27"/>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7"/>
    <w:link w:val="10"/>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7"/>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7"/>
    <w:link w:val="14"/>
    <w:semiHidden/>
    <w:qFormat/>
    <w:uiPriority w:val="99"/>
    <w:rPr>
      <w:rFonts w:ascii="Times New Roman" w:hAnsi="Times New Roman" w:eastAsia="宋体" w:cs="Times New Roman"/>
      <w:sz w:val="18"/>
      <w:szCs w:val="18"/>
    </w:rPr>
  </w:style>
  <w:style w:type="character" w:customStyle="1" w:styleId="53">
    <w:name w:val="批注文字 Char"/>
    <w:basedOn w:val="27"/>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7"/>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7"/>
    <w:link w:val="3"/>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9396</Words>
  <Characters>10026</Characters>
  <Lines>102</Lines>
  <Paragraphs>28</Paragraphs>
  <TotalTime>1</TotalTime>
  <ScaleCrop>false</ScaleCrop>
  <LinksUpToDate>false</LinksUpToDate>
  <CharactersWithSpaces>10394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Many</cp:lastModifiedBy>
  <cp:lastPrinted>2025-04-01T01:20:00Z</cp:lastPrinted>
  <dcterms:modified xsi:type="dcterms:W3CDTF">2025-10-27T09:28:36Z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79CD3BFF289E4211B2243D03152B2424_13</vt:lpwstr>
  </property>
  <property fmtid="{D5CDD505-2E9C-101B-9397-08002B2CF9AE}" pid="4" name="KSOTemplateDocerSaveRecord">
    <vt:lpwstr>eyJoZGlkIjoiYjY1MzcxZmEzNzdmYzQ3NGQ5M2I5ZmVmMzc3YmE5ZTgiLCJ1c2VySWQiOiI0MTA0OTM5OTgifQ==</vt:lpwstr>
  </property>
</Properties>
</file>