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1</w:t>
      </w:r>
      <w:r>
        <w:rPr>
          <w:rFonts w:hint="eastAsia" w:ascii="宋体" w:hAnsi="宋体" w:eastAsia="宋体" w:cs="宋体"/>
          <w:b/>
          <w:bCs/>
          <w:sz w:val="30"/>
          <w:szCs w:val="30"/>
          <w:lang w:val="en-US" w:eastAsia="zh-CN"/>
        </w:rPr>
        <w:t>3期</w:t>
      </w:r>
      <w:r>
        <w:rPr>
          <w:rFonts w:hint="eastAsia" w:ascii="宋体" w:hAnsi="宋体" w:eastAsia="宋体" w:cs="宋体"/>
          <w:b/>
          <w:bCs/>
          <w:sz w:val="30"/>
          <w:szCs w:val="30"/>
          <w:lang w:eastAsia="zh-CN"/>
        </w:rPr>
        <w:t>病案数字化</w:t>
      </w:r>
      <w:r>
        <w:rPr>
          <w:rFonts w:hint="eastAsia" w:ascii="宋体" w:hAnsi="宋体" w:eastAsia="宋体" w:cs="宋体"/>
          <w:b/>
          <w:bCs/>
          <w:sz w:val="30"/>
          <w:szCs w:val="30"/>
          <w:lang w:val="en-US" w:eastAsia="zh-CN"/>
        </w:rPr>
        <w:t>扫描</w:t>
      </w:r>
      <w:r>
        <w:rPr>
          <w:rFonts w:hint="eastAsia" w:ascii="宋体" w:hAnsi="宋体" w:eastAsia="宋体" w:cs="宋体"/>
          <w:b/>
          <w:bCs/>
          <w:sz w:val="30"/>
          <w:szCs w:val="30"/>
          <w:lang w:eastAsia="zh-CN"/>
        </w:rPr>
        <w:t>和托管服务采</w:t>
      </w:r>
      <w:r>
        <w:rPr>
          <w:rFonts w:hint="eastAsia" w:ascii="宋体" w:hAnsi="宋体" w:cs="宋体"/>
          <w:b/>
          <w:bCs/>
          <w:sz w:val="30"/>
          <w:szCs w:val="30"/>
          <w:lang w:eastAsia="zh-CN"/>
        </w:rPr>
        <w:t>购公告</w:t>
      </w:r>
    </w:p>
    <w:p w14:paraId="1C80CBEC">
      <w:pPr>
        <w:widowControl/>
        <w:spacing w:line="360" w:lineRule="atLeast"/>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rPr>
        <w:t>采购编号:</w:t>
      </w:r>
      <w:r>
        <w:rPr>
          <w:rFonts w:hint="eastAsia" w:ascii="宋体" w:hAnsi="宋体" w:cs="宋体"/>
          <w:b/>
          <w:bCs/>
          <w:sz w:val="30"/>
          <w:szCs w:val="30"/>
          <w:lang w:eastAsia="zh-CN"/>
        </w:rPr>
        <w:t>SYYYZBCG2025-13</w:t>
      </w:r>
    </w:p>
    <w:p w14:paraId="66565DA1">
      <w:pPr>
        <w:widowControl/>
        <w:spacing w:line="360" w:lineRule="atLeast"/>
        <w:jc w:val="center"/>
        <w:rPr>
          <w:rFonts w:hint="default" w:ascii="宋体" w:hAnsi="宋体" w:eastAsia="宋体" w:cs="宋体"/>
          <w:b/>
          <w:bCs/>
          <w:sz w:val="30"/>
          <w:szCs w:val="30"/>
          <w:lang w:val="en-US" w:eastAsia="zh-CN"/>
        </w:rPr>
      </w:pP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838"/>
        <w:gridCol w:w="1050"/>
        <w:gridCol w:w="1650"/>
        <w:gridCol w:w="2014"/>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838"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050" w:type="dxa"/>
            <w:tcMar>
              <w:top w:w="0" w:type="dxa"/>
              <w:left w:w="108" w:type="dxa"/>
              <w:bottom w:w="0" w:type="dxa"/>
              <w:right w:w="108" w:type="dxa"/>
            </w:tcMar>
            <w:vAlign w:val="center"/>
          </w:tcPr>
          <w:p w14:paraId="6BF9E073">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650"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014"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病案数字化扫描和托管服务</w:t>
            </w:r>
          </w:p>
        </w:tc>
        <w:tc>
          <w:tcPr>
            <w:tcW w:w="838"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1050" w:type="dxa"/>
            <w:tcMar>
              <w:top w:w="0" w:type="dxa"/>
              <w:left w:w="108" w:type="dxa"/>
              <w:bottom w:w="0" w:type="dxa"/>
              <w:right w:w="108" w:type="dxa"/>
            </w:tcMar>
            <w:vAlign w:val="center"/>
          </w:tcPr>
          <w:p w14:paraId="2A1BD48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项</w:t>
            </w:r>
          </w:p>
        </w:tc>
        <w:tc>
          <w:tcPr>
            <w:tcW w:w="1650"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质控科</w:t>
            </w:r>
          </w:p>
        </w:tc>
        <w:tc>
          <w:tcPr>
            <w:tcW w:w="2014"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00"/>
          <w:kern w:val="0"/>
          <w:szCs w:val="21"/>
          <w:lang w:val="en-US" w:eastAsia="zh-CN"/>
        </w:rPr>
        <w:t>10</w:t>
      </w:r>
      <w:r>
        <w:rPr>
          <w:rFonts w:hint="eastAsia" w:ascii="宋体" w:hAnsi="宋体" w:cs="宋体"/>
          <w:b w:val="0"/>
          <w:bCs/>
          <w:color w:val="000000" w:themeColor="text1"/>
          <w:kern w:val="0"/>
          <w:szCs w:val="21"/>
          <w:lang w:val="en-US" w:eastAsia="zh-CN"/>
          <w14:textFill>
            <w14:solidFill>
              <w14:schemeClr w14:val="tx1"/>
            </w14:solidFill>
          </w14:textFill>
        </w:rPr>
        <w:t>月30</w:t>
      </w:r>
      <w:bookmarkStart w:id="28" w:name="_GoBack"/>
      <w:bookmarkEnd w:id="28"/>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default" w:ascii="宋体" w:hAnsi="宋体" w:eastAsia="宋体" w:cs="宋体"/>
          <w:bCs/>
          <w:sz w:val="24"/>
          <w:lang w:val="en-US" w:eastAsia="zh-CN"/>
        </w:rPr>
      </w:pPr>
      <w:r>
        <w:rPr>
          <w:rFonts w:hint="eastAsia" w:ascii="宋体" w:hAnsi="宋体" w:cs="宋体"/>
          <w:color w:val="000000"/>
          <w:kern w:val="0"/>
          <w:szCs w:val="21"/>
          <w:lang w:val="en-US" w:eastAsia="zh-CN"/>
        </w:rPr>
        <w:t>（二）特定资格条件：</w:t>
      </w:r>
      <w:r>
        <w:rPr>
          <w:rFonts w:hint="eastAsia" w:ascii="宋体" w:hAnsi="宋体" w:cs="Arial"/>
          <w:bCs/>
          <w:color w:val="000000"/>
          <w:kern w:val="2"/>
          <w:sz w:val="21"/>
          <w:szCs w:val="21"/>
          <w:lang w:val="en-US" w:eastAsia="zh-CN" w:bidi="ar-SA"/>
        </w:rPr>
        <w:t>无</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00" w:themeColor="text1"/>
          <w:kern w:val="0"/>
          <w:szCs w:val="21"/>
          <w:lang w:val="en-US" w:eastAsia="zh-CN"/>
          <w14:textFill>
            <w14:solidFill>
              <w14:schemeClr w14:val="tx1"/>
            </w14:solidFill>
          </w14:textFill>
        </w:rPr>
        <w:t>10</w:t>
      </w:r>
      <w:r>
        <w:rPr>
          <w:rFonts w:hint="eastAsia" w:ascii="宋体" w:hAnsi="宋体" w:eastAsia="宋体" w:cs="宋体"/>
          <w:color w:val="000000" w:themeColor="text1"/>
          <w:kern w:val="0"/>
          <w:szCs w:val="21"/>
          <w14:textFill>
            <w14:solidFill>
              <w14:schemeClr w14:val="tx1"/>
            </w14:solidFill>
          </w14:textFill>
        </w:rPr>
        <w:t>月</w:t>
      </w:r>
      <w:r>
        <w:rPr>
          <w:rFonts w:hint="eastAsia" w:ascii="宋体" w:hAnsi="宋体" w:cs="宋体"/>
          <w:color w:val="000000" w:themeColor="text1"/>
          <w:kern w:val="0"/>
          <w:szCs w:val="21"/>
          <w:lang w:val="en-US" w:eastAsia="zh-CN"/>
          <w14:textFill>
            <w14:solidFill>
              <w14:schemeClr w14:val="tx1"/>
            </w14:solidFill>
          </w14:textFill>
        </w:rPr>
        <w:t>20</w:t>
      </w:r>
      <w:r>
        <w:rPr>
          <w:rFonts w:hint="eastAsia" w:ascii="宋体" w:hAnsi="宋体" w:eastAsia="宋体" w:cs="宋体"/>
          <w:color w:val="000000" w:themeColor="text1"/>
          <w:kern w:val="0"/>
          <w:szCs w:val="21"/>
          <w14:textFill>
            <w14:solidFill>
              <w14:schemeClr w14:val="tx1"/>
            </w14:solidFill>
          </w14:textFill>
        </w:rPr>
        <w:t>日</w:t>
      </w:r>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pPr w:leftFromText="180" w:rightFromText="180" w:vertAnchor="text" w:horzAnchor="page" w:tblpX="1522" w:tblpY="91"/>
        <w:tblOverlap w:val="never"/>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624"/>
      </w:tblGrid>
      <w:tr w14:paraId="1386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6" w:hRule="atLeast"/>
        </w:trPr>
        <w:tc>
          <w:tcPr>
            <w:tcW w:w="8530" w:type="dxa"/>
            <w:gridSpan w:val="3"/>
            <w:shd w:val="clear" w:color="auto" w:fill="FFFFFF" w:themeFill="background1"/>
            <w:vAlign w:val="center"/>
          </w:tcPr>
          <w:p w14:paraId="2F3D5914">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56</w:t>
            </w:r>
            <w:r>
              <w:rPr>
                <w:rFonts w:hint="eastAsia" w:ascii="Calibri" w:hAnsi="Calibri" w:cs="宋体"/>
                <w:b/>
                <w:bCs/>
                <w:color w:val="000000"/>
                <w:szCs w:val="22"/>
                <w:lang w:bidi="ar"/>
              </w:rPr>
              <w:t>分）</w:t>
            </w:r>
          </w:p>
        </w:tc>
      </w:tr>
      <w:tr w14:paraId="53FE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4C4C809E">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30C408A7">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624" w:type="dxa"/>
            <w:shd w:val="clear" w:color="auto" w:fill="FFFFFF" w:themeFill="background1"/>
            <w:vAlign w:val="center"/>
          </w:tcPr>
          <w:p w14:paraId="52E3521A">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4813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CA6F9A6">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2D5748EB">
            <w:pPr>
              <w:spacing w:line="320" w:lineRule="exact"/>
              <w:jc w:val="center"/>
              <w:rPr>
                <w:rFonts w:ascii="宋体" w:hAnsi="宋体" w:cs="宋体"/>
                <w:b w:val="0"/>
                <w:bCs w:val="0"/>
                <w:color w:val="000000"/>
                <w:sz w:val="21"/>
                <w:szCs w:val="21"/>
              </w:rPr>
            </w:pPr>
            <w:r>
              <w:rPr>
                <w:rFonts w:hint="eastAsia" w:ascii="宋体" w:hAnsi="宋体" w:cs="宋体"/>
                <w:color w:val="000000" w:themeColor="text1"/>
                <w:kern w:val="0"/>
                <w:szCs w:val="21"/>
                <w:lang w:val="en-US" w:eastAsia="zh-CN"/>
                <w14:textFill>
                  <w14:solidFill>
                    <w14:schemeClr w14:val="tx1"/>
                  </w14:solidFill>
                </w14:textFill>
              </w:rPr>
              <w:t>服务要求</w:t>
            </w:r>
            <w:r>
              <w:rPr>
                <w:rFonts w:hint="eastAsia" w:ascii="宋体" w:hAnsi="宋体" w:cs="宋体"/>
                <w:color w:val="000000" w:themeColor="text1"/>
                <w:kern w:val="0"/>
                <w:szCs w:val="21"/>
                <w14:textFill>
                  <w14:solidFill>
                    <w14:schemeClr w14:val="tx1"/>
                  </w14:solidFill>
                </w14:textFill>
              </w:rPr>
              <w:t>偏离情况</w:t>
            </w:r>
            <w:r>
              <w:rPr>
                <w:rFonts w:hint="eastAsia" w:ascii="宋体" w:hAnsi="宋体" w:cs="宋体"/>
                <w:b w:val="0"/>
                <w:bCs w:val="0"/>
                <w:color w:val="000000"/>
                <w:sz w:val="21"/>
                <w:szCs w:val="21"/>
                <w:lang w:bidi="ar"/>
              </w:rPr>
              <w:t>（</w:t>
            </w:r>
            <w:r>
              <w:rPr>
                <w:rFonts w:hint="eastAsia" w:ascii="宋体" w:hAnsi="宋体" w:cs="宋体"/>
                <w:b w:val="0"/>
                <w:bCs w:val="0"/>
                <w:color w:val="000000"/>
                <w:sz w:val="21"/>
                <w:szCs w:val="21"/>
                <w:lang w:val="en-US" w:eastAsia="zh-CN" w:bidi="ar"/>
              </w:rPr>
              <w:t>34</w:t>
            </w:r>
            <w:r>
              <w:rPr>
                <w:rFonts w:hint="eastAsia" w:ascii="宋体" w:hAnsi="宋体" w:cs="宋体"/>
                <w:b w:val="0"/>
                <w:bCs w:val="0"/>
                <w:color w:val="000000"/>
                <w:sz w:val="21"/>
                <w:szCs w:val="21"/>
                <w:lang w:bidi="ar"/>
              </w:rPr>
              <w:t>分）</w:t>
            </w:r>
          </w:p>
        </w:tc>
        <w:tc>
          <w:tcPr>
            <w:tcW w:w="6624" w:type="dxa"/>
            <w:shd w:val="clear" w:color="auto" w:fill="FFFFFF" w:themeFill="background1"/>
            <w:vAlign w:val="center"/>
          </w:tcPr>
          <w:p w14:paraId="72672A7E">
            <w:pPr>
              <w:adjustRightInd w:val="0"/>
              <w:snapToGrid w:val="0"/>
              <w:rPr>
                <w:rFonts w:hint="eastAsia" w:ascii="宋体" w:hAnsi="宋体" w:cs="宋体"/>
                <w:kern w:val="0"/>
                <w:szCs w:val="21"/>
              </w:rPr>
            </w:pPr>
            <w:r>
              <w:rPr>
                <w:rFonts w:hint="eastAsia"/>
                <w:b/>
                <w:bCs/>
                <w:szCs w:val="21"/>
              </w:rPr>
              <w:t>（一）评分内容：</w:t>
            </w:r>
          </w:p>
          <w:p w14:paraId="7C0BE062">
            <w:pPr>
              <w:spacing w:line="320" w:lineRule="exact"/>
              <w:jc w:val="left"/>
              <w:rPr>
                <w:rFonts w:hint="eastAsia" w:ascii="宋体" w:hAnsi="宋体" w:eastAsia="宋体" w:cs="宋体"/>
                <w:b w:val="0"/>
                <w:bCs w:val="0"/>
                <w:color w:val="000000"/>
                <w:kern w:val="0"/>
                <w:sz w:val="21"/>
                <w:szCs w:val="21"/>
                <w:lang w:eastAsia="zh-CN"/>
              </w:rPr>
            </w:pPr>
            <w:r>
              <w:rPr>
                <w:rFonts w:hint="eastAsia" w:ascii="宋体" w:hAnsi="宋体" w:cs="宋体"/>
                <w:kern w:val="0"/>
                <w:szCs w:val="21"/>
              </w:rPr>
              <w:t>投标人应如实填写《</w:t>
            </w:r>
            <w:r>
              <w:rPr>
                <w:rFonts w:hint="eastAsia" w:ascii="宋体" w:hAnsi="宋体" w:cs="宋体"/>
                <w:color w:val="000000" w:themeColor="text1"/>
                <w:kern w:val="0"/>
                <w:szCs w:val="21"/>
                <w:lang w:val="en-US" w:eastAsia="zh-CN"/>
                <w14:textFill>
                  <w14:solidFill>
                    <w14:schemeClr w14:val="tx1"/>
                  </w14:solidFill>
                </w14:textFill>
              </w:rPr>
              <w:t>服务要求</w:t>
            </w:r>
            <w:r>
              <w:rPr>
                <w:rFonts w:hint="eastAsia" w:ascii="宋体" w:hAnsi="宋体" w:cs="宋体"/>
                <w:kern w:val="0"/>
                <w:szCs w:val="21"/>
              </w:rPr>
              <w:t>偏离表》，评审委员会根据</w:t>
            </w:r>
            <w:r>
              <w:rPr>
                <w:rFonts w:hint="eastAsia" w:ascii="宋体" w:hAnsi="宋体" w:cs="宋体"/>
                <w:kern w:val="0"/>
                <w:szCs w:val="21"/>
                <w:lang w:eastAsia="zh-CN"/>
              </w:rPr>
              <w:t>“</w:t>
            </w:r>
            <w:r>
              <w:rPr>
                <w:rFonts w:hint="eastAsia" w:ascii="宋体" w:hAnsi="宋体" w:cs="宋体"/>
                <w:kern w:val="0"/>
                <w:szCs w:val="21"/>
                <w:lang w:val="en-US" w:eastAsia="zh-CN"/>
              </w:rPr>
              <w:t>服务</w:t>
            </w:r>
            <w:r>
              <w:rPr>
                <w:rFonts w:hint="eastAsia" w:ascii="宋体" w:hAnsi="宋体" w:cs="宋体"/>
                <w:kern w:val="0"/>
                <w:szCs w:val="21"/>
              </w:rPr>
              <w:t>要求”的所有内容逐条响应情况进行打分，各项技术参数指标及要求全部</w:t>
            </w:r>
            <w:r>
              <w:rPr>
                <w:rFonts w:hint="eastAsia" w:ascii="宋体" w:hAnsi="宋体" w:cs="宋体"/>
                <w:color w:val="000000" w:themeColor="text1"/>
                <w:kern w:val="0"/>
                <w:szCs w:val="21"/>
                <w14:textFill>
                  <w14:solidFill>
                    <w14:schemeClr w14:val="tx1"/>
                  </w14:solidFill>
                </w14:textFill>
              </w:rPr>
              <w:t>满足的得</w:t>
            </w:r>
            <w:r>
              <w:rPr>
                <w:rFonts w:hint="eastAsia" w:ascii="宋体" w:hAnsi="宋体" w:cs="宋体"/>
                <w:color w:val="000000" w:themeColor="text1"/>
                <w:kern w:val="0"/>
                <w:szCs w:val="21"/>
                <w:lang w:val="en-US" w:eastAsia="zh-CN"/>
                <w14:textFill>
                  <w14:solidFill>
                    <w14:schemeClr w14:val="tx1"/>
                  </w14:solidFill>
                </w14:textFill>
              </w:rPr>
              <w:t>34</w:t>
            </w:r>
            <w:r>
              <w:rPr>
                <w:rFonts w:hint="eastAsia" w:ascii="宋体" w:hAnsi="宋体" w:cs="宋体"/>
                <w:color w:val="000000" w:themeColor="text1"/>
                <w:kern w:val="0"/>
                <w:szCs w:val="21"/>
                <w14:textFill>
                  <w14:solidFill>
                    <w14:schemeClr w14:val="tx1"/>
                  </w14:solidFill>
                </w14:textFill>
              </w:rPr>
              <w:t>分，带▲号的，每负偏离一项扣</w:t>
            </w:r>
            <w:r>
              <w:rPr>
                <w:rFonts w:hint="eastAsia" w:ascii="宋体" w:hAnsi="宋体" w:cs="宋体"/>
                <w:color w:val="000000" w:themeColor="text1"/>
                <w:kern w:val="0"/>
                <w:szCs w:val="21"/>
                <w:lang w:val="en-US" w:eastAsia="zh-CN"/>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分；一般项每负偏离一项扣</w:t>
            </w:r>
            <w:r>
              <w:rPr>
                <w:rFonts w:hint="eastAsia" w:ascii="宋体" w:hAnsi="宋体" w:cs="宋体"/>
                <w:color w:val="000000" w:themeColor="text1"/>
                <w:kern w:val="0"/>
                <w:szCs w:val="21"/>
                <w:lang w:val="en-US" w:eastAsia="zh-CN"/>
                <w14:textFill>
                  <w14:solidFill>
                    <w14:schemeClr w14:val="tx1"/>
                  </w14:solidFill>
                </w14:textFill>
              </w:rPr>
              <w:t>0.3</w:t>
            </w:r>
            <w:r>
              <w:rPr>
                <w:rFonts w:hint="eastAsia" w:ascii="宋体" w:hAnsi="宋体" w:cs="宋体"/>
                <w:color w:val="000000" w:themeColor="text1"/>
                <w:kern w:val="0"/>
                <w:szCs w:val="21"/>
                <w14:textFill>
                  <w14:solidFill>
                    <w14:schemeClr w14:val="tx1"/>
                  </w14:solidFill>
                </w14:textFill>
              </w:rPr>
              <w:t>分，扣完为止。所有带▲号的均要求要求提供相应的“图像/截图等”复印件或扫描件加盖投标人公章，原件备查；图像等资料与偏离表填写内容</w:t>
            </w:r>
            <w:r>
              <w:rPr>
                <w:rFonts w:hint="eastAsia" w:ascii="宋体" w:hAnsi="宋体" w:cs="宋体"/>
                <w:kern w:val="0"/>
                <w:szCs w:val="21"/>
              </w:rPr>
              <w:t>不一致，未提供证明材料或提供的证明材料不完整或不清晰的，该项技术指标按负偏离处理。</w:t>
            </w:r>
          </w:p>
        </w:tc>
      </w:tr>
      <w:tr w14:paraId="3ACB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3A34D2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1420C7CD">
            <w:pPr>
              <w:spacing w:line="320" w:lineRule="exact"/>
              <w:jc w:val="center"/>
              <w:rPr>
                <w:rFonts w:ascii="宋体" w:hAnsi="宋体" w:cs="宋体"/>
                <w:color w:val="000000"/>
                <w:szCs w:val="21"/>
              </w:rPr>
            </w:pPr>
            <w:r>
              <w:rPr>
                <w:rFonts w:hint="eastAsia" w:ascii="宋体" w:hAnsi="宋体" w:cs="宋体"/>
                <w:kern w:val="0"/>
                <w:szCs w:val="21"/>
              </w:rPr>
              <w:t>实施方案</w:t>
            </w:r>
            <w:r>
              <w:rPr>
                <w:rFonts w:hint="eastAsia" w:ascii="宋体" w:hAnsi="宋体" w:cs="宋体"/>
                <w:color w:val="000000"/>
                <w:szCs w:val="21"/>
                <w:lang w:bidi="ar"/>
              </w:rPr>
              <w:t>（</w:t>
            </w:r>
            <w:r>
              <w:rPr>
                <w:rFonts w:hint="eastAsia" w:ascii="宋体" w:hAnsi="宋体" w:cs="宋体"/>
                <w:color w:val="000000"/>
                <w:szCs w:val="21"/>
                <w:lang w:val="en-US" w:eastAsia="zh-CN" w:bidi="ar"/>
              </w:rPr>
              <w:t>5</w:t>
            </w:r>
            <w:r>
              <w:rPr>
                <w:rFonts w:hint="eastAsia" w:ascii="宋体" w:hAnsi="宋体" w:cs="宋体"/>
                <w:color w:val="000000"/>
                <w:szCs w:val="21"/>
                <w:lang w:bidi="ar"/>
              </w:rPr>
              <w:t>分）</w:t>
            </w:r>
          </w:p>
        </w:tc>
        <w:tc>
          <w:tcPr>
            <w:tcW w:w="6624" w:type="dxa"/>
            <w:shd w:val="clear" w:color="auto" w:fill="auto"/>
            <w:vAlign w:val="top"/>
          </w:tcPr>
          <w:p w14:paraId="1CC94C0C">
            <w:pPr>
              <w:adjustRightInd w:val="0"/>
              <w:snapToGrid w:val="0"/>
              <w:rPr>
                <w:b/>
                <w:bCs/>
                <w:kern w:val="0"/>
                <w:szCs w:val="21"/>
              </w:rPr>
            </w:pPr>
            <w:r>
              <w:rPr>
                <w:rFonts w:hint="eastAsia"/>
                <w:b/>
                <w:bCs/>
                <w:szCs w:val="21"/>
              </w:rPr>
              <w:t>（一）评分内容：</w:t>
            </w:r>
          </w:p>
          <w:p w14:paraId="4115CA96">
            <w:pPr>
              <w:adjustRightInd w:val="0"/>
              <w:snapToGrid w:val="0"/>
              <w:rPr>
                <w:szCs w:val="21"/>
              </w:rPr>
            </w:pPr>
            <w:r>
              <w:rPr>
                <w:rFonts w:hint="eastAsia"/>
                <w:szCs w:val="21"/>
              </w:rPr>
              <w:t>投标人针对本项目的需求制定实施方案，根据实施方案响应情况进行评审：</w:t>
            </w:r>
          </w:p>
          <w:p w14:paraId="0C750FCF">
            <w:pPr>
              <w:adjustRightInd w:val="0"/>
              <w:snapToGrid w:val="0"/>
              <w:rPr>
                <w:szCs w:val="21"/>
              </w:rPr>
            </w:pPr>
            <w:r>
              <w:rPr>
                <w:szCs w:val="21"/>
              </w:rPr>
              <w:t>1</w:t>
            </w:r>
            <w:r>
              <w:rPr>
                <w:rFonts w:hint="eastAsia"/>
                <w:szCs w:val="21"/>
              </w:rPr>
              <w:t>、</w:t>
            </w:r>
            <w:r>
              <w:rPr>
                <w:szCs w:val="21"/>
              </w:rPr>
              <w:t>项目实施方案详细完整，时间、质量、模式的控制和管理完全满足项目要求；</w:t>
            </w:r>
          </w:p>
          <w:p w14:paraId="1949FF15">
            <w:pPr>
              <w:adjustRightInd w:val="0"/>
              <w:snapToGrid w:val="0"/>
              <w:rPr>
                <w:szCs w:val="21"/>
              </w:rPr>
            </w:pPr>
            <w:r>
              <w:rPr>
                <w:szCs w:val="21"/>
              </w:rPr>
              <w:t>2、制定详细的项目管理与组织实施方案，包括但不限于组织管理体系、人员安排、进度计划、验收方案；</w:t>
            </w:r>
          </w:p>
          <w:p w14:paraId="59F75002">
            <w:pPr>
              <w:adjustRightInd w:val="0"/>
              <w:snapToGrid w:val="0"/>
              <w:rPr>
                <w:szCs w:val="21"/>
              </w:rPr>
            </w:pPr>
            <w:r>
              <w:rPr>
                <w:szCs w:val="21"/>
              </w:rPr>
              <w:t>3、说明服务开展的方式和方法。</w:t>
            </w:r>
          </w:p>
          <w:p w14:paraId="28408FBA">
            <w:pPr>
              <w:adjustRightInd w:val="0"/>
              <w:snapToGrid w:val="0"/>
              <w:rPr>
                <w:b/>
                <w:bCs/>
                <w:kern w:val="0"/>
                <w:szCs w:val="21"/>
              </w:rPr>
            </w:pPr>
            <w:r>
              <w:rPr>
                <w:rFonts w:hint="eastAsia"/>
                <w:b/>
                <w:bCs/>
                <w:szCs w:val="21"/>
              </w:rPr>
              <w:t>（二）评分依据：</w:t>
            </w:r>
          </w:p>
          <w:p w14:paraId="4A75E10F">
            <w:pPr>
              <w:adjustRightInd w:val="0"/>
              <w:snapToGrid w:val="0"/>
              <w:rPr>
                <w:szCs w:val="21"/>
              </w:rPr>
            </w:pPr>
            <w:r>
              <w:rPr>
                <w:rFonts w:hint="eastAsia"/>
                <w:szCs w:val="21"/>
                <w:lang w:val="en-US" w:eastAsia="zh-CN"/>
              </w:rPr>
              <w:t>1.</w:t>
            </w:r>
            <w:r>
              <w:rPr>
                <w:rFonts w:hint="eastAsia"/>
                <w:szCs w:val="21"/>
              </w:rPr>
              <w:t>考察以上三点内容，</w:t>
            </w:r>
            <w:r>
              <w:rPr>
                <w:rFonts w:hint="eastAsia"/>
                <w:szCs w:val="21"/>
                <w:lang w:val="en-US" w:eastAsia="zh-CN"/>
              </w:rPr>
              <w:t>每</w:t>
            </w:r>
            <w:r>
              <w:rPr>
                <w:rFonts w:hint="eastAsia"/>
                <w:szCs w:val="21"/>
              </w:rPr>
              <w:t>满足</w:t>
            </w:r>
            <w:r>
              <w:rPr>
                <w:rFonts w:hint="eastAsia"/>
                <w:szCs w:val="21"/>
                <w:lang w:val="en-US" w:eastAsia="zh-CN"/>
              </w:rPr>
              <w:t>一项</w:t>
            </w:r>
            <w:r>
              <w:rPr>
                <w:rFonts w:hint="eastAsia"/>
                <w:szCs w:val="21"/>
              </w:rPr>
              <w:t>内容得</w:t>
            </w:r>
            <w:r>
              <w:rPr>
                <w:rFonts w:hint="eastAsia"/>
                <w:szCs w:val="21"/>
                <w:lang w:val="en-US" w:eastAsia="zh-CN"/>
              </w:rPr>
              <w:t>1</w:t>
            </w:r>
            <w:r>
              <w:rPr>
                <w:szCs w:val="21"/>
              </w:rPr>
              <w:t>分，</w:t>
            </w:r>
            <w:r>
              <w:rPr>
                <w:rFonts w:hint="eastAsia"/>
                <w:szCs w:val="21"/>
                <w:lang w:val="en-US" w:eastAsia="zh-CN"/>
              </w:rPr>
              <w:t>最高得3</w:t>
            </w:r>
            <w:r>
              <w:rPr>
                <w:szCs w:val="21"/>
              </w:rPr>
              <w:t>分。</w:t>
            </w:r>
          </w:p>
          <w:p w14:paraId="61EF0B6C">
            <w:pPr>
              <w:adjustRightInd w:val="0"/>
              <w:snapToGrid w:val="0"/>
              <w:rPr>
                <w:szCs w:val="21"/>
              </w:rPr>
            </w:pPr>
            <w:r>
              <w:rPr>
                <w:rFonts w:hint="eastAsia"/>
                <w:szCs w:val="21"/>
                <w:lang w:val="en-US" w:eastAsia="zh-CN"/>
              </w:rPr>
              <w:t>2.</w:t>
            </w:r>
            <w:r>
              <w:rPr>
                <w:szCs w:val="21"/>
              </w:rPr>
              <w:t>在此基础上，专家根据各供应商的具体响应内容按照量化的评审因素指标进一步评审：</w:t>
            </w:r>
          </w:p>
          <w:p w14:paraId="1735F90D">
            <w:pPr>
              <w:adjustRightInd w:val="0"/>
              <w:snapToGrid w:val="0"/>
              <w:rPr>
                <w:szCs w:val="21"/>
              </w:rPr>
            </w:pPr>
            <w:r>
              <w:rPr>
                <w:rFonts w:hint="eastAsia"/>
                <w:szCs w:val="21"/>
                <w:lang w:val="en-US" w:eastAsia="zh-CN"/>
              </w:rPr>
              <w:t>（1）</w:t>
            </w:r>
            <w:r>
              <w:rPr>
                <w:rFonts w:hint="eastAsia"/>
                <w:szCs w:val="21"/>
              </w:rPr>
              <w:t>方案内容整体科学合理、针对性强、可操作性强、可行性高</w:t>
            </w:r>
            <w:r>
              <w:rPr>
                <w:rFonts w:hint="eastAsia"/>
                <w:szCs w:val="21"/>
                <w:lang w:eastAsia="zh-CN"/>
              </w:rPr>
              <w:t>，</w:t>
            </w:r>
            <w:r>
              <w:rPr>
                <w:rFonts w:hint="eastAsia"/>
                <w:szCs w:val="21"/>
                <w:lang w:val="en-US" w:eastAsia="zh-CN"/>
              </w:rPr>
              <w:t>得2</w:t>
            </w:r>
            <w:r>
              <w:rPr>
                <w:szCs w:val="21"/>
              </w:rPr>
              <w:t>分；</w:t>
            </w:r>
          </w:p>
          <w:p w14:paraId="6C25FB70">
            <w:pPr>
              <w:adjustRightInd w:val="0"/>
              <w:snapToGrid w:val="0"/>
              <w:rPr>
                <w:szCs w:val="21"/>
              </w:rPr>
            </w:pPr>
            <w:r>
              <w:rPr>
                <w:rFonts w:hint="eastAsia"/>
                <w:szCs w:val="21"/>
                <w:lang w:val="en-US" w:eastAsia="zh-CN"/>
              </w:rPr>
              <w:t>（2）</w:t>
            </w:r>
            <w:r>
              <w:rPr>
                <w:rFonts w:hint="eastAsia"/>
                <w:szCs w:val="21"/>
              </w:rPr>
              <w:t>方案内容较合理、有一定针对性、一定可操作性</w:t>
            </w:r>
            <w:r>
              <w:rPr>
                <w:rFonts w:hint="eastAsia"/>
                <w:szCs w:val="21"/>
                <w:lang w:eastAsia="zh-CN"/>
              </w:rPr>
              <w:t>，</w:t>
            </w:r>
            <w:r>
              <w:rPr>
                <w:rFonts w:hint="eastAsia"/>
                <w:szCs w:val="21"/>
                <w:lang w:val="en-US" w:eastAsia="zh-CN"/>
              </w:rPr>
              <w:t>得1</w:t>
            </w:r>
            <w:r>
              <w:rPr>
                <w:szCs w:val="21"/>
              </w:rPr>
              <w:t>分；</w:t>
            </w:r>
          </w:p>
          <w:p w14:paraId="69E57381">
            <w:pPr>
              <w:adjustRightInd w:val="0"/>
              <w:snapToGrid w:val="0"/>
              <w:rPr>
                <w:rFonts w:hint="eastAsia"/>
                <w:szCs w:val="21"/>
              </w:rPr>
            </w:pPr>
            <w:r>
              <w:rPr>
                <w:rFonts w:hint="eastAsia"/>
                <w:szCs w:val="21"/>
                <w:lang w:val="en-US" w:eastAsia="zh-CN"/>
              </w:rPr>
              <w:t>（3）</w:t>
            </w:r>
            <w:r>
              <w:rPr>
                <w:rFonts w:hint="eastAsia"/>
                <w:szCs w:val="21"/>
              </w:rPr>
              <w:t>方案内容</w:t>
            </w:r>
            <w:r>
              <w:rPr>
                <w:rFonts w:hint="eastAsia"/>
                <w:szCs w:val="21"/>
                <w:lang w:val="en-US" w:eastAsia="zh-CN"/>
              </w:rPr>
              <w:t>不</w:t>
            </w:r>
            <w:r>
              <w:rPr>
                <w:rFonts w:hint="eastAsia"/>
                <w:szCs w:val="21"/>
              </w:rPr>
              <w:t>合理、</w:t>
            </w:r>
            <w:r>
              <w:rPr>
                <w:rFonts w:hint="eastAsia"/>
                <w:szCs w:val="21"/>
                <w:lang w:val="en-US" w:eastAsia="zh-CN"/>
              </w:rPr>
              <w:t>无</w:t>
            </w:r>
            <w:r>
              <w:rPr>
                <w:rFonts w:hint="eastAsia"/>
                <w:szCs w:val="21"/>
              </w:rPr>
              <w:t>针对性、</w:t>
            </w:r>
            <w:r>
              <w:rPr>
                <w:rFonts w:hint="eastAsia"/>
                <w:szCs w:val="21"/>
                <w:lang w:val="en-US" w:eastAsia="zh-CN"/>
              </w:rPr>
              <w:t>无</w:t>
            </w:r>
            <w:r>
              <w:rPr>
                <w:rFonts w:hint="eastAsia"/>
                <w:szCs w:val="21"/>
              </w:rPr>
              <w:t>可操作性</w:t>
            </w:r>
            <w:r>
              <w:rPr>
                <w:rFonts w:hint="eastAsia"/>
                <w:szCs w:val="21"/>
                <w:lang w:eastAsia="zh-CN"/>
              </w:rPr>
              <w:t>，</w:t>
            </w:r>
            <w:r>
              <w:rPr>
                <w:rFonts w:hint="eastAsia"/>
                <w:szCs w:val="21"/>
                <w:lang w:val="en-US" w:eastAsia="zh-CN"/>
              </w:rPr>
              <w:t>不</w:t>
            </w:r>
            <w:r>
              <w:rPr>
                <w:rFonts w:hint="eastAsia"/>
                <w:szCs w:val="21"/>
              </w:rPr>
              <w:t>得</w:t>
            </w:r>
            <w:r>
              <w:rPr>
                <w:szCs w:val="21"/>
              </w:rPr>
              <w:t>分</w:t>
            </w:r>
            <w:r>
              <w:rPr>
                <w:rFonts w:hint="eastAsia"/>
                <w:szCs w:val="21"/>
              </w:rPr>
              <w:t>。</w:t>
            </w:r>
          </w:p>
          <w:p w14:paraId="2017E49A">
            <w:pPr>
              <w:adjustRightInd w:val="0"/>
              <w:snapToGrid w:val="0"/>
              <w:rPr>
                <w:rFonts w:hint="eastAsia" w:ascii="宋体" w:hAnsi="宋体" w:eastAsia="宋体" w:cs="宋体"/>
                <w:kern w:val="2"/>
                <w:sz w:val="21"/>
                <w:szCs w:val="21"/>
                <w:lang w:val="en-US" w:eastAsia="zh-CN" w:bidi="ar-SA"/>
              </w:rPr>
            </w:pPr>
            <w:r>
              <w:rPr>
                <w:rFonts w:hint="eastAsia"/>
                <w:szCs w:val="21"/>
              </w:rPr>
              <w:t>以上两项累计得分</w:t>
            </w:r>
            <w:r>
              <w:rPr>
                <w:rFonts w:hint="eastAsia"/>
                <w:szCs w:val="21"/>
                <w:lang w:val="en-US" w:eastAsia="zh-CN"/>
              </w:rPr>
              <w:t>最高得5分。</w:t>
            </w:r>
          </w:p>
        </w:tc>
      </w:tr>
      <w:tr w14:paraId="5A9E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27AC9DB">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4744D659">
            <w:pPr>
              <w:spacing w:line="320" w:lineRule="exact"/>
              <w:jc w:val="center"/>
              <w:rPr>
                <w:rFonts w:hint="eastAsia" w:ascii="宋体" w:hAnsi="宋体" w:cs="宋体"/>
                <w:color w:val="000000"/>
                <w:szCs w:val="21"/>
                <w:lang w:bidi="ar"/>
              </w:rPr>
            </w:pPr>
            <w:r>
              <w:rPr>
                <w:szCs w:val="21"/>
              </w:rPr>
              <w:t>风险分析</w:t>
            </w:r>
            <w:r>
              <w:rPr>
                <w:rFonts w:hint="eastAsia" w:ascii="宋体" w:hAnsi="宋体" w:cs="宋体"/>
                <w:kern w:val="0"/>
                <w:szCs w:val="21"/>
              </w:rPr>
              <w:t>、</w:t>
            </w:r>
            <w:r>
              <w:rPr>
                <w:szCs w:val="21"/>
              </w:rPr>
              <w:t>风险防范对策</w:t>
            </w:r>
            <w:r>
              <w:rPr>
                <w:rFonts w:hint="eastAsia"/>
                <w:szCs w:val="21"/>
                <w:lang w:eastAsia="zh-CN"/>
              </w:rPr>
              <w:t>、</w:t>
            </w:r>
            <w:r>
              <w:rPr>
                <w:szCs w:val="21"/>
              </w:rPr>
              <w:t>重点难点分析</w:t>
            </w:r>
            <w:r>
              <w:rPr>
                <w:rFonts w:hint="eastAsia"/>
                <w:szCs w:val="21"/>
                <w:lang w:eastAsia="zh-CN"/>
              </w:rPr>
              <w:t>、</w:t>
            </w:r>
            <w:r>
              <w:rPr>
                <w:szCs w:val="21"/>
              </w:rPr>
              <w:t>应对措施</w:t>
            </w:r>
            <w:r>
              <w:rPr>
                <w:rFonts w:hint="eastAsia"/>
                <w:szCs w:val="21"/>
                <w:lang w:val="en-US" w:eastAsia="zh-CN"/>
              </w:rPr>
              <w:t>及合理化建议</w:t>
            </w:r>
            <w:r>
              <w:rPr>
                <w:rFonts w:hint="eastAsia" w:ascii="宋体" w:hAnsi="宋体" w:cs="宋体"/>
                <w:color w:val="000000"/>
                <w:szCs w:val="21"/>
                <w:lang w:val="en-US" w:eastAsia="zh-CN" w:bidi="ar"/>
              </w:rPr>
              <w:t>（7分）</w:t>
            </w:r>
          </w:p>
        </w:tc>
        <w:tc>
          <w:tcPr>
            <w:tcW w:w="6624" w:type="dxa"/>
            <w:shd w:val="clear" w:color="auto" w:fill="auto"/>
            <w:vAlign w:val="top"/>
          </w:tcPr>
          <w:p w14:paraId="18B20B1E">
            <w:pPr>
              <w:adjustRightInd w:val="0"/>
              <w:snapToGrid w:val="0"/>
              <w:rPr>
                <w:b/>
                <w:bCs/>
                <w:kern w:val="0"/>
                <w:szCs w:val="21"/>
              </w:rPr>
            </w:pPr>
            <w:r>
              <w:rPr>
                <w:rFonts w:hint="eastAsia"/>
                <w:b/>
                <w:bCs/>
                <w:szCs w:val="21"/>
              </w:rPr>
              <w:t>（一）评分内容：</w:t>
            </w:r>
          </w:p>
          <w:p w14:paraId="6A724705">
            <w:pPr>
              <w:adjustRightInd w:val="0"/>
              <w:snapToGrid w:val="0"/>
              <w:rPr>
                <w:szCs w:val="21"/>
              </w:rPr>
            </w:pPr>
            <w:r>
              <w:rPr>
                <w:rFonts w:hint="eastAsia"/>
                <w:szCs w:val="21"/>
              </w:rPr>
              <w:t>根据投标人提供的实施过程中的</w:t>
            </w:r>
            <w:r>
              <w:rPr>
                <w:szCs w:val="21"/>
              </w:rPr>
              <w:t>风险分析</w:t>
            </w:r>
            <w:r>
              <w:rPr>
                <w:rFonts w:hint="eastAsia" w:ascii="宋体" w:hAnsi="宋体" w:cs="宋体"/>
                <w:kern w:val="0"/>
                <w:szCs w:val="21"/>
              </w:rPr>
              <w:t>、</w:t>
            </w:r>
            <w:r>
              <w:rPr>
                <w:szCs w:val="21"/>
              </w:rPr>
              <w:t>风险防范对策</w:t>
            </w:r>
            <w:r>
              <w:rPr>
                <w:rFonts w:hint="eastAsia"/>
                <w:szCs w:val="21"/>
                <w:lang w:eastAsia="zh-CN"/>
              </w:rPr>
              <w:t>、</w:t>
            </w:r>
            <w:r>
              <w:rPr>
                <w:szCs w:val="21"/>
              </w:rPr>
              <w:t>重点难点分析</w:t>
            </w:r>
            <w:r>
              <w:rPr>
                <w:rFonts w:hint="eastAsia"/>
                <w:szCs w:val="21"/>
                <w:lang w:eastAsia="zh-CN"/>
              </w:rPr>
              <w:t>、</w:t>
            </w:r>
            <w:r>
              <w:rPr>
                <w:szCs w:val="21"/>
              </w:rPr>
              <w:t>应对措施</w:t>
            </w:r>
            <w:r>
              <w:rPr>
                <w:rFonts w:hint="eastAsia"/>
                <w:szCs w:val="21"/>
                <w:lang w:val="en-US" w:eastAsia="zh-CN"/>
              </w:rPr>
              <w:t>及合理化建议</w:t>
            </w:r>
            <w:r>
              <w:rPr>
                <w:rFonts w:hint="eastAsia"/>
                <w:szCs w:val="21"/>
              </w:rPr>
              <w:t>响应情况进行评审，内容至少应包含：</w:t>
            </w:r>
          </w:p>
          <w:p w14:paraId="0F52F24D">
            <w:pPr>
              <w:adjustRightInd w:val="0"/>
              <w:snapToGrid w:val="0"/>
              <w:rPr>
                <w:rFonts w:hint="default" w:eastAsia="宋体"/>
                <w:szCs w:val="21"/>
                <w:lang w:val="en-US" w:eastAsia="zh-CN"/>
              </w:rPr>
            </w:pPr>
            <w:r>
              <w:rPr>
                <w:szCs w:val="21"/>
              </w:rPr>
              <w:t>1</w:t>
            </w:r>
            <w:r>
              <w:rPr>
                <w:rFonts w:hint="eastAsia"/>
                <w:szCs w:val="21"/>
                <w:lang w:val="en-US" w:eastAsia="zh-CN"/>
              </w:rPr>
              <w:t>.</w:t>
            </w:r>
            <w:r>
              <w:rPr>
                <w:szCs w:val="21"/>
              </w:rPr>
              <w:t>实施过程中的风险分析；</w:t>
            </w:r>
          </w:p>
          <w:p w14:paraId="4EA2DA05">
            <w:pPr>
              <w:adjustRightInd w:val="0"/>
              <w:snapToGrid w:val="0"/>
              <w:rPr>
                <w:szCs w:val="21"/>
              </w:rPr>
            </w:pPr>
            <w:r>
              <w:rPr>
                <w:szCs w:val="21"/>
              </w:rPr>
              <w:t>2</w:t>
            </w:r>
            <w:r>
              <w:rPr>
                <w:rFonts w:hint="eastAsia"/>
                <w:szCs w:val="21"/>
                <w:lang w:val="en-US" w:eastAsia="zh-CN"/>
              </w:rPr>
              <w:t>.</w:t>
            </w:r>
            <w:r>
              <w:rPr>
                <w:szCs w:val="21"/>
              </w:rPr>
              <w:t>项目实施过程中的风险防范对策；</w:t>
            </w:r>
          </w:p>
          <w:p w14:paraId="26FE883B">
            <w:pPr>
              <w:adjustRightInd w:val="0"/>
              <w:snapToGrid w:val="0"/>
              <w:rPr>
                <w:szCs w:val="21"/>
              </w:rPr>
            </w:pPr>
            <w:r>
              <w:rPr>
                <w:szCs w:val="21"/>
              </w:rPr>
              <w:t>3</w:t>
            </w:r>
            <w:r>
              <w:rPr>
                <w:rFonts w:hint="eastAsia"/>
                <w:szCs w:val="21"/>
                <w:lang w:val="en-US" w:eastAsia="zh-CN"/>
              </w:rPr>
              <w:t>.</w:t>
            </w:r>
            <w:r>
              <w:rPr>
                <w:szCs w:val="21"/>
              </w:rPr>
              <w:t>项目重点难点分析</w:t>
            </w:r>
            <w:r>
              <w:rPr>
                <w:rFonts w:hint="eastAsia"/>
                <w:szCs w:val="21"/>
                <w:lang w:val="en-US" w:eastAsia="zh-CN"/>
              </w:rPr>
              <w:t>及</w:t>
            </w:r>
            <w:r>
              <w:rPr>
                <w:szCs w:val="21"/>
              </w:rPr>
              <w:t>应对措施；</w:t>
            </w:r>
          </w:p>
          <w:p w14:paraId="20952655">
            <w:pPr>
              <w:adjustRightInd w:val="0"/>
              <w:snapToGrid w:val="0"/>
              <w:rPr>
                <w:szCs w:val="21"/>
              </w:rPr>
            </w:pPr>
            <w:r>
              <w:rPr>
                <w:szCs w:val="21"/>
              </w:rPr>
              <w:t>4</w:t>
            </w:r>
            <w:r>
              <w:rPr>
                <w:rFonts w:hint="eastAsia"/>
                <w:szCs w:val="21"/>
                <w:lang w:val="en-US" w:eastAsia="zh-CN"/>
              </w:rPr>
              <w:t>.</w:t>
            </w:r>
            <w:r>
              <w:rPr>
                <w:szCs w:val="21"/>
              </w:rPr>
              <w:t>合理化建议。</w:t>
            </w:r>
          </w:p>
          <w:p w14:paraId="71D4EC2D">
            <w:pPr>
              <w:adjustRightInd w:val="0"/>
              <w:snapToGrid w:val="0"/>
              <w:rPr>
                <w:b/>
                <w:bCs/>
                <w:kern w:val="0"/>
                <w:szCs w:val="21"/>
              </w:rPr>
            </w:pPr>
            <w:r>
              <w:rPr>
                <w:rFonts w:hint="eastAsia"/>
                <w:b/>
                <w:bCs/>
                <w:szCs w:val="21"/>
              </w:rPr>
              <w:t>（二）评分依据：</w:t>
            </w:r>
          </w:p>
          <w:p w14:paraId="181912BB">
            <w:pPr>
              <w:adjustRightInd w:val="0"/>
              <w:snapToGrid w:val="0"/>
              <w:rPr>
                <w:szCs w:val="21"/>
              </w:rPr>
            </w:pPr>
            <w:r>
              <w:rPr>
                <w:rFonts w:hint="eastAsia"/>
                <w:szCs w:val="21"/>
                <w:lang w:val="en-US" w:eastAsia="zh-CN"/>
              </w:rPr>
              <w:t>1.</w:t>
            </w:r>
            <w:r>
              <w:rPr>
                <w:rFonts w:hint="eastAsia"/>
                <w:szCs w:val="21"/>
              </w:rPr>
              <w:t>考察以上</w:t>
            </w:r>
            <w:r>
              <w:rPr>
                <w:rFonts w:hint="eastAsia"/>
                <w:szCs w:val="21"/>
                <w:lang w:val="en-US" w:eastAsia="zh-CN"/>
              </w:rPr>
              <w:t>四</w:t>
            </w:r>
            <w:r>
              <w:rPr>
                <w:rFonts w:hint="eastAsia"/>
                <w:szCs w:val="21"/>
              </w:rPr>
              <w:t>点内容，</w:t>
            </w:r>
            <w:r>
              <w:rPr>
                <w:rFonts w:hint="eastAsia"/>
                <w:szCs w:val="21"/>
                <w:lang w:val="en-US" w:eastAsia="zh-CN"/>
              </w:rPr>
              <w:t>每</w:t>
            </w:r>
            <w:r>
              <w:rPr>
                <w:rFonts w:hint="eastAsia"/>
                <w:szCs w:val="21"/>
              </w:rPr>
              <w:t>满足</w:t>
            </w:r>
            <w:r>
              <w:rPr>
                <w:rFonts w:hint="eastAsia"/>
                <w:szCs w:val="21"/>
                <w:lang w:val="en-US" w:eastAsia="zh-CN"/>
              </w:rPr>
              <w:t>一项</w:t>
            </w:r>
            <w:r>
              <w:rPr>
                <w:rFonts w:hint="eastAsia"/>
                <w:szCs w:val="21"/>
              </w:rPr>
              <w:t>内容得</w:t>
            </w:r>
            <w:r>
              <w:rPr>
                <w:rFonts w:hint="eastAsia"/>
                <w:szCs w:val="21"/>
                <w:lang w:val="en-US" w:eastAsia="zh-CN"/>
              </w:rPr>
              <w:t>1</w:t>
            </w:r>
            <w:r>
              <w:rPr>
                <w:szCs w:val="21"/>
              </w:rPr>
              <w:t>分，</w:t>
            </w:r>
            <w:r>
              <w:rPr>
                <w:rFonts w:hint="eastAsia"/>
                <w:szCs w:val="21"/>
                <w:lang w:val="en-US" w:eastAsia="zh-CN"/>
              </w:rPr>
              <w:t>最高得4分</w:t>
            </w:r>
            <w:r>
              <w:rPr>
                <w:szCs w:val="21"/>
              </w:rPr>
              <w:t>。</w:t>
            </w:r>
          </w:p>
          <w:p w14:paraId="036A3BD0">
            <w:pPr>
              <w:adjustRightInd w:val="0"/>
              <w:snapToGrid w:val="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在此基础上，专家根据各供应商的</w:t>
            </w:r>
            <w:r>
              <w:rPr>
                <w:rFonts w:hint="eastAsia"/>
                <w:color w:val="000000" w:themeColor="text1"/>
                <w:szCs w:val="21"/>
                <w:lang w:val="en-US" w:eastAsia="zh-CN"/>
                <w14:textFill>
                  <w14:solidFill>
                    <w14:schemeClr w14:val="tx1"/>
                  </w14:solidFill>
                </w14:textFill>
              </w:rPr>
              <w:t>方案</w:t>
            </w:r>
            <w:r>
              <w:rPr>
                <w:color w:val="000000" w:themeColor="text1"/>
                <w:szCs w:val="21"/>
                <w14:textFill>
                  <w14:solidFill>
                    <w14:schemeClr w14:val="tx1"/>
                  </w14:solidFill>
                </w14:textFill>
              </w:rPr>
              <w:t>内容按照量化的评审因素指标进一步评审：</w:t>
            </w:r>
          </w:p>
          <w:p w14:paraId="25F3D2BB">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1</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方案内容整体科学合理、针对性强、可行性强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得3</w:t>
            </w:r>
            <w:r>
              <w:rPr>
                <w:color w:val="000000" w:themeColor="text1"/>
                <w:szCs w:val="21"/>
                <w14:textFill>
                  <w14:solidFill>
                    <w14:schemeClr w14:val="tx1"/>
                  </w14:solidFill>
                </w14:textFill>
              </w:rPr>
              <w:t>分；</w:t>
            </w:r>
          </w:p>
          <w:p w14:paraId="69EF55FE">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方案内容较合理、有一定针对性、一定可行性</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得</w:t>
            </w: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分；</w:t>
            </w:r>
          </w:p>
          <w:p w14:paraId="35361A25">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方案内容</w:t>
            </w:r>
            <w:r>
              <w:rPr>
                <w:rFonts w:hint="eastAsia"/>
                <w:color w:val="000000" w:themeColor="text1"/>
                <w:szCs w:val="21"/>
                <w:lang w:val="en-US" w:eastAsia="zh-CN"/>
                <w14:textFill>
                  <w14:solidFill>
                    <w14:schemeClr w14:val="tx1"/>
                  </w14:solidFill>
                </w14:textFill>
              </w:rPr>
              <w:t>不</w:t>
            </w:r>
            <w:r>
              <w:rPr>
                <w:rFonts w:hint="eastAsia"/>
                <w:color w:val="000000" w:themeColor="text1"/>
                <w:szCs w:val="21"/>
                <w14:textFill>
                  <w14:solidFill>
                    <w14:schemeClr w14:val="tx1"/>
                  </w14:solidFill>
                </w14:textFill>
              </w:rPr>
              <w:t>合理、</w:t>
            </w:r>
            <w:r>
              <w:rPr>
                <w:rFonts w:hint="eastAsia"/>
                <w:color w:val="000000" w:themeColor="text1"/>
                <w:szCs w:val="21"/>
                <w:lang w:val="en-US" w:eastAsia="zh-CN"/>
                <w14:textFill>
                  <w14:solidFill>
                    <w14:schemeClr w14:val="tx1"/>
                  </w14:solidFill>
                </w14:textFill>
              </w:rPr>
              <w:t>无</w:t>
            </w:r>
            <w:r>
              <w:rPr>
                <w:rFonts w:hint="eastAsia"/>
                <w:color w:val="000000" w:themeColor="text1"/>
                <w:szCs w:val="21"/>
                <w14:textFill>
                  <w14:solidFill>
                    <w14:schemeClr w14:val="tx1"/>
                  </w14:solidFill>
                </w14:textFill>
              </w:rPr>
              <w:t>针对性、</w:t>
            </w:r>
            <w:r>
              <w:rPr>
                <w:rFonts w:hint="eastAsia"/>
                <w:color w:val="000000" w:themeColor="text1"/>
                <w:szCs w:val="21"/>
                <w:lang w:val="en-US" w:eastAsia="zh-CN"/>
                <w14:textFill>
                  <w14:solidFill>
                    <w14:schemeClr w14:val="tx1"/>
                  </w14:solidFill>
                </w14:textFill>
              </w:rPr>
              <w:t>无</w:t>
            </w:r>
            <w:r>
              <w:rPr>
                <w:rFonts w:hint="eastAsia"/>
                <w:color w:val="000000" w:themeColor="text1"/>
                <w:szCs w:val="21"/>
                <w14:textFill>
                  <w14:solidFill>
                    <w14:schemeClr w14:val="tx1"/>
                  </w14:solidFill>
                </w14:textFill>
              </w:rPr>
              <w:t>可行性</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不得分。</w:t>
            </w:r>
          </w:p>
          <w:p w14:paraId="744613B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color w:val="000000" w:themeColor="text1"/>
                <w:szCs w:val="21"/>
                <w14:textFill>
                  <w14:solidFill>
                    <w14:schemeClr w14:val="tx1"/>
                  </w14:solidFill>
                </w14:textFill>
              </w:rPr>
              <w:t>以上两项累计得分</w:t>
            </w:r>
            <w:r>
              <w:rPr>
                <w:rFonts w:hint="eastAsia" w:ascii="宋体" w:hAnsi="宋体"/>
                <w:color w:val="000000" w:themeColor="text1"/>
                <w:szCs w:val="21"/>
                <w:lang w:val="en-US" w:eastAsia="zh-CN"/>
                <w14:textFill>
                  <w14:solidFill>
                    <w14:schemeClr w14:val="tx1"/>
                  </w14:solidFill>
                </w14:textFill>
              </w:rPr>
              <w:t>最高得7分。</w:t>
            </w:r>
          </w:p>
        </w:tc>
      </w:tr>
      <w:tr w14:paraId="42566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2A0B2CC">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3AAAFFCE">
            <w:pPr>
              <w:spacing w:line="320" w:lineRule="exact"/>
              <w:jc w:val="center"/>
              <w:rPr>
                <w:rFonts w:hint="eastAsia" w:ascii="宋体" w:hAnsi="宋体" w:cs="宋体"/>
                <w:color w:val="000000"/>
                <w:szCs w:val="21"/>
                <w:lang w:bidi="ar"/>
              </w:rPr>
            </w:pPr>
            <w:r>
              <w:rPr>
                <w:rFonts w:hint="eastAsia" w:ascii="宋体" w:hAnsi="宋体" w:cs="宋体"/>
                <w:kern w:val="0"/>
                <w:szCs w:val="21"/>
              </w:rPr>
              <w:t xml:space="preserve"> </w:t>
            </w:r>
            <w:r>
              <w:rPr>
                <w:szCs w:val="21"/>
              </w:rPr>
              <w:t>组织架构</w:t>
            </w:r>
            <w:r>
              <w:rPr>
                <w:rFonts w:hint="eastAsia" w:ascii="宋体" w:hAnsi="宋体" w:cs="宋体"/>
                <w:kern w:val="0"/>
                <w:szCs w:val="21"/>
              </w:rPr>
              <w:t>、</w:t>
            </w:r>
            <w:r>
              <w:rPr>
                <w:szCs w:val="21"/>
              </w:rPr>
              <w:t>安全保障措施</w:t>
            </w:r>
            <w:r>
              <w:rPr>
                <w:rFonts w:hint="eastAsia"/>
                <w:szCs w:val="21"/>
                <w:lang w:eastAsia="zh-CN"/>
              </w:rPr>
              <w:t>、</w:t>
            </w:r>
            <w:r>
              <w:rPr>
                <w:szCs w:val="21"/>
              </w:rPr>
              <w:t>项目实施管理</w:t>
            </w:r>
            <w:r>
              <w:rPr>
                <w:rFonts w:hint="eastAsia"/>
                <w:szCs w:val="21"/>
                <w:lang w:eastAsia="zh-CN"/>
              </w:rPr>
              <w:t>、</w:t>
            </w:r>
            <w:r>
              <w:rPr>
                <w:szCs w:val="21"/>
              </w:rPr>
              <w:t>培训管理内容</w:t>
            </w:r>
            <w:r>
              <w:rPr>
                <w:rFonts w:hint="eastAsia" w:ascii="宋体" w:hAnsi="宋体" w:cs="宋体"/>
                <w:color w:val="000000"/>
                <w:szCs w:val="21"/>
                <w:lang w:val="en-US" w:eastAsia="zh-CN" w:bidi="ar"/>
              </w:rPr>
              <w:t>（10分）</w:t>
            </w:r>
          </w:p>
        </w:tc>
        <w:tc>
          <w:tcPr>
            <w:tcW w:w="6624" w:type="dxa"/>
            <w:shd w:val="clear" w:color="auto" w:fill="auto"/>
            <w:vAlign w:val="top"/>
          </w:tcPr>
          <w:p w14:paraId="65142050">
            <w:pPr>
              <w:adjustRightInd w:val="0"/>
              <w:snapToGrid w:val="0"/>
              <w:rPr>
                <w:b/>
                <w:bCs/>
                <w:kern w:val="0"/>
                <w:szCs w:val="21"/>
              </w:rPr>
            </w:pPr>
            <w:r>
              <w:rPr>
                <w:rFonts w:hint="eastAsia"/>
                <w:b/>
                <w:bCs/>
                <w:szCs w:val="21"/>
              </w:rPr>
              <w:t>（一）评分内容：</w:t>
            </w:r>
          </w:p>
          <w:p w14:paraId="77288A55">
            <w:pPr>
              <w:adjustRightInd w:val="0"/>
              <w:snapToGrid w:val="0"/>
              <w:rPr>
                <w:szCs w:val="21"/>
              </w:rPr>
            </w:pPr>
            <w:r>
              <w:rPr>
                <w:rFonts w:hint="eastAsia"/>
                <w:szCs w:val="21"/>
              </w:rPr>
              <w:t>投标人根据本项目招标文件需求阐述项目的</w:t>
            </w:r>
            <w:r>
              <w:rPr>
                <w:szCs w:val="21"/>
              </w:rPr>
              <w:t>组织架构</w:t>
            </w:r>
            <w:r>
              <w:rPr>
                <w:rFonts w:hint="eastAsia" w:ascii="宋体" w:hAnsi="宋体" w:cs="宋体"/>
                <w:kern w:val="0"/>
                <w:szCs w:val="21"/>
              </w:rPr>
              <w:t>、</w:t>
            </w:r>
            <w:r>
              <w:rPr>
                <w:szCs w:val="21"/>
              </w:rPr>
              <w:t>安全保障措施</w:t>
            </w:r>
            <w:r>
              <w:rPr>
                <w:rFonts w:hint="eastAsia"/>
                <w:szCs w:val="21"/>
                <w:lang w:eastAsia="zh-CN"/>
              </w:rPr>
              <w:t>、</w:t>
            </w:r>
            <w:r>
              <w:rPr>
                <w:szCs w:val="21"/>
              </w:rPr>
              <w:t>项目实施管理</w:t>
            </w:r>
            <w:r>
              <w:rPr>
                <w:rFonts w:hint="eastAsia"/>
                <w:szCs w:val="21"/>
                <w:lang w:eastAsia="zh-CN"/>
              </w:rPr>
              <w:t>、</w:t>
            </w:r>
            <w:r>
              <w:rPr>
                <w:szCs w:val="21"/>
              </w:rPr>
              <w:t>培训管理内容</w:t>
            </w:r>
            <w:r>
              <w:rPr>
                <w:rFonts w:hint="eastAsia"/>
                <w:szCs w:val="21"/>
              </w:rPr>
              <w:t>，具体内容包含但不限于以下几点：</w:t>
            </w:r>
          </w:p>
          <w:p w14:paraId="01B3A7D0">
            <w:pPr>
              <w:adjustRightInd w:val="0"/>
              <w:snapToGrid w:val="0"/>
              <w:rPr>
                <w:szCs w:val="21"/>
              </w:rPr>
            </w:pPr>
            <w:r>
              <w:rPr>
                <w:szCs w:val="21"/>
              </w:rPr>
              <w:t>1.项目组织架构；</w:t>
            </w:r>
          </w:p>
          <w:p w14:paraId="1B98F407">
            <w:pPr>
              <w:adjustRightInd w:val="0"/>
              <w:snapToGrid w:val="0"/>
              <w:rPr>
                <w:szCs w:val="21"/>
              </w:rPr>
            </w:pPr>
            <w:r>
              <w:rPr>
                <w:szCs w:val="21"/>
              </w:rPr>
              <w:t>2.安全保障措施；</w:t>
            </w:r>
          </w:p>
          <w:p w14:paraId="71EE6DAA">
            <w:pPr>
              <w:adjustRightInd w:val="0"/>
              <w:snapToGrid w:val="0"/>
              <w:rPr>
                <w:szCs w:val="21"/>
              </w:rPr>
            </w:pPr>
            <w:r>
              <w:rPr>
                <w:rFonts w:hint="eastAsia"/>
                <w:szCs w:val="21"/>
                <w:lang w:val="en-US" w:eastAsia="zh-CN"/>
              </w:rPr>
              <w:t>3</w:t>
            </w:r>
            <w:r>
              <w:rPr>
                <w:szCs w:val="21"/>
              </w:rPr>
              <w:t>.项目实施管理；</w:t>
            </w:r>
          </w:p>
          <w:p w14:paraId="655EB05E">
            <w:pPr>
              <w:adjustRightInd w:val="0"/>
              <w:snapToGrid w:val="0"/>
              <w:rPr>
                <w:szCs w:val="21"/>
              </w:rPr>
            </w:pPr>
            <w:r>
              <w:rPr>
                <w:rFonts w:hint="eastAsia"/>
                <w:szCs w:val="21"/>
                <w:lang w:val="en-US" w:eastAsia="zh-CN"/>
              </w:rPr>
              <w:t>4</w:t>
            </w:r>
            <w:r>
              <w:rPr>
                <w:szCs w:val="21"/>
              </w:rPr>
              <w:t>.培训管理内容。</w:t>
            </w:r>
          </w:p>
          <w:p w14:paraId="76A11007">
            <w:pPr>
              <w:adjustRightInd w:val="0"/>
              <w:snapToGrid w:val="0"/>
              <w:rPr>
                <w:b/>
                <w:bCs/>
                <w:kern w:val="0"/>
                <w:szCs w:val="21"/>
              </w:rPr>
            </w:pPr>
            <w:r>
              <w:rPr>
                <w:rFonts w:hint="eastAsia"/>
                <w:b/>
                <w:bCs/>
                <w:szCs w:val="21"/>
              </w:rPr>
              <w:t>（二）评分依据：</w:t>
            </w:r>
          </w:p>
          <w:p w14:paraId="077AEEED">
            <w:pPr>
              <w:adjustRightInd w:val="0"/>
              <w:snapToGrid w:val="0"/>
              <w:rPr>
                <w:szCs w:val="21"/>
              </w:rPr>
            </w:pPr>
            <w:r>
              <w:rPr>
                <w:rFonts w:hint="eastAsia"/>
                <w:szCs w:val="21"/>
                <w:lang w:val="en-US" w:eastAsia="zh-CN"/>
              </w:rPr>
              <w:t>1.</w:t>
            </w:r>
            <w:r>
              <w:rPr>
                <w:rFonts w:hint="eastAsia"/>
                <w:szCs w:val="21"/>
              </w:rPr>
              <w:t>考察以上</w:t>
            </w:r>
            <w:r>
              <w:rPr>
                <w:rFonts w:hint="eastAsia"/>
                <w:szCs w:val="21"/>
                <w:lang w:val="en-US" w:eastAsia="zh-CN"/>
              </w:rPr>
              <w:t>四</w:t>
            </w:r>
            <w:r>
              <w:rPr>
                <w:rFonts w:hint="eastAsia"/>
                <w:szCs w:val="21"/>
              </w:rPr>
              <w:t>点内容，</w:t>
            </w:r>
            <w:r>
              <w:rPr>
                <w:rFonts w:hint="eastAsia"/>
                <w:szCs w:val="21"/>
                <w:lang w:val="en-US" w:eastAsia="zh-CN"/>
              </w:rPr>
              <w:t>每</w:t>
            </w:r>
            <w:r>
              <w:rPr>
                <w:rFonts w:hint="eastAsia"/>
                <w:szCs w:val="21"/>
              </w:rPr>
              <w:t>满足</w:t>
            </w:r>
            <w:r>
              <w:rPr>
                <w:rFonts w:hint="eastAsia"/>
                <w:szCs w:val="21"/>
                <w:lang w:val="en-US" w:eastAsia="zh-CN"/>
              </w:rPr>
              <w:t>一项</w:t>
            </w:r>
            <w:r>
              <w:rPr>
                <w:rFonts w:hint="eastAsia"/>
                <w:szCs w:val="21"/>
              </w:rPr>
              <w:t>内容得</w:t>
            </w:r>
            <w:r>
              <w:rPr>
                <w:rFonts w:hint="eastAsia"/>
                <w:szCs w:val="21"/>
                <w:lang w:val="en-US" w:eastAsia="zh-CN"/>
              </w:rPr>
              <w:t>1</w:t>
            </w:r>
            <w:r>
              <w:rPr>
                <w:szCs w:val="21"/>
              </w:rPr>
              <w:t>分，</w:t>
            </w:r>
            <w:r>
              <w:rPr>
                <w:rFonts w:hint="eastAsia"/>
                <w:szCs w:val="21"/>
                <w:lang w:val="en-US" w:eastAsia="zh-CN"/>
              </w:rPr>
              <w:t>最高得分4分</w:t>
            </w:r>
            <w:r>
              <w:rPr>
                <w:szCs w:val="21"/>
              </w:rPr>
              <w:t>。</w:t>
            </w:r>
          </w:p>
          <w:p w14:paraId="13D2693B">
            <w:pPr>
              <w:adjustRightInd w:val="0"/>
              <w:snapToGrid w:val="0"/>
              <w:rPr>
                <w:rFonts w:hint="eastAsia"/>
                <w:szCs w:val="21"/>
              </w:rPr>
            </w:pPr>
            <w:r>
              <w:rPr>
                <w:rFonts w:hint="eastAsia"/>
                <w:szCs w:val="21"/>
                <w:lang w:val="en-US" w:eastAsia="zh-CN"/>
              </w:rPr>
              <w:t>2.</w:t>
            </w:r>
            <w:r>
              <w:rPr>
                <w:rFonts w:hint="eastAsia"/>
                <w:szCs w:val="21"/>
              </w:rPr>
              <w:t>在此基础上，专家根据各供应商的具体响应内容按照量化的评审因素指标进一步评审：</w:t>
            </w:r>
          </w:p>
          <w:p w14:paraId="12396E6C">
            <w:pPr>
              <w:adjustRightInd w:val="0"/>
              <w:snapToGrid w:val="0"/>
              <w:rPr>
                <w:rFonts w:hint="eastAsia"/>
                <w:szCs w:val="21"/>
                <w:lang w:val="en-US" w:eastAsia="zh-CN"/>
              </w:rPr>
            </w:pPr>
            <w:r>
              <w:rPr>
                <w:rFonts w:hint="eastAsia"/>
                <w:szCs w:val="21"/>
                <w:lang w:val="en-US" w:eastAsia="zh-CN"/>
              </w:rPr>
              <w:t>(1)内容介绍全面、亮点突出、针对性强、科学合理可靠性强的得6分;</w:t>
            </w:r>
          </w:p>
          <w:p w14:paraId="20964373">
            <w:pPr>
              <w:adjustRightInd w:val="0"/>
              <w:snapToGrid w:val="0"/>
              <w:rPr>
                <w:rFonts w:hint="eastAsia"/>
                <w:szCs w:val="21"/>
                <w:lang w:val="en-US" w:eastAsia="zh-CN"/>
              </w:rPr>
            </w:pPr>
            <w:r>
              <w:rPr>
                <w:rFonts w:hint="eastAsia"/>
                <w:szCs w:val="21"/>
                <w:lang w:val="en-US" w:eastAsia="zh-CN"/>
              </w:rPr>
              <w:t>(2)内容介绍较全面、亮点较突出、针对性较强、可靠性较强的得3分;</w:t>
            </w:r>
          </w:p>
          <w:p w14:paraId="65883B75">
            <w:pPr>
              <w:adjustRightInd w:val="0"/>
              <w:snapToGrid w:val="0"/>
              <w:rPr>
                <w:rFonts w:hint="eastAsia"/>
                <w:szCs w:val="21"/>
                <w:lang w:val="en-US" w:eastAsia="zh-CN"/>
              </w:rPr>
            </w:pPr>
            <w:r>
              <w:rPr>
                <w:rFonts w:hint="eastAsia"/>
                <w:szCs w:val="21"/>
                <w:lang w:val="en-US" w:eastAsia="zh-CN"/>
              </w:rPr>
              <w:t>(3)内容介绍不全面、亮点不突出、针对性弱、可靠性一般的，不得分。</w:t>
            </w:r>
          </w:p>
          <w:p w14:paraId="3ABD2A3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color w:val="000000"/>
                <w:szCs w:val="21"/>
              </w:rPr>
              <w:t>以上两项累计得分</w:t>
            </w:r>
            <w:r>
              <w:rPr>
                <w:rFonts w:hint="eastAsia" w:ascii="宋体" w:hAnsi="宋体"/>
                <w:color w:val="000000"/>
                <w:szCs w:val="21"/>
                <w:lang w:val="en-US" w:eastAsia="zh-CN"/>
              </w:rPr>
              <w:t>最高得10分。</w:t>
            </w:r>
          </w:p>
        </w:tc>
      </w:tr>
      <w:tr w14:paraId="114D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530" w:type="dxa"/>
            <w:gridSpan w:val="3"/>
            <w:shd w:val="clear" w:color="auto" w:fill="FFFFFF" w:themeFill="background1"/>
            <w:vAlign w:val="center"/>
          </w:tcPr>
          <w:p w14:paraId="01D27589">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w:t>
            </w:r>
            <w:r>
              <w:rPr>
                <w:rFonts w:hint="eastAsia" w:ascii="宋体" w:hAnsi="宋体" w:cs="宋体"/>
                <w:b/>
                <w:bCs/>
                <w:color w:val="000000"/>
                <w:szCs w:val="21"/>
                <w:lang w:val="en-US" w:eastAsia="zh-CN" w:bidi="ar"/>
              </w:rPr>
              <w:t>商务部分</w:t>
            </w:r>
            <w:r>
              <w:rPr>
                <w:rFonts w:hint="eastAsia" w:ascii="宋体" w:hAnsi="宋体" w:cs="宋体"/>
                <w:b/>
                <w:bCs/>
                <w:color w:val="000000"/>
                <w:szCs w:val="21"/>
                <w:lang w:bidi="ar"/>
              </w:rPr>
              <w:t>（</w:t>
            </w:r>
            <w:r>
              <w:rPr>
                <w:rFonts w:hint="eastAsia" w:ascii="宋体" w:hAnsi="宋体" w:cs="宋体"/>
                <w:b/>
                <w:bCs/>
                <w:color w:val="000000"/>
                <w:szCs w:val="21"/>
                <w:lang w:val="en-US" w:eastAsia="zh-CN" w:bidi="ar"/>
              </w:rPr>
              <w:t>24分</w:t>
            </w:r>
            <w:r>
              <w:rPr>
                <w:rFonts w:hint="eastAsia" w:ascii="宋体" w:hAnsi="宋体" w:cs="宋体"/>
                <w:b/>
                <w:bCs/>
                <w:color w:val="000000"/>
                <w:szCs w:val="21"/>
                <w:lang w:bidi="ar"/>
              </w:rPr>
              <w:t>）</w:t>
            </w:r>
          </w:p>
        </w:tc>
      </w:tr>
      <w:tr w14:paraId="306D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A5C8F8B">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1</w:t>
            </w:r>
          </w:p>
        </w:tc>
        <w:tc>
          <w:tcPr>
            <w:tcW w:w="1214" w:type="dxa"/>
            <w:shd w:val="clear" w:color="auto" w:fill="FFFFFF" w:themeFill="background1"/>
            <w:vAlign w:val="center"/>
          </w:tcPr>
          <w:p w14:paraId="450696E5">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投标人同类项目业绩情况</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624" w:type="dxa"/>
            <w:shd w:val="clear" w:color="auto" w:fill="FFFFFF" w:themeFill="background1"/>
            <w:vAlign w:val="center"/>
          </w:tcPr>
          <w:p w14:paraId="6B94B905">
            <w:pPr>
              <w:adjustRightInd w:val="0"/>
              <w:snapToGrid w:val="0"/>
              <w:rPr>
                <w:b/>
                <w:bCs/>
                <w:kern w:val="0"/>
                <w:szCs w:val="21"/>
              </w:rPr>
            </w:pPr>
            <w:r>
              <w:rPr>
                <w:rFonts w:hint="eastAsia"/>
                <w:b/>
                <w:bCs/>
                <w:szCs w:val="21"/>
              </w:rPr>
              <w:t>（一）评分内容：</w:t>
            </w:r>
          </w:p>
          <w:p w14:paraId="23A8A2A2">
            <w:pPr>
              <w:adjustRightInd w:val="0"/>
              <w:snapToGrid w:val="0"/>
              <w:rPr>
                <w:szCs w:val="21"/>
              </w:rPr>
            </w:pPr>
            <w:r>
              <w:rPr>
                <w:szCs w:val="21"/>
              </w:rPr>
              <w:t>1.提供投标人自2022年1月1日起至本项目投标截止之日止（以合同或协议签订日期为准）承担过“病案数字化扫描”或“</w:t>
            </w:r>
            <w:r>
              <w:rPr>
                <w:rFonts w:hint="eastAsia"/>
                <w:szCs w:val="21"/>
              </w:rPr>
              <w:t>病案</w:t>
            </w:r>
            <w:r>
              <w:rPr>
                <w:szCs w:val="21"/>
              </w:rPr>
              <w:t>托管”的项目案例，每提供1个得</w:t>
            </w:r>
            <w:r>
              <w:rPr>
                <w:rFonts w:hint="eastAsia"/>
                <w:szCs w:val="21"/>
                <w:lang w:val="en-US" w:eastAsia="zh-CN"/>
              </w:rPr>
              <w:t>2</w:t>
            </w:r>
            <w:r>
              <w:rPr>
                <w:szCs w:val="21"/>
              </w:rPr>
              <w:t>分，</w:t>
            </w:r>
            <w:r>
              <w:rPr>
                <w:color w:val="000000" w:themeColor="text1"/>
                <w:szCs w:val="21"/>
                <w14:textFill>
                  <w14:solidFill>
                    <w14:schemeClr w14:val="tx1"/>
                  </w14:solidFill>
                </w14:textFill>
              </w:rPr>
              <w:t>最高得</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分，未提</w:t>
            </w:r>
            <w:r>
              <w:rPr>
                <w:szCs w:val="21"/>
              </w:rPr>
              <w:t>供的不得分。</w:t>
            </w:r>
          </w:p>
          <w:p w14:paraId="0DB90364">
            <w:pPr>
              <w:adjustRightInd w:val="0"/>
              <w:snapToGrid w:val="0"/>
              <w:rPr>
                <w:b/>
                <w:bCs/>
                <w:szCs w:val="21"/>
              </w:rPr>
            </w:pPr>
            <w:r>
              <w:rPr>
                <w:rFonts w:hint="eastAsia"/>
                <w:b/>
                <w:bCs/>
                <w:szCs w:val="21"/>
              </w:rPr>
              <w:t>（二）评分依据：</w:t>
            </w:r>
          </w:p>
          <w:p w14:paraId="6F303CA3">
            <w:pPr>
              <w:adjustRightInd w:val="0"/>
              <w:snapToGrid w:val="0"/>
              <w:rPr>
                <w:szCs w:val="21"/>
              </w:rPr>
            </w:pPr>
            <w:r>
              <w:rPr>
                <w:rFonts w:hint="eastAsia"/>
                <w:szCs w:val="21"/>
              </w:rPr>
              <w:t>1.提供合同关键页（关键信息包括但不仅限于合同的项目名称、服务内容、合同服务期限、甲乙双方签字盖章页）且提供的材料各项信息不得有任何遮挡；</w:t>
            </w:r>
          </w:p>
          <w:p w14:paraId="49CBE02A">
            <w:pPr>
              <w:adjustRightInd w:val="0"/>
              <w:snapToGrid w:val="0"/>
              <w:rPr>
                <w:szCs w:val="21"/>
              </w:rPr>
            </w:pPr>
            <w:r>
              <w:rPr>
                <w:rFonts w:hint="eastAsia"/>
                <w:szCs w:val="21"/>
              </w:rPr>
              <w:t>2.通过合同关键信息无法判断是否得分的，还需提供能证明得分的其它证明资料，如项目报告或合同甲方出具的证明文件；</w:t>
            </w:r>
          </w:p>
          <w:p w14:paraId="50194681">
            <w:pPr>
              <w:spacing w:line="320" w:lineRule="exact"/>
              <w:jc w:val="left"/>
              <w:rPr>
                <w:rFonts w:ascii="宋体" w:hAnsi="宋体" w:cs="宋体"/>
                <w:color w:val="000000"/>
                <w:szCs w:val="21"/>
              </w:rPr>
            </w:pPr>
            <w:r>
              <w:rPr>
                <w:rFonts w:hint="eastAsia"/>
                <w:szCs w:val="21"/>
              </w:rPr>
              <w:t>3.提供以上证明文件复印件或扫描件，均要求加盖投标人公章,原件备查。未按要求提供有效证明材料或提供不清晰导致评委无法识别的不计得分。</w:t>
            </w:r>
          </w:p>
        </w:tc>
      </w:tr>
      <w:tr w14:paraId="548D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F081F92">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2</w:t>
            </w:r>
          </w:p>
        </w:tc>
        <w:tc>
          <w:tcPr>
            <w:tcW w:w="1214" w:type="dxa"/>
            <w:shd w:val="clear" w:color="auto" w:fill="FFFFFF" w:themeFill="background1"/>
            <w:vAlign w:val="center"/>
          </w:tcPr>
          <w:p w14:paraId="35F11940">
            <w:pPr>
              <w:spacing w:line="320" w:lineRule="exact"/>
              <w:jc w:val="center"/>
              <w:rPr>
                <w:rFonts w:ascii="宋体" w:hAnsi="宋体" w:cs="宋体"/>
                <w:color w:val="000000"/>
                <w:szCs w:val="21"/>
              </w:rPr>
            </w:pPr>
            <w:r>
              <w:rPr>
                <w:rFonts w:hint="eastAsia" w:ascii="宋体" w:hAnsi="宋体" w:cs="宋体"/>
                <w:kern w:val="0"/>
                <w:szCs w:val="21"/>
              </w:rPr>
              <w:t xml:space="preserve"> 履约评价</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624" w:type="dxa"/>
            <w:shd w:val="clear" w:color="auto" w:fill="FFFFFF" w:themeFill="background1"/>
            <w:vAlign w:val="center"/>
          </w:tcPr>
          <w:p w14:paraId="218FD243">
            <w:pPr>
              <w:spacing w:line="320" w:lineRule="exact"/>
              <w:jc w:val="left"/>
              <w:rPr>
                <w:rFonts w:ascii="宋体" w:hAnsi="宋体" w:cs="宋体"/>
                <w:color w:val="000000"/>
                <w:szCs w:val="21"/>
              </w:rPr>
            </w:pPr>
            <w:r>
              <w:rPr>
                <w:rFonts w:hint="eastAsia" w:ascii="宋体" w:hAnsi="宋体" w:cs="宋体"/>
                <w:color w:val="000000"/>
                <w:szCs w:val="21"/>
              </w:rPr>
              <w:t>（一）</w:t>
            </w:r>
            <w:r>
              <w:rPr>
                <w:rFonts w:hint="eastAsia" w:ascii="宋体" w:hAnsi="宋体" w:cs="宋体"/>
                <w:b/>
                <w:bCs/>
                <w:color w:val="000000"/>
                <w:szCs w:val="21"/>
              </w:rPr>
              <w:t>评分内容：</w:t>
            </w:r>
            <w:r>
              <w:rPr>
                <w:rFonts w:hint="eastAsia" w:ascii="宋体" w:hAnsi="宋体" w:cs="宋体"/>
                <w:szCs w:val="21"/>
              </w:rPr>
              <w:br w:type="textWrapping"/>
            </w:r>
            <w:r>
              <w:rPr>
                <w:rFonts w:hint="eastAsia" w:ascii="宋体" w:hAnsi="宋体" w:cs="宋体"/>
                <w:szCs w:val="21"/>
              </w:rPr>
              <w:t>提供投标人自2022年1月1日起至本项目投标截止之日止,同类项目“病案数字化扫描”或“托管仓储”履约评价表，履约服务评价表为优的，每提供1个得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分，未提供的不得分。</w:t>
            </w:r>
            <w:r>
              <w:rPr>
                <w:rFonts w:hint="eastAsia" w:ascii="宋体" w:hAnsi="宋体" w:cs="宋体"/>
                <w:szCs w:val="21"/>
              </w:rPr>
              <w:br w:type="textWrapping"/>
            </w:r>
            <w:r>
              <w:rPr>
                <w:rFonts w:hint="eastAsia" w:ascii="宋体" w:hAnsi="宋体" w:cs="宋体"/>
                <w:szCs w:val="21"/>
              </w:rPr>
              <w:t>（二）评分依据：</w:t>
            </w:r>
            <w:r>
              <w:rPr>
                <w:rFonts w:hint="eastAsia" w:ascii="宋体" w:hAnsi="宋体" w:cs="宋体"/>
                <w:szCs w:val="21"/>
              </w:rPr>
              <w:br w:type="textWrapping"/>
            </w:r>
            <w:r>
              <w:rPr>
                <w:rFonts w:hint="eastAsia" w:ascii="宋体" w:hAnsi="宋体" w:cs="宋体"/>
                <w:szCs w:val="21"/>
              </w:rPr>
              <w:t>1.由服务单位出具履约评价证明文件扫描件或复印件，原件备查。</w:t>
            </w:r>
            <w:r>
              <w:rPr>
                <w:rFonts w:hint="eastAsia" w:ascii="宋体" w:hAnsi="宋体" w:cs="宋体"/>
                <w:szCs w:val="21"/>
              </w:rPr>
              <w:br w:type="textWrapping"/>
            </w:r>
            <w:r>
              <w:rPr>
                <w:rFonts w:hint="eastAsia" w:ascii="宋体" w:hAnsi="宋体" w:cs="宋体"/>
                <w:szCs w:val="21"/>
              </w:rPr>
              <w:t>2.以上资料均要求提供扫描件加盖投标人公章，原件备查。评分中出现无证明资料或专家无法凭所提供资料判断是否得分的情况，一律作不得分处理。</w:t>
            </w:r>
          </w:p>
        </w:tc>
      </w:tr>
      <w:tr w14:paraId="4724F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876F14F">
            <w:pPr>
              <w:spacing w:line="320" w:lineRule="exact"/>
              <w:jc w:val="center"/>
              <w:rPr>
                <w:rFonts w:hint="default" w:ascii="宋体" w:hAnsi="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231E9195">
            <w:pPr>
              <w:spacing w:line="320" w:lineRule="exact"/>
              <w:jc w:val="center"/>
              <w:rPr>
                <w:rFonts w:hint="eastAsia" w:ascii="宋体" w:hAnsi="宋体" w:cs="宋体"/>
                <w:kern w:val="0"/>
                <w:szCs w:val="21"/>
              </w:rPr>
            </w:pPr>
            <w:r>
              <w:rPr>
                <w:rFonts w:hint="eastAsia" w:ascii="宋体" w:hAnsi="宋体" w:cs="宋体"/>
                <w:kern w:val="0"/>
                <w:szCs w:val="21"/>
              </w:rPr>
              <w:t>拟安排的项目负责人情况（仅限一人）</w:t>
            </w:r>
          </w:p>
          <w:p w14:paraId="6BCE47E3">
            <w:pPr>
              <w:spacing w:line="320" w:lineRule="exact"/>
              <w:jc w:val="center"/>
              <w:rPr>
                <w:rFonts w:hint="eastAsia" w:ascii="宋体" w:hAnsi="宋体" w:cs="宋体"/>
                <w:kern w:val="0"/>
                <w:szCs w:val="21"/>
              </w:rPr>
            </w:pPr>
            <w:r>
              <w:rPr>
                <w:rFonts w:hint="eastAsia" w:ascii="宋体" w:hAnsi="宋体" w:cs="宋体"/>
                <w:color w:val="000000"/>
                <w:szCs w:val="21"/>
                <w:lang w:bidi="ar"/>
              </w:rPr>
              <w:t>（</w:t>
            </w:r>
            <w:r>
              <w:rPr>
                <w:rFonts w:hint="eastAsia" w:ascii="宋体" w:hAnsi="宋体" w:cs="宋体"/>
                <w:color w:val="000000"/>
                <w:szCs w:val="21"/>
                <w:lang w:val="en-US" w:eastAsia="zh-CN" w:bidi="ar"/>
              </w:rPr>
              <w:t>2</w:t>
            </w:r>
            <w:r>
              <w:rPr>
                <w:rFonts w:hint="eastAsia" w:ascii="宋体" w:hAnsi="宋体" w:cs="宋体"/>
                <w:color w:val="000000"/>
                <w:szCs w:val="21"/>
                <w:lang w:bidi="ar"/>
              </w:rPr>
              <w:t>分）</w:t>
            </w:r>
          </w:p>
        </w:tc>
        <w:tc>
          <w:tcPr>
            <w:tcW w:w="6624" w:type="dxa"/>
            <w:shd w:val="clear" w:color="auto" w:fill="FFFFFF" w:themeFill="background1"/>
            <w:vAlign w:val="center"/>
          </w:tcPr>
          <w:p w14:paraId="696271E6">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firstLine="0"/>
              <w:jc w:val="left"/>
              <w:textAlignment w:val="auto"/>
              <w:rPr>
                <w:rFonts w:hint="eastAsia" w:ascii="宋体" w:hAnsi="宋体" w:eastAsia="宋体" w:cs="宋体"/>
                <w:b/>
                <w:bCs/>
                <w:color w:val="auto"/>
                <w:spacing w:val="0"/>
                <w:position w:val="0"/>
                <w:sz w:val="21"/>
                <w:szCs w:val="21"/>
                <w:highlight w:val="none"/>
                <w:shd w:val="clear" w:color="auto" w:fill="auto"/>
              </w:rPr>
            </w:pPr>
            <w:r>
              <w:rPr>
                <w:rFonts w:hint="eastAsia" w:ascii="宋体" w:hAnsi="宋体" w:cs="宋体"/>
                <w:b/>
                <w:bCs/>
              </w:rPr>
              <w:t>（一）评分内容：</w:t>
            </w:r>
          </w:p>
          <w:p w14:paraId="6793A1B9">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ind w:leftChars="0" w:right="0" w:rightChars="0"/>
              <w:jc w:val="left"/>
              <w:textAlignment w:val="auto"/>
              <w:rPr>
                <w:rFonts w:hint="eastAsia" w:ascii="宋体" w:hAnsi="宋体" w:eastAsia="宋体" w:cs="宋体"/>
                <w:color w:val="000000" w:themeColor="text1"/>
                <w:spacing w:val="0"/>
                <w:position w:val="0"/>
                <w:sz w:val="21"/>
                <w:szCs w:val="21"/>
                <w:highlight w:val="none"/>
                <w:shd w:val="clear" w:color="auto" w:fill="auto"/>
                <w14:textFill>
                  <w14:solidFill>
                    <w14:schemeClr w14:val="tx1"/>
                  </w14:solidFill>
                </w14:textFill>
              </w:rPr>
            </w:pPr>
            <w:r>
              <w:rPr>
                <w:rFonts w:hint="eastAsia" w:ascii="宋体" w:hAnsi="宋体" w:cs="宋体"/>
                <w:color w:val="000000" w:themeColor="text1"/>
                <w:spacing w:val="0"/>
                <w:position w:val="0"/>
                <w:sz w:val="21"/>
                <w:szCs w:val="21"/>
                <w:highlight w:val="none"/>
                <w:shd w:val="clear" w:color="auto" w:fill="auto"/>
                <w:lang w:val="en-US" w:eastAsia="zh-CN"/>
                <w14:textFill>
                  <w14:solidFill>
                    <w14:schemeClr w14:val="tx1"/>
                  </w14:solidFill>
                </w14:textFill>
              </w:rPr>
              <w:t>1.</w:t>
            </w:r>
            <w:r>
              <w:rPr>
                <w:rFonts w:hint="eastAsia" w:ascii="宋体" w:hAnsi="宋体" w:eastAsia="宋体" w:cs="宋体"/>
                <w:color w:val="000000" w:themeColor="text1"/>
                <w:spacing w:val="0"/>
                <w:position w:val="0"/>
                <w:sz w:val="21"/>
                <w:szCs w:val="21"/>
                <w:highlight w:val="none"/>
                <w:shd w:val="clear" w:color="auto" w:fill="auto"/>
                <w:lang w:val="en-US" w:eastAsia="zh-CN"/>
                <w14:textFill>
                  <w14:solidFill>
                    <w14:schemeClr w14:val="tx1"/>
                  </w14:solidFill>
                </w14:textFill>
              </w:rPr>
              <w:t>项目</w:t>
            </w:r>
            <w:r>
              <w:rPr>
                <w:rFonts w:hint="eastAsia" w:ascii="宋体" w:hAnsi="宋体" w:eastAsia="宋体" w:cs="宋体"/>
                <w:color w:val="000000" w:themeColor="text1"/>
                <w:spacing w:val="0"/>
                <w:position w:val="0"/>
                <w:sz w:val="21"/>
                <w:szCs w:val="21"/>
                <w:highlight w:val="none"/>
                <w:shd w:val="clear" w:color="auto" w:fill="auto"/>
                <w:lang w:eastAsia="zh-CN"/>
                <w14:textFill>
                  <w14:solidFill>
                    <w14:schemeClr w14:val="tx1"/>
                  </w14:solidFill>
                </w14:textFill>
              </w:rPr>
              <w:t>负责人</w:t>
            </w:r>
            <w:r>
              <w:rPr>
                <w:rFonts w:hint="default" w:ascii="宋体" w:hAnsi="宋体" w:eastAsia="宋体" w:cs="宋体"/>
                <w:color w:val="000000" w:themeColor="text1"/>
                <w:spacing w:val="0"/>
                <w:position w:val="0"/>
                <w:sz w:val="21"/>
                <w:szCs w:val="21"/>
                <w:highlight w:val="none"/>
                <w:shd w:val="clear" w:color="auto" w:fill="auto"/>
                <w:lang w:val="en-US"/>
                <w14:textFill>
                  <w14:solidFill>
                    <w14:schemeClr w14:val="tx1"/>
                  </w14:solidFill>
                </w14:textFill>
              </w:rPr>
              <w:t>担任过同类项目的项目负责人，</w:t>
            </w:r>
            <w:r>
              <w:rPr>
                <w:rFonts w:hint="eastAsia" w:ascii="宋体" w:hAnsi="宋体" w:eastAsia="宋体" w:cs="宋体"/>
                <w:color w:val="000000" w:themeColor="text1"/>
                <w:spacing w:val="0"/>
                <w:position w:val="0"/>
                <w:sz w:val="21"/>
                <w:szCs w:val="21"/>
                <w:highlight w:val="none"/>
                <w:shd w:val="clear" w:color="auto" w:fill="auto"/>
                <w14:textFill>
                  <w14:solidFill>
                    <w14:schemeClr w14:val="tx1"/>
                  </w14:solidFill>
                </w14:textFill>
              </w:rPr>
              <w:t>需要为投标人自有员工</w:t>
            </w:r>
            <w:r>
              <w:rPr>
                <w:rFonts w:hint="eastAsia" w:ascii="宋体" w:hAnsi="宋体"/>
                <w:szCs w:val="21"/>
              </w:rPr>
              <w:t>（以社保为准）</w:t>
            </w:r>
            <w:r>
              <w:rPr>
                <w:rFonts w:hint="eastAsia" w:ascii="宋体" w:hAnsi="宋体" w:eastAsia="宋体" w:cs="宋体"/>
                <w:color w:val="000000" w:themeColor="text1"/>
                <w:spacing w:val="0"/>
                <w:position w:val="0"/>
                <w:sz w:val="21"/>
                <w:szCs w:val="21"/>
                <w:highlight w:val="none"/>
                <w:shd w:val="clear" w:color="auto" w:fill="auto"/>
                <w:lang w:eastAsia="zh-CN"/>
                <w14:textFill>
                  <w14:solidFill>
                    <w14:schemeClr w14:val="tx1"/>
                  </w14:solidFill>
                </w14:textFill>
              </w:rPr>
              <w:t>；</w:t>
            </w:r>
            <w:r>
              <w:rPr>
                <w:color w:val="000000" w:themeColor="text1"/>
                <w:szCs w:val="21"/>
                <w14:textFill>
                  <w14:solidFill>
                    <w14:schemeClr w14:val="tx1"/>
                  </w14:solidFill>
                </w14:textFill>
              </w:rPr>
              <w:t>得1分</w:t>
            </w:r>
            <w:r>
              <w:rPr>
                <w:rFonts w:hint="eastAsia"/>
                <w:color w:val="000000" w:themeColor="text1"/>
                <w:szCs w:val="21"/>
                <w:lang w:eastAsia="zh-CN"/>
                <w14:textFill>
                  <w14:solidFill>
                    <w14:schemeClr w14:val="tx1"/>
                  </w14:solidFill>
                </w14:textFill>
              </w:rPr>
              <w:t>。</w:t>
            </w:r>
          </w:p>
          <w:p w14:paraId="5F0564F7">
            <w:pPr>
              <w:spacing w:line="240" w:lineRule="auto"/>
              <w:ind w:firstLine="0" w:firstLineChars="0"/>
              <w:rPr>
                <w:rFonts w:hint="eastAsia" w:ascii="宋体" w:hAnsi="宋体" w:cs="宋体"/>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提供项目负责人为本科或以上学历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得1分</w:t>
            </w:r>
            <w:r>
              <w:rPr>
                <w:rFonts w:hint="eastAsia"/>
                <w:color w:val="000000" w:themeColor="text1"/>
                <w:szCs w:val="21"/>
                <w:lang w:eastAsia="zh-CN"/>
                <w14:textFill>
                  <w14:solidFill>
                    <w14:schemeClr w14:val="tx1"/>
                  </w14:solidFill>
                </w14:textFill>
              </w:rPr>
              <w:t>。</w:t>
            </w:r>
            <w:r>
              <w:rPr>
                <w:rFonts w:hint="eastAsia" w:ascii="宋体" w:hAnsi="宋体" w:cs="宋体"/>
              </w:rPr>
              <w:br w:type="textWrapping"/>
            </w:r>
            <w:r>
              <w:rPr>
                <w:rFonts w:hint="eastAsia" w:ascii="宋体" w:hAnsi="宋体" w:cs="宋体"/>
              </w:rPr>
              <w:t>（二）评分依据：</w:t>
            </w:r>
          </w:p>
          <w:p w14:paraId="4486BD1A">
            <w:pPr>
              <w:numPr>
                <w:ilvl w:val="0"/>
                <w:numId w:val="1"/>
              </w:numPr>
              <w:jc w:val="left"/>
              <w:rPr>
                <w:rFonts w:ascii="宋体" w:hAnsi="宋体" w:cs="宋体"/>
                <w:kern w:val="0"/>
                <w:szCs w:val="21"/>
              </w:rPr>
            </w:pPr>
            <w:r>
              <w:rPr>
                <w:rFonts w:hint="eastAsia" w:ascii="宋体" w:hAnsi="宋体"/>
                <w:szCs w:val="21"/>
              </w:rPr>
              <w:t>要求提供通过投标人购买的项目负责人在</w:t>
            </w:r>
            <w:r>
              <w:rPr>
                <w:rFonts w:hint="eastAsia" w:ascii="宋体" w:hAnsi="宋体"/>
                <w:szCs w:val="21"/>
                <w:lang w:val="en-US" w:eastAsia="zh-CN"/>
              </w:rPr>
              <w:t>报名截止日前</w:t>
            </w:r>
            <w:r>
              <w:rPr>
                <w:rFonts w:hint="eastAsia" w:ascii="宋体" w:hAnsi="宋体"/>
                <w:szCs w:val="21"/>
              </w:rPr>
              <w:t>近1个月的社保证明及相关证明资料作为得分依据。</w:t>
            </w:r>
            <w:r>
              <w:rPr>
                <w:rFonts w:hint="eastAsia" w:ascii="宋体" w:hAnsi="宋体" w:cs="宋体"/>
              </w:rPr>
              <w:br w:type="textWrapping"/>
            </w:r>
            <w:r>
              <w:rPr>
                <w:rFonts w:hint="eastAsia" w:ascii="宋体" w:hAnsi="宋体" w:cs="宋体"/>
                <w:lang w:val="en-US" w:eastAsia="zh-CN"/>
              </w:rPr>
              <w:t>2</w:t>
            </w:r>
            <w:r>
              <w:rPr>
                <w:rFonts w:hint="eastAsia" w:ascii="宋体" w:hAnsi="宋体" w:cs="宋体"/>
              </w:rPr>
              <w:t>.</w:t>
            </w:r>
            <w:r>
              <w:rPr>
                <w:rFonts w:hint="eastAsia" w:ascii="宋体" w:hAnsi="宋体" w:cs="宋体"/>
                <w:kern w:val="0"/>
                <w:szCs w:val="21"/>
              </w:rPr>
              <w:t>提供项目负责人的学历证书、毕业证书复印件或扫描件，</w:t>
            </w:r>
            <w:r>
              <w:rPr>
                <w:rFonts w:hint="eastAsia" w:ascii="宋体" w:hAnsi="宋体" w:eastAsia="宋体" w:cs="宋体"/>
                <w:kern w:val="2"/>
                <w:sz w:val="21"/>
                <w:szCs w:val="21"/>
                <w:lang w:val="en-US" w:eastAsia="zh-CN" w:bidi="ar-SA"/>
              </w:rPr>
              <w:t>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14:paraId="753C2D2F">
            <w:pPr>
              <w:spacing w:line="320" w:lineRule="exact"/>
              <w:jc w:val="left"/>
              <w:rPr>
                <w:rFonts w:hint="eastAsia" w:ascii="宋体" w:hAnsi="宋体" w:cs="宋体"/>
                <w:color w:val="000000"/>
                <w:szCs w:val="21"/>
              </w:rPr>
            </w:pPr>
            <w:r>
              <w:rPr>
                <w:rFonts w:hint="eastAsia" w:ascii="宋体" w:hAnsi="宋体" w:cs="宋体"/>
                <w:color w:val="000000" w:themeColor="text1"/>
                <w:kern w:val="0"/>
                <w:szCs w:val="21"/>
                <w:lang w:val="en-US" w:eastAsia="zh-CN"/>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.以上资料均要求提供扫描件加盖投标人公章，原件备查。评分中出现无证明资料或专家无法凭所提供资料判断是否得分的情况，一律作不得分处理。</w:t>
            </w:r>
          </w:p>
        </w:tc>
      </w:tr>
      <w:tr w14:paraId="3E83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72C962BB">
            <w:pPr>
              <w:spacing w:line="320" w:lineRule="exact"/>
              <w:jc w:val="center"/>
              <w:rPr>
                <w:rFonts w:hint="default" w:ascii="宋体" w:hAnsi="宋体" w:cs="宋体"/>
                <w:color w:val="000000"/>
                <w:szCs w:val="21"/>
                <w:lang w:val="en-US" w:eastAsia="zh-CN" w:bidi="ar"/>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3CD4E8A9">
            <w:pPr>
              <w:spacing w:line="320" w:lineRule="exact"/>
              <w:jc w:val="center"/>
              <w:rPr>
                <w:rFonts w:hint="eastAsia" w:ascii="宋体" w:hAnsi="宋体" w:cs="宋体"/>
                <w:kern w:val="0"/>
                <w:szCs w:val="21"/>
              </w:rPr>
            </w:pPr>
            <w:r>
              <w:rPr>
                <w:rFonts w:hint="eastAsia" w:ascii="宋体" w:hAnsi="宋体" w:cs="宋体"/>
                <w:kern w:val="0"/>
                <w:szCs w:val="21"/>
              </w:rPr>
              <w:t>投标人自主知识产权产品（创新、设计）情况</w:t>
            </w:r>
            <w:r>
              <w:rPr>
                <w:rFonts w:hint="eastAsia" w:ascii="宋体" w:hAnsi="宋体" w:cs="宋体"/>
                <w:color w:val="000000"/>
                <w:szCs w:val="21"/>
                <w:lang w:bidi="ar"/>
              </w:rPr>
              <w:t>（</w:t>
            </w:r>
            <w:r>
              <w:rPr>
                <w:rFonts w:hint="eastAsia" w:ascii="宋体" w:hAnsi="宋体" w:cs="宋体"/>
                <w:color w:val="000000"/>
                <w:szCs w:val="21"/>
                <w:lang w:val="en-US" w:eastAsia="zh-CN" w:bidi="ar"/>
              </w:rPr>
              <w:t>5</w:t>
            </w:r>
            <w:r>
              <w:rPr>
                <w:rFonts w:hint="eastAsia" w:ascii="宋体" w:hAnsi="宋体" w:cs="宋体"/>
                <w:color w:val="000000"/>
                <w:szCs w:val="21"/>
                <w:lang w:bidi="ar"/>
              </w:rPr>
              <w:t>分）</w:t>
            </w:r>
          </w:p>
        </w:tc>
        <w:tc>
          <w:tcPr>
            <w:tcW w:w="6624" w:type="dxa"/>
            <w:shd w:val="clear" w:color="auto" w:fill="FFFFFF" w:themeFill="background1"/>
            <w:vAlign w:val="center"/>
          </w:tcPr>
          <w:p w14:paraId="56FBA8F1">
            <w:pPr>
              <w:adjustRightInd w:val="0"/>
              <w:snapToGrid w:val="0"/>
              <w:rPr>
                <w:b/>
                <w:bCs/>
                <w:kern w:val="0"/>
                <w:szCs w:val="21"/>
              </w:rPr>
            </w:pPr>
            <w:r>
              <w:rPr>
                <w:rFonts w:hint="eastAsia"/>
                <w:b/>
                <w:bCs/>
                <w:szCs w:val="21"/>
              </w:rPr>
              <w:t>（一）评分内容：</w:t>
            </w:r>
          </w:p>
          <w:p w14:paraId="361CF14C">
            <w:pPr>
              <w:adjustRightInd w:val="0"/>
              <w:snapToGrid w:val="0"/>
              <w:rPr>
                <w:szCs w:val="21"/>
              </w:rPr>
            </w:pPr>
            <w:r>
              <w:rPr>
                <w:rFonts w:hint="eastAsia"/>
                <w:szCs w:val="21"/>
              </w:rPr>
              <w:t>投标</w:t>
            </w:r>
            <w:r>
              <w:rPr>
                <w:rFonts w:hint="eastAsia" w:ascii="Times New Roman" w:hAnsi="Times New Roman" w:eastAsia="宋体" w:cs="Times New Roman"/>
                <w:szCs w:val="21"/>
              </w:rPr>
              <w:t>人具有中华人民共和国国家版权局颁发的计算机软件著作权登记证书</w:t>
            </w:r>
            <w:r>
              <w:rPr>
                <w:rFonts w:hint="eastAsia"/>
                <w:szCs w:val="21"/>
              </w:rPr>
              <w:t>：</w:t>
            </w:r>
          </w:p>
          <w:p w14:paraId="2293CA47">
            <w:pPr>
              <w:adjustRightInd w:val="0"/>
              <w:snapToGrid w:val="0"/>
              <w:spacing w:line="278" w:lineRule="auto"/>
              <w:rPr>
                <w:szCs w:val="21"/>
              </w:rPr>
            </w:pPr>
            <w:r>
              <w:rPr>
                <w:szCs w:val="21"/>
              </w:rPr>
              <w:t>1.具有病案管理类系统。</w:t>
            </w:r>
          </w:p>
          <w:p w14:paraId="78AC088A">
            <w:pPr>
              <w:adjustRightInd w:val="0"/>
              <w:snapToGrid w:val="0"/>
              <w:spacing w:line="278" w:lineRule="auto"/>
              <w:rPr>
                <w:szCs w:val="21"/>
              </w:rPr>
            </w:pPr>
            <w:r>
              <w:rPr>
                <w:szCs w:val="21"/>
              </w:rPr>
              <w:t>2.具有病案预约复印类系统。</w:t>
            </w:r>
          </w:p>
          <w:p w14:paraId="50310E48">
            <w:pPr>
              <w:adjustRightInd w:val="0"/>
              <w:snapToGrid w:val="0"/>
              <w:spacing w:line="278" w:lineRule="auto"/>
              <w:rPr>
                <w:szCs w:val="21"/>
              </w:rPr>
            </w:pPr>
            <w:r>
              <w:rPr>
                <w:szCs w:val="21"/>
              </w:rPr>
              <w:t>3.具有病案示踪类系统。</w:t>
            </w:r>
          </w:p>
          <w:p w14:paraId="233661C6">
            <w:pPr>
              <w:adjustRightInd w:val="0"/>
              <w:snapToGrid w:val="0"/>
              <w:spacing w:line="278" w:lineRule="auto"/>
              <w:rPr>
                <w:szCs w:val="21"/>
              </w:rPr>
            </w:pPr>
            <w:r>
              <w:rPr>
                <w:szCs w:val="21"/>
              </w:rPr>
              <w:t>4.具有档案管理类系统。</w:t>
            </w:r>
          </w:p>
          <w:p w14:paraId="1C7241A8">
            <w:pPr>
              <w:adjustRightInd w:val="0"/>
              <w:snapToGrid w:val="0"/>
              <w:spacing w:line="278" w:lineRule="auto"/>
              <w:rPr>
                <w:szCs w:val="21"/>
              </w:rPr>
            </w:pPr>
            <w:r>
              <w:rPr>
                <w:rFonts w:hint="eastAsia"/>
                <w:szCs w:val="21"/>
              </w:rPr>
              <w:t>5</w:t>
            </w:r>
            <w:r>
              <w:rPr>
                <w:szCs w:val="21"/>
              </w:rPr>
              <w:t>.具有库房管理类系统。</w:t>
            </w:r>
          </w:p>
          <w:p w14:paraId="41112AA0">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firstLine="0" w:firstLineChars="0"/>
              <w:jc w:val="left"/>
              <w:textAlignment w:val="auto"/>
              <w:rPr>
                <w:rFonts w:hint="eastAsia" w:ascii="宋体" w:hAnsi="宋体" w:eastAsia="宋体" w:cs="宋体"/>
                <w:color w:val="000000" w:themeColor="text1"/>
                <w:spacing w:val="0"/>
                <w:position w:val="0"/>
                <w:sz w:val="21"/>
                <w:szCs w:val="21"/>
                <w:highlight w:val="none"/>
                <w:shd w:val="clear" w:color="auto" w:fill="auto"/>
                <w14:textFill>
                  <w14:solidFill>
                    <w14:schemeClr w14:val="tx1"/>
                  </w14:solidFill>
                </w14:textFill>
              </w:rPr>
            </w:pPr>
            <w:r>
              <w:rPr>
                <w:rFonts w:hint="eastAsia"/>
                <w:szCs w:val="21"/>
              </w:rPr>
              <w:t>提供一项得</w:t>
            </w:r>
            <w:r>
              <w:rPr>
                <w:rFonts w:hint="eastAsia"/>
                <w:szCs w:val="21"/>
                <w:lang w:val="en-US" w:eastAsia="zh-CN"/>
              </w:rPr>
              <w:t>1</w:t>
            </w:r>
            <w:r>
              <w:rPr>
                <w:szCs w:val="21"/>
              </w:rPr>
              <w:t>分，最</w:t>
            </w:r>
            <w:r>
              <w:rPr>
                <w:rFonts w:hint="eastAsia"/>
                <w:szCs w:val="21"/>
                <w:lang w:val="en-US" w:eastAsia="zh-CN"/>
              </w:rPr>
              <w:t>高得5</w:t>
            </w:r>
            <w:r>
              <w:rPr>
                <w:szCs w:val="21"/>
              </w:rPr>
              <w:t>分。</w:t>
            </w:r>
            <w:r>
              <w:rPr>
                <w:szCs w:val="21"/>
              </w:rPr>
              <w:br w:type="textWrapping"/>
            </w:r>
            <w:r>
              <w:rPr>
                <w:rFonts w:hint="eastAsia"/>
                <w:b/>
                <w:bCs/>
                <w:szCs w:val="21"/>
              </w:rPr>
              <w:t>（二）评分依据</w:t>
            </w:r>
            <w:r>
              <w:rPr>
                <w:b/>
                <w:bCs/>
                <w:szCs w:val="21"/>
              </w:rPr>
              <w:t>:</w:t>
            </w:r>
            <w:r>
              <w:rPr>
                <w:szCs w:val="21"/>
              </w:rPr>
              <w:br w:type="textWrapping"/>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pacing w:val="0"/>
                <w:position w:val="0"/>
                <w:sz w:val="21"/>
                <w:szCs w:val="21"/>
                <w:highlight w:val="none"/>
                <w:shd w:val="clear" w:color="auto" w:fill="auto"/>
                <w14:textFill>
                  <w14:solidFill>
                    <w14:schemeClr w14:val="tx1"/>
                  </w14:solidFill>
                </w14:textFill>
              </w:rPr>
              <w:t>提供有效相关证明文件扫描件加盖投标人公章，原件备查，未提供或不清淅的不得分。</w:t>
            </w:r>
          </w:p>
          <w:p w14:paraId="249C8A60">
            <w:pPr>
              <w:widowControl/>
              <w:wordWrap w:val="0"/>
              <w:jc w:val="left"/>
              <w:textAlignment w:val="top"/>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u w:val="none"/>
                <w14:textFill>
                  <w14:solidFill>
                    <w14:schemeClr w14:val="tx1"/>
                  </w14:solidFill>
                </w14:textFill>
              </w:rPr>
              <w:t>自主开发的</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提供专利证书或软件著作权登记证书或数据知识产权登记证书（著作权人/专利权人/登记主体需为投标人），原件备查</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p w14:paraId="72CAE623">
            <w:pPr>
              <w:spacing w:line="320" w:lineRule="exact"/>
              <w:jc w:val="left"/>
              <w:rPr>
                <w:rFonts w:hint="eastAsia" w:ascii="宋体" w:hAnsi="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购买或租赁的</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提供专利证书或软件著作权登记证书或数据知识产权登记证书（著作权人/专利权人/登记主体需为出售或出租方）和提供购买合同或租赁合同</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tc>
      </w:tr>
      <w:tr w14:paraId="498D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83E5172">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5</w:t>
            </w:r>
          </w:p>
        </w:tc>
        <w:tc>
          <w:tcPr>
            <w:tcW w:w="1214" w:type="dxa"/>
            <w:shd w:val="clear" w:color="auto" w:fill="FFFFFF" w:themeFill="background1"/>
            <w:vAlign w:val="center"/>
          </w:tcPr>
          <w:p w14:paraId="68FC0B77">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诚信情况</w:t>
            </w:r>
            <w:r>
              <w:rPr>
                <w:rFonts w:hint="eastAsia" w:ascii="宋体" w:hAnsi="宋体" w:cs="宋体"/>
                <w:color w:val="000000"/>
                <w:szCs w:val="21"/>
                <w:lang w:bidi="ar"/>
              </w:rPr>
              <w:t>（5分）</w:t>
            </w:r>
          </w:p>
        </w:tc>
        <w:tc>
          <w:tcPr>
            <w:tcW w:w="6624" w:type="dxa"/>
            <w:shd w:val="clear" w:color="auto" w:fill="FFFFFF" w:themeFill="background1"/>
            <w:vAlign w:val="center"/>
          </w:tcPr>
          <w:p w14:paraId="071382D1">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b/>
                <w:bCs/>
                <w:color w:val="auto"/>
                <w:sz w:val="21"/>
                <w:szCs w:val="21"/>
                <w:highlight w:val="none"/>
              </w:rPr>
              <w:t>评分内容：</w:t>
            </w:r>
          </w:p>
          <w:p w14:paraId="06E71521">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64365138">
            <w:pPr>
              <w:keepNext w:val="0"/>
              <w:keepLines w:val="0"/>
              <w:suppressLineNumbers w:val="0"/>
              <w:spacing w:before="0" w:beforeAutospacing="0" w:after="0" w:afterAutospacing="0"/>
              <w:ind w:left="0" w:right="0"/>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（二）</w:t>
            </w:r>
            <w:r>
              <w:rPr>
                <w:rFonts w:hint="eastAsia" w:ascii="宋体" w:hAnsi="宋体" w:eastAsia="宋体" w:cs="宋体"/>
                <w:b/>
                <w:bCs/>
                <w:color w:val="auto"/>
                <w:sz w:val="21"/>
                <w:szCs w:val="21"/>
                <w:highlight w:val="none"/>
              </w:rPr>
              <w:t>评分依据</w:t>
            </w:r>
            <w:r>
              <w:rPr>
                <w:rFonts w:hint="eastAsia" w:ascii="宋体" w:hAnsi="宋体" w:eastAsia="宋体" w:cs="宋体"/>
                <w:b/>
                <w:bCs/>
                <w:color w:val="auto"/>
                <w:sz w:val="21"/>
                <w:szCs w:val="21"/>
                <w:highlight w:val="none"/>
                <w:lang w:eastAsia="zh-CN"/>
              </w:rPr>
              <w:t>：</w:t>
            </w:r>
          </w:p>
          <w:p w14:paraId="721DA5A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024841E8">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769B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A74DACD">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20</w:t>
            </w:r>
            <w:r>
              <w:rPr>
                <w:rFonts w:hint="eastAsia" w:ascii="宋体" w:hAnsi="宋体" w:cs="宋体"/>
                <w:b/>
                <w:color w:val="000000"/>
                <w:kern w:val="0"/>
                <w:szCs w:val="21"/>
                <w:lang w:bidi="ar"/>
              </w:rPr>
              <w:t>分)</w:t>
            </w:r>
          </w:p>
        </w:tc>
        <w:tc>
          <w:tcPr>
            <w:tcW w:w="6624" w:type="dxa"/>
            <w:shd w:val="clear" w:color="auto" w:fill="FFFFFF" w:themeFill="background1"/>
            <w:vAlign w:val="center"/>
          </w:tcPr>
          <w:p w14:paraId="5663EF51">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2</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lang w:val="en-US" w:eastAsia="zh-CN"/>
              </w:rPr>
              <w:t>2</w:t>
            </w:r>
            <w:r>
              <w:rPr>
                <w:rFonts w:ascii="宋体" w:hAnsi="宋体"/>
                <w:szCs w:val="21"/>
              </w:rPr>
              <w:t>0</w:t>
            </w:r>
          </w:p>
        </w:tc>
      </w:tr>
    </w:tbl>
    <w:p w14:paraId="768E7431">
      <w:pPr>
        <w:widowControl/>
        <w:jc w:val="left"/>
        <w:rPr>
          <w:rFonts w:hint="eastAsia" w:ascii="宋体" w:hAnsi="宋体" w:eastAsia="宋体" w:cs="宋体"/>
          <w:color w:val="000000"/>
          <w:kern w:val="0"/>
          <w:sz w:val="21"/>
          <w:szCs w:val="21"/>
        </w:rPr>
      </w:pPr>
    </w:p>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2"/>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eastAsia="宋体" w:cs="宋体"/>
          <w:sz w:val="32"/>
          <w:szCs w:val="32"/>
          <w:lang w:val="en-US" w:eastAsia="zh-CN"/>
        </w:rPr>
        <w:t>病案数字化扫描和托管服务</w:t>
      </w:r>
    </w:p>
    <w:p w14:paraId="13E40C98">
      <w:pPr>
        <w:pStyle w:val="2"/>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一、项目背景</w:t>
      </w:r>
    </w:p>
    <w:p w14:paraId="2EC3EEF9">
      <w:pPr>
        <w:pageBreakBefore w:val="0"/>
        <w:kinsoku/>
        <w:wordWrap/>
        <w:overflowPunct/>
        <w:topLinePunct w:val="0"/>
        <w:autoSpaceDE/>
        <w:autoSpaceDN/>
        <w:bidi w:val="0"/>
        <w:spacing w:before="120" w:beforeAutospacing="0" w:afterAutospacing="0" w:line="360" w:lineRule="auto"/>
        <w:ind w:firstLine="420"/>
        <w:textAlignment w:val="auto"/>
        <w:rPr>
          <w:rFonts w:hint="eastAsia" w:ascii="宋体" w:hAnsi="宋体" w:eastAsia="宋体" w:cs="宋体"/>
          <w:sz w:val="21"/>
          <w:szCs w:val="21"/>
        </w:rPr>
      </w:pPr>
      <w:r>
        <w:rPr>
          <w:rFonts w:hint="eastAsia" w:ascii="宋体" w:hAnsi="宋体" w:eastAsia="宋体" w:cs="Times New Roman"/>
          <w:b w:val="0"/>
          <w:bCs/>
          <w:color w:val="auto"/>
          <w:kern w:val="2"/>
          <w:sz w:val="24"/>
          <w:szCs w:val="24"/>
          <w:highlight w:val="none"/>
          <w:lang w:val="en-US" w:eastAsia="zh-CN" w:bidi="ar-SA"/>
        </w:rPr>
        <w:t>本项目旨在为深圳市宝安区石岩人民医院提供住院病案数字化扫描及管理系统服务、住院病案异地托管仓储服务及后续相关服务，实现病案的数字化管理、安全异地存储与高效调用，保障病案数据安全、完整，提升病案管理效率，满足医院病案管理相关工作需求。</w:t>
      </w:r>
    </w:p>
    <w:p w14:paraId="61AB2EA7">
      <w:pPr>
        <w:numPr>
          <w:ilvl w:val="0"/>
          <w:numId w:val="0"/>
        </w:numPr>
        <w:adjustRightInd w:val="0"/>
        <w:snapToGrid w:val="0"/>
        <w:spacing w:line="360" w:lineRule="auto"/>
        <w:rPr>
          <w:rFonts w:hint="eastAsia" w:ascii="宋体" w:hAnsi="宋体" w:eastAsia="宋体" w:cs="宋体"/>
          <w:bCs/>
          <w:lang w:val="en-US" w:eastAsia="zh-CN"/>
          <w14:ligatures w14:val="standardContextual"/>
        </w:rPr>
      </w:pPr>
      <w:r>
        <w:rPr>
          <w:rFonts w:hint="eastAsia" w:ascii="宋体" w:hAnsi="宋体" w:eastAsia="宋体" w:cs="宋体"/>
          <w:b/>
          <w:bCs/>
          <w:kern w:val="44"/>
          <w:sz w:val="21"/>
          <w:szCs w:val="21"/>
          <w:lang w:val="en-US" w:eastAsia="zh-CN" w:bidi="ar-SA"/>
        </w:rPr>
        <w:t>二、服务内容及预算金额：</w:t>
      </w:r>
      <w:r>
        <w:rPr>
          <w:rFonts w:hint="eastAsia" w:ascii="宋体" w:hAnsi="宋体" w:eastAsia="宋体" w:cs="宋体"/>
          <w:sz w:val="21"/>
          <w:szCs w:val="21"/>
          <w:lang w:val="en-US" w:eastAsia="zh-CN"/>
        </w:rPr>
        <w:br w:type="textWrapping"/>
      </w:r>
      <w:r>
        <w:rPr>
          <w:rFonts w:hint="eastAsia" w:ascii="宋体" w:hAnsi="宋体" w:eastAsia="宋体" w:cs="宋体"/>
          <w:b/>
          <w:bCs/>
          <w:kern w:val="44"/>
          <w:sz w:val="21"/>
          <w:szCs w:val="21"/>
          <w:lang w:val="en-US" w:eastAsia="zh-CN" w:bidi="ar-SA"/>
        </w:rPr>
        <w:t>（一）服务内容</w:t>
      </w:r>
      <w:r>
        <w:rPr>
          <w:rFonts w:hint="eastAsia" w:eastAsia="宋体" w:cs="宋体"/>
          <w:sz w:val="21"/>
          <w:szCs w:val="21"/>
          <w:lang w:val="en-US" w:eastAsia="zh-CN"/>
        </w:rPr>
        <w:br w:type="textWrapping"/>
      </w:r>
      <w:r>
        <w:rPr>
          <w:rFonts w:hint="eastAsia" w:cs="宋体"/>
          <w:sz w:val="21"/>
          <w:szCs w:val="21"/>
          <w:lang w:val="en-US" w:eastAsia="zh-CN"/>
        </w:rPr>
        <w:t xml:space="preserve">    </w:t>
      </w:r>
      <w:r>
        <w:rPr>
          <w:rFonts w:hint="eastAsia" w:ascii="宋体" w:hAnsi="宋体" w:cs="宋体"/>
          <w:bCs/>
          <w:lang w:val="en-US" w:eastAsia="zh-CN"/>
          <w14:ligatures w14:val="standardContextual"/>
        </w:rPr>
        <w:t>1.</w:t>
      </w:r>
      <w:r>
        <w:rPr>
          <w:rFonts w:hint="eastAsia" w:ascii="宋体" w:hAnsi="宋体" w:eastAsia="宋体" w:cs="宋体"/>
          <w:bCs/>
          <w:lang w:val="en-US" w:eastAsia="zh-CN"/>
          <w14:ligatures w14:val="standardContextual"/>
        </w:rPr>
        <w:t>住院病案数字化扫描及管理系统服务，包括住院病案数字化扫描、病案数字化管理系统搭建与维护、病案首页录入等；</w:t>
      </w:r>
      <w:r>
        <w:rPr>
          <w:rFonts w:hint="eastAsia" w:ascii="宋体" w:hAnsi="宋体" w:eastAsia="宋体" w:cs="宋体"/>
          <w:bCs/>
          <w:lang w:val="en-US" w:eastAsia="zh-CN"/>
          <w14:ligatures w14:val="standardContextual"/>
        </w:rPr>
        <w:br w:type="textWrapping"/>
      </w:r>
      <w:r>
        <w:rPr>
          <w:rFonts w:hint="eastAsia" w:ascii="宋体" w:hAnsi="宋体" w:cs="宋体"/>
          <w:bCs/>
          <w:lang w:val="en-US" w:eastAsia="zh-CN"/>
          <w14:ligatures w14:val="standardContextual"/>
        </w:rPr>
        <w:t xml:space="preserve">    </w:t>
      </w:r>
      <w:r>
        <w:rPr>
          <w:rFonts w:hint="eastAsia" w:ascii="宋体" w:hAnsi="宋体" w:eastAsia="宋体" w:cs="宋体"/>
          <w:bCs/>
          <w:lang w:val="en-US" w:eastAsia="zh-CN"/>
          <w14:ligatures w14:val="standardContextual"/>
        </w:rPr>
        <w:t>2. 住院病案异地托管仓储服务，包括病案打包及病案打包管理系统使用、托管病案交接、异地仓库存储与管理等；</w:t>
      </w:r>
      <w:r>
        <w:rPr>
          <w:rFonts w:hint="eastAsia" w:ascii="宋体" w:hAnsi="宋体" w:eastAsia="宋体" w:cs="宋体"/>
          <w:bCs/>
          <w:lang w:val="en-US" w:eastAsia="zh-CN"/>
          <w14:ligatures w14:val="standardContextual"/>
        </w:rPr>
        <w:br w:type="textWrapping"/>
      </w:r>
      <w:r>
        <w:rPr>
          <w:rFonts w:hint="eastAsia" w:ascii="宋体" w:hAnsi="宋体" w:cs="宋体"/>
          <w:bCs/>
          <w:lang w:val="en-US" w:eastAsia="zh-CN"/>
          <w14:ligatures w14:val="standardContextual"/>
        </w:rPr>
        <w:t xml:space="preserve">   </w:t>
      </w:r>
      <w:r>
        <w:rPr>
          <w:rFonts w:hint="eastAsia" w:ascii="宋体" w:hAnsi="宋体" w:eastAsia="宋体" w:cs="宋体"/>
          <w:bCs/>
          <w:lang w:val="en-US" w:eastAsia="zh-CN"/>
          <w14:ligatures w14:val="standardContextual"/>
        </w:rPr>
        <w:t>3. 后续服务，包括数字化病案传输、病案原件调取配送、系统软硬件升级维护、数据迁移对接、安全保密等。</w:t>
      </w:r>
    </w:p>
    <w:p w14:paraId="5B5F1D57">
      <w:pPr>
        <w:pStyle w:val="2"/>
        <w:pageBreakBefore w:val="0"/>
        <w:numPr>
          <w:ilvl w:val="0"/>
          <w:numId w:val="0"/>
        </w:numPr>
        <w:kinsoku/>
        <w:wordWrap/>
        <w:overflowPunct/>
        <w:topLinePunct w:val="0"/>
        <w:autoSpaceDE/>
        <w:autoSpaceDN/>
        <w:bidi w:val="0"/>
        <w:spacing w:before="120" w:beforeAutospacing="0" w:after="0" w:afterAutospacing="0"/>
        <w:textAlignment w:val="auto"/>
        <w:rPr>
          <w:rFonts w:hint="eastAsia" w:ascii="宋体" w:hAnsi="宋体" w:eastAsia="宋体" w:cs="宋体"/>
          <w:sz w:val="21"/>
          <w:szCs w:val="21"/>
          <w:lang w:val="en-US" w:eastAsia="zh-CN"/>
        </w:rPr>
      </w:pPr>
      <w:r>
        <w:rPr>
          <w:rFonts w:hint="eastAsia" w:eastAsia="宋体" w:cs="宋体"/>
          <w:sz w:val="21"/>
          <w:szCs w:val="21"/>
          <w:lang w:val="en-US" w:eastAsia="zh-CN"/>
        </w:rPr>
        <w:t>（二）预算金额</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2367"/>
        <w:gridCol w:w="1530"/>
        <w:gridCol w:w="833"/>
        <w:gridCol w:w="1202"/>
        <w:gridCol w:w="2058"/>
      </w:tblGrid>
      <w:tr w14:paraId="7EEA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28" w:type="dxa"/>
            <w:vAlign w:val="center"/>
          </w:tcPr>
          <w:p w14:paraId="3945CDDF">
            <w:pPr>
              <w:pStyle w:val="11"/>
              <w:jc w:val="center"/>
              <w:rPr>
                <w:rFonts w:hint="eastAsia" w:hAnsi="宋体"/>
                <w:b/>
                <w:kern w:val="0"/>
              </w:rPr>
            </w:pPr>
            <w:r>
              <w:rPr>
                <w:rFonts w:hint="eastAsia" w:hAnsi="宋体"/>
                <w:b/>
                <w:kern w:val="0"/>
              </w:rPr>
              <w:t>序号</w:t>
            </w:r>
          </w:p>
        </w:tc>
        <w:tc>
          <w:tcPr>
            <w:tcW w:w="2367" w:type="dxa"/>
            <w:vAlign w:val="center"/>
          </w:tcPr>
          <w:p w14:paraId="6F66969D">
            <w:pPr>
              <w:pStyle w:val="11"/>
              <w:jc w:val="center"/>
              <w:rPr>
                <w:rFonts w:hint="eastAsia" w:hAnsi="宋体"/>
                <w:b/>
                <w:kern w:val="0"/>
              </w:rPr>
            </w:pPr>
            <w:r>
              <w:rPr>
                <w:rFonts w:hint="eastAsia" w:hAnsi="宋体"/>
                <w:b/>
                <w:kern w:val="0"/>
              </w:rPr>
              <w:t>采购项目名称</w:t>
            </w:r>
          </w:p>
        </w:tc>
        <w:tc>
          <w:tcPr>
            <w:tcW w:w="1530" w:type="dxa"/>
            <w:vAlign w:val="center"/>
          </w:tcPr>
          <w:p w14:paraId="2E883794">
            <w:pPr>
              <w:pStyle w:val="11"/>
              <w:jc w:val="center"/>
              <w:rPr>
                <w:rFonts w:hint="eastAsia" w:hAnsi="宋体"/>
                <w:b/>
                <w:kern w:val="0"/>
              </w:rPr>
            </w:pPr>
            <w:r>
              <w:rPr>
                <w:rFonts w:hint="eastAsia" w:hAnsi="宋体"/>
                <w:b/>
                <w:kern w:val="0"/>
              </w:rPr>
              <w:t>服务名称</w:t>
            </w:r>
          </w:p>
        </w:tc>
        <w:tc>
          <w:tcPr>
            <w:tcW w:w="833" w:type="dxa"/>
            <w:vAlign w:val="center"/>
          </w:tcPr>
          <w:p w14:paraId="41E051A7">
            <w:pPr>
              <w:pStyle w:val="11"/>
              <w:jc w:val="center"/>
              <w:rPr>
                <w:rFonts w:hint="eastAsia" w:hAnsi="宋体"/>
                <w:b/>
                <w:kern w:val="0"/>
              </w:rPr>
            </w:pPr>
            <w:r>
              <w:rPr>
                <w:rFonts w:hint="eastAsia" w:hAnsi="宋体"/>
                <w:b/>
                <w:kern w:val="0"/>
                <w:lang w:val="en-US" w:eastAsia="zh-CN"/>
              </w:rPr>
              <w:t>最高</w:t>
            </w:r>
            <w:r>
              <w:rPr>
                <w:rFonts w:hint="eastAsia" w:hAnsi="宋体"/>
                <w:b/>
                <w:kern w:val="0"/>
              </w:rPr>
              <w:t>预算单价（元/份）</w:t>
            </w:r>
          </w:p>
        </w:tc>
        <w:tc>
          <w:tcPr>
            <w:tcW w:w="1202" w:type="dxa"/>
            <w:vAlign w:val="center"/>
          </w:tcPr>
          <w:p w14:paraId="4FFEE8D2">
            <w:pPr>
              <w:pStyle w:val="11"/>
              <w:jc w:val="center"/>
              <w:rPr>
                <w:rFonts w:hint="default" w:hAnsi="宋体" w:eastAsia="宋体"/>
                <w:b/>
                <w:kern w:val="0"/>
                <w:lang w:val="en-US" w:eastAsia="zh-CN"/>
              </w:rPr>
            </w:pPr>
            <w:r>
              <w:rPr>
                <w:rFonts w:hint="eastAsia" w:hAnsi="宋体"/>
                <w:b/>
                <w:kern w:val="0"/>
                <w:lang w:val="en-US" w:eastAsia="zh-CN"/>
              </w:rPr>
              <w:t>年度拟采购数量及单位</w:t>
            </w:r>
          </w:p>
        </w:tc>
        <w:tc>
          <w:tcPr>
            <w:tcW w:w="2058" w:type="dxa"/>
            <w:vAlign w:val="center"/>
          </w:tcPr>
          <w:p w14:paraId="79DA4E94">
            <w:pPr>
              <w:pStyle w:val="11"/>
              <w:jc w:val="center"/>
              <w:rPr>
                <w:rFonts w:hint="eastAsia" w:hAnsi="宋体"/>
                <w:b/>
                <w:kern w:val="0"/>
              </w:rPr>
            </w:pPr>
            <w:r>
              <w:rPr>
                <w:rFonts w:hint="eastAsia" w:hAnsi="宋体"/>
                <w:b/>
                <w:kern w:val="0"/>
                <w:lang w:val="en-US" w:eastAsia="zh-CN"/>
              </w:rPr>
              <w:t>备注</w:t>
            </w:r>
          </w:p>
        </w:tc>
      </w:tr>
      <w:tr w14:paraId="1C37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28" w:type="dxa"/>
            <w:vMerge w:val="restart"/>
            <w:vAlign w:val="center"/>
          </w:tcPr>
          <w:p w14:paraId="69AD954D">
            <w:pPr>
              <w:pStyle w:val="11"/>
              <w:jc w:val="center"/>
              <w:rPr>
                <w:rFonts w:hint="eastAsia" w:hAnsi="宋体"/>
                <w:bCs/>
                <w:kern w:val="0"/>
              </w:rPr>
            </w:pPr>
            <w:r>
              <w:rPr>
                <w:rFonts w:hint="eastAsia" w:hAnsi="宋体"/>
                <w:bCs/>
                <w:kern w:val="0"/>
              </w:rPr>
              <w:t>1</w:t>
            </w:r>
          </w:p>
        </w:tc>
        <w:tc>
          <w:tcPr>
            <w:tcW w:w="2367" w:type="dxa"/>
            <w:vMerge w:val="restart"/>
            <w:vAlign w:val="center"/>
          </w:tcPr>
          <w:p w14:paraId="675408DC">
            <w:pPr>
              <w:pStyle w:val="11"/>
              <w:jc w:val="center"/>
              <w:rPr>
                <w:rFonts w:hint="eastAsia" w:ascii="宋体" w:hAnsi="宋体" w:eastAsia="宋体" w:cs="宋体"/>
                <w:lang w:val="en-US" w:eastAsia="zh-CN"/>
              </w:rPr>
            </w:pPr>
            <w:r>
              <w:rPr>
                <w:rFonts w:hint="eastAsia" w:hAnsi="宋体" w:cs="宋体"/>
                <w:lang w:val="en-US" w:eastAsia="zh-CN"/>
              </w:rPr>
              <w:t>病案数字化服务和病案托管</w:t>
            </w:r>
          </w:p>
          <w:p w14:paraId="758EE075">
            <w:pPr>
              <w:widowControl/>
              <w:snapToGrid w:val="0"/>
              <w:ind w:leftChars="-260" w:right="-617" w:rightChars="-294" w:hanging="546" w:hangingChars="260"/>
              <w:contextualSpacing/>
              <w:jc w:val="center"/>
              <w:rPr>
                <w:rFonts w:hint="eastAsia" w:ascii="宋体" w:hAnsi="宋体" w:cs="宋体-18030"/>
                <w:color w:val="000000"/>
                <w:szCs w:val="21"/>
              </w:rPr>
            </w:pPr>
          </w:p>
        </w:tc>
        <w:tc>
          <w:tcPr>
            <w:tcW w:w="1530" w:type="dxa"/>
            <w:vAlign w:val="center"/>
          </w:tcPr>
          <w:p w14:paraId="5B9DD395">
            <w:pPr>
              <w:pStyle w:val="11"/>
              <w:jc w:val="center"/>
              <w:rPr>
                <w:rFonts w:hint="eastAsia" w:hAnsi="宋体"/>
                <w:bCs/>
                <w:kern w:val="0"/>
              </w:rPr>
            </w:pPr>
            <w:r>
              <w:rPr>
                <w:rFonts w:hint="eastAsia" w:hAnsi="宋体"/>
              </w:rPr>
              <w:t>病案扫描</w:t>
            </w:r>
          </w:p>
        </w:tc>
        <w:tc>
          <w:tcPr>
            <w:tcW w:w="833" w:type="dxa"/>
            <w:vAlign w:val="center"/>
          </w:tcPr>
          <w:p w14:paraId="1A2B10A7">
            <w:pPr>
              <w:pStyle w:val="11"/>
              <w:jc w:val="center"/>
              <w:rPr>
                <w:rFonts w:hint="default" w:hAnsi="宋体" w:eastAsia="宋体"/>
                <w:bCs/>
                <w:kern w:val="0"/>
                <w:lang w:val="en-US" w:eastAsia="zh-CN"/>
              </w:rPr>
            </w:pPr>
            <w:r>
              <w:rPr>
                <w:rFonts w:hint="eastAsia" w:hAnsi="宋体"/>
                <w:bCs/>
                <w:kern w:val="0"/>
                <w:lang w:val="en-US" w:eastAsia="zh-CN"/>
              </w:rPr>
              <w:t>2.23</w:t>
            </w:r>
          </w:p>
        </w:tc>
        <w:tc>
          <w:tcPr>
            <w:tcW w:w="1202" w:type="dxa"/>
            <w:vAlign w:val="center"/>
          </w:tcPr>
          <w:p w14:paraId="7ED9761E">
            <w:pPr>
              <w:pStyle w:val="11"/>
              <w:jc w:val="center"/>
              <w:rPr>
                <w:rFonts w:hint="default" w:hAnsi="宋体"/>
                <w:bCs/>
                <w:kern w:val="0"/>
                <w:lang w:val="en-US" w:eastAsia="zh-CN"/>
              </w:rPr>
            </w:pPr>
            <w:r>
              <w:rPr>
                <w:rFonts w:hint="eastAsia" w:hAnsi="宋体"/>
                <w:bCs/>
                <w:kern w:val="0"/>
                <w:lang w:val="en-US" w:eastAsia="zh-CN"/>
              </w:rPr>
              <w:t>42000份</w:t>
            </w:r>
          </w:p>
        </w:tc>
        <w:tc>
          <w:tcPr>
            <w:tcW w:w="2058" w:type="dxa"/>
            <w:vAlign w:val="center"/>
          </w:tcPr>
          <w:p w14:paraId="2CA5FDAC">
            <w:pPr>
              <w:pStyle w:val="11"/>
              <w:jc w:val="center"/>
              <w:rPr>
                <w:rFonts w:hint="eastAsia" w:hAnsi="宋体" w:eastAsia="宋体"/>
                <w:bCs/>
                <w:kern w:val="0"/>
                <w:lang w:val="en-US" w:eastAsia="zh-CN"/>
              </w:rPr>
            </w:pPr>
            <w:r>
              <w:rPr>
                <w:rFonts w:hint="eastAsia" w:hAnsi="宋体"/>
                <w:bCs/>
                <w:kern w:val="0"/>
                <w:lang w:val="en-US" w:eastAsia="zh-CN"/>
              </w:rPr>
              <w:t>/</w:t>
            </w:r>
          </w:p>
        </w:tc>
      </w:tr>
      <w:tr w14:paraId="2572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528" w:type="dxa"/>
            <w:vMerge w:val="continue"/>
            <w:vAlign w:val="center"/>
          </w:tcPr>
          <w:p w14:paraId="2FD74246">
            <w:pPr>
              <w:pStyle w:val="11"/>
              <w:jc w:val="center"/>
              <w:rPr>
                <w:rFonts w:hint="eastAsia" w:hAnsi="宋体"/>
                <w:bCs/>
                <w:kern w:val="0"/>
              </w:rPr>
            </w:pPr>
          </w:p>
        </w:tc>
        <w:tc>
          <w:tcPr>
            <w:tcW w:w="2367" w:type="dxa"/>
            <w:vMerge w:val="continue"/>
            <w:vAlign w:val="center"/>
          </w:tcPr>
          <w:p w14:paraId="6EE008CC">
            <w:pPr>
              <w:widowControl/>
              <w:snapToGrid w:val="0"/>
              <w:ind w:leftChars="-260" w:right="-617" w:rightChars="-294" w:hanging="546" w:hangingChars="260"/>
              <w:contextualSpacing/>
              <w:jc w:val="center"/>
              <w:rPr>
                <w:rFonts w:hint="eastAsia" w:ascii="宋体" w:hAnsi="宋体" w:cs="宋体-18030"/>
                <w:color w:val="000000"/>
                <w:szCs w:val="21"/>
              </w:rPr>
            </w:pPr>
          </w:p>
        </w:tc>
        <w:tc>
          <w:tcPr>
            <w:tcW w:w="1530" w:type="dxa"/>
            <w:vAlign w:val="center"/>
          </w:tcPr>
          <w:p w14:paraId="67938CAF">
            <w:pPr>
              <w:pStyle w:val="11"/>
              <w:jc w:val="center"/>
              <w:rPr>
                <w:rFonts w:hint="eastAsia" w:hAnsi="宋体"/>
                <w:bCs/>
                <w:kern w:val="0"/>
              </w:rPr>
            </w:pPr>
            <w:r>
              <w:rPr>
                <w:rFonts w:hint="eastAsia" w:hAnsi="宋体"/>
              </w:rPr>
              <w:t>病案托管</w:t>
            </w:r>
          </w:p>
        </w:tc>
        <w:tc>
          <w:tcPr>
            <w:tcW w:w="833" w:type="dxa"/>
            <w:vAlign w:val="center"/>
          </w:tcPr>
          <w:p w14:paraId="53536FD7">
            <w:pPr>
              <w:pStyle w:val="11"/>
              <w:jc w:val="center"/>
              <w:rPr>
                <w:rFonts w:hint="eastAsia" w:hAnsi="宋体" w:eastAsia="宋体"/>
                <w:bCs/>
                <w:kern w:val="0"/>
                <w:lang w:eastAsia="zh-CN"/>
              </w:rPr>
            </w:pPr>
            <w:r>
              <w:rPr>
                <w:rFonts w:hint="eastAsia" w:hAnsi="宋体"/>
                <w:bCs/>
                <w:kern w:val="0"/>
              </w:rPr>
              <w:t>0.</w:t>
            </w:r>
            <w:r>
              <w:rPr>
                <w:rFonts w:hint="eastAsia" w:hAnsi="宋体"/>
                <w:bCs/>
                <w:kern w:val="0"/>
                <w:lang w:val="en-US" w:eastAsia="zh-CN"/>
              </w:rPr>
              <w:t>2</w:t>
            </w:r>
          </w:p>
        </w:tc>
        <w:tc>
          <w:tcPr>
            <w:tcW w:w="1202" w:type="dxa"/>
            <w:vAlign w:val="center"/>
          </w:tcPr>
          <w:p w14:paraId="603BD3C0">
            <w:pPr>
              <w:pStyle w:val="11"/>
              <w:jc w:val="center"/>
              <w:rPr>
                <w:rFonts w:hint="default" w:hAnsi="宋体" w:eastAsia="宋体"/>
                <w:bCs/>
                <w:kern w:val="0"/>
                <w:lang w:val="en-US" w:eastAsia="zh-CN"/>
              </w:rPr>
            </w:pPr>
            <w:r>
              <w:rPr>
                <w:rFonts w:hint="eastAsia" w:hAnsi="宋体"/>
                <w:bCs/>
                <w:kern w:val="0"/>
                <w:lang w:val="en-US" w:eastAsia="zh-CN"/>
              </w:rPr>
              <w:t>500000份</w:t>
            </w:r>
          </w:p>
        </w:tc>
        <w:tc>
          <w:tcPr>
            <w:tcW w:w="2058" w:type="dxa"/>
            <w:vAlign w:val="center"/>
          </w:tcPr>
          <w:p w14:paraId="1767BEF4">
            <w:pPr>
              <w:pStyle w:val="11"/>
              <w:jc w:val="center"/>
              <w:rPr>
                <w:rFonts w:hint="eastAsia" w:hAnsi="宋体" w:eastAsia="宋体"/>
                <w:bCs/>
                <w:kern w:val="0"/>
                <w:lang w:val="en-US" w:eastAsia="zh-CN"/>
              </w:rPr>
            </w:pPr>
            <w:r>
              <w:rPr>
                <w:rFonts w:hint="eastAsia" w:hAnsi="宋体"/>
                <w:bCs/>
                <w:kern w:val="0"/>
                <w:lang w:val="en-US" w:eastAsia="zh-CN"/>
              </w:rPr>
              <w:t>/</w:t>
            </w:r>
          </w:p>
        </w:tc>
      </w:tr>
      <w:tr w14:paraId="4E58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5" w:hRule="atLeast"/>
          <w:jc w:val="center"/>
        </w:trPr>
        <w:tc>
          <w:tcPr>
            <w:tcW w:w="528" w:type="dxa"/>
            <w:vMerge w:val="continue"/>
            <w:vAlign w:val="center"/>
          </w:tcPr>
          <w:p w14:paraId="0995AE62">
            <w:pPr>
              <w:pStyle w:val="11"/>
              <w:jc w:val="center"/>
              <w:rPr>
                <w:rFonts w:hint="eastAsia" w:hAnsi="宋体"/>
                <w:bCs/>
                <w:kern w:val="0"/>
              </w:rPr>
            </w:pPr>
          </w:p>
        </w:tc>
        <w:tc>
          <w:tcPr>
            <w:tcW w:w="2367" w:type="dxa"/>
            <w:vMerge w:val="continue"/>
            <w:vAlign w:val="center"/>
          </w:tcPr>
          <w:p w14:paraId="76EE2995">
            <w:pPr>
              <w:widowControl/>
              <w:snapToGrid w:val="0"/>
              <w:ind w:leftChars="-260" w:right="-617" w:rightChars="-294" w:hanging="546" w:hangingChars="260"/>
              <w:contextualSpacing/>
              <w:jc w:val="center"/>
              <w:rPr>
                <w:rFonts w:hint="eastAsia" w:ascii="宋体" w:hAnsi="宋体" w:cs="宋体-18030"/>
                <w:color w:val="000000"/>
                <w:szCs w:val="21"/>
              </w:rPr>
            </w:pPr>
          </w:p>
        </w:tc>
        <w:tc>
          <w:tcPr>
            <w:tcW w:w="1530" w:type="dxa"/>
            <w:shd w:val="clear" w:color="auto" w:fill="auto"/>
            <w:vAlign w:val="center"/>
          </w:tcPr>
          <w:p w14:paraId="74EA009B">
            <w:pPr>
              <w:pStyle w:val="11"/>
              <w:jc w:val="center"/>
              <w:rPr>
                <w:rFonts w:hint="eastAsia" w:ascii="宋体" w:hAnsi="宋体" w:eastAsia="宋体" w:cs="宋体"/>
                <w:bCs/>
                <w:kern w:val="0"/>
                <w:lang w:val="en-US" w:eastAsia="zh-CN"/>
              </w:rPr>
            </w:pPr>
            <w:r>
              <w:rPr>
                <w:rFonts w:hint="eastAsia" w:ascii="宋体" w:hAnsi="宋体" w:eastAsia="宋体" w:cs="宋体"/>
                <w:bCs/>
                <w:kern w:val="0"/>
                <w:lang w:val="en-US" w:eastAsia="zh-CN"/>
              </w:rPr>
              <w:t>病案首页录入</w:t>
            </w:r>
          </w:p>
        </w:tc>
        <w:tc>
          <w:tcPr>
            <w:tcW w:w="833" w:type="dxa"/>
            <w:shd w:val="clear" w:color="auto" w:fill="auto"/>
            <w:vAlign w:val="center"/>
          </w:tcPr>
          <w:p w14:paraId="5E7C533A">
            <w:pPr>
              <w:pStyle w:val="11"/>
              <w:jc w:val="center"/>
              <w:rPr>
                <w:rFonts w:hint="default" w:ascii="宋体" w:hAnsi="宋体" w:eastAsia="宋体" w:cs="宋体"/>
                <w:bCs/>
                <w:kern w:val="0"/>
                <w:lang w:val="en-US" w:eastAsia="zh-CN"/>
              </w:rPr>
            </w:pPr>
            <w:r>
              <w:rPr>
                <w:rFonts w:hint="eastAsia" w:ascii="宋体" w:hAnsi="宋体" w:eastAsia="宋体" w:cs="宋体"/>
                <w:bCs/>
                <w:kern w:val="0"/>
                <w:lang w:val="en-US" w:eastAsia="zh-CN"/>
              </w:rPr>
              <w:t>2.5</w:t>
            </w:r>
          </w:p>
        </w:tc>
        <w:tc>
          <w:tcPr>
            <w:tcW w:w="1202" w:type="dxa"/>
            <w:shd w:val="clear" w:color="auto" w:fill="auto"/>
            <w:vAlign w:val="center"/>
          </w:tcPr>
          <w:p w14:paraId="6E098EA7">
            <w:pPr>
              <w:pStyle w:val="11"/>
              <w:jc w:val="center"/>
              <w:rPr>
                <w:rFonts w:hint="default" w:ascii="宋体" w:hAnsi="宋体" w:eastAsia="宋体" w:cs="宋体"/>
                <w:bCs/>
                <w:kern w:val="0"/>
                <w:lang w:val="en-US" w:eastAsia="zh-CN"/>
              </w:rPr>
            </w:pPr>
            <w:r>
              <w:rPr>
                <w:rFonts w:hint="eastAsia" w:ascii="宋体" w:hAnsi="宋体" w:eastAsia="宋体" w:cs="宋体"/>
                <w:bCs/>
                <w:kern w:val="0"/>
                <w:lang w:val="en-US" w:eastAsia="zh-CN"/>
              </w:rPr>
              <w:t>24000份</w:t>
            </w:r>
          </w:p>
        </w:tc>
        <w:tc>
          <w:tcPr>
            <w:tcW w:w="2058" w:type="dxa"/>
            <w:shd w:val="clear" w:color="auto" w:fill="auto"/>
            <w:vAlign w:val="center"/>
          </w:tcPr>
          <w:p w14:paraId="241C0572">
            <w:pPr>
              <w:pStyle w:val="11"/>
              <w:jc w:val="both"/>
              <w:rPr>
                <w:rFonts w:hint="eastAsia" w:ascii="宋体" w:hAnsi="宋体" w:eastAsia="宋体" w:cs="宋体"/>
                <w:bCs/>
                <w:kern w:val="0"/>
                <w:lang w:val="en-US" w:eastAsia="zh-CN"/>
              </w:rPr>
            </w:pPr>
            <w:r>
              <w:rPr>
                <w:rFonts w:hint="eastAsia" w:hAnsi="宋体" w:cs="宋体"/>
                <w:bCs/>
                <w:kern w:val="0"/>
                <w:lang w:val="en-US" w:eastAsia="zh-CN"/>
              </w:rPr>
              <w:t>1.</w:t>
            </w:r>
            <w:r>
              <w:rPr>
                <w:rFonts w:hint="eastAsia" w:ascii="宋体" w:hAnsi="宋体" w:eastAsia="宋体" w:cs="宋体"/>
                <w:bCs/>
                <w:kern w:val="0"/>
              </w:rPr>
              <w:t>病案首页录入服务</w:t>
            </w:r>
            <w:r>
              <w:rPr>
                <w:rFonts w:hint="eastAsia" w:ascii="宋体" w:hAnsi="宋体" w:eastAsia="宋体" w:cs="宋体"/>
                <w:bCs/>
                <w:kern w:val="0"/>
                <w:lang w:val="en-US" w:eastAsia="zh-CN"/>
              </w:rPr>
              <w:t>数量每月</w:t>
            </w:r>
            <w:r>
              <w:rPr>
                <w:rFonts w:hint="eastAsia" w:ascii="宋体" w:hAnsi="宋体" w:eastAsia="宋体" w:cs="宋体"/>
                <w:bCs/>
                <w:kern w:val="0"/>
              </w:rPr>
              <w:t>1500 份</w:t>
            </w:r>
            <w:r>
              <w:rPr>
                <w:rFonts w:hint="eastAsia" w:ascii="宋体" w:hAnsi="宋体" w:eastAsia="宋体" w:cs="宋体"/>
                <w:bCs/>
                <w:kern w:val="0"/>
                <w:lang w:val="en-US" w:eastAsia="zh-CN"/>
              </w:rPr>
              <w:t>以</w:t>
            </w:r>
            <w:r>
              <w:rPr>
                <w:rFonts w:hint="eastAsia" w:ascii="宋体" w:hAnsi="宋体" w:eastAsia="宋体" w:cs="宋体"/>
                <w:bCs/>
                <w:kern w:val="0"/>
              </w:rPr>
              <w:t>内</w:t>
            </w:r>
            <w:r>
              <w:rPr>
                <w:rFonts w:hint="eastAsia" w:ascii="宋体" w:hAnsi="宋体" w:eastAsia="宋体" w:cs="宋体"/>
                <w:bCs/>
                <w:kern w:val="0"/>
                <w:lang w:eastAsia="zh-CN"/>
              </w:rPr>
              <w:t>（</w:t>
            </w:r>
            <w:r>
              <w:rPr>
                <w:rFonts w:hint="eastAsia" w:ascii="宋体" w:hAnsi="宋体" w:eastAsia="宋体" w:cs="宋体"/>
                <w:bCs/>
                <w:kern w:val="0"/>
                <w:lang w:val="en-US" w:eastAsia="zh-CN"/>
              </w:rPr>
              <w:t>含1500份），保底4130元/月。</w:t>
            </w:r>
          </w:p>
          <w:p w14:paraId="69B1C53E">
            <w:pPr>
              <w:pStyle w:val="11"/>
              <w:jc w:val="both"/>
              <w:rPr>
                <w:rFonts w:hint="eastAsia" w:ascii="宋体" w:hAnsi="宋体" w:eastAsia="宋体" w:cs="宋体"/>
                <w:bCs/>
                <w:kern w:val="0"/>
                <w:lang w:val="en-US" w:eastAsia="zh-CN"/>
              </w:rPr>
            </w:pPr>
            <w:r>
              <w:rPr>
                <w:rFonts w:hint="eastAsia" w:hAnsi="宋体" w:cs="宋体"/>
                <w:bCs/>
                <w:kern w:val="0"/>
                <w:lang w:val="en-US" w:eastAsia="zh-CN"/>
              </w:rPr>
              <w:t>2.</w:t>
            </w:r>
            <w:r>
              <w:rPr>
                <w:rFonts w:hint="eastAsia" w:ascii="宋体" w:hAnsi="宋体" w:eastAsia="宋体" w:cs="宋体"/>
                <w:bCs/>
                <w:kern w:val="0"/>
                <w:lang w:val="en-US" w:eastAsia="zh-CN"/>
              </w:rPr>
              <w:t>每月</w:t>
            </w:r>
            <w:r>
              <w:rPr>
                <w:rFonts w:hint="eastAsia" w:ascii="宋体" w:hAnsi="宋体" w:eastAsia="宋体" w:cs="宋体"/>
                <w:bCs/>
                <w:kern w:val="0"/>
              </w:rPr>
              <w:t>超过 1500 份</w:t>
            </w:r>
            <w:r>
              <w:rPr>
                <w:rFonts w:hint="eastAsia" w:ascii="宋体" w:hAnsi="宋体" w:eastAsia="宋体" w:cs="宋体"/>
                <w:bCs/>
                <w:kern w:val="0"/>
                <w:lang w:eastAsia="zh-CN"/>
              </w:rPr>
              <w:t>（</w:t>
            </w:r>
            <w:r>
              <w:rPr>
                <w:rFonts w:hint="eastAsia" w:ascii="宋体" w:hAnsi="宋体" w:eastAsia="宋体" w:cs="宋体"/>
                <w:bCs/>
                <w:kern w:val="0"/>
                <w:lang w:val="en-US" w:eastAsia="zh-CN"/>
              </w:rPr>
              <w:t>不含</w:t>
            </w:r>
            <w:r>
              <w:rPr>
                <w:rFonts w:hint="eastAsia" w:ascii="宋体" w:hAnsi="宋体" w:eastAsia="宋体" w:cs="宋体"/>
                <w:bCs/>
                <w:kern w:val="0"/>
                <w:lang w:eastAsia="zh-CN"/>
              </w:rPr>
              <w:t>），</w:t>
            </w:r>
            <w:r>
              <w:rPr>
                <w:rFonts w:hint="eastAsia" w:ascii="宋体" w:hAnsi="宋体" w:eastAsia="宋体" w:cs="宋体"/>
                <w:bCs/>
                <w:kern w:val="0"/>
                <w:lang w:val="en-US" w:eastAsia="zh-CN"/>
              </w:rPr>
              <w:t>实际结算按发生数量为准。3.月度结算金额=4130元+（实际数量-1500份）*中标单价。</w:t>
            </w:r>
          </w:p>
          <w:p w14:paraId="1C2F0022">
            <w:pPr>
              <w:pStyle w:val="11"/>
              <w:jc w:val="center"/>
              <w:rPr>
                <w:rFonts w:hint="eastAsia" w:ascii="宋体" w:hAnsi="宋体" w:eastAsia="宋体" w:cs="宋体"/>
                <w:bCs/>
                <w:kern w:val="0"/>
              </w:rPr>
            </w:pPr>
          </w:p>
        </w:tc>
      </w:tr>
      <w:tr w14:paraId="7749B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8518" w:type="dxa"/>
            <w:gridSpan w:val="6"/>
            <w:vAlign w:val="center"/>
          </w:tcPr>
          <w:p w14:paraId="24A3790D">
            <w:pPr>
              <w:pStyle w:val="11"/>
              <w:jc w:val="center"/>
              <w:rPr>
                <w:rFonts w:hint="eastAsia" w:hAnsi="宋体"/>
                <w:bCs/>
                <w:kern w:val="0"/>
              </w:rPr>
            </w:pPr>
            <w:r>
              <w:rPr>
                <w:rFonts w:hint="eastAsia" w:hAnsi="宋体"/>
                <w:b/>
                <w:kern w:val="0"/>
                <w:lang w:val="en-US" w:eastAsia="zh-CN"/>
              </w:rPr>
              <w:t>年度</w:t>
            </w:r>
            <w:r>
              <w:rPr>
                <w:rFonts w:hint="eastAsia" w:hAnsi="宋体"/>
                <w:b/>
                <w:kern w:val="0"/>
              </w:rPr>
              <w:t>预算总限额</w:t>
            </w:r>
            <w:r>
              <w:rPr>
                <w:rFonts w:hint="eastAsia" w:hAnsi="宋体"/>
                <w:b/>
                <w:kern w:val="0"/>
                <w:lang w:val="en-US" w:eastAsia="zh-CN"/>
              </w:rPr>
              <w:t>:</w:t>
            </w:r>
            <w:r>
              <w:rPr>
                <w:rFonts w:hint="eastAsia" w:ascii="宋体" w:hAnsi="宋体"/>
                <w:color w:val="auto"/>
                <w:sz w:val="24"/>
                <w:szCs w:val="24"/>
                <w:highlight w:val="none"/>
                <w:lang w:val="en-US" w:eastAsia="zh-CN"/>
              </w:rPr>
              <w:t>303</w:t>
            </w:r>
            <w:r>
              <w:rPr>
                <w:rFonts w:hint="eastAsia" w:hAnsi="宋体"/>
                <w:color w:val="auto"/>
                <w:sz w:val="24"/>
                <w:szCs w:val="24"/>
                <w:highlight w:val="none"/>
                <w:lang w:val="en-US" w:eastAsia="zh-CN"/>
              </w:rPr>
              <w:t>22</w:t>
            </w:r>
            <w:r>
              <w:rPr>
                <w:rFonts w:hint="eastAsia" w:ascii="宋体" w:hAnsi="宋体"/>
                <w:color w:val="auto"/>
                <w:sz w:val="24"/>
                <w:szCs w:val="24"/>
                <w:highlight w:val="none"/>
                <w:lang w:val="en-US" w:eastAsia="zh-CN"/>
              </w:rPr>
              <w:t>0</w:t>
            </w:r>
            <w:r>
              <w:rPr>
                <w:rFonts w:hint="eastAsia" w:hAnsi="宋体"/>
                <w:b/>
                <w:kern w:val="0"/>
              </w:rPr>
              <w:t>元</w:t>
            </w:r>
          </w:p>
        </w:tc>
      </w:tr>
    </w:tbl>
    <w:p w14:paraId="4EAC1DD5">
      <w:pPr>
        <w:pStyle w:val="2"/>
        <w:pageBreakBefore w:val="0"/>
        <w:kinsoku/>
        <w:wordWrap/>
        <w:overflowPunct/>
        <w:topLinePunct w:val="0"/>
        <w:autoSpaceDE/>
        <w:autoSpaceDN/>
        <w:bidi w:val="0"/>
        <w:spacing w:before="120" w:beforeAutospacing="0" w:after="0" w:afterAutospacing="0"/>
        <w:ind w:firstLine="0" w:firstLineChars="0"/>
        <w:textAlignment w:val="auto"/>
        <w:rPr>
          <w:rFonts w:hint="default" w:eastAsia="宋体" w:cs="宋体"/>
          <w:sz w:val="21"/>
          <w:szCs w:val="21"/>
          <w:lang w:val="en-US" w:eastAsia="zh-CN"/>
        </w:rPr>
      </w:pPr>
      <w:r>
        <w:rPr>
          <w:rFonts w:hint="eastAsia" w:cs="宋体"/>
          <w:color w:val="FF0000"/>
          <w:sz w:val="21"/>
          <w:szCs w:val="21"/>
          <w:lang w:val="en-US" w:eastAsia="zh-CN"/>
        </w:rPr>
        <w:t>注：</w:t>
      </w:r>
      <w:r>
        <w:rPr>
          <w:rFonts w:hint="eastAsia" w:ascii="宋体" w:hAnsi="宋体" w:cs="宋体"/>
          <w:color w:val="FF0000"/>
          <w:sz w:val="21"/>
          <w:szCs w:val="21"/>
          <w:lang w:val="en-US" w:eastAsia="zh-CN"/>
        </w:rPr>
        <w:t>报价超预算金额，本项目废标。</w:t>
      </w:r>
      <w:r>
        <w:rPr>
          <w:rFonts w:hint="eastAsia" w:ascii="宋体" w:hAnsi="宋体" w:cs="宋体"/>
          <w:color w:val="FF0000"/>
          <w:sz w:val="21"/>
          <w:szCs w:val="21"/>
          <w:lang w:val="en-US" w:eastAsia="zh-CN"/>
        </w:rPr>
        <w:br w:type="textWrapping"/>
      </w:r>
      <w:r>
        <w:rPr>
          <w:rFonts w:hint="eastAsia" w:eastAsia="宋体" w:cs="宋体"/>
          <w:sz w:val="21"/>
          <w:szCs w:val="21"/>
          <w:lang w:val="en-US" w:eastAsia="zh-CN"/>
        </w:rPr>
        <w:t>三、服务要求</w:t>
      </w:r>
    </w:p>
    <w:p w14:paraId="47277E01">
      <w:pPr>
        <w:keepNext/>
        <w:keepLines/>
        <w:adjustRightInd w:val="0"/>
        <w:snapToGrid w:val="0"/>
        <w:spacing w:line="360" w:lineRule="auto"/>
        <w:ind w:firstLine="422" w:firstLineChars="200"/>
        <w:outlineLvl w:val="2"/>
        <w:rPr>
          <w:rFonts w:hint="eastAsia" w:ascii="宋体" w:hAnsi="宋体" w:eastAsia="宋体" w:cs="宋体"/>
          <w:b/>
          <w14:ligatures w14:val="standardContextual"/>
        </w:rPr>
      </w:pPr>
      <w:bookmarkStart w:id="4" w:name="_Toc194075438"/>
      <w:r>
        <w:rPr>
          <w:rFonts w:hint="eastAsia" w:ascii="宋体" w:hAnsi="宋体" w:eastAsia="宋体" w:cs="宋体"/>
          <w:b/>
          <w14:ligatures w14:val="standardContextual"/>
        </w:rPr>
        <w:t>1</w:t>
      </w:r>
      <w:r>
        <w:rPr>
          <w:rFonts w:hint="eastAsia" w:ascii="宋体" w:hAnsi="宋体" w:eastAsia="宋体" w:cs="宋体"/>
          <w:b/>
          <w:lang w:eastAsia="zh-CN"/>
          <w14:ligatures w14:val="standardContextual"/>
        </w:rPr>
        <w:t>.</w:t>
      </w:r>
      <w:r>
        <w:rPr>
          <w:rFonts w:hint="eastAsia" w:ascii="宋体" w:hAnsi="宋体" w:eastAsia="宋体" w:cs="宋体"/>
          <w:b/>
          <w14:ligatures w14:val="standardContextual"/>
        </w:rPr>
        <w:t>住院病案数字化扫描及管理系统</w:t>
      </w:r>
      <w:bookmarkEnd w:id="4"/>
    </w:p>
    <w:p w14:paraId="63B3C103">
      <w:pPr>
        <w:keepNext/>
        <w:keepLines/>
        <w:adjustRightInd w:val="0"/>
        <w:snapToGrid w:val="0"/>
        <w:spacing w:line="360" w:lineRule="auto"/>
        <w:ind w:firstLine="422" w:firstLineChars="200"/>
        <w:outlineLvl w:val="3"/>
        <w:rPr>
          <w:rFonts w:hint="eastAsia" w:ascii="宋体" w:hAnsi="宋体" w:eastAsia="宋体" w:cs="宋体"/>
          <w:b/>
          <w14:ligatures w14:val="standardContextual"/>
        </w:rPr>
      </w:pPr>
      <w:bookmarkStart w:id="5" w:name="_Toc194075439"/>
      <w:bookmarkStart w:id="6" w:name="_Toc193373979"/>
      <w:r>
        <w:rPr>
          <w:rFonts w:hint="eastAsia" w:ascii="宋体" w:hAnsi="宋体" w:eastAsia="宋体" w:cs="宋体"/>
          <w:b/>
          <w14:ligatures w14:val="standardContextual"/>
        </w:rPr>
        <w:t>1.1住院病案数字化扫描</w:t>
      </w:r>
      <w:bookmarkEnd w:id="5"/>
      <w:bookmarkEnd w:id="6"/>
    </w:p>
    <w:p w14:paraId="4B84BA53">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为保证病案数字化数据安全，数字化加工软件需通过指纹识别登录，禁止只通过用户名密码登录；要求通过指纹识别配合用户名密码登录数字化加工软件，缺其中任何一项均不能登录系统。</w:t>
      </w:r>
    </w:p>
    <w:p w14:paraId="1AD2644A">
      <w:pPr>
        <w:numPr>
          <w:ilvl w:val="0"/>
          <w:numId w:val="2"/>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为了防止病案数字化过程中出现不同病案之间产生混杂（比如A病案的图像混到B病案图像中去），要求同一份病案数字化的图片成像、索引归类、文件上传、病案打包须按顺序同步完成，禁止图像文件上传完成后才进行索引加工和打包操作。</w:t>
      </w:r>
    </w:p>
    <w:p w14:paraId="5087C317">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14:ligatures w14:val="standardContextual"/>
        </w:rPr>
        <w:t>▲</w:t>
      </w:r>
      <w:r>
        <w:rPr>
          <w:rFonts w:hint="eastAsia" w:ascii="宋体" w:hAnsi="宋体" w:eastAsia="宋体" w:cs="宋体"/>
          <w:bCs/>
          <w14:ligatures w14:val="standardContextual"/>
        </w:rPr>
        <w:t>为了保证病案的完整性，要求病案进行上传时软件系统能够判定病案的完整性，对于缺少必要病案内容能够做出提示并阻止其上传。例如扫描完成后病案缺少出院记录，医嘱单（病案不可或缺的索引分类由医院指定）等，则上传时进行提示缺少的具体必要项，并阻止上传。</w:t>
      </w:r>
    </w:p>
    <w:p w14:paraId="2CDA977D">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14:ligatures w14:val="standardContextual"/>
        </w:rPr>
        <w:t>▲</w:t>
      </w:r>
      <w:r>
        <w:rPr>
          <w:rFonts w:hint="eastAsia" w:ascii="宋体" w:hAnsi="宋体" w:eastAsia="宋体" w:cs="宋体"/>
          <w:bCs/>
          <w14:ligatures w14:val="standardContextual"/>
        </w:rPr>
        <w:t>病案数字化加工要求使用持有完全著作权的病案数字化加工客户端软件，严禁使用网络上下载非自有版权的数字化软件。数字化加工软件要求驱动高分辨率的高拍仪翻拍方式实现，保证每一页，图片及文字清晰可见，提供彩色数字化图片。单张病案图像技术要求：①图像格式要求为JPEG、PNG、TIFF格式；②图像的分辨率不少于2000*3000像素；③水平分辨率和垂直分辨率（DPI）500或以上；④彩色图片可转化为无背景的黑白图片，要求转化后不影响数字化病案的阅读及利用；⑤在图像属性中的详细信息中查看图片的分辨率、水平分辨率和垂直分辨率（DPI）；⑥彩色/黑白图像互相转换在系统中实现。</w:t>
      </w:r>
    </w:p>
    <w:p w14:paraId="0DAB4810">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病案数字化文件的生成及上传至病案管理系统完全通过系统功能实现。拒绝通过手工整理数字化文件以及手工上传至病案管理系统，拒绝人工手动给数字化病案文件命名。</w:t>
      </w:r>
    </w:p>
    <w:p w14:paraId="25C68566">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数字化图像文件上传方式采用FTP方式进行， 拒绝通过不安全的文件共享式进行上传。</w:t>
      </w:r>
    </w:p>
    <w:p w14:paraId="2BD5DE5D">
      <w:pPr>
        <w:numPr>
          <w:ilvl w:val="0"/>
          <w:numId w:val="2"/>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病案应进行分页存储，严禁无视病案的厚度而将一整份病案储存为一份PDF文件而造成调阅困难。</w:t>
      </w:r>
    </w:p>
    <w:p w14:paraId="76CFEB21">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能通过病案数字化加工客户端软件快速进行纸质病案的数字化，支持对数字化后的病案进行自动排序；支持对病案添加自定义标签，记录纸质病案所在的纸箱号，支持病案文件批量上传。</w:t>
      </w:r>
    </w:p>
    <w:p w14:paraId="77107FE3">
      <w:pPr>
        <w:numPr>
          <w:ilvl w:val="0"/>
          <w:numId w:val="2"/>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▲每份病案的每张数字化图像文件的哈希值均要求存放于数据库保存，上传时通过哈希值判断图片是否一样，避免重复提交相同图片到服务器中，图片版本变更其对应的哈希值要随之更新。</w:t>
      </w:r>
    </w:p>
    <w:p w14:paraId="3A4CDBFC">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病案数字化客户端需和广东省病案管理系统集成，生成数字化病案时，通过广东省病案管理系统自动获取患者的基本相关信息，无须人工再次输入病案的相关信息，如病案、出院时间、患者姓名等相关信息。</w:t>
      </w:r>
    </w:p>
    <w:p w14:paraId="749D524E">
      <w:pPr>
        <w:numPr>
          <w:ilvl w:val="0"/>
          <w:numId w:val="2"/>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客户端支持病案补录功能，发现病案数字化后有缺页等情况，支持病案补录，生成新的病案版本进行保存。可提供痕迹查询功能，包括查询老版本病案。</w:t>
      </w:r>
    </w:p>
    <w:p w14:paraId="724F7968">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14:ligatures w14:val="standardContextual"/>
        </w:rPr>
        <w:t>▲</w:t>
      </w:r>
      <w:r>
        <w:rPr>
          <w:rFonts w:hint="eastAsia" w:ascii="宋体" w:hAnsi="宋体" w:eastAsia="宋体" w:cs="宋体"/>
          <w:bCs/>
          <w14:ligatures w14:val="standardContextual"/>
        </w:rPr>
        <w:t>为每份病案的所有页都建立索引，索引数量≥80个，包括病案首页、入院记录、出院记录、病程记录、知情同意书、手术记录、检验单、医嘱单、体温单、化验单、B超报告、X光报告、CT报告、护理记录、病理报告等（具体索引字典和甲方协商决定），可检索并调阅病案中的具体模块，调用单个模块时禁止将整份病案调用出来，防止加重服务器负担造成服务器宕机。</w:t>
      </w:r>
    </w:p>
    <w:p w14:paraId="68805AD8">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▲病案去重判断：当病案数字化后上传时，系统需进行判断，是否属于重复上传（有可能人为操作失误导致重复上传），若重复上传，则系统提示。</w:t>
      </w:r>
    </w:p>
    <w:p w14:paraId="5545A290">
      <w:pPr>
        <w:numPr>
          <w:ilvl w:val="0"/>
          <w:numId w:val="2"/>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具有多重加密功能：用户登录密码加密、数据库连接加密、文件上传链接加密、敏感内容拒绝明文传送、杜绝数据开放，保证数据安全。</w:t>
      </w:r>
    </w:p>
    <w:p w14:paraId="6CB1FC45">
      <w:pPr>
        <w:keepNext/>
        <w:keepLines/>
        <w:adjustRightInd w:val="0"/>
        <w:snapToGrid w:val="0"/>
        <w:spacing w:line="360" w:lineRule="auto"/>
        <w:ind w:firstLine="422" w:firstLineChars="200"/>
        <w:outlineLvl w:val="3"/>
        <w:rPr>
          <w:rFonts w:hint="eastAsia" w:ascii="宋体" w:hAnsi="宋体" w:eastAsia="宋体" w:cs="宋体"/>
          <w:b/>
          <w14:ligatures w14:val="standardContextual"/>
        </w:rPr>
      </w:pPr>
      <w:bookmarkStart w:id="7" w:name="_Toc193373980"/>
      <w:bookmarkStart w:id="8" w:name="_Toc194075440"/>
      <w:r>
        <w:rPr>
          <w:rFonts w:hint="eastAsia" w:ascii="宋体" w:hAnsi="宋体" w:eastAsia="宋体" w:cs="宋体"/>
          <w:b/>
          <w14:ligatures w14:val="standardContextual"/>
        </w:rPr>
        <w:t>1.2病案数字化管理系统</w:t>
      </w:r>
      <w:bookmarkEnd w:id="7"/>
      <w:bookmarkEnd w:id="8"/>
    </w:p>
    <w:p w14:paraId="6ADB2EC4">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系统内部必须有口令复杂度判断机制，系统内任何使用口令地方不得存在弱口令（最低密码复杂度要求：大小写字母+数字达到8位或以上）。</w:t>
      </w:r>
    </w:p>
    <w:p w14:paraId="26A35E85">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系统前后台必须端口分离（前端和后台分离，普通用户登陆页面和管理员登陆页面端口分离）。</w:t>
      </w:r>
    </w:p>
    <w:p w14:paraId="28CF7BD3">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系统具备防爆破机制，登陆页面必须增加验证码功能，同一用户登陆失败3-5次，锁定10-30分钟。</w:t>
      </w:r>
    </w:p>
    <w:p w14:paraId="3787AD32">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应用系统自启动，应用系统随着操作系统的重启而自动运行。</w:t>
      </w:r>
    </w:p>
    <w:p w14:paraId="66CF3EF0">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病案检索：根据病案基本内容进行快速检索，如患者姓名、病案号、出入院日期、出院科室等。</w:t>
      </w:r>
    </w:p>
    <w:p w14:paraId="2ABA7A62">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成组查询：可一次录入或导入多个住院号进行查询。</w:t>
      </w:r>
    </w:p>
    <w:p w14:paraId="53BBD3BD">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对使用病案数字化管理软件的人员进行角色和权限的分配管理，具有阅读权限的授权用户可以申请阅读，通过审核后可以阅读其具有阅读权限的数字化病案内容。用户的阅读权限由具有管理权限的用户自定义。</w:t>
      </w:r>
    </w:p>
    <w:p w14:paraId="09F47C2A">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具有阅读时限控制功能，查阅者只能在规定的时限内查看资料，超期由系统自动取消查看权限，如果借阅者想延长阅读期限，相关管理人员可以进行延长期限操作，同时相关管理人员也可提前收回借阅人的阅读权限。</w:t>
      </w:r>
    </w:p>
    <w:p w14:paraId="00A6659D">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借阅人通过系统申请借阅数字化电子档病案时，可对借阅人所借病案进行内容限制，比如只批准其阅读病案首页，那么借阅人就只能阅读所借病案的首页。</w:t>
      </w:r>
    </w:p>
    <w:p w14:paraId="0C2BBDCB">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拥有相关权限人员可看到该份病案被复印信息，包括复印次数、复印人、经办人、复印内容（如出院记录、手术记录被复印），复印份数，复印用途等，以体现该份病案不可修改状态。</w:t>
      </w:r>
    </w:p>
    <w:p w14:paraId="34834177">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阅读时禁止拷贝屏幕、禁止鼠标右键功能使用，阅读时病案文件上显示阅读者工号、姓名的水印。</w:t>
      </w:r>
    </w:p>
    <w:p w14:paraId="63E9204A">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拥有相关权限人员在线阅读病案的时候可以以图片的方式阅读病案，也可以通过PDF阅览的方式阅读病案；如需调用或者查看病案的某一页或少数页只须调用该页或少数页，禁止调用一页或少数页而将整份数字化病案调出从而导致网络和服务器负载加重。</w:t>
      </w:r>
    </w:p>
    <w:p w14:paraId="419CAD91">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在线阅读数字化病案的图片响应时间应在1秒以内。</w:t>
      </w:r>
    </w:p>
    <w:p w14:paraId="12CB53B6">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拥有相关权限的人员可批量导出病案，病案内容可动态选择，如需要导出十份病案的医嘱单即可导出十份病案的医嘱单，可选择是否添水印，加水印内容、水印大小等可动态选择。</w:t>
      </w:r>
    </w:p>
    <w:p w14:paraId="4EAB8F95">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病案多版本管理：若病案存在补单录入情况，系统将自动生成新的版本，原版本另设存储，可提供痕迹查询功能，包括查看老版本病案图片。</w:t>
      </w:r>
    </w:p>
    <w:p w14:paraId="25CF5A97">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打（复）印：首先对进行病案打（复）印人员的信息采集，包括申请人类型、与患者关系、复印用途等，通过高拍仪设备拍摄识别申请人的身份证或其他合法证件，生成并打印出打（复）印登记表让申请人和复印经手人签字留档，打（复）印登记表内容包括打（复）印内容(如医嘱单，X光)、页数、申请人身份信息、代理人信息等。</w:t>
      </w:r>
    </w:p>
    <w:p w14:paraId="55DA9E51">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数字化病案打（复）印：对已经数字化的病案进行打印时，提供通过勾选索引进行打印的功能，如勾选了医嘱单、手术记录即只打印医嘱单和手术记录，而不需要通过调用查看整份病案来人工选择进行打印，系统自动记录打印的详细记录；能对数字化病案打（复）印内容进行统计分析，生成报表文件，同时可进行打印套餐选择，打印套餐可进行维护。</w:t>
      </w:r>
    </w:p>
    <w:p w14:paraId="13DCBF50">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可以不勾选打印内容选择打印套餐直接进行病案打印；管理人员可自行维护打印套餐内容。</w:t>
      </w:r>
    </w:p>
    <w:p w14:paraId="34E706CB">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已经复印过的病案可以在被复印的页面显示详细标记，哪一页病案被复印过在病案页面用水印标记，没有复印过的页面不需要水印标记。（比如一份病案的病案首页被复印过，则通过系统阅读该份病案的病案首页时病案首页图像显示“已被复印”的水印，没被复印过页面的则不显示水印）</w:t>
      </w:r>
    </w:p>
    <w:p w14:paraId="71EA3EB7">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借阅登记：对未进行纸质病案数字化的病案进行借阅归还登记。判断病案是否处于可借状态（已被借阅未归还等），如果病案处于可借阅状态则可借，操作完成后打印出借阅登记表让借阅人员和经手人员签字留档，且能对纸质病案借阅登记数据进行统计分析。</w:t>
      </w:r>
    </w:p>
    <w:p w14:paraId="25641FC2">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病案冻结操作：将病案进行冻结操作后，除指定的管理人员可解冻病案外，任何人均无权限查询病案的任何信息。</w:t>
      </w:r>
    </w:p>
    <w:p w14:paraId="6E6BAFA9">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回收：通过系统对病案进行回收操作，回收数据包括待回收病案详情，已回收病案详情，2个工作日归档率、3个工作日归档率。2个工作日归档详情，3个工作日归档详情，以及超过3个工作日归档详情等统计分析等数据，节假日可通过系统进行维护。</w:t>
      </w:r>
    </w:p>
    <w:p w14:paraId="2B8C8DF4">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示踪：通过对病案的实时追踪，可随时掌握病案的动向，包括病案待回收状态、已回收状态、病案质控状态、ICD编码状态、首页录入状态、上架状态、数字化状态、病案打包装箱等状态。通过住院号、姓名、科室、出院日期等条件可定位某份待处理的病案当前处于某个状态，具体示踪人员手中持有的病案数据，对各个流程结点的示踪数据进行比对平衡，实现实时监控病案的踪迹。</w:t>
      </w:r>
    </w:p>
    <w:p w14:paraId="4E5B5853">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▲标签管理：可对病案添加标签（同一本病案可具有多种标签），以便对特殊病案进行标记，并在查阅及打（复）印时弹出对应标签的内容提示，标签可自定义。</w:t>
      </w:r>
    </w:p>
    <w:p w14:paraId="3F55F700">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科室自控：生成质控评分报表，质控评分字典依据《广东省住院病案评分标准》或甲方自定义质控字典进行维护。系统计算出病案得分和最终评级。对质控评分结果数据统计分析，得出全院和各科室的病案评分和病案缺陷数据的分布走势等统计信息。</w:t>
      </w:r>
    </w:p>
    <w:p w14:paraId="789928CD">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质控部门通过索引对数字化病案进行质控，每页病案都进行索引分类，通过病案条件和索引的组合实现对数字化病案缺失内容的质控。</w:t>
      </w:r>
    </w:p>
    <w:p w14:paraId="7002D1E6">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纸质病案数字化统计：统计整体病案的数字化进度、每月病案数字化进度、各科室病案数字化进度、加工人员工作进度、加工人员工作效率、加工速度的走势波动等。</w:t>
      </w:r>
    </w:p>
    <w:p w14:paraId="7B728210">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质量抽查：可抽查选中时间段内或者选中科室随机抽查病案，对病案的数字化质量问题进行抽查，并通过系统报告数字化问题，相关数字化加工人员可通过系统接收到相关消息然后修正数字化质量问题。系统对于随机抽查的数字化病案质量可进行抽检率、合格率的计算等。</w:t>
      </w:r>
    </w:p>
    <w:p w14:paraId="52F7F0FA">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日志管理：对所有有权限的用户，查询、借阅、打(复)印等用户行为，系统自动记录查询时间、用户名，查询计算机IP和名称、查询病案信息等，对海量的用户操作信息进行统计分析，及时发现系统的潜在风险。可自动生成每日、每周、每月安全报表。</w:t>
      </w:r>
    </w:p>
    <w:p w14:paraId="6657C69A">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病案管理系统要求能够进行一致性回溯分析。对任何操作事件都能通过时间序列进行一致性回溯。</w:t>
      </w:r>
    </w:p>
    <w:p w14:paraId="469AA8C9">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三重加密：用户登录密码加密、数据库连接加密、文件上传链接加密，拒绝明文传送关键信息，拒绝开放式，保证数据安全。</w:t>
      </w:r>
    </w:p>
    <w:p w14:paraId="511C8EBE">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系统要求拥有权限分配系统，通过权限 、功能、角色、用户构成动态权限系统，即角色可以同时拥有多个权限，用户可以同时拥有多个角色。</w:t>
      </w:r>
    </w:p>
    <w:p w14:paraId="4C18AA52">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服务器管理：通过服务器管理功能管理员或相关人员可不登录服务器即可掌握服务器的存储、负载、运行情况，随时掌控服务器状况。</w:t>
      </w:r>
    </w:p>
    <w:p w14:paraId="6ED08315">
      <w:pPr>
        <w:numPr>
          <w:ilvl w:val="0"/>
          <w:numId w:val="3"/>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用户管理：管理数字化客户端用户信息及B/S浏览用户信息，可以对用户信息进行查询/添加/修改/删除操作，可以配合病案设置保密等级权限，可以限定用户查看及申请科室权限。</w:t>
      </w:r>
    </w:p>
    <w:p w14:paraId="61D641A7">
      <w:pPr>
        <w:numPr>
          <w:ilvl w:val="0"/>
          <w:numId w:val="3"/>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14:ligatures w14:val="standardContextual"/>
        </w:rPr>
        <w:t>用户组（角色）管理：对用户进行分组分角色，可对分组（角色）进行查询/添加/</w:t>
      </w:r>
      <w:r>
        <w:rPr>
          <w:rFonts w:hint="eastAsia" w:ascii="宋体" w:hAnsi="宋体" w:eastAsia="宋体" w:cs="宋体"/>
          <w:bCs/>
          <w:color w:val="000000" w:themeColor="text1"/>
          <w14:textFill>
            <w14:solidFill>
              <w14:schemeClr w14:val="tx1"/>
            </w14:solidFill>
          </w14:textFill>
          <w14:ligatures w14:val="standardContextual"/>
        </w:rPr>
        <w:t>修改/删除操作。</w:t>
      </w:r>
    </w:p>
    <w:p w14:paraId="068B4B7C">
      <w:pPr>
        <w:numPr>
          <w:ilvl w:val="0"/>
          <w:numId w:val="3"/>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权限组管理：对用户和用户组（角色）所拥有的系统功能进行设置。</w:t>
      </w:r>
    </w:p>
    <w:p w14:paraId="68A35176">
      <w:pPr>
        <w:numPr>
          <w:ilvl w:val="0"/>
          <w:numId w:val="3"/>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数据库备份：要求数据库每天都能定时备份，系统要求每个月进行备份一次。</w:t>
      </w:r>
    </w:p>
    <w:p w14:paraId="45A5F76C">
      <w:pPr>
        <w:numPr>
          <w:ilvl w:val="0"/>
          <w:numId w:val="3"/>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病案首页录入派一名首页录入人员在医院病案室上班,文化程度须大专及以上,上班时间与医院质控科一致｡</w:t>
      </w:r>
    </w:p>
    <w:p w14:paraId="1593C649">
      <w:pPr>
        <w:numPr>
          <w:ilvl w:val="0"/>
          <w:numId w:val="3"/>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录入人员对病案信息履行保密责任，每月</w:t>
      </w:r>
      <w:r>
        <w:rPr>
          <w:rFonts w:hint="eastAsia" w:ascii="宋体" w:hAnsi="宋体" w:eastAsia="宋体" w:cs="宋体"/>
          <w:bCs/>
          <w:color w:val="000000" w:themeColor="text1"/>
          <w:lang w:val="en-US" w:eastAsia="zh-CN"/>
          <w14:textFill>
            <w14:solidFill>
              <w14:schemeClr w14:val="tx1"/>
            </w14:solidFill>
          </w14:textFill>
          <w14:ligatures w14:val="standardContextual"/>
        </w:rPr>
        <w:t>必须</w:t>
      </w:r>
      <w:r>
        <w:rPr>
          <w:rFonts w:hint="eastAsia" w:ascii="宋体" w:hAnsi="宋体" w:eastAsia="宋体" w:cs="宋体"/>
          <w:bCs/>
          <w:color w:val="000000" w:themeColor="text1"/>
          <w14:textFill>
            <w14:solidFill>
              <w14:schemeClr w14:val="tx1"/>
            </w14:solidFill>
          </w14:textFill>
          <w14:ligatures w14:val="standardContextual"/>
        </w:rPr>
        <w:t>按科室要求准时录入当月出院全部住院病历首页</w:t>
      </w:r>
      <w:r>
        <w:rPr>
          <w:rFonts w:hint="eastAsia" w:ascii="宋体" w:hAnsi="宋体" w:eastAsia="宋体" w:cs="宋体"/>
          <w:bCs/>
          <w:color w:val="000000" w:themeColor="text1"/>
          <w:lang w:val="en-US" w:eastAsia="zh-CN"/>
          <w14:textFill>
            <w14:solidFill>
              <w14:schemeClr w14:val="tx1"/>
            </w14:solidFill>
          </w14:textFill>
          <w14:ligatures w14:val="standardContextual"/>
        </w:rPr>
        <w:t>数据</w:t>
      </w:r>
      <w:r>
        <w:rPr>
          <w:rFonts w:hint="eastAsia" w:ascii="宋体" w:hAnsi="宋体" w:eastAsia="宋体" w:cs="宋体"/>
          <w:bCs/>
          <w:color w:val="000000" w:themeColor="text1"/>
          <w14:textFill>
            <w14:solidFill>
              <w14:schemeClr w14:val="tx1"/>
            </w14:solidFill>
          </w14:textFill>
          <w14:ligatures w14:val="standardContextual"/>
        </w:rPr>
        <w:t>，录入准确率99.5%。</w:t>
      </w:r>
    </w:p>
    <w:p w14:paraId="7607F2B0">
      <w:pPr>
        <w:keepNext/>
        <w:keepLines/>
        <w:numPr>
          <w:ilvl w:val="0"/>
          <w:numId w:val="4"/>
        </w:numPr>
        <w:adjustRightInd w:val="0"/>
        <w:snapToGrid w:val="0"/>
        <w:spacing w:line="360" w:lineRule="auto"/>
        <w:ind w:firstLine="422" w:firstLineChars="200"/>
        <w:outlineLvl w:val="2"/>
        <w:rPr>
          <w:rFonts w:hint="eastAsia" w:ascii="宋体" w:hAnsi="宋体" w:eastAsia="宋体" w:cs="宋体"/>
          <w:b/>
          <w14:ligatures w14:val="standardContextual"/>
        </w:rPr>
      </w:pPr>
      <w:bookmarkStart w:id="9" w:name="_Toc193373981"/>
      <w:bookmarkStart w:id="10" w:name="_Toc194075441"/>
      <w:r>
        <w:rPr>
          <w:rFonts w:hint="eastAsia" w:ascii="宋体" w:hAnsi="宋体" w:eastAsia="宋体" w:cs="宋体"/>
          <w:b/>
          <w14:ligatures w14:val="standardContextual"/>
        </w:rPr>
        <w:t>住院病案异地托管仓储</w:t>
      </w:r>
      <w:bookmarkEnd w:id="9"/>
      <w:bookmarkEnd w:id="10"/>
    </w:p>
    <w:p w14:paraId="2D956FAB">
      <w:pPr>
        <w:keepNext/>
        <w:keepLines/>
        <w:adjustRightInd w:val="0"/>
        <w:snapToGrid w:val="0"/>
        <w:spacing w:line="360" w:lineRule="auto"/>
        <w:ind w:firstLine="422" w:firstLineChars="200"/>
        <w:outlineLvl w:val="3"/>
        <w:rPr>
          <w:rFonts w:hint="eastAsia" w:ascii="宋体" w:hAnsi="宋体" w:eastAsia="宋体" w:cs="宋体"/>
          <w:b/>
          <w14:ligatures w14:val="standardContextual"/>
        </w:rPr>
      </w:pPr>
      <w:bookmarkStart w:id="11" w:name="_Toc194075442"/>
      <w:bookmarkStart w:id="12" w:name="_Toc193373982"/>
      <w:r>
        <w:rPr>
          <w:rFonts w:hint="eastAsia" w:ascii="宋体" w:hAnsi="宋体" w:eastAsia="宋体" w:cs="宋体"/>
          <w:b/>
          <w14:ligatures w14:val="standardContextual"/>
        </w:rPr>
        <w:t>2.1病案打包及病案打包管理系统</w:t>
      </w:r>
      <w:bookmarkEnd w:id="11"/>
      <w:bookmarkEnd w:id="12"/>
    </w:p>
    <w:p w14:paraId="49C3AB06">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将纸质病案按统一数量标准统一封装到定置规格纸箱内，每装入一份病案均要求录入打包系统，每个纸箱内均需要放置防虫包和防潮包，打包完成后进行封装。</w:t>
      </w:r>
    </w:p>
    <w:p w14:paraId="1FAEBDAB">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对已完成打包的箱子由医院检查确定后统一张贴条形识别码和封条，张贴封条的箱子除非医院要求不得拆开。</w:t>
      </w:r>
    </w:p>
    <w:p w14:paraId="13CC5CAB">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纸质病案打包完成装箱的原则是依据住院病历上架号（出院时间）顺序依次装箱，纸箱外粘贴病案住院号清单明细。</w:t>
      </w:r>
    </w:p>
    <w:p w14:paraId="3E49D826">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软件系统为自有并且符合国家或卫生行政管理部门安全标准和规范。</w:t>
      </w:r>
    </w:p>
    <w:p w14:paraId="7E67F6AC">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对于完成了打包装箱工作的病历，可以通过病案号、患者姓名、箱号、箱子所在地址查询到相关打包数据，并导出相关报表。</w:t>
      </w:r>
    </w:p>
    <w:p w14:paraId="53D580C1">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能通过出院年份查询分析出该年度病案装箱的箱子分布，并导出相关报表。</w:t>
      </w:r>
    </w:p>
    <w:p w14:paraId="7A8FC6CD">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可通过病案包装箱条码标识标签实现病案的查询管理功能。</w:t>
      </w:r>
    </w:p>
    <w:p w14:paraId="5EB4D04F">
      <w:pPr>
        <w:numPr>
          <w:ilvl w:val="0"/>
          <w:numId w:val="5"/>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▲可通过系统获取打包统计数据，包括病历分布，箱子分布，漏打包数据统计，打包病案详情数据等，管理人员通过这些数据可以及时查看打包进度及漏打包情况。</w:t>
      </w:r>
    </w:p>
    <w:p w14:paraId="5D957007">
      <w:pPr>
        <w:numPr>
          <w:ilvl w:val="0"/>
          <w:numId w:val="5"/>
        </w:numPr>
        <w:adjustRightInd w:val="0"/>
        <w:snapToGrid w:val="0"/>
        <w:spacing w:line="360" w:lineRule="auto"/>
        <w:ind w:left="0" w:firstLine="420" w:firstLineChars="200"/>
        <w:rPr>
          <w:rFonts w:hint="eastAsia" w:ascii="宋体" w:hAnsi="宋体" w:eastAsia="宋体" w:cs="宋体"/>
          <w14:ligatures w14:val="standardContextual"/>
        </w:rPr>
      </w:pPr>
      <w:r>
        <w:rPr>
          <w:rFonts w:hint="eastAsia" w:ascii="宋体" w:hAnsi="宋体" w:eastAsia="宋体" w:cs="宋体"/>
          <w14:ligatures w14:val="standardContextual"/>
        </w:rPr>
        <w:t>▲打包去重判断：病案打包数据库需由专业人员管理，确保数据库的唯一性、完整性等，即通过系统进行打包作业时系统能够判定是否属于重复打包（有可能人为操作失误导致重复打包），若重复打包，则系统提示。</w:t>
      </w:r>
    </w:p>
    <w:p w14:paraId="6E8600EF">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可使用手持设备进行查询打包数据，通过扫描条形码可获取箱里所有病案打包信息。</w:t>
      </w:r>
    </w:p>
    <w:p w14:paraId="683B47FD">
      <w:pPr>
        <w:numPr>
          <w:ilvl w:val="0"/>
          <w:numId w:val="5"/>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系统可对新老打包数据进行自动匹配比较，得出新老打包数据差异。</w:t>
      </w:r>
    </w:p>
    <w:p w14:paraId="6A1EC03A">
      <w:pPr>
        <w:keepNext/>
        <w:keepLines/>
        <w:adjustRightInd w:val="0"/>
        <w:snapToGrid w:val="0"/>
        <w:spacing w:line="360" w:lineRule="auto"/>
        <w:ind w:firstLine="422" w:firstLineChars="200"/>
        <w:outlineLvl w:val="3"/>
        <w:rPr>
          <w:rFonts w:hint="eastAsia" w:ascii="宋体" w:hAnsi="宋体" w:eastAsia="宋体" w:cs="宋体"/>
          <w:b/>
          <w14:ligatures w14:val="standardContextual"/>
        </w:rPr>
      </w:pPr>
      <w:bookmarkStart w:id="13" w:name="_Toc194075443"/>
      <w:bookmarkStart w:id="14" w:name="_Toc193373983"/>
      <w:r>
        <w:rPr>
          <w:rFonts w:hint="eastAsia" w:ascii="宋体" w:hAnsi="宋体" w:eastAsia="宋体" w:cs="宋体"/>
          <w:b/>
          <w14:ligatures w14:val="standardContextual"/>
        </w:rPr>
        <w:t>2.2托管病案交接</w:t>
      </w:r>
      <w:bookmarkEnd w:id="13"/>
      <w:bookmarkEnd w:id="14"/>
    </w:p>
    <w:p w14:paraId="60EBA173">
      <w:pPr>
        <w:numPr>
          <w:ilvl w:val="0"/>
          <w:numId w:val="6"/>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采购人根据医院病案库房可存储的容量，不定期通知中标人安排车辆转移病案，中标人要及时响应，确定好交接时间等事宜。</w:t>
      </w:r>
    </w:p>
    <w:p w14:paraId="21CAA73C">
      <w:pPr>
        <w:numPr>
          <w:ilvl w:val="0"/>
          <w:numId w:val="6"/>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双方代表清点病案箱号、病案箱所属号段、病案箱数，并在记录单上签字盖章。</w:t>
      </w:r>
    </w:p>
    <w:p w14:paraId="73450986">
      <w:pPr>
        <w:numPr>
          <w:ilvl w:val="0"/>
          <w:numId w:val="6"/>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清点完成后中标人应该给采购人提供纸质病案清单，清单内容包括：住院号、姓名、出院日期、住院次数。</w:t>
      </w:r>
    </w:p>
    <w:p w14:paraId="5FA66BE5">
      <w:pPr>
        <w:numPr>
          <w:ilvl w:val="0"/>
          <w:numId w:val="6"/>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 xml:space="preserve">记录单一式两份，双方各执一份。 </w:t>
      </w:r>
    </w:p>
    <w:p w14:paraId="759C579B">
      <w:pPr>
        <w:keepNext/>
        <w:keepLines/>
        <w:adjustRightInd w:val="0"/>
        <w:snapToGrid w:val="0"/>
        <w:spacing w:line="360" w:lineRule="auto"/>
        <w:ind w:firstLine="422" w:firstLineChars="200"/>
        <w:outlineLvl w:val="3"/>
        <w:rPr>
          <w:rFonts w:hint="eastAsia" w:ascii="宋体" w:hAnsi="宋体" w:eastAsia="宋体" w:cs="宋体"/>
          <w:b/>
          <w14:ligatures w14:val="standardContextual"/>
        </w:rPr>
      </w:pPr>
      <w:bookmarkStart w:id="15" w:name="_Toc193373984"/>
      <w:bookmarkStart w:id="16" w:name="_Toc194075444"/>
      <w:r>
        <w:rPr>
          <w:rFonts w:hint="eastAsia" w:ascii="宋体" w:hAnsi="宋体" w:eastAsia="宋体" w:cs="宋体"/>
          <w:b/>
          <w14:ligatures w14:val="standardContextual"/>
        </w:rPr>
        <w:t>2.3中标人病案仓库要求</w:t>
      </w:r>
      <w:bookmarkEnd w:id="15"/>
      <w:bookmarkEnd w:id="16"/>
    </w:p>
    <w:p w14:paraId="38BADC0B">
      <w:pPr>
        <w:numPr>
          <w:ilvl w:val="0"/>
          <w:numId w:val="7"/>
        </w:numPr>
        <w:adjustRightInd w:val="0"/>
        <w:snapToGrid w:val="0"/>
        <w:spacing w:line="360" w:lineRule="auto"/>
        <w:ind w:left="0" w:firstLine="420" w:firstLineChars="200"/>
        <w:rPr>
          <w:rFonts w:hint="eastAsia" w:ascii="宋体" w:hAnsi="宋体" w:eastAsia="宋体" w:cs="宋体"/>
          <w:color w:val="000000" w:themeColor="text1"/>
          <w:highlight w:val="none"/>
          <w14:textFill>
            <w14:solidFill>
              <w14:schemeClr w14:val="tx1"/>
            </w14:solidFill>
          </w14:textFill>
          <w14:ligatures w14:val="standardContextual"/>
        </w:rPr>
      </w:pPr>
      <w:r>
        <w:rPr>
          <w:rFonts w:hint="eastAsia" w:ascii="宋体" w:hAnsi="宋体" w:eastAsia="宋体" w:cs="宋体"/>
          <w14:ligatures w14:val="standardContextual"/>
        </w:rPr>
        <w:t>▲地点要求：</w:t>
      </w:r>
      <w:r>
        <w:rPr>
          <w:rFonts w:hint="eastAsia" w:ascii="宋体" w:hAnsi="宋体" w:eastAsia="宋体" w:cs="宋体"/>
          <w:color w:val="000000" w:themeColor="text1"/>
          <w:highlight w:val="none"/>
          <w14:textFill>
            <w14:solidFill>
              <w14:schemeClr w14:val="tx1"/>
            </w14:solidFill>
          </w14:textFill>
          <w14:ligatures w14:val="standardContextual"/>
        </w:rPr>
        <w:t>病案托管地点要求在成规模管理严格的工业园内</w:t>
      </w:r>
      <w:r>
        <w:rPr>
          <w:rFonts w:hint="eastAsia" w:ascii="宋体" w:hAnsi="宋体" w:eastAsia="宋体" w:cs="宋体"/>
          <w:color w:val="000000" w:themeColor="text1"/>
          <w:highlight w:val="none"/>
          <w:lang w:eastAsia="zh-CN"/>
          <w14:textFill>
            <w14:solidFill>
              <w14:schemeClr w14:val="tx1"/>
            </w14:solidFill>
          </w14:textFill>
          <w14:ligatures w14:val="standardContextual"/>
        </w:rPr>
        <w:t>，</w:t>
      </w:r>
      <w:r>
        <w:rPr>
          <w:rFonts w:hint="eastAsia" w:ascii="宋体" w:hAnsi="宋体" w:eastAsia="宋体" w:cs="宋体"/>
          <w:color w:val="000000" w:themeColor="text1"/>
          <w:sz w:val="21"/>
          <w:szCs w:val="21"/>
          <w:highlight w:val="none"/>
          <w14:textFill>
            <w14:solidFill>
              <w14:schemeClr w14:val="tx1"/>
            </w14:solidFill>
          </w14:textFill>
        </w:rPr>
        <w:t>如果采购人需要病案原件，中标供应商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能在24小时内响应</w:t>
      </w:r>
      <w:r>
        <w:rPr>
          <w:rFonts w:hint="eastAsia" w:ascii="宋体" w:hAnsi="宋体" w:eastAsia="宋体" w:cs="宋体"/>
          <w:color w:val="000000" w:themeColor="text1"/>
          <w:sz w:val="21"/>
          <w:szCs w:val="21"/>
          <w:highlight w:val="none"/>
          <w14:textFill>
            <w14:solidFill>
              <w14:schemeClr w14:val="tx1"/>
            </w14:solidFill>
          </w14:textFill>
        </w:rPr>
        <w:t>送达</w:t>
      </w:r>
      <w:r>
        <w:rPr>
          <w:rFonts w:hint="eastAsia" w:ascii="宋体" w:hAnsi="宋体" w:eastAsia="宋体" w:cs="宋体"/>
          <w:color w:val="000000" w:themeColor="text1"/>
          <w:highlight w:val="none"/>
          <w14:textFill>
            <w14:solidFill>
              <w14:schemeClr w14:val="tx1"/>
            </w14:solidFill>
          </w14:textFill>
          <w14:ligatures w14:val="standardContextual"/>
        </w:rPr>
        <w:t>。</w:t>
      </w:r>
    </w:p>
    <w:p w14:paraId="5524D1D7">
      <w:pPr>
        <w:numPr>
          <w:ilvl w:val="0"/>
          <w:numId w:val="7"/>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中标人病案仓库具备完整门禁系统，建立应急预案，须有专人看管，做好病案的防火、防尘、防盗等安全工作。</w:t>
      </w:r>
    </w:p>
    <w:p w14:paraId="03D64603">
      <w:pPr>
        <w:numPr>
          <w:ilvl w:val="0"/>
          <w:numId w:val="7"/>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病案仓库环境要求防水、防潮、防光</w:t>
      </w:r>
      <w:r>
        <w:rPr>
          <w:rFonts w:hint="eastAsia" w:ascii="宋体" w:hAnsi="宋体" w:eastAsia="宋体" w:cs="宋体"/>
          <w:bCs/>
          <w:color w:val="000000" w:themeColor="text1"/>
          <w:lang w:val="en-US" w:eastAsia="zh-CN"/>
          <w14:textFill>
            <w14:solidFill>
              <w14:schemeClr w14:val="tx1"/>
            </w14:solidFill>
          </w14:textFill>
          <w14:ligatures w14:val="standardContextual"/>
        </w:rPr>
        <w:t>要求</w:t>
      </w:r>
      <w:r>
        <w:rPr>
          <w:rFonts w:hint="eastAsia" w:ascii="宋体" w:hAnsi="宋体" w:eastAsia="宋体" w:cs="宋体"/>
          <w:bCs/>
          <w:color w:val="000000" w:themeColor="text1"/>
          <w14:textFill>
            <w14:solidFill>
              <w14:schemeClr w14:val="tx1"/>
            </w14:solidFill>
          </w14:textFill>
          <w14:ligatures w14:val="standardContextual"/>
        </w:rPr>
        <w:t>：①病案仓库在二楼及以上</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②病案在专用架子上摆放，接触面离楼面的高度≥3CM</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③病案仓库屋顶不漏水，门窗不进水</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④在潮湿天气开抽湿机抽湿，每天有温湿度登记，抽湿机需用工业级抽湿机，禁止使用小型的家庭抽湿机</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⑤病案纸箱距离墙壁距离≥5CM</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⑥要求使用工业级遮光窗帘，遮光窗帘遮光率要求达到95%以上。</w:t>
      </w:r>
    </w:p>
    <w:p w14:paraId="777B1B08">
      <w:pPr>
        <w:numPr>
          <w:ilvl w:val="0"/>
          <w:numId w:val="7"/>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防蛀：病案仓库库房内安放防蛀片，每月喷一次杀虫剂。</w:t>
      </w:r>
    </w:p>
    <w:p w14:paraId="408A5B27">
      <w:pPr>
        <w:numPr>
          <w:ilvl w:val="0"/>
          <w:numId w:val="7"/>
        </w:numPr>
        <w:adjustRightInd w:val="0"/>
        <w:snapToGrid w:val="0"/>
        <w:spacing w:line="360" w:lineRule="auto"/>
        <w:ind w:left="0" w:firstLine="420" w:firstLineChars="200"/>
        <w:rPr>
          <w:rFonts w:hint="eastAsia" w:ascii="宋体" w:hAnsi="宋体" w:eastAsia="宋体" w:cs="宋体"/>
          <w:bCs/>
          <w:color w:val="000000" w:themeColor="text1"/>
          <w14:textFill>
            <w14:solidFill>
              <w14:schemeClr w14:val="tx1"/>
            </w14:solidFill>
          </w14:textFill>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防火</w:t>
      </w:r>
      <w:r>
        <w:rPr>
          <w:rFonts w:hint="eastAsia" w:ascii="宋体" w:hAnsi="宋体" w:eastAsia="宋体" w:cs="宋体"/>
          <w:bCs/>
          <w:color w:val="000000" w:themeColor="text1"/>
          <w:lang w:val="en-US" w:eastAsia="zh-CN"/>
          <w14:textFill>
            <w14:solidFill>
              <w14:schemeClr w14:val="tx1"/>
            </w14:solidFill>
          </w14:textFill>
          <w14:ligatures w14:val="standardContextual"/>
        </w:rPr>
        <w:t>要求</w:t>
      </w:r>
      <w:r>
        <w:rPr>
          <w:rFonts w:hint="eastAsia" w:ascii="宋体" w:hAnsi="宋体" w:eastAsia="宋体" w:cs="宋体"/>
          <w:bCs/>
          <w:color w:val="000000" w:themeColor="text1"/>
          <w14:textFill>
            <w14:solidFill>
              <w14:schemeClr w14:val="tx1"/>
            </w14:solidFill>
          </w14:textFill>
          <w14:ligatures w14:val="standardContextual"/>
        </w:rPr>
        <w:t>：①病案仓库通过消防部门的验收； ②在病案库房内严禁存放易燃、易爆物品；③严禁吸烟和使用明火；④病案仓库需要悬挂式灭火器；⑤病案仓库禁止安装普通照明灯，必须使用防爆灯；⑥电源、线路要须经常检查维修，工作人员离开库房时要须切断电源；⑦消防设备放在库房固定位置，任何人员不得随意挪动</w:t>
      </w:r>
      <w:r>
        <w:rPr>
          <w:rFonts w:hint="eastAsia" w:ascii="宋体" w:hAnsi="宋体" w:eastAsia="宋体" w:cs="宋体"/>
          <w:bCs/>
          <w:color w:val="000000" w:themeColor="text1"/>
          <w:lang w:eastAsia="zh-CN"/>
          <w14:textFill>
            <w14:solidFill>
              <w14:schemeClr w14:val="tx1"/>
            </w14:solidFill>
          </w14:textFill>
          <w14:ligatures w14:val="standardContextual"/>
        </w:rPr>
        <w:t>；</w:t>
      </w:r>
      <w:r>
        <w:rPr>
          <w:rFonts w:hint="eastAsia" w:ascii="宋体" w:hAnsi="宋体" w:eastAsia="宋体" w:cs="宋体"/>
          <w:bCs/>
          <w:color w:val="000000" w:themeColor="text1"/>
          <w14:textFill>
            <w14:solidFill>
              <w14:schemeClr w14:val="tx1"/>
            </w14:solidFill>
          </w14:textFill>
          <w14:ligatures w14:val="standardContextual"/>
        </w:rPr>
        <w:t>⑧防火急救通道不得随意堆放物品，要保持通畅；⑨工作人员定期接受应急灭火方法培训，会使用灭火器；⑩消防器具应定期检查，保证消防器具完好。</w:t>
      </w:r>
    </w:p>
    <w:p w14:paraId="5263B3E5">
      <w:pPr>
        <w:numPr>
          <w:ilvl w:val="0"/>
          <w:numId w:val="7"/>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清洁：每周打扫一次库房，保持库房清洁。</w:t>
      </w:r>
    </w:p>
    <w:p w14:paraId="0D4D3E8F">
      <w:pPr>
        <w:numPr>
          <w:ilvl w:val="0"/>
          <w:numId w:val="7"/>
        </w:numPr>
        <w:adjustRightInd w:val="0"/>
        <w:snapToGrid w:val="0"/>
        <w:spacing w:line="360" w:lineRule="auto"/>
        <w:ind w:left="0" w:firstLine="420" w:firstLineChars="200"/>
        <w:rPr>
          <w:rFonts w:hint="eastAsia" w:ascii="宋体" w:hAnsi="宋体" w:eastAsia="宋体" w:cs="宋体"/>
          <w:bCs/>
          <w:sz w:val="18"/>
          <w:szCs w:val="18"/>
          <w14:ligatures w14:val="standardContextual"/>
        </w:rPr>
      </w:pPr>
      <w:r>
        <w:rPr>
          <w:rFonts w:hint="eastAsia" w:ascii="宋体" w:hAnsi="宋体" w:eastAsia="宋体" w:cs="宋体"/>
          <w:bCs/>
          <w14:ligatures w14:val="standardContextual"/>
        </w:rPr>
        <w:t>监控：病案存放的楼层要求有24小时监控摄像头，管理及相关人员可随时用手机APP实时查看监控影像。</w:t>
      </w:r>
    </w:p>
    <w:p w14:paraId="563793DC">
      <w:pPr>
        <w:numPr>
          <w:ilvl w:val="0"/>
          <w:numId w:val="7"/>
        </w:numPr>
        <w:adjustRightInd w:val="0"/>
        <w:snapToGrid w:val="0"/>
        <w:spacing w:line="360" w:lineRule="auto"/>
        <w:ind w:left="0" w:firstLine="360" w:firstLineChars="200"/>
        <w:rPr>
          <w:rFonts w:hint="eastAsia" w:ascii="宋体" w:hAnsi="宋体" w:eastAsia="宋体" w:cs="宋体"/>
          <w:bCs/>
          <w14:ligatures w14:val="standardContextual"/>
        </w:rPr>
      </w:pPr>
      <w:r>
        <w:rPr>
          <w:rFonts w:hint="eastAsia" w:ascii="宋体" w:hAnsi="宋体" w:eastAsia="宋体" w:cs="宋体"/>
          <w:bCs/>
          <w:sz w:val="18"/>
          <w:szCs w:val="18"/>
          <w14:ligatures w14:val="standardContextual"/>
        </w:rPr>
        <w:t>采购人监管：</w:t>
      </w:r>
      <w:r>
        <w:rPr>
          <w:rFonts w:hint="eastAsia" w:ascii="宋体" w:hAnsi="宋体" w:eastAsia="宋体" w:cs="宋体"/>
          <w:bCs/>
          <w14:ligatures w14:val="standardContextual"/>
        </w:rPr>
        <w:t>采购人每年可去中标人病案仓库巡视二次，巡视人数不能超出3人，两次差旅费由中标人负责。如采购人在不通知中标人的情况下去中标人仓库巡视，巡视的差旅费用由采购人负责。</w:t>
      </w:r>
    </w:p>
    <w:p w14:paraId="655B7B14">
      <w:pPr>
        <w:keepNext/>
        <w:keepLines/>
        <w:numPr>
          <w:ilvl w:val="0"/>
          <w:numId w:val="4"/>
        </w:numPr>
        <w:adjustRightInd w:val="0"/>
        <w:snapToGrid w:val="0"/>
        <w:spacing w:line="360" w:lineRule="auto"/>
        <w:ind w:left="0" w:leftChars="0" w:firstLine="422" w:firstLineChars="200"/>
        <w:outlineLvl w:val="2"/>
        <w:rPr>
          <w:rFonts w:hint="eastAsia" w:ascii="宋体" w:hAnsi="宋体" w:eastAsia="宋体" w:cs="宋体"/>
          <w:b/>
          <w14:ligatures w14:val="standardContextual"/>
        </w:rPr>
      </w:pPr>
      <w:bookmarkStart w:id="17" w:name="_Toc193373987"/>
      <w:bookmarkStart w:id="18" w:name="_Toc194075447"/>
      <w:r>
        <w:rPr>
          <w:rFonts w:hint="eastAsia" w:ascii="宋体" w:hAnsi="宋体" w:eastAsia="宋体" w:cs="宋体"/>
          <w:b/>
          <w14:ligatures w14:val="standardContextual"/>
        </w:rPr>
        <w:t>后续服务</w:t>
      </w:r>
      <w:bookmarkEnd w:id="17"/>
      <w:bookmarkEnd w:id="18"/>
    </w:p>
    <w:p w14:paraId="5B6B5509">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数字化的病案需要电子版时，中标人及时将其数字化并通过互联网将其传给采购人，需设置防火墙等安全技术手段，确保数据安全。</w:t>
      </w:r>
    </w:p>
    <w:p w14:paraId="1D7AE816">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color w:val="000000" w:themeColor="text1"/>
          <w14:textFill>
            <w14:solidFill>
              <w14:schemeClr w14:val="tx1"/>
            </w14:solidFill>
          </w14:textFill>
          <w14:ligatures w14:val="standardContextual"/>
        </w:rPr>
        <w:t>采购人需要病案原件，中标人应在</w:t>
      </w:r>
      <w:r>
        <w:rPr>
          <w:rFonts w:hint="eastAsia" w:ascii="宋体" w:hAnsi="宋体" w:eastAsia="宋体" w:cs="宋体"/>
          <w:bCs/>
          <w:color w:val="000000" w:themeColor="text1"/>
          <w:lang w:val="en-US" w:eastAsia="zh-CN"/>
          <w14:textFill>
            <w14:solidFill>
              <w14:schemeClr w14:val="tx1"/>
            </w14:solidFill>
          </w14:textFill>
          <w14:ligatures w14:val="standardContextual"/>
        </w:rPr>
        <w:t>24</w:t>
      </w:r>
      <w:r>
        <w:rPr>
          <w:rFonts w:hint="eastAsia" w:ascii="宋体" w:hAnsi="宋体" w:eastAsia="宋体" w:cs="宋体"/>
          <w:bCs/>
          <w:color w:val="000000" w:themeColor="text1"/>
          <w14:textFill>
            <w14:solidFill>
              <w14:schemeClr w14:val="tx1"/>
            </w14:solidFill>
          </w14:textFill>
          <w14:ligatures w14:val="standardContextual"/>
        </w:rPr>
        <w:t>小时内将病案所在的箱子整箱送达，</w:t>
      </w:r>
      <w:r>
        <w:rPr>
          <w:rFonts w:hint="eastAsia" w:ascii="宋体" w:hAnsi="宋体" w:eastAsia="宋体" w:cs="宋体"/>
          <w:bCs/>
          <w14:ligatures w14:val="standardContextual"/>
        </w:rPr>
        <w:t>由我院案室工作人员拆封，核对病历明细。人工及交通费用由中标人负责，采购人不接受任何的第三方转送或邮寄方式运送病案原件，所有病案原件必须由中标人指定公司员工配送。</w:t>
      </w:r>
    </w:p>
    <w:p w14:paraId="5FDAE602">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送达采购人的病案原件由采购人保存，采购人每月把调用病案原箱封箱后重新交接中标人保管，并有记录可查。</w:t>
      </w:r>
    </w:p>
    <w:p w14:paraId="114FF0D5">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原件到达后采购人需填写病案原件签收单（一式两份），签收单内容包括：原件送达时间、病案号、病人姓名、出院时间和注明签收后的病案原件在采购人处保存，签收单由病案科工作人员签名和盖病案科公章，双方各持清单保管。同时支持在病案数字化管理系统建立对应的步骤流程签收。</w:t>
      </w:r>
    </w:p>
    <w:p w14:paraId="7462C699">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纸质病案存放未按相关要求执行或不达标时，中标人仓库须无条件整改，整改时间须在30天内完成。</w:t>
      </w:r>
    </w:p>
    <w:p w14:paraId="6CE1F412">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所有病案转入、转出、存储、调阅均作系统登记，并可提供统计报表，以备日常监督管理。</w:t>
      </w:r>
    </w:p>
    <w:p w14:paraId="64B21FBD">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保管不得转委托，中标人不得将本病案保管项目委托于其他第三方，且病案移转运输费已包括在保管费用中采购人无需另行支付运输费、卸货费等其他费用。如涉及异地仓库历史病案转移，中标人需免费提供搬运及转运服务。</w:t>
      </w:r>
    </w:p>
    <w:p w14:paraId="5189F5DE">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纸质病案转仓保管前，需依次开箱清点病案袋内纸质病历份数，并按照纸质病案（非病案袋信息）病案号、出院日期、患者姓名、出院科室，以原箱号命名汇总成一份excel明细，与采购人核对确认后方可对该箱病历进行封箱转运。</w:t>
      </w:r>
    </w:p>
    <w:p w14:paraId="557DB490">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病案在运输中和仓库保管过程中如有毁损丢失，应由中标人承担相应的责任。</w:t>
      </w:r>
    </w:p>
    <w:p w14:paraId="750C1C8F">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若采购人提出改进需求，中标人应在2小时内作出响应，并且72小时内给出评估结果。</w:t>
      </w:r>
    </w:p>
    <w:p w14:paraId="3FE8B8AB">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安全保密：中标人与工作人员签订保密协议，确保其对纸质病历和信息不泄露，并明确违约责任。</w:t>
      </w:r>
    </w:p>
    <w:p w14:paraId="0A81476A">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做好历史数据迁移对接工作，包括但不限于已数字化的病案、复印数据、示踪数据等。</w:t>
      </w:r>
    </w:p>
    <w:p w14:paraId="19EB9E88">
      <w:pPr>
        <w:numPr>
          <w:ilvl w:val="0"/>
          <w:numId w:val="8"/>
        </w:numPr>
        <w:adjustRightInd w:val="0"/>
        <w:snapToGrid w:val="0"/>
        <w:spacing w:line="360" w:lineRule="auto"/>
        <w:ind w:left="0" w:firstLine="420" w:firstLineChars="200"/>
        <w:rPr>
          <w:rFonts w:hint="eastAsia" w:ascii="宋体" w:hAnsi="宋体" w:eastAsia="宋体" w:cs="宋体"/>
          <w:bCs/>
          <w14:ligatures w14:val="standardContextual"/>
        </w:rPr>
      </w:pPr>
      <w:r>
        <w:rPr>
          <w:rFonts w:hint="eastAsia" w:ascii="宋体" w:hAnsi="宋体" w:eastAsia="宋体" w:cs="宋体"/>
          <w:bCs/>
          <w14:ligatures w14:val="standardContextual"/>
        </w:rPr>
        <w:t>服务期内，中标人免费提供软硬件升级服务，并免费开放系统接口，无偿派人配合与医院信息系统的连接工作；包括所需来源数据系统的对接接口费与二次开发费，直至该系统与医院信息系统可进行完整的数据交换；在维保期内，当医院信息系统变更并需要与该系统连接时，需无偿派人配合直至该系统与医院信息系统可进行完整的数据交换。</w:t>
      </w:r>
    </w:p>
    <w:p w14:paraId="0544F30E">
      <w:pPr>
        <w:numPr>
          <w:ilvl w:val="0"/>
          <w:numId w:val="8"/>
        </w:numPr>
        <w:adjustRightInd w:val="0"/>
        <w:snapToGrid w:val="0"/>
        <w:spacing w:line="360" w:lineRule="auto"/>
        <w:ind w:left="0" w:firstLine="420" w:firstLineChars="200"/>
        <w:rPr>
          <w:rFonts w:hint="eastAsia" w:ascii="宋体" w:hAnsi="宋体" w:eastAsia="宋体" w:cs="宋体"/>
          <w:bCs/>
          <w:lang w:val="en-US" w:eastAsia="zh-CN"/>
          <w14:ligatures w14:val="standardContextual"/>
        </w:rPr>
      </w:pPr>
      <w:r>
        <w:rPr>
          <w:rFonts w:hint="eastAsia" w:ascii="宋体" w:hAnsi="宋体" w:eastAsia="宋体" w:cs="宋体"/>
          <w:bCs/>
          <w:lang w:val="en-US" w:eastAsia="zh-CN"/>
          <w14:ligatures w14:val="standardContextual"/>
        </w:rPr>
        <w:t>在维护期内，若系统出现故障，中标人应及时提供维修服务，应在3个工作日内消除故障。</w:t>
      </w:r>
    </w:p>
    <w:p w14:paraId="0950B742">
      <w:pPr>
        <w:pStyle w:val="2"/>
        <w:pageBreakBefore w:val="0"/>
        <w:numPr>
          <w:ilvl w:val="0"/>
          <w:numId w:val="0"/>
        </w:numPr>
        <w:kinsoku/>
        <w:wordWrap/>
        <w:overflowPunct/>
        <w:topLinePunct w:val="0"/>
        <w:autoSpaceDE/>
        <w:autoSpaceDN/>
        <w:bidi w:val="0"/>
        <w:spacing w:before="120" w:beforeAutospacing="0" w:after="0" w:afterAutospacing="0"/>
        <w:textAlignment w:val="auto"/>
        <w:rPr>
          <w:rFonts w:hint="eastAsia" w:ascii="宋体" w:hAnsi="宋体" w:eastAsia="宋体" w:cs="宋体"/>
          <w:sz w:val="21"/>
          <w:szCs w:val="21"/>
        </w:rPr>
      </w:pPr>
      <w:r>
        <w:rPr>
          <w:rFonts w:hint="eastAsia" w:eastAsia="宋体" w:cs="宋体"/>
          <w:sz w:val="21"/>
          <w:szCs w:val="21"/>
          <w:lang w:val="en-US" w:eastAsia="zh-CN"/>
        </w:rPr>
        <w:t>四</w:t>
      </w:r>
      <w:r>
        <w:rPr>
          <w:rFonts w:hint="eastAsia" w:ascii="宋体" w:hAnsi="宋体" w:eastAsia="宋体" w:cs="宋体"/>
          <w:sz w:val="21"/>
          <w:szCs w:val="21"/>
        </w:rPr>
        <w:t>、商务条款要求</w:t>
      </w:r>
    </w:p>
    <w:p w14:paraId="4A4F535D">
      <w:pPr>
        <w:rPr>
          <w:rFonts w:hint="eastAsia"/>
          <w:b/>
          <w:bCs/>
        </w:rPr>
      </w:pPr>
      <w:r>
        <w:rPr>
          <w:rFonts w:hint="eastAsia"/>
          <w:b/>
          <w:bCs/>
        </w:rPr>
        <w:t>（一）服务期要求：</w:t>
      </w:r>
    </w:p>
    <w:p w14:paraId="2A55C432">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1145DD8D">
      <w:pPr>
        <w:rPr>
          <w:rFonts w:hint="eastAsia"/>
          <w:b/>
          <w:bCs/>
        </w:rPr>
      </w:pPr>
      <w:r>
        <w:rPr>
          <w:rFonts w:hint="eastAsia"/>
          <w:b/>
          <w:bCs/>
          <w:lang w:eastAsia="zh-CN"/>
        </w:rPr>
        <w:t>（</w:t>
      </w:r>
      <w:r>
        <w:rPr>
          <w:rFonts w:hint="eastAsia"/>
          <w:b/>
          <w:bCs/>
          <w:lang w:val="en-US" w:eastAsia="zh-CN"/>
        </w:rPr>
        <w:t>二</w:t>
      </w:r>
      <w:r>
        <w:rPr>
          <w:rFonts w:hint="eastAsia"/>
          <w:b/>
          <w:bCs/>
          <w:lang w:eastAsia="zh-CN"/>
        </w:rPr>
        <w:t>）</w:t>
      </w:r>
      <w:r>
        <w:rPr>
          <w:rFonts w:hint="eastAsia"/>
          <w:b/>
          <w:bCs/>
        </w:rPr>
        <w:t xml:space="preserve">服务地点： </w:t>
      </w:r>
    </w:p>
    <w:p w14:paraId="32512AC7">
      <w:pPr>
        <w:ind w:firstLine="420" w:firstLineChars="200"/>
        <w:rPr>
          <w:rFonts w:hint="eastAsia"/>
        </w:rPr>
      </w:pPr>
      <w:r>
        <w:rPr>
          <w:rFonts w:hint="eastAsia"/>
        </w:rPr>
        <w:t>深圳市宝安区</w:t>
      </w:r>
      <w:r>
        <w:rPr>
          <w:rFonts w:hint="eastAsia"/>
          <w:lang w:val="en-US" w:eastAsia="zh-CN"/>
        </w:rPr>
        <w:t>石岩</w:t>
      </w:r>
      <w:r>
        <w:rPr>
          <w:rFonts w:hint="eastAsia"/>
        </w:rPr>
        <w:t xml:space="preserve">人民医院 </w:t>
      </w:r>
    </w:p>
    <w:p w14:paraId="18FB62E8">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（三）响应时间要求：</w:t>
      </w:r>
    </w:p>
    <w:p w14:paraId="57E6EB6E">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1.在维护期内，若系统出现故障，及时提供维修服务，并在3个工作日内消除故障。</w:t>
      </w:r>
    </w:p>
    <w:p w14:paraId="50BA05B1">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2.若采购人提出改进需求，中标人应在2小时内作出响应，并且72小时内给出评估结果。</w:t>
      </w:r>
    </w:p>
    <w:p w14:paraId="16F216D0">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3.中标人负责提供数字化病案传输、病案原件调取配送等相关服务，确保服务及时、准确，满足医院日常工作需求。采购人需要病案原件，中标人应在24小时内将病案所在的箱子整箱送达。</w:t>
      </w:r>
    </w:p>
    <w:p w14:paraId="1511D2F7">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4.中标人应建立完善的售后服务体系，配备专业的售后人员，定期对服务进行回访，及时处理医院反馈的问题。</w:t>
      </w:r>
    </w:p>
    <w:p w14:paraId="66224766">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5.服务期内免费提供软硬件升级服务，保障系统持续稳定运行，满足医院业务发展需求。</w:t>
      </w:r>
    </w:p>
    <w:p w14:paraId="63C434FF">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（四）关于验收：</w:t>
      </w:r>
    </w:p>
    <w:p w14:paraId="6BC8ACDA">
      <w:pPr>
        <w:numPr>
          <w:ilvl w:val="0"/>
          <w:numId w:val="0"/>
        </w:numPr>
        <w:spacing w:line="360" w:lineRule="auto"/>
        <w:ind w:firstLine="420" w:firstLineChars="200"/>
        <w:rPr>
          <w:rFonts w:hint="eastAsia" w:ascii="宋体" w:hAnsi="Times New Roman" w:eastAsia="宋体" w:cs="宋体"/>
          <w:sz w:val="21"/>
          <w:szCs w:val="21"/>
          <w:lang w:val="en-US" w:eastAsia="zh-CN"/>
        </w:rPr>
      </w:pPr>
      <w:r>
        <w:rPr>
          <w:rFonts w:hint="eastAsia" w:ascii="宋体" w:hAnsi="Times New Roman" w:eastAsia="宋体" w:cs="宋体"/>
          <w:sz w:val="21"/>
          <w:szCs w:val="21"/>
          <w:lang w:val="en-US" w:eastAsia="zh-CN"/>
        </w:rPr>
        <w:t>1、服务经过双方检验认可后，签署验收报告。</w:t>
      </w:r>
    </w:p>
    <w:p w14:paraId="31A2EC63">
      <w:pPr>
        <w:numPr>
          <w:ilvl w:val="0"/>
          <w:numId w:val="0"/>
        </w:numPr>
        <w:spacing w:line="360" w:lineRule="auto"/>
        <w:ind w:left="420" w:leftChars="200" w:firstLine="0" w:firstLineChars="0"/>
        <w:rPr>
          <w:rFonts w:hint="default" w:ascii="宋体" w:cs="宋体"/>
          <w:sz w:val="21"/>
          <w:szCs w:val="21"/>
          <w:lang w:val="en-US" w:eastAsia="zh-CN"/>
        </w:rPr>
      </w:pPr>
      <w:r>
        <w:rPr>
          <w:rFonts w:hint="eastAsia" w:ascii="宋体" w:hAnsi="Times New Roman" w:eastAsia="宋体" w:cs="宋体"/>
          <w:sz w:val="21"/>
          <w:szCs w:val="21"/>
          <w:lang w:val="en-US" w:eastAsia="zh-CN"/>
        </w:rPr>
        <w:t>2、当满足以下条件时，采购人才向中标人签发验收报告。</w:t>
      </w:r>
      <w:r>
        <w:rPr>
          <w:rFonts w:hint="eastAsia" w:ascii="宋体" w:hAnsi="Times New Roman" w:eastAsia="宋体" w:cs="宋体"/>
          <w:sz w:val="21"/>
          <w:szCs w:val="21"/>
          <w:lang w:val="en-US" w:eastAsia="zh-CN"/>
        </w:rPr>
        <w:br w:type="textWrapping"/>
      </w:r>
      <w:r>
        <w:rPr>
          <w:rFonts w:hint="eastAsia" w:ascii="宋体" w:cs="宋体"/>
          <w:sz w:val="21"/>
          <w:szCs w:val="21"/>
          <w:lang w:val="en-US" w:eastAsia="zh-CN"/>
        </w:rPr>
        <w:t>2.1</w:t>
      </w:r>
      <w:r>
        <w:rPr>
          <w:rFonts w:hint="default" w:ascii="宋体" w:cs="宋体"/>
          <w:sz w:val="21"/>
          <w:szCs w:val="21"/>
          <w:lang w:val="en-US" w:eastAsia="zh-CN"/>
        </w:rPr>
        <w:t>住院病案数字化扫描及管理系统各项功能正常运行，符合技术服务要求中的相关标准，数据准确、完整，系统安全稳定。</w:t>
      </w:r>
      <w:r>
        <w:rPr>
          <w:rFonts w:hint="eastAsia" w:ascii="宋体" w:cs="宋体"/>
          <w:sz w:val="21"/>
          <w:szCs w:val="21"/>
          <w:lang w:val="en-US" w:eastAsia="zh-CN"/>
        </w:rPr>
        <w:br w:type="textWrapping"/>
      </w:r>
      <w:r>
        <w:rPr>
          <w:rFonts w:hint="eastAsia" w:ascii="宋体" w:cs="宋体"/>
          <w:sz w:val="21"/>
          <w:szCs w:val="21"/>
          <w:lang w:val="en-US" w:eastAsia="zh-CN"/>
        </w:rPr>
        <w:t>2.2</w:t>
      </w:r>
      <w:r>
        <w:rPr>
          <w:rFonts w:hint="default" w:ascii="宋体" w:cs="宋体"/>
          <w:sz w:val="21"/>
          <w:szCs w:val="21"/>
          <w:lang w:val="en-US" w:eastAsia="zh-CN"/>
        </w:rPr>
        <w:t>住院病案异地托管仓储服务中，病案打包规范、交接流程清晰、仓库管理符合要求，无病案丢失、损坏情况。</w:t>
      </w:r>
      <w:r>
        <w:rPr>
          <w:rFonts w:hint="eastAsia" w:ascii="宋体" w:cs="宋体"/>
          <w:sz w:val="21"/>
          <w:szCs w:val="21"/>
          <w:lang w:val="en-US" w:eastAsia="zh-CN"/>
        </w:rPr>
        <w:br w:type="textWrapping"/>
      </w:r>
      <w:r>
        <w:rPr>
          <w:rFonts w:hint="eastAsia" w:ascii="宋体" w:cs="宋体"/>
          <w:sz w:val="21"/>
          <w:szCs w:val="21"/>
          <w:lang w:val="en-US" w:eastAsia="zh-CN"/>
        </w:rPr>
        <w:t>2.3</w:t>
      </w:r>
      <w:r>
        <w:rPr>
          <w:rFonts w:hint="default" w:ascii="宋体" w:cs="宋体"/>
          <w:sz w:val="21"/>
          <w:szCs w:val="21"/>
          <w:lang w:val="en-US" w:eastAsia="zh-CN"/>
        </w:rPr>
        <w:t>后续服务响应及时，各项服务执行到位，如数字化病案传输安全、病案原件配送准时、系统升级及故障处理及时等。</w:t>
      </w:r>
    </w:p>
    <w:p w14:paraId="759809B5">
      <w:pPr>
        <w:ind w:firstLine="420" w:firstLineChars="200"/>
        <w:rPr>
          <w:rFonts w:hint="default" w:ascii="宋体" w:cs="宋体"/>
          <w:sz w:val="21"/>
          <w:szCs w:val="21"/>
          <w:lang w:val="en-US" w:eastAsia="zh-CN"/>
        </w:rPr>
      </w:pPr>
      <w:r>
        <w:rPr>
          <w:rFonts w:hint="eastAsia" w:ascii="宋体" w:cs="宋体"/>
          <w:sz w:val="21"/>
          <w:szCs w:val="21"/>
          <w:lang w:val="en-US" w:eastAsia="zh-CN"/>
        </w:rPr>
        <w:t>2.4</w:t>
      </w:r>
      <w:r>
        <w:rPr>
          <w:rFonts w:hint="default" w:ascii="宋体" w:cs="宋体"/>
          <w:sz w:val="21"/>
          <w:szCs w:val="21"/>
          <w:lang w:val="en-US" w:eastAsia="zh-CN"/>
        </w:rPr>
        <w:t>提供的各类统计报表数据准确，满足医院管理和监督需求。</w:t>
      </w:r>
    </w:p>
    <w:p w14:paraId="478E42DE">
      <w:pPr>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（五）报价要求：</w:t>
      </w:r>
    </w:p>
    <w:p w14:paraId="7ABAA90D">
      <w:pPr>
        <w:ind w:firstLine="630" w:firstLineChars="300"/>
        <w:rPr>
          <w:rFonts w:hint="eastAsia"/>
          <w:b/>
          <w:bCs/>
          <w:lang w:val="en-US" w:eastAsia="zh-CN"/>
        </w:rPr>
      </w:pPr>
      <w:r>
        <w:rPr>
          <w:rFonts w:hint="eastAsia" w:ascii="宋体" w:cs="宋体"/>
          <w:sz w:val="21"/>
          <w:szCs w:val="21"/>
          <w:lang w:val="en-US" w:eastAsia="zh-CN"/>
        </w:rPr>
        <w:t xml:space="preserve">投标人对病案扫描、病案托管、病案首页录入（每月超出1500份以上）进行单价报价，本项目以【投标单价合计金额】作为价格分评分依据。【投标单价合计金额】为各分项单价报价之和。未按要求报价的将作投标无效处理。投标单价必须包括材料费、人工费、保险费、管理费、技术培训费、设备安装费、调试费、售后服务费、国家规定的各项税费等全部费用。 </w:t>
      </w:r>
      <w:r>
        <w:rPr>
          <w:rFonts w:hint="eastAsia"/>
          <w:color w:val="FF0000"/>
          <w:highlight w:val="none"/>
        </w:rPr>
        <w:br w:type="textWrapping"/>
      </w:r>
      <w:r>
        <w:rPr>
          <w:rFonts w:hint="eastAsia"/>
          <w:color w:val="FF0000"/>
          <w:highlight w:val="none"/>
          <w:lang w:val="en-US" w:eastAsia="zh-CN"/>
        </w:rPr>
        <w:t xml:space="preserve">   </w:t>
      </w:r>
      <w:r>
        <w:rPr>
          <w:rFonts w:hint="eastAsia"/>
          <w:b/>
          <w:bCs/>
          <w:lang w:val="en-US" w:eastAsia="zh-CN"/>
        </w:rPr>
        <w:t>（六）付款方式：</w:t>
      </w:r>
    </w:p>
    <w:p w14:paraId="65FFEE6A">
      <w:pPr>
        <w:ind w:firstLine="420" w:firstLineChars="200"/>
        <w:rPr>
          <w:rFonts w:hint="default" w:eastAsia="宋体" w:cs="Times New Roman"/>
          <w:lang w:val="en-US" w:eastAsia="zh-CN"/>
        </w:rPr>
      </w:pPr>
      <w:r>
        <w:rPr>
          <w:rFonts w:hint="eastAsia" w:cs="Times New Roman"/>
          <w:lang w:val="en-US" w:eastAsia="zh-CN"/>
        </w:rPr>
        <w:t>1.</w:t>
      </w:r>
      <w:r>
        <w:rPr>
          <w:rFonts w:hint="default" w:eastAsia="宋体" w:cs="Times New Roman"/>
          <w:lang w:val="en-US" w:eastAsia="zh-CN"/>
        </w:rPr>
        <w:t>病案托管服务以年度</w:t>
      </w:r>
      <w:r>
        <w:rPr>
          <w:rFonts w:hint="eastAsia" w:cs="Times New Roman"/>
          <w:lang w:val="en-US" w:eastAsia="zh-CN"/>
        </w:rPr>
        <w:t>实际</w:t>
      </w:r>
      <w:r>
        <w:rPr>
          <w:rFonts w:hint="default" w:eastAsia="宋体" w:cs="Times New Roman"/>
          <w:lang w:val="en-US" w:eastAsia="zh-CN"/>
        </w:rPr>
        <w:t>托管</w:t>
      </w:r>
      <w:r>
        <w:rPr>
          <w:rFonts w:hint="eastAsia" w:cs="Times New Roman"/>
          <w:lang w:val="en-US" w:eastAsia="zh-CN"/>
        </w:rPr>
        <w:t>病案</w:t>
      </w:r>
      <w:r>
        <w:rPr>
          <w:rFonts w:hint="default" w:eastAsia="宋体" w:cs="Times New Roman"/>
          <w:lang w:val="en-US" w:eastAsia="zh-CN"/>
        </w:rPr>
        <w:t>结算</w:t>
      </w:r>
      <w:r>
        <w:rPr>
          <w:rFonts w:hint="eastAsia" w:cs="Times New Roman"/>
          <w:lang w:val="en-US" w:eastAsia="zh-CN"/>
        </w:rPr>
        <w:t>，</w:t>
      </w:r>
      <w:r>
        <w:rPr>
          <w:rFonts w:hint="default" w:eastAsia="宋体" w:cs="Times New Roman"/>
          <w:lang w:val="en-US" w:eastAsia="zh-CN"/>
        </w:rPr>
        <w:t>托管病案验收合格后30个工作日内</w:t>
      </w:r>
      <w:r>
        <w:rPr>
          <w:rFonts w:hint="eastAsia" w:cs="Times New Roman"/>
          <w:lang w:val="en-US" w:eastAsia="zh-CN"/>
        </w:rPr>
        <w:t>乙方</w:t>
      </w:r>
      <w:r>
        <w:rPr>
          <w:rFonts w:hint="default" w:ascii="Times New Roman" w:hAnsi="Times New Roman" w:eastAsia="宋体" w:cs="Times New Roman"/>
          <w:lang w:val="en-US" w:eastAsia="zh-CN"/>
        </w:rPr>
        <w:t>开具</w:t>
      </w:r>
      <w:r>
        <w:rPr>
          <w:rFonts w:hint="eastAsia" w:ascii="Times New Roman" w:hAnsi="Times New Roman" w:eastAsia="宋体" w:cs="Times New Roman"/>
          <w:lang w:val="en-US" w:eastAsia="zh-CN"/>
        </w:rPr>
        <w:t>正规足额发票</w:t>
      </w:r>
      <w:r>
        <w:rPr>
          <w:rFonts w:hint="default" w:ascii="Times New Roman" w:hAnsi="Times New Roman" w:eastAsia="宋体" w:cs="Times New Roman"/>
          <w:lang w:val="en-US" w:eastAsia="zh-CN"/>
        </w:rPr>
        <w:t>支</w:t>
      </w:r>
      <w:r>
        <w:rPr>
          <w:rFonts w:hint="default" w:eastAsia="宋体" w:cs="Times New Roman"/>
          <w:lang w:val="en-US" w:eastAsia="zh-CN"/>
        </w:rPr>
        <w:t>付托管总价的</w:t>
      </w:r>
      <w:r>
        <w:rPr>
          <w:rFonts w:hint="eastAsia" w:cs="Times New Roman"/>
          <w:lang w:val="en-US" w:eastAsia="zh-CN"/>
        </w:rPr>
        <w:t>100</w:t>
      </w:r>
      <w:r>
        <w:rPr>
          <w:rFonts w:hint="default" w:eastAsia="宋体" w:cs="Times New Roman"/>
          <w:lang w:val="en-US" w:eastAsia="zh-CN"/>
        </w:rPr>
        <w:t>%。</w:t>
      </w:r>
    </w:p>
    <w:p w14:paraId="0C8056AC">
      <w:pPr>
        <w:ind w:firstLine="420" w:firstLineChars="200"/>
        <w:rPr>
          <w:rFonts w:hint="default" w:eastAsia="宋体" w:cs="Times New Roman"/>
          <w:lang w:val="en-US" w:eastAsia="zh-CN"/>
        </w:rPr>
      </w:pPr>
      <w:r>
        <w:rPr>
          <w:rFonts w:hint="default" w:eastAsia="宋体" w:cs="Times New Roman"/>
          <w:lang w:val="en-US" w:eastAsia="zh-CN"/>
        </w:rPr>
        <w:t>2.病案数字化扫描</w:t>
      </w:r>
      <w:r>
        <w:rPr>
          <w:rFonts w:hint="eastAsia" w:cs="Times New Roman"/>
          <w:lang w:val="en-US" w:eastAsia="zh-CN"/>
        </w:rPr>
        <w:t>服务以年度实际扫描病案份数结算</w:t>
      </w:r>
      <w:r>
        <w:rPr>
          <w:rFonts w:hint="default" w:eastAsia="宋体" w:cs="Times New Roman"/>
          <w:lang w:val="en-US" w:eastAsia="zh-CN"/>
        </w:rPr>
        <w:t>，病案数字化验收合格后3个月内乙方</w:t>
      </w:r>
      <w:r>
        <w:rPr>
          <w:rFonts w:hint="eastAsia" w:ascii="Times New Roman" w:hAnsi="Times New Roman" w:eastAsia="宋体" w:cs="Times New Roman"/>
          <w:lang w:val="en-US" w:eastAsia="zh-CN"/>
        </w:rPr>
        <w:t>正规足额</w:t>
      </w:r>
      <w:r>
        <w:rPr>
          <w:rFonts w:hint="default" w:eastAsia="宋体" w:cs="Times New Roman"/>
          <w:lang w:val="en-US" w:eastAsia="zh-CN"/>
        </w:rPr>
        <w:t>发票，支付合同总价的 100%。</w:t>
      </w:r>
    </w:p>
    <w:p w14:paraId="4CBAE663">
      <w:pPr>
        <w:ind w:firstLine="420" w:firstLineChars="200"/>
        <w:rPr>
          <w:rFonts w:hint="eastAsia"/>
          <w:lang w:val="en-US" w:eastAsia="zh-CN"/>
        </w:rPr>
      </w:pPr>
      <w:r>
        <w:rPr>
          <w:rFonts w:hint="default" w:eastAsia="宋体" w:cs="Times New Roman"/>
          <w:lang w:val="en-US" w:eastAsia="zh-CN"/>
        </w:rPr>
        <w:t>3.</w:t>
      </w:r>
      <w:r>
        <w:rPr>
          <w:rFonts w:hint="eastAsia" w:cs="Times New Roman"/>
          <w:lang w:val="en-US" w:eastAsia="zh-CN"/>
        </w:rPr>
        <w:t>病案录入服务费用根据</w:t>
      </w:r>
      <w:r>
        <w:rPr>
          <w:rFonts w:hint="default" w:eastAsia="宋体" w:cs="Times New Roman"/>
          <w:lang w:val="en-US" w:eastAsia="zh-CN"/>
        </w:rPr>
        <w:t>乙方每月</w:t>
      </w:r>
      <w:r>
        <w:rPr>
          <w:rFonts w:hint="eastAsia" w:cs="Times New Roman"/>
          <w:lang w:val="en-US" w:eastAsia="zh-CN"/>
        </w:rPr>
        <w:t>实际</w:t>
      </w:r>
      <w:r>
        <w:rPr>
          <w:rFonts w:hint="default" w:eastAsia="宋体" w:cs="Times New Roman"/>
          <w:lang w:val="en-US" w:eastAsia="zh-CN"/>
        </w:rPr>
        <w:t>完成</w:t>
      </w:r>
      <w:r>
        <w:rPr>
          <w:rFonts w:hint="eastAsia" w:cs="Times New Roman"/>
          <w:lang w:val="en-US" w:eastAsia="zh-CN"/>
        </w:rPr>
        <w:t>病</w:t>
      </w:r>
      <w:r>
        <w:rPr>
          <w:rFonts w:hint="default" w:eastAsia="宋体" w:cs="Times New Roman"/>
          <w:lang w:val="en-US" w:eastAsia="zh-CN"/>
        </w:rPr>
        <w:t>案录入</w:t>
      </w:r>
      <w:r>
        <w:rPr>
          <w:rFonts w:hint="eastAsia" w:cs="Times New Roman"/>
          <w:lang w:val="en-US" w:eastAsia="zh-CN"/>
        </w:rPr>
        <w:t>份数由</w:t>
      </w:r>
      <w:r>
        <w:rPr>
          <w:rFonts w:hint="default" w:eastAsia="宋体" w:cs="Times New Roman"/>
          <w:lang w:val="en-US" w:eastAsia="zh-CN"/>
        </w:rPr>
        <w:t>甲方按月向乙方支付服务费。</w:t>
      </w:r>
    </w:p>
    <w:p w14:paraId="7DBDB450">
      <w:pPr>
        <w:rPr>
          <w:rFonts w:hint="eastAsia"/>
        </w:rPr>
      </w:pPr>
    </w:p>
    <w:p w14:paraId="5841E4ED">
      <w:pPr>
        <w:pStyle w:val="8"/>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13</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eastAsia" w:asciiTheme="minorEastAsia" w:hAnsiTheme="minorEastAsia" w:eastAsiaTheme="minorEastAsia"/>
          <w:color w:val="000000"/>
          <w:szCs w:val="28"/>
          <w:lang w:val="en-US" w:eastAsia="zh-CN"/>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lang w:eastAsia="zh-CN"/>
        </w:rPr>
        <w:t>SYYYZBCG2025-13</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2"/>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19" w:name="_Toc14751"/>
      <w:r>
        <w:rPr>
          <w:rFonts w:hint="eastAsia" w:ascii="宋体" w:hAnsi="宋体" w:eastAsia="宋体" w:cs="宋体"/>
          <w:szCs w:val="21"/>
        </w:rPr>
        <w:t>营业执照等资质文件</w:t>
      </w:r>
      <w:bookmarkEnd w:id="19"/>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宋体"/>
          <w:kern w:val="0"/>
          <w:lang w:val="en-US" w:eastAsia="zh-CN"/>
        </w:rPr>
        <w:t>供</w:t>
      </w:r>
      <w:r>
        <w:rPr>
          <w:rFonts w:hint="eastAsia" w:ascii="宋体" w:hAnsi="宋体" w:eastAsia="宋体" w:cs="宋体"/>
          <w:color w:val="auto"/>
          <w:szCs w:val="21"/>
          <w:lang w:val="en-US" w:eastAsia="zh-CN"/>
        </w:rPr>
        <w:t>应商基本情况表及社保情况等附件</w:t>
      </w:r>
      <w:r>
        <w:rPr>
          <w:rFonts w:hint="eastAsia" w:ascii="宋体" w:hAnsi="宋体" w:eastAsia="宋体" w:cs="宋体"/>
          <w:color w:val="auto"/>
          <w:szCs w:val="21"/>
        </w:rPr>
        <w:t>(原件备验交</w:t>
      </w:r>
      <w:r>
        <w:rPr>
          <w:rFonts w:hint="eastAsia" w:ascii="宋体" w:hAnsi="宋体" w:eastAsia="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eastAsia="宋体" w:cs="宋体"/>
          <w:color w:val="auto"/>
          <w:szCs w:val="21"/>
          <w:lang w:val="en-US" w:eastAsia="zh-CN"/>
        </w:rPr>
        <w:t>----</w:t>
      </w:r>
      <w:r>
        <w:rPr>
          <w:rFonts w:hint="eastAsia" w:ascii="宋体" w:hAnsi="宋体" w:eastAsia="宋体" w:cs="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12､同类项目成功案例一览表(合同关键页或验收报告原件和扫描件)---------------------------------------------------------见第（）页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13､</w:t>
      </w:r>
      <w:r>
        <w:rPr>
          <w:rFonts w:hint="eastAsia" w:ascii="宋体" w:hAnsi="宋体" w:eastAsia="宋体" w:cs="宋体"/>
          <w:color w:val="auto"/>
          <w:szCs w:val="21"/>
        </w:rPr>
        <w:t>实施方案</w:t>
      </w:r>
      <w:r>
        <w:rPr>
          <w:rFonts w:hint="eastAsia" w:ascii="宋体" w:hAnsi="宋体" w:eastAsia="宋体" w:cs="宋体"/>
          <w:color w:val="auto"/>
          <w:szCs w:val="21"/>
          <w:lang w:val="en-US" w:eastAsia="zh-CN"/>
        </w:rPr>
        <w:t>（按评分表要求提供）---------------------------------见第（）页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14､</w:t>
      </w:r>
      <w:r>
        <w:rPr>
          <w:szCs w:val="21"/>
        </w:rPr>
        <w:t>风险分析</w:t>
      </w:r>
      <w:r>
        <w:rPr>
          <w:rFonts w:hint="eastAsia" w:ascii="宋体" w:hAnsi="宋体" w:cs="宋体"/>
          <w:kern w:val="0"/>
          <w:szCs w:val="21"/>
        </w:rPr>
        <w:t>、</w:t>
      </w:r>
      <w:r>
        <w:rPr>
          <w:szCs w:val="21"/>
        </w:rPr>
        <w:t>风险防范对策</w:t>
      </w:r>
      <w:r>
        <w:rPr>
          <w:rFonts w:hint="eastAsia"/>
          <w:szCs w:val="21"/>
          <w:lang w:eastAsia="zh-CN"/>
        </w:rPr>
        <w:t>、</w:t>
      </w:r>
      <w:r>
        <w:rPr>
          <w:szCs w:val="21"/>
        </w:rPr>
        <w:t>重点难点分析</w:t>
      </w:r>
      <w:r>
        <w:rPr>
          <w:rFonts w:hint="eastAsia"/>
          <w:szCs w:val="21"/>
          <w:lang w:eastAsia="zh-CN"/>
        </w:rPr>
        <w:t>、</w:t>
      </w:r>
      <w:r>
        <w:rPr>
          <w:szCs w:val="21"/>
        </w:rPr>
        <w:t>应对措施</w:t>
      </w:r>
      <w:r>
        <w:rPr>
          <w:rFonts w:hint="eastAsia"/>
          <w:szCs w:val="21"/>
          <w:lang w:val="en-US" w:eastAsia="zh-CN"/>
        </w:rPr>
        <w:t>及合理化建议</w:t>
      </w:r>
      <w:r>
        <w:rPr>
          <w:rFonts w:hint="eastAsia" w:ascii="宋体" w:hAnsi="宋体" w:eastAsia="宋体" w:cs="宋体"/>
          <w:color w:val="auto"/>
          <w:szCs w:val="21"/>
          <w:lang w:val="en-US" w:eastAsia="zh-CN"/>
        </w:rPr>
        <w:t>（按评分表要求提供）-----------------------------------------------------见第（）页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15、</w:t>
      </w:r>
      <w:r>
        <w:rPr>
          <w:rFonts w:hint="eastAsia" w:ascii="宋体" w:hAnsi="宋体" w:eastAsia="宋体" w:cs="宋体"/>
          <w:color w:val="auto"/>
          <w:szCs w:val="21"/>
        </w:rPr>
        <w:t>履约评价</w:t>
      </w:r>
      <w:r>
        <w:rPr>
          <w:rFonts w:hint="eastAsia" w:ascii="宋体" w:hAnsi="宋体" w:eastAsia="宋体" w:cs="宋体"/>
          <w:color w:val="auto"/>
          <w:szCs w:val="21"/>
          <w:lang w:val="en-US" w:eastAsia="zh-CN"/>
        </w:rPr>
        <w:t>（按评分表要求提供）-----------------------------</w:t>
      </w:r>
      <w:r>
        <w:rPr>
          <w:rFonts w:hint="eastAsia" w:ascii="宋体" w:hAnsi="宋体" w:cs="宋体"/>
          <w:color w:val="auto"/>
          <w:szCs w:val="21"/>
          <w:u w:val="none"/>
          <w:lang w:val="en-US" w:eastAsia="zh-CN"/>
        </w:rPr>
        <w:t xml:space="preserve"> </w:t>
      </w:r>
      <w:r>
        <w:rPr>
          <w:rFonts w:hint="eastAsia" w:ascii="宋体" w:hAnsi="宋体" w:eastAsia="宋体" w:cs="宋体"/>
          <w:color w:val="auto"/>
          <w:szCs w:val="21"/>
          <w:lang w:val="en-US" w:eastAsia="zh-CN"/>
        </w:rPr>
        <w:t>见第（）页</w:t>
      </w:r>
    </w:p>
    <w:p w14:paraId="1F5E1FCC">
      <w:pPr>
        <w:keepNext w:val="0"/>
        <w:keepLines w:val="0"/>
        <w:pageBreakBefore w:val="0"/>
        <w:widowControl w:val="0"/>
        <w:kinsoku/>
        <w:wordWrap/>
        <w:overflowPunct/>
        <w:topLinePunct w:val="0"/>
        <w:autoSpaceDE/>
        <w:autoSpaceDN/>
        <w:bidi w:val="0"/>
        <w:adjustRightInd/>
        <w:snapToGrid/>
        <w:spacing w:after="60" w:line="240" w:lineRule="auto"/>
        <w:ind w:left="1470" w:leftChars="200" w:hanging="1050" w:hangingChars="500"/>
        <w:textAlignment w:val="auto"/>
        <w:rPr>
          <w:szCs w:val="21"/>
        </w:rPr>
      </w:pPr>
      <w:r>
        <w:rPr>
          <w:rFonts w:hint="eastAsia" w:ascii="宋体" w:hAnsi="宋体" w:eastAsia="宋体" w:cs="宋体"/>
          <w:color w:val="auto"/>
          <w:szCs w:val="21"/>
          <w:lang w:val="en-US" w:eastAsia="zh-CN"/>
        </w:rPr>
        <w:t>1</w:t>
      </w:r>
      <w:r>
        <w:rPr>
          <w:rFonts w:hint="eastAsia" w:ascii="宋体" w:hAnsi="宋体" w:cs="宋体"/>
          <w:color w:val="auto"/>
          <w:szCs w:val="21"/>
          <w:lang w:val="en-US" w:eastAsia="zh-CN"/>
        </w:rPr>
        <w:t>6、</w:t>
      </w:r>
      <w:r>
        <w:rPr>
          <w:szCs w:val="21"/>
        </w:rPr>
        <w:t>组织架构</w:t>
      </w:r>
      <w:r>
        <w:rPr>
          <w:rFonts w:hint="eastAsia" w:ascii="宋体" w:hAnsi="宋体" w:cs="宋体"/>
          <w:kern w:val="0"/>
          <w:szCs w:val="21"/>
        </w:rPr>
        <w:t>、</w:t>
      </w:r>
      <w:r>
        <w:rPr>
          <w:szCs w:val="21"/>
        </w:rPr>
        <w:t>安全保障措施</w:t>
      </w:r>
      <w:r>
        <w:rPr>
          <w:rFonts w:hint="eastAsia"/>
          <w:szCs w:val="21"/>
          <w:lang w:eastAsia="zh-CN"/>
        </w:rPr>
        <w:t>、</w:t>
      </w:r>
      <w:r>
        <w:rPr>
          <w:szCs w:val="21"/>
        </w:rPr>
        <w:t>项目实施管理</w:t>
      </w:r>
      <w:r>
        <w:rPr>
          <w:rFonts w:hint="eastAsia"/>
          <w:szCs w:val="21"/>
          <w:lang w:eastAsia="zh-CN"/>
        </w:rPr>
        <w:t>、</w:t>
      </w:r>
      <w:r>
        <w:rPr>
          <w:szCs w:val="21"/>
        </w:rPr>
        <w:t>培训管理内容</w:t>
      </w:r>
      <w:r>
        <w:rPr>
          <w:rFonts w:hint="eastAsia" w:ascii="宋体" w:hAnsi="宋体" w:eastAsia="宋体" w:cs="宋体"/>
          <w:color w:val="auto"/>
          <w:szCs w:val="21"/>
          <w:lang w:val="en-US" w:eastAsia="zh-CN"/>
        </w:rPr>
        <w:t>（按评分表要求提供）</w:t>
      </w:r>
    </w:p>
    <w:p w14:paraId="5E1670E4">
      <w:pPr>
        <w:keepNext w:val="0"/>
        <w:keepLines w:val="0"/>
        <w:pageBreakBefore w:val="0"/>
        <w:widowControl w:val="0"/>
        <w:kinsoku/>
        <w:wordWrap/>
        <w:overflowPunct/>
        <w:topLinePunct w:val="0"/>
        <w:autoSpaceDE/>
        <w:autoSpaceDN/>
        <w:bidi w:val="0"/>
        <w:adjustRightInd/>
        <w:snapToGrid/>
        <w:spacing w:after="60" w:line="240" w:lineRule="auto"/>
        <w:ind w:firstLine="840" w:firstLineChars="400"/>
        <w:textAlignment w:val="auto"/>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17､投标人诚信承诺函（按评分表要求提供）-------------------------见第（）页</w:t>
      </w:r>
    </w:p>
    <w:p w14:paraId="0CA39AD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eastAsia="宋体" w:cs="宋体"/>
          <w:color w:val="auto"/>
          <w:szCs w:val="21"/>
          <w:lang w:val="en-US" w:eastAsia="zh-CN"/>
        </w:rPr>
        <w:t>18､投标人自主知识产权产品（创新、设计）情况（按评分表要求提供）-</w:t>
      </w:r>
      <w:r>
        <w:rPr>
          <w:rFonts w:hint="eastAsia" w:ascii="宋体" w:hAnsi="宋体" w:cs="宋体"/>
          <w:szCs w:val="21"/>
          <w:lang w:val="en-US" w:eastAsia="zh-CN"/>
        </w:rPr>
        <w:t>-见第（）页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19、提供通过“信用中国”网(www.creditchina.gov.cn)､中国政府采购网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1"/>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eastAsia="宋体" w:cs="宋体"/>
          <w:szCs w:val="21"/>
          <w:lang w:val="en-US" w:eastAsia="zh-CN"/>
        </w:rPr>
        <w:t>2</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21</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20"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6A20D8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7"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6350EF6">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szCs w:val="21"/>
                <w:highlight w:val="yellow"/>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4ED5EA91">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2CA40D36">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017802C">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76C1AD24">
            <w:pPr>
              <w:keepNext w:val="0"/>
              <w:keepLines w:val="0"/>
              <w:suppressLineNumbers w:val="0"/>
              <w:spacing w:before="0" w:beforeAutospacing="0" w:after="0" w:afterAutospacing="0"/>
              <w:ind w:left="0" w:leftChars="0" w:right="0" w:rightChars="0"/>
              <w:rPr>
                <w:rFonts w:hint="default" w:ascii="宋体" w:hAnsi="宋体" w:eastAsia="宋体" w:cs="宋体"/>
                <w:bCs/>
                <w:color w:val="auto"/>
                <w:kern w:val="0"/>
                <w:sz w:val="21"/>
                <w:szCs w:val="21"/>
                <w:lang w:val="en-US" w:eastAsia="zh-CN" w:bidi="ar-SA"/>
              </w:rPr>
            </w:pPr>
            <w:r>
              <w:rPr>
                <w:rFonts w:hint="eastAsia" w:ascii="宋体" w:hAnsi="宋体" w:cs="宋体"/>
                <w:szCs w:val="21"/>
                <w:lang w:val="en-US" w:eastAsia="zh-CN"/>
              </w:rPr>
              <w:t>3.按招标文件要求提供《投标履约承诺函》、《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FA2343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1DA95AF">
            <w:pPr>
              <w:keepNext w:val="0"/>
              <w:keepLines w:val="0"/>
              <w:suppressLineNumbers w:val="0"/>
              <w:spacing w:before="0" w:beforeAutospacing="0" w:after="0" w:afterAutospacing="0" w:line="20" w:lineRule="atLeast"/>
              <w:ind w:left="0" w:right="0"/>
              <w:rPr>
                <w:rFonts w:hint="default" w:ascii="宋体" w:hAnsi="宋体" w:eastAsia="宋体" w:cs="宋体"/>
                <w:color w:val="auto"/>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856189F">
            <w:pPr>
              <w:keepNext w:val="0"/>
              <w:keepLines w:val="0"/>
              <w:suppressLineNumbers w:val="0"/>
              <w:spacing w:before="0" w:beforeAutospacing="0" w:after="0" w:afterAutospacing="0" w:line="20" w:lineRule="atLeast"/>
              <w:ind w:left="0" w:right="0"/>
              <w:jc w:val="center"/>
              <w:rPr>
                <w:rFonts w:hint="default" w:ascii="宋体" w:hAnsi="宋体" w:eastAsia="宋体" w:cs="宋体"/>
                <w:color w:val="auto"/>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C92A93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B151044">
            <w:pPr>
              <w:keepNext w:val="0"/>
              <w:keepLines w:val="0"/>
              <w:suppressLineNumbers w:val="0"/>
              <w:spacing w:before="0" w:beforeAutospacing="0" w:after="0" w:afterAutospacing="0" w:line="20" w:lineRule="atLeast"/>
              <w:ind w:left="0" w:leftChars="0" w:right="0" w:rightChars="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leftChars="0" w:right="0" w:rightChars="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6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line="20" w:lineRule="atLeast"/>
              <w:ind w:left="0" w:leftChars="0" w:right="0" w:rightChars="0"/>
              <w:rPr>
                <w:rFonts w:hint="eastAsia" w:ascii="宋体" w:hAnsi="宋体" w:cs="宋体"/>
                <w:szCs w:val="21"/>
                <w:lang w:val="en-US" w:eastAsia="zh-CN"/>
              </w:rPr>
            </w:pPr>
            <w:r>
              <w:rPr>
                <w:rFonts w:hint="eastAsia" w:ascii="宋体" w:hAnsi="宋体"/>
                <w:color w:val="auto"/>
                <w:szCs w:val="21"/>
                <w:highlight w:val="none"/>
                <w:lang w:val="en-US" w:eastAsia="zh-CN"/>
              </w:rPr>
              <w:t>5.</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77E6961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DBB1D0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5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5AA4BEC6">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C4D511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s="宋体"/>
                <w:szCs w:val="21"/>
                <w:lang w:val="en-US" w:eastAsia="zh-CN"/>
              </w:rPr>
              <w:t>7.</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0CF964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2C1D06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08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bCs/>
                <w:color w:val="auto"/>
                <w:szCs w:val="21"/>
                <w:highlight w:val="none"/>
                <w:lang w:val="en-US" w:eastAsia="zh-CN"/>
              </w:rPr>
              <w:t>8.</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116C60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7C9EF54">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1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jc w:val="left"/>
              <w:rPr>
                <w:rFonts w:hint="eastAsia" w:ascii="宋体" w:hAnsi="宋体"/>
                <w:color w:val="auto"/>
                <w:szCs w:val="21"/>
                <w:highlight w:val="none"/>
              </w:rPr>
            </w:pPr>
            <w:r>
              <w:rPr>
                <w:rFonts w:hint="eastAsia" w:ascii="宋体" w:hAnsi="宋体" w:cs="宋体"/>
                <w:b w:val="0"/>
                <w:bCs w:val="0"/>
                <w:color w:val="auto"/>
                <w:szCs w:val="21"/>
                <w:lang w:val="en-US" w:eastAsia="zh-CN"/>
              </w:rPr>
              <w:t>9.</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B0289E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FD04720">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70"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5F9F582">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14BD104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20"/>
    <w:p w14:paraId="0DAC9DBC">
      <w:pPr>
        <w:pStyle w:val="3"/>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7E0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7B067C18">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1.</w:t>
            </w:r>
          </w:p>
        </w:tc>
        <w:tc>
          <w:tcPr>
            <w:tcW w:w="2328" w:type="dxa"/>
          </w:tcPr>
          <w:p w14:paraId="0AF3424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6C41350D">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6B6F693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156B424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020C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078C3C62">
            <w:pPr>
              <w:keepNext w:val="0"/>
              <w:keepLines w:val="0"/>
              <w:suppressLineNumbers w:val="0"/>
              <w:tabs>
                <w:tab w:val="left" w:pos="425"/>
              </w:tabs>
              <w:spacing w:before="0" w:beforeAutospacing="0" w:after="0" w:afterAutospacing="0"/>
              <w:ind w:left="0" w:right="0"/>
              <w:rPr>
                <w:rFonts w:hint="default" w:asciiTheme="minorEastAsia" w:hAnsiTheme="minorEastAsia" w:eastAsiaTheme="minorEastAsia"/>
                <w:b/>
                <w:szCs w:val="21"/>
                <w:lang w:val="en-US" w:eastAsia="zh-CN"/>
              </w:rPr>
            </w:pPr>
            <w:r>
              <w:rPr>
                <w:rFonts w:hint="eastAsia" w:asciiTheme="minorEastAsia" w:hAnsiTheme="minorEastAsia" w:eastAsiaTheme="minorEastAsia"/>
                <w:b/>
                <w:szCs w:val="21"/>
                <w:lang w:val="en-US" w:eastAsia="zh-CN"/>
              </w:rPr>
              <w:t>2.</w:t>
            </w:r>
          </w:p>
        </w:tc>
        <w:tc>
          <w:tcPr>
            <w:tcW w:w="2328" w:type="dxa"/>
          </w:tcPr>
          <w:p w14:paraId="189B0F0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79F85E18">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0D2FCEB1">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09844032">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r w14:paraId="3BB7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91" w:type="dxa"/>
          </w:tcPr>
          <w:p w14:paraId="252B659B">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r>
              <w:rPr>
                <w:rFonts w:hint="eastAsia" w:ascii="宋体" w:hAnsi="宋体" w:eastAsia="宋体" w:cs="宋体"/>
                <w:color w:val="000000"/>
              </w:rPr>
              <w:t>…</w:t>
            </w:r>
          </w:p>
        </w:tc>
        <w:tc>
          <w:tcPr>
            <w:tcW w:w="2328" w:type="dxa"/>
          </w:tcPr>
          <w:p w14:paraId="7B19FC4F">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2595" w:type="dxa"/>
          </w:tcPr>
          <w:p w14:paraId="58E40EB3">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890" w:type="dxa"/>
          </w:tcPr>
          <w:p w14:paraId="7ECC1D09">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c>
          <w:tcPr>
            <w:tcW w:w="1157" w:type="dxa"/>
          </w:tcPr>
          <w:p w14:paraId="7B7BDF7C">
            <w:pPr>
              <w:keepNext w:val="0"/>
              <w:keepLines w:val="0"/>
              <w:suppressLineNumbers w:val="0"/>
              <w:tabs>
                <w:tab w:val="left" w:pos="425"/>
              </w:tabs>
              <w:spacing w:before="0" w:beforeAutospacing="0" w:after="0" w:afterAutospacing="0"/>
              <w:ind w:left="0" w:right="0"/>
              <w:rPr>
                <w:rFonts w:hint="eastAsia" w:asciiTheme="minorEastAsia" w:hAnsiTheme="minorEastAsia" w:eastAsiaTheme="minorEastAsia"/>
                <w:b/>
                <w:szCs w:val="21"/>
                <w:lang w:val="en-US" w:eastAsia="zh-CN"/>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11"/>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624"/>
        <w:gridCol w:w="1890"/>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6FF4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67D42B5B">
            <w:pPr>
              <w:keepNext w:val="0"/>
              <w:keepLines w:val="0"/>
              <w:numPr>
                <w:ilvl w:val="0"/>
                <w:numId w:val="0"/>
              </w:numPr>
              <w:suppressLineNumbers w:val="0"/>
              <w:spacing w:before="0" w:beforeAutospacing="0" w:after="0" w:afterAutospacing="0"/>
              <w:ind w:left="0" w:right="0"/>
              <w:rPr>
                <w:rFonts w:hint="eastAsia" w:ascii="宋体" w:hAnsi="宋体"/>
                <w:b/>
                <w:bCs/>
                <w:szCs w:val="21"/>
                <w:lang w:eastAsia="zh-CN"/>
              </w:rPr>
            </w:pPr>
            <w:r>
              <w:rPr>
                <w:rFonts w:hint="eastAsia" w:ascii="宋体" w:hAnsi="宋体"/>
                <w:b/>
                <w:bCs/>
                <w:szCs w:val="21"/>
                <w:lang w:val="en-US" w:eastAsia="zh-CN"/>
              </w:rPr>
              <w:t>售后</w:t>
            </w:r>
            <w:r>
              <w:rPr>
                <w:rFonts w:hint="default" w:ascii="宋体" w:hAnsi="宋体"/>
                <w:b/>
                <w:bCs/>
                <w:szCs w:val="21"/>
                <w:lang w:val="en-US" w:eastAsia="zh-CN"/>
              </w:rPr>
              <w:t>服务</w:t>
            </w:r>
            <w:r>
              <w:rPr>
                <w:rFonts w:hint="eastAsia" w:ascii="宋体" w:hAnsi="宋体"/>
                <w:b/>
                <w:bCs/>
                <w:szCs w:val="21"/>
                <w:lang w:val="en-US" w:eastAsia="zh-CN"/>
              </w:rPr>
              <w:t>要求</w:t>
            </w:r>
          </w:p>
        </w:tc>
      </w:tr>
      <w:tr w14:paraId="2D1B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179FE9DE">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1.</w:t>
            </w:r>
          </w:p>
        </w:tc>
        <w:tc>
          <w:tcPr>
            <w:tcW w:w="2299" w:type="dxa"/>
          </w:tcPr>
          <w:p w14:paraId="5B693B83">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52A4BAA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060516A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C0FC3D7">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1538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34EA5CBF">
            <w:pPr>
              <w:keepNext w:val="0"/>
              <w:keepLines w:val="0"/>
              <w:numPr>
                <w:ilvl w:val="0"/>
                <w:numId w:val="0"/>
              </w:numPr>
              <w:suppressLineNumbers w:val="0"/>
              <w:spacing w:before="0" w:beforeAutospacing="0" w:after="0" w:afterAutospacing="0"/>
              <w:ind w:left="0" w:right="0"/>
              <w:rPr>
                <w:rFonts w:hint="default" w:ascii="宋体" w:hAnsi="宋体"/>
                <w:b/>
                <w:bCs/>
                <w:szCs w:val="21"/>
                <w:lang w:val="en-US" w:eastAsia="zh-CN"/>
              </w:rPr>
            </w:pPr>
            <w:r>
              <w:rPr>
                <w:rFonts w:hint="eastAsia" w:ascii="宋体" w:hAnsi="宋体"/>
                <w:b/>
                <w:bCs/>
                <w:szCs w:val="21"/>
                <w:lang w:val="en-US" w:eastAsia="zh-CN"/>
              </w:rPr>
              <w:t>2.</w:t>
            </w:r>
          </w:p>
        </w:tc>
        <w:tc>
          <w:tcPr>
            <w:tcW w:w="2299" w:type="dxa"/>
          </w:tcPr>
          <w:p w14:paraId="3C37DBCD">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CC1639C">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62E338BA">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23AA7B0B">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5391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tcPr>
          <w:p w14:paraId="75517CB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r>
              <w:rPr>
                <w:rFonts w:hint="eastAsia" w:ascii="宋体" w:hAnsi="宋体" w:eastAsia="宋体" w:cs="宋体"/>
                <w:color w:val="000000"/>
              </w:rPr>
              <w:t>…</w:t>
            </w:r>
          </w:p>
        </w:tc>
        <w:tc>
          <w:tcPr>
            <w:tcW w:w="2299" w:type="dxa"/>
          </w:tcPr>
          <w:p w14:paraId="3393CE41">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2624" w:type="dxa"/>
          </w:tcPr>
          <w:p w14:paraId="6B05D622">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890" w:type="dxa"/>
          </w:tcPr>
          <w:p w14:paraId="78E8EB3E">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c>
          <w:tcPr>
            <w:tcW w:w="1157" w:type="dxa"/>
          </w:tcPr>
          <w:p w14:paraId="1A968580">
            <w:pPr>
              <w:keepNext w:val="0"/>
              <w:keepLines w:val="0"/>
              <w:numPr>
                <w:ilvl w:val="0"/>
                <w:numId w:val="0"/>
              </w:numPr>
              <w:suppressLineNumbers w:val="0"/>
              <w:spacing w:before="0" w:beforeAutospacing="0" w:after="0" w:afterAutospacing="0"/>
              <w:ind w:left="0" w:right="0"/>
              <w:rPr>
                <w:rFonts w:hint="eastAsia" w:ascii="宋体" w:hAnsi="宋体"/>
                <w:b/>
                <w:bCs/>
                <w:szCs w:val="21"/>
                <w:lang w:val="en-US" w:eastAsia="zh-CN"/>
              </w:rPr>
            </w:pPr>
          </w:p>
        </w:tc>
      </w:tr>
      <w:tr w14:paraId="2C393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tcPr>
          <w:p w14:paraId="287E4E0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验收方式</w:t>
            </w:r>
          </w:p>
        </w:tc>
      </w:tr>
      <w:tr w14:paraId="50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0A7FF1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1.</w:t>
            </w:r>
          </w:p>
        </w:tc>
        <w:tc>
          <w:tcPr>
            <w:tcW w:w="2299" w:type="dxa"/>
            <w:vAlign w:val="top"/>
          </w:tcPr>
          <w:p w14:paraId="452AD2E1">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2C90F0B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4862676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1B77D81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172F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261009E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宋体"/>
                <w:color w:val="000000"/>
              </w:rPr>
              <w:t>…</w:t>
            </w:r>
          </w:p>
        </w:tc>
        <w:tc>
          <w:tcPr>
            <w:tcW w:w="2299" w:type="dxa"/>
            <w:vAlign w:val="top"/>
          </w:tcPr>
          <w:p w14:paraId="60E1355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7F75B55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F8D04DD">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07B35E44">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83A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9C5B2F">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报价要求</w:t>
            </w:r>
          </w:p>
        </w:tc>
      </w:tr>
      <w:tr w14:paraId="291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28D48A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7871B2C5">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0527CC7">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AD7CBA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621879FB">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542D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0868597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付款方式</w:t>
            </w:r>
          </w:p>
        </w:tc>
      </w:tr>
      <w:tr w14:paraId="04E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7C43BDA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1.</w:t>
            </w:r>
          </w:p>
        </w:tc>
        <w:tc>
          <w:tcPr>
            <w:tcW w:w="2299" w:type="dxa"/>
            <w:vAlign w:val="top"/>
          </w:tcPr>
          <w:p w14:paraId="38C9C1D6">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5437D32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1373FFCE">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561AC0D2">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7AD6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0D8FD788">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r>
              <w:rPr>
                <w:rFonts w:hint="eastAsia" w:ascii="宋体" w:hAnsi="宋体" w:eastAsia="宋体" w:cs="宋体"/>
                <w:color w:val="000000"/>
              </w:rPr>
              <w:t>…</w:t>
            </w:r>
          </w:p>
        </w:tc>
        <w:tc>
          <w:tcPr>
            <w:tcW w:w="2299" w:type="dxa"/>
            <w:vAlign w:val="top"/>
          </w:tcPr>
          <w:p w14:paraId="6BDE344A">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2624" w:type="dxa"/>
            <w:vAlign w:val="top"/>
          </w:tcPr>
          <w:p w14:paraId="0D7F40C4">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890" w:type="dxa"/>
            <w:vAlign w:val="top"/>
          </w:tcPr>
          <w:p w14:paraId="61250BE4">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c>
          <w:tcPr>
            <w:tcW w:w="1157" w:type="dxa"/>
            <w:vAlign w:val="top"/>
          </w:tcPr>
          <w:p w14:paraId="09E74F49">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val="en-US" w:eastAsia="zh-CN"/>
              </w:rPr>
            </w:pPr>
          </w:p>
        </w:tc>
      </w:tr>
      <w:tr w14:paraId="638FB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5"/>
            <w:vAlign w:val="top"/>
          </w:tcPr>
          <w:p w14:paraId="79542DC3">
            <w:pPr>
              <w:keepNext w:val="0"/>
              <w:keepLines w:val="0"/>
              <w:numPr>
                <w:ilvl w:val="0"/>
                <w:numId w:val="0"/>
              </w:numPr>
              <w:suppressLineNumbers w:val="0"/>
              <w:spacing w:before="0" w:beforeAutospacing="0" w:after="0" w:afterAutospacing="0"/>
              <w:ind w:left="0" w:right="0"/>
              <w:rPr>
                <w:rFonts w:hint="eastAsia" w:ascii="宋体" w:hAnsi="宋体" w:eastAsia="宋体" w:cs="Times New Roman"/>
                <w:b/>
                <w:bCs/>
                <w:szCs w:val="21"/>
                <w:lang w:eastAsia="zh-CN"/>
              </w:rPr>
            </w:pPr>
            <w:r>
              <w:rPr>
                <w:rFonts w:hint="eastAsia" w:ascii="宋体" w:hAnsi="宋体" w:eastAsia="宋体" w:cs="Times New Roman"/>
                <w:b/>
                <w:bCs/>
                <w:szCs w:val="21"/>
                <w:lang w:val="en-US" w:eastAsia="zh-CN"/>
              </w:rPr>
              <w:t>服务期限/交货期</w:t>
            </w:r>
          </w:p>
        </w:tc>
      </w:tr>
      <w:tr w14:paraId="606C8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691" w:type="dxa"/>
            <w:vAlign w:val="top"/>
          </w:tcPr>
          <w:p w14:paraId="6C5E62C5">
            <w:pPr>
              <w:keepNext w:val="0"/>
              <w:keepLines w:val="0"/>
              <w:numPr>
                <w:ilvl w:val="0"/>
                <w:numId w:val="0"/>
              </w:numPr>
              <w:suppressLineNumbers w:val="0"/>
              <w:spacing w:before="0" w:beforeAutospacing="0" w:after="0" w:afterAutospacing="0"/>
              <w:ind w:left="0" w:leftChars="0" w:right="0" w:rightChars="0" w:firstLine="0" w:firstLineChars="0"/>
              <w:rPr>
                <w:rFonts w:hint="default" w:ascii="宋体" w:hAnsi="宋体"/>
                <w:b/>
                <w:bCs/>
                <w:szCs w:val="21"/>
                <w:lang w:val="en-US" w:eastAsia="zh-CN"/>
              </w:rPr>
            </w:pPr>
            <w:r>
              <w:rPr>
                <w:rFonts w:hint="eastAsia" w:ascii="宋体" w:hAnsi="宋体"/>
                <w:b/>
                <w:bCs/>
                <w:szCs w:val="21"/>
                <w:lang w:val="en-US" w:eastAsia="zh-CN"/>
              </w:rPr>
              <w:t>1.</w:t>
            </w:r>
          </w:p>
        </w:tc>
        <w:tc>
          <w:tcPr>
            <w:tcW w:w="2299" w:type="dxa"/>
            <w:vAlign w:val="top"/>
          </w:tcPr>
          <w:p w14:paraId="5FA21B68">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2624" w:type="dxa"/>
            <w:vAlign w:val="top"/>
          </w:tcPr>
          <w:p w14:paraId="0B724BD5">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890" w:type="dxa"/>
            <w:vAlign w:val="top"/>
          </w:tcPr>
          <w:p w14:paraId="0C9BD751">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c>
          <w:tcPr>
            <w:tcW w:w="1157" w:type="dxa"/>
            <w:vAlign w:val="top"/>
          </w:tcPr>
          <w:p w14:paraId="661FC866">
            <w:pPr>
              <w:keepNext w:val="0"/>
              <w:keepLines w:val="0"/>
              <w:numPr>
                <w:ilvl w:val="0"/>
                <w:numId w:val="0"/>
              </w:numPr>
              <w:suppressLineNumbers w:val="0"/>
              <w:spacing w:before="0" w:beforeAutospacing="0" w:after="0" w:afterAutospacing="0"/>
              <w:ind w:left="0" w:leftChars="0" w:right="0" w:rightChars="0" w:firstLine="0" w:firstLineChars="0"/>
              <w:rPr>
                <w:rFonts w:hint="eastAsia" w:ascii="宋体" w:hAnsi="宋体"/>
                <w:b/>
                <w:bCs/>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EE366FD">
      <w:pPr>
        <w:outlineLvl w:val="0"/>
        <w:rPr>
          <w:rFonts w:hint="eastAsia" w:ascii="宋体" w:hAnsi="宋体" w:cs="宋体"/>
          <w:b/>
          <w:bCs/>
          <w:color w:val="FF0000"/>
          <w:sz w:val="24"/>
          <w:szCs w:val="24"/>
          <w:lang w:val="en-US" w:eastAsia="zh-CN"/>
        </w:rPr>
      </w:pPr>
      <w:r>
        <w:rPr>
          <w:rFonts w:hint="eastAsia" w:ascii="宋体" w:hAnsi="宋体" w:eastAsia="宋体" w:cs="宋体"/>
          <w:color w:val="000000"/>
        </w:rPr>
        <w:t>职务:</w:t>
      </w:r>
    </w:p>
    <w:p w14:paraId="38EF6999">
      <w:pPr>
        <w:jc w:val="center"/>
        <w:rPr>
          <w:rFonts w:hint="eastAsia" w:ascii="宋体" w:hAnsi="宋体" w:cs="宋体"/>
          <w:b/>
          <w:sz w:val="24"/>
          <w:lang w:val="en-US" w:eastAsia="zh-CN"/>
        </w:rPr>
      </w:pPr>
    </w:p>
    <w:p w14:paraId="06553DE8">
      <w:pPr>
        <w:jc w:val="center"/>
        <w:rPr>
          <w:rFonts w:hint="eastAsia" w:ascii="宋体" w:hAnsi="宋体" w:cs="宋体"/>
          <w:b/>
          <w:sz w:val="24"/>
          <w:lang w:val="en-US" w:eastAsia="zh-CN"/>
        </w:rPr>
      </w:pPr>
    </w:p>
    <w:p w14:paraId="3BC2029E">
      <w:pPr>
        <w:jc w:val="center"/>
        <w:rPr>
          <w:rFonts w:hint="eastAsia" w:ascii="宋体" w:hAnsi="宋体" w:cs="宋体"/>
          <w:b/>
          <w:sz w:val="24"/>
          <w:lang w:val="en-US" w:eastAsia="zh-CN"/>
        </w:rPr>
      </w:pPr>
    </w:p>
    <w:p w14:paraId="16601028">
      <w:pPr>
        <w:jc w:val="center"/>
        <w:rPr>
          <w:rFonts w:hint="eastAsia" w:ascii="宋体" w:hAnsi="宋体" w:cs="宋体"/>
          <w:b/>
          <w:sz w:val="24"/>
          <w:lang w:val="en-US" w:eastAsia="zh-CN"/>
        </w:rPr>
      </w:pPr>
    </w:p>
    <w:p w14:paraId="7B82ED8C">
      <w:pPr>
        <w:jc w:val="center"/>
        <w:rPr>
          <w:rFonts w:hint="eastAsia" w:ascii="宋体" w:hAnsi="宋体" w:cs="宋体"/>
          <w:b/>
          <w:sz w:val="24"/>
          <w:lang w:val="en-US" w:eastAsia="zh-CN"/>
        </w:rPr>
      </w:pPr>
    </w:p>
    <w:p w14:paraId="7AA6EB8B">
      <w:pPr>
        <w:jc w:val="center"/>
        <w:rPr>
          <w:rFonts w:hint="eastAsia" w:ascii="宋体" w:hAnsi="宋体" w:cs="宋体"/>
          <w:b/>
          <w:sz w:val="24"/>
          <w:lang w:val="en-US" w:eastAsia="zh-CN"/>
        </w:rPr>
      </w:pPr>
    </w:p>
    <w:p w14:paraId="4C35D71E">
      <w:pPr>
        <w:jc w:val="center"/>
        <w:rPr>
          <w:rFonts w:hint="eastAsia" w:ascii="宋体" w:hAnsi="宋体" w:cs="宋体"/>
          <w:b/>
          <w:sz w:val="24"/>
          <w:lang w:val="en-US" w:eastAsia="zh-CN"/>
        </w:rPr>
      </w:pPr>
    </w:p>
    <w:p w14:paraId="474B2FA7">
      <w:pPr>
        <w:jc w:val="center"/>
        <w:rPr>
          <w:rFonts w:hint="eastAsia" w:ascii="宋体" w:hAnsi="宋体" w:cs="宋体"/>
          <w:b/>
          <w:sz w:val="24"/>
          <w:lang w:val="en-US" w:eastAsia="zh-CN"/>
        </w:rPr>
      </w:pPr>
    </w:p>
    <w:p w14:paraId="3E2CF7BA">
      <w:pPr>
        <w:jc w:val="center"/>
        <w:rPr>
          <w:rFonts w:hint="eastAsia" w:ascii="宋体" w:hAnsi="宋体" w:cs="宋体"/>
          <w:b/>
          <w:sz w:val="24"/>
          <w:lang w:val="en-US" w:eastAsia="zh-CN"/>
        </w:rPr>
      </w:pPr>
    </w:p>
    <w:p w14:paraId="66E63DC9">
      <w:pPr>
        <w:jc w:val="center"/>
        <w:rPr>
          <w:rFonts w:hint="eastAsia" w:ascii="宋体" w:hAnsi="宋体" w:cs="宋体"/>
          <w:b/>
          <w:sz w:val="24"/>
          <w:lang w:val="en-US" w:eastAsia="zh-CN"/>
        </w:rPr>
      </w:pPr>
    </w:p>
    <w:p w14:paraId="280F052B">
      <w:pPr>
        <w:jc w:val="center"/>
        <w:rPr>
          <w:rFonts w:hint="eastAsia" w:ascii="宋体" w:hAnsi="宋体" w:cs="宋体"/>
          <w:b/>
          <w:sz w:val="24"/>
          <w:lang w:val="en-US" w:eastAsia="zh-CN"/>
        </w:rPr>
      </w:pPr>
    </w:p>
    <w:p w14:paraId="367CF448">
      <w:pPr>
        <w:jc w:val="center"/>
        <w:rPr>
          <w:rFonts w:hint="eastAsia" w:ascii="宋体" w:hAnsi="宋体" w:cs="宋体"/>
          <w:b/>
          <w:sz w:val="24"/>
          <w:lang w:val="en-US" w:eastAsia="zh-CN"/>
        </w:rPr>
      </w:pPr>
    </w:p>
    <w:p w14:paraId="4D863CAF">
      <w:pPr>
        <w:jc w:val="center"/>
        <w:rPr>
          <w:rFonts w:hint="eastAsia" w:ascii="宋体" w:hAnsi="宋体" w:cs="宋体"/>
          <w:b/>
          <w:sz w:val="24"/>
          <w:lang w:val="en-US" w:eastAsia="zh-CN"/>
        </w:rPr>
      </w:pPr>
    </w:p>
    <w:p w14:paraId="696DB00B">
      <w:pPr>
        <w:jc w:val="center"/>
        <w:rPr>
          <w:rFonts w:hint="eastAsia" w:ascii="宋体" w:hAnsi="宋体" w:cs="宋体"/>
          <w:b/>
          <w:sz w:val="24"/>
          <w:lang w:val="en-US" w:eastAsia="zh-CN"/>
        </w:rPr>
      </w:pPr>
    </w:p>
    <w:p w14:paraId="74E4FA94">
      <w:pPr>
        <w:jc w:val="center"/>
        <w:rPr>
          <w:rFonts w:hint="eastAsia" w:ascii="宋体" w:hAnsi="宋体" w:cs="宋体"/>
          <w:b/>
          <w:sz w:val="24"/>
          <w:lang w:val="en-US" w:eastAsia="zh-CN"/>
        </w:rPr>
      </w:pPr>
    </w:p>
    <w:p w14:paraId="6DBE3856">
      <w:pPr>
        <w:jc w:val="center"/>
        <w:rPr>
          <w:rFonts w:hint="eastAsia" w:ascii="宋体" w:hAnsi="宋体" w:cs="宋体"/>
          <w:b/>
          <w:sz w:val="24"/>
          <w:lang w:val="en-US" w:eastAsia="zh-CN"/>
        </w:rPr>
      </w:pPr>
    </w:p>
    <w:p w14:paraId="18005DB4">
      <w:pPr>
        <w:jc w:val="center"/>
        <w:rPr>
          <w:rFonts w:hint="eastAsia" w:ascii="宋体" w:hAnsi="宋体" w:cs="宋体"/>
          <w:b/>
          <w:sz w:val="24"/>
          <w:lang w:val="en-US" w:eastAsia="zh-CN"/>
        </w:rPr>
      </w:pPr>
    </w:p>
    <w:p w14:paraId="131D5D5B">
      <w:pPr>
        <w:jc w:val="center"/>
        <w:rPr>
          <w:rFonts w:hint="eastAsia" w:ascii="宋体" w:hAnsi="宋体" w:cs="宋体"/>
          <w:b/>
          <w:sz w:val="24"/>
          <w:lang w:val="en-US" w:eastAsia="zh-CN"/>
        </w:rPr>
      </w:pPr>
    </w:p>
    <w:p w14:paraId="57FAD5F0">
      <w:pPr>
        <w:jc w:val="center"/>
        <w:rPr>
          <w:rFonts w:hint="eastAsia" w:ascii="宋体" w:hAnsi="宋体" w:cs="宋体"/>
          <w:b/>
          <w:sz w:val="24"/>
          <w:lang w:val="en-US" w:eastAsia="zh-CN"/>
        </w:rPr>
      </w:pPr>
    </w:p>
    <w:p w14:paraId="2A0F6DF0">
      <w:pPr>
        <w:jc w:val="center"/>
        <w:rPr>
          <w:rFonts w:hint="eastAsia" w:ascii="宋体" w:hAnsi="宋体" w:cs="宋体"/>
          <w:b/>
          <w:sz w:val="24"/>
          <w:lang w:val="en-US" w:eastAsia="zh-CN"/>
        </w:rPr>
      </w:pPr>
    </w:p>
    <w:p w14:paraId="686A27E3">
      <w:pPr>
        <w:jc w:val="center"/>
        <w:rPr>
          <w:rFonts w:hint="eastAsia" w:ascii="宋体" w:hAnsi="宋体" w:cs="宋体"/>
          <w:b/>
          <w:sz w:val="24"/>
          <w:lang w:val="en-US" w:eastAsia="zh-CN"/>
        </w:rPr>
      </w:pP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9"/>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21" w:name="_Toc275865606"/>
      <w:bookmarkStart w:id="22" w:name="_Toc24650"/>
      <w:bookmarkStart w:id="23" w:name="_Toc435514855"/>
      <w:bookmarkStart w:id="24" w:name="_Toc435515295"/>
      <w:bookmarkStart w:id="25"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21"/>
      <w:bookmarkEnd w:id="22"/>
      <w:bookmarkEnd w:id="23"/>
      <w:bookmarkEnd w:id="24"/>
      <w:bookmarkEnd w:id="25"/>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10"/>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8"/>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26"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3"/>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26"/>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5"/>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5"/>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3"/>
        <w:numPr>
          <w:ilvl w:val="0"/>
          <w:numId w:val="0"/>
        </w:numPr>
        <w:spacing w:line="240" w:lineRule="auto"/>
        <w:ind w:leftChars="0"/>
        <w:jc w:val="center"/>
        <w:rPr>
          <w:rFonts w:hint="default" w:eastAsia="宋体" w:asciiTheme="majorEastAsia" w:hAnsiTheme="majorEastAsia"/>
          <w:sz w:val="30"/>
          <w:szCs w:val="30"/>
          <w:lang w:val="en-US" w:eastAsia="zh-CN"/>
        </w:rPr>
      </w:pPr>
      <w:bookmarkStart w:id="27" w:name="_Toc12271"/>
      <w:r>
        <w:rPr>
          <w:rFonts w:hint="eastAsia" w:asciiTheme="majorEastAsia" w:hAnsiTheme="majorEastAsia" w:eastAsiaTheme="majorEastAsia"/>
          <w:sz w:val="30"/>
          <w:szCs w:val="30"/>
          <w:lang w:val="en-US" w:eastAsia="zh-CN"/>
        </w:rPr>
        <w:t>11、</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27"/>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5"/>
        <w:rPr>
          <w:rFonts w:hint="default"/>
          <w:lang w:val="en-US" w:eastAsia="zh-CN"/>
        </w:rPr>
      </w:pPr>
    </w:p>
    <w:p w14:paraId="12C7A361">
      <w:pPr>
        <w:pStyle w:val="11"/>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11"/>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5"/>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8"/>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12、</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3D1E662F">
      <w:pPr>
        <w:spacing w:after="60"/>
        <w:rPr>
          <w:rFonts w:hint="eastAsia" w:ascii="宋体" w:hAnsi="宋体" w:eastAsia="宋体" w:cs="Times New Roman"/>
          <w:b/>
          <w:sz w:val="24"/>
          <w:szCs w:val="24"/>
          <w:lang w:val="en-US" w:eastAsia="zh-CN"/>
        </w:rPr>
      </w:pPr>
      <w:r>
        <w:rPr>
          <w:rFonts w:hint="eastAsia" w:ascii="宋体" w:hAnsi="宋体" w:eastAsia="宋体" w:cs="宋体"/>
          <w:color w:val="000000"/>
        </w:rPr>
        <w:t>注:必须提供合同关键页复印件加盖公章,原件备查｡</w:t>
      </w:r>
      <w:r>
        <w:rPr>
          <w:rFonts w:hint="eastAsia" w:ascii="宋体" w:hAnsi="宋体" w:eastAsia="宋体" w:cs="Times New Roman"/>
          <w:b/>
          <w:sz w:val="24"/>
          <w:szCs w:val="24"/>
          <w:lang w:val="en-US" w:eastAsia="zh-CN"/>
        </w:rPr>
        <w:br w:type="page"/>
      </w:r>
    </w:p>
    <w:p w14:paraId="65C5FBC4">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13､实施方案（按评分表要求提供）</w:t>
      </w:r>
    </w:p>
    <w:p w14:paraId="1A0E38C9">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4F1EBAAF">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14､风险分析、风险防范对策、重点难点分析、应对措施及合理化建议（按评分表要求提供）</w:t>
      </w:r>
    </w:p>
    <w:p w14:paraId="2901862C">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20297C7">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15、履约评价（按评分表要求提供）</w:t>
      </w:r>
    </w:p>
    <w:p w14:paraId="5F57C9E5">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19BFBFA4">
      <w:pPr>
        <w:keepNext w:val="0"/>
        <w:keepLines w:val="0"/>
        <w:pageBreakBefore w:val="0"/>
        <w:widowControl w:val="0"/>
        <w:kinsoku/>
        <w:wordWrap/>
        <w:overflowPunct/>
        <w:topLinePunct w:val="0"/>
        <w:autoSpaceDE/>
        <w:autoSpaceDN/>
        <w:bidi w:val="0"/>
        <w:adjustRightInd/>
        <w:snapToGrid/>
        <w:spacing w:after="60" w:line="240" w:lineRule="auto"/>
        <w:ind w:left="902" w:leftChars="200" w:hanging="482" w:hangingChars="200"/>
        <w:jc w:val="center"/>
        <w:textAlignment w:val="auto"/>
        <w:rPr>
          <w:rFonts w:hint="eastAsia" w:ascii="宋体" w:hAnsi="宋体" w:cs="Times New Roman"/>
          <w:b/>
          <w:sz w:val="24"/>
          <w:szCs w:val="24"/>
          <w:lang w:val="en-US" w:eastAsia="zh-CN"/>
        </w:rPr>
      </w:pPr>
      <w:r>
        <w:rPr>
          <w:rFonts w:hint="eastAsia" w:ascii="宋体" w:hAnsi="宋体" w:cs="Times New Roman"/>
          <w:b/>
          <w:sz w:val="24"/>
          <w:szCs w:val="24"/>
          <w:lang w:val="en-US" w:eastAsia="zh-CN"/>
        </w:rPr>
        <w:t>16、组织架构、安全保障措施、项目实施管理、培训管理内容（按评分表要求提供）</w:t>
      </w:r>
    </w:p>
    <w:p w14:paraId="0EA0B157">
      <w:pPr>
        <w:rPr>
          <w:rFonts w:hint="eastAsia" w:ascii="宋体" w:hAnsi="宋体" w:cs="Times New Roman"/>
          <w:b/>
          <w:sz w:val="24"/>
          <w:szCs w:val="24"/>
          <w:lang w:val="en-US" w:eastAsia="zh-CN"/>
        </w:rPr>
      </w:pPr>
      <w:r>
        <w:rPr>
          <w:rFonts w:hint="eastAsia" w:ascii="宋体" w:hAnsi="宋体" w:cs="Times New Roman"/>
          <w:b/>
          <w:sz w:val="24"/>
          <w:szCs w:val="24"/>
          <w:lang w:val="en-US" w:eastAsia="zh-CN"/>
        </w:rPr>
        <w:br w:type="page"/>
      </w:r>
    </w:p>
    <w:p w14:paraId="3ED3047E">
      <w:pPr>
        <w:spacing w:line="360" w:lineRule="auto"/>
        <w:ind w:right="-517" w:rightChars="-246"/>
        <w:jc w:val="center"/>
        <w:rPr>
          <w:rFonts w:ascii="宋体" w:hAnsi="宋体"/>
          <w:b/>
          <w:sz w:val="24"/>
          <w:szCs w:val="24"/>
        </w:rPr>
      </w:pPr>
      <w:r>
        <w:rPr>
          <w:rFonts w:hint="eastAsia" w:ascii="宋体" w:hAnsi="宋体"/>
          <w:b/>
          <w:sz w:val="24"/>
          <w:szCs w:val="24"/>
          <w:lang w:val="en-US" w:eastAsia="zh-CN"/>
        </w:rPr>
        <w:t>17</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11"/>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4CED4236">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55C1CE2E">
      <w:pPr>
        <w:spacing w:after="78" w:afterLines="25" w:line="300" w:lineRule="auto"/>
        <w:ind w:left="420"/>
        <w:jc w:val="center"/>
        <w:rPr>
          <w:rFonts w:hint="eastAsia" w:ascii="宋体" w:hAnsi="宋体" w:cs="Times New Roman"/>
          <w:b/>
          <w:sz w:val="24"/>
          <w:szCs w:val="24"/>
          <w:lang w:val="en-US" w:eastAsia="zh-CN"/>
        </w:rPr>
      </w:pPr>
      <w:r>
        <w:rPr>
          <w:rFonts w:hint="eastAsia" w:ascii="宋体" w:hAnsi="宋体" w:cs="Times New Roman"/>
          <w:b/>
          <w:sz w:val="24"/>
          <w:szCs w:val="24"/>
          <w:lang w:val="en-US" w:eastAsia="zh-CN"/>
        </w:rPr>
        <w:t>18､投标人自主知识产权产品（创新、设计）情况（按评分表要求提供）</w:t>
      </w:r>
    </w:p>
    <w:p w14:paraId="5F753EE9">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19</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20、</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21</w:t>
      </w:r>
      <w:r>
        <w:rPr>
          <w:rFonts w:hint="eastAsia" w:ascii="宋体" w:hAnsi="宋体" w:eastAsia="宋体" w:cs="宋体"/>
          <w:b/>
          <w:color w:val="000000"/>
          <w:sz w:val="28"/>
          <w:szCs w:val="28"/>
        </w:rPr>
        <w:t>､深圳市宝安区石岩人民医院202</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年第</w:t>
      </w: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期</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rPr>
        <w:t>项目编号:</w:t>
      </w:r>
      <w:r>
        <w:rPr>
          <w:rFonts w:hint="eastAsia" w:ascii="宋体" w:hAnsi="宋体" w:cs="宋体"/>
          <w:b/>
          <w:color w:val="000000"/>
          <w:sz w:val="28"/>
          <w:szCs w:val="28"/>
          <w:lang w:eastAsia="zh-CN"/>
        </w:rPr>
        <w:t>SYYYZBCG2025-13</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5"/>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98"/>
        <w:gridCol w:w="810"/>
        <w:gridCol w:w="1313"/>
        <w:gridCol w:w="1313"/>
        <w:gridCol w:w="1557"/>
        <w:gridCol w:w="1557"/>
      </w:tblGrid>
      <w:tr w14:paraId="5C7F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427" w:type="dxa"/>
            <w:vAlign w:val="center"/>
          </w:tcPr>
          <w:p w14:paraId="38DF73D8">
            <w:pPr>
              <w:pStyle w:val="11"/>
              <w:jc w:val="center"/>
              <w:rPr>
                <w:rFonts w:hint="eastAsia" w:hAnsi="宋体"/>
                <w:b/>
                <w:color w:val="FF0000"/>
                <w:kern w:val="0"/>
              </w:rPr>
            </w:pPr>
            <w:r>
              <w:rPr>
                <w:rFonts w:hint="eastAsia" w:hAnsi="宋体"/>
                <w:b/>
                <w:color w:val="FF0000"/>
                <w:kern w:val="0"/>
              </w:rPr>
              <w:t>序号</w:t>
            </w:r>
          </w:p>
        </w:tc>
        <w:tc>
          <w:tcPr>
            <w:tcW w:w="1198" w:type="dxa"/>
            <w:vAlign w:val="center"/>
          </w:tcPr>
          <w:p w14:paraId="31985B75">
            <w:pPr>
              <w:pStyle w:val="11"/>
              <w:jc w:val="center"/>
              <w:rPr>
                <w:rFonts w:hint="eastAsia" w:hAnsi="宋体"/>
                <w:b/>
                <w:color w:val="FF0000"/>
                <w:kern w:val="0"/>
              </w:rPr>
            </w:pPr>
            <w:r>
              <w:rPr>
                <w:rFonts w:hint="eastAsia" w:hAnsi="宋体"/>
                <w:b/>
                <w:color w:val="FF0000"/>
                <w:kern w:val="0"/>
              </w:rPr>
              <w:t>采购项目名称</w:t>
            </w:r>
          </w:p>
        </w:tc>
        <w:tc>
          <w:tcPr>
            <w:tcW w:w="810" w:type="dxa"/>
            <w:vAlign w:val="center"/>
          </w:tcPr>
          <w:p w14:paraId="03CBFB1E">
            <w:pPr>
              <w:pStyle w:val="11"/>
              <w:jc w:val="center"/>
              <w:rPr>
                <w:rFonts w:hint="default" w:hAnsi="宋体" w:eastAsia="宋体"/>
                <w:b/>
                <w:color w:val="FF0000"/>
                <w:kern w:val="0"/>
                <w:lang w:val="en-US" w:eastAsia="zh-CN"/>
              </w:rPr>
            </w:pPr>
            <w:r>
              <w:rPr>
                <w:rFonts w:hint="eastAsia" w:hAnsi="宋体"/>
                <w:b/>
                <w:color w:val="FF0000"/>
                <w:kern w:val="0"/>
              </w:rPr>
              <w:t>服务名称</w:t>
            </w:r>
          </w:p>
        </w:tc>
        <w:tc>
          <w:tcPr>
            <w:tcW w:w="1313" w:type="dxa"/>
            <w:vAlign w:val="center"/>
          </w:tcPr>
          <w:p w14:paraId="65451B42">
            <w:pPr>
              <w:pStyle w:val="11"/>
              <w:jc w:val="center"/>
              <w:rPr>
                <w:rFonts w:hint="eastAsia" w:hAnsi="宋体"/>
                <w:b/>
                <w:color w:val="FF0000"/>
                <w:kern w:val="0"/>
                <w:lang w:val="en-US" w:eastAsia="zh-CN"/>
              </w:rPr>
            </w:pPr>
            <w:r>
              <w:rPr>
                <w:rFonts w:hint="eastAsia" w:hAnsi="宋体"/>
                <w:b/>
                <w:color w:val="FF0000"/>
                <w:kern w:val="0"/>
              </w:rPr>
              <w:t>预算单价（元/份）</w:t>
            </w:r>
          </w:p>
        </w:tc>
        <w:tc>
          <w:tcPr>
            <w:tcW w:w="1313" w:type="dxa"/>
            <w:vAlign w:val="center"/>
          </w:tcPr>
          <w:p w14:paraId="26B9A793">
            <w:pPr>
              <w:pStyle w:val="11"/>
              <w:jc w:val="center"/>
              <w:rPr>
                <w:rFonts w:hint="default" w:hAnsi="宋体"/>
                <w:b/>
                <w:color w:val="FF0000"/>
                <w:kern w:val="0"/>
                <w:lang w:val="en-US" w:eastAsia="zh-CN"/>
              </w:rPr>
            </w:pPr>
            <w:r>
              <w:rPr>
                <w:rFonts w:hint="eastAsia" w:hAnsi="宋体"/>
                <w:b/>
                <w:color w:val="FF0000"/>
                <w:kern w:val="0"/>
                <w:lang w:val="en-US" w:eastAsia="zh-CN"/>
              </w:rPr>
              <w:t>投标单价（</w:t>
            </w:r>
            <w:r>
              <w:rPr>
                <w:rFonts w:hint="eastAsia" w:hAnsi="宋体"/>
                <w:b/>
                <w:color w:val="FF0000"/>
                <w:kern w:val="0"/>
              </w:rPr>
              <w:t>元/份</w:t>
            </w:r>
            <w:r>
              <w:rPr>
                <w:rFonts w:hint="eastAsia" w:hAnsi="宋体"/>
                <w:b/>
                <w:color w:val="FF0000"/>
                <w:kern w:val="0"/>
                <w:lang w:val="en-US" w:eastAsia="zh-CN"/>
              </w:rPr>
              <w:t>）</w:t>
            </w:r>
          </w:p>
        </w:tc>
        <w:tc>
          <w:tcPr>
            <w:tcW w:w="1557" w:type="dxa"/>
            <w:shd w:val="clear" w:color="auto" w:fill="auto"/>
            <w:vAlign w:val="center"/>
          </w:tcPr>
          <w:p w14:paraId="50417107">
            <w:pPr>
              <w:pStyle w:val="11"/>
              <w:jc w:val="center"/>
              <w:rPr>
                <w:rFonts w:hint="eastAsia" w:ascii="宋体" w:hAnsi="宋体" w:eastAsia="宋体" w:cs="宋体"/>
                <w:b/>
                <w:color w:val="FF0000"/>
                <w:kern w:val="0"/>
                <w:sz w:val="21"/>
                <w:szCs w:val="21"/>
                <w:lang w:val="en-US" w:eastAsia="zh-CN" w:bidi="ar-SA"/>
              </w:rPr>
            </w:pPr>
            <w:r>
              <w:rPr>
                <w:rFonts w:hint="eastAsia" w:hAnsi="宋体"/>
                <w:b/>
                <w:color w:val="FF0000"/>
                <w:kern w:val="0"/>
                <w:lang w:val="en-US" w:eastAsia="zh-CN"/>
              </w:rPr>
              <w:t>年度拟采购数量及单位</w:t>
            </w:r>
          </w:p>
        </w:tc>
        <w:tc>
          <w:tcPr>
            <w:tcW w:w="1557" w:type="dxa"/>
            <w:vAlign w:val="center"/>
          </w:tcPr>
          <w:p w14:paraId="785BECDC">
            <w:pPr>
              <w:pStyle w:val="11"/>
              <w:jc w:val="center"/>
              <w:rPr>
                <w:rFonts w:hint="eastAsia" w:hAnsi="宋体" w:eastAsia="宋体"/>
                <w:b/>
                <w:color w:val="FF0000"/>
                <w:kern w:val="0"/>
                <w:lang w:val="en-US" w:eastAsia="zh-CN"/>
              </w:rPr>
            </w:pPr>
            <w:r>
              <w:rPr>
                <w:rFonts w:hint="eastAsia" w:hAnsi="宋体"/>
                <w:b/>
                <w:color w:val="FF0000"/>
                <w:kern w:val="0"/>
                <w:lang w:val="en-US" w:eastAsia="zh-CN"/>
              </w:rPr>
              <w:t>备注</w:t>
            </w:r>
          </w:p>
        </w:tc>
      </w:tr>
      <w:tr w14:paraId="57A0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27" w:type="dxa"/>
            <w:vMerge w:val="restart"/>
            <w:vAlign w:val="center"/>
          </w:tcPr>
          <w:p w14:paraId="257816DC">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w:t>
            </w:r>
          </w:p>
        </w:tc>
        <w:tc>
          <w:tcPr>
            <w:tcW w:w="1198" w:type="dxa"/>
            <w:vMerge w:val="restart"/>
            <w:vAlign w:val="center"/>
          </w:tcPr>
          <w:p w14:paraId="0AF0F51A">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病案数字化扫描和托管服务</w:t>
            </w:r>
          </w:p>
          <w:p w14:paraId="5B8F0682">
            <w:pPr>
              <w:widowControl/>
              <w:snapToGrid w:val="0"/>
              <w:ind w:left="0" w:leftChars="-260" w:right="-617" w:rightChars="-294" w:hanging="546" w:hangingChars="260"/>
              <w:contextualSpacing/>
              <w:jc w:val="center"/>
              <w:rPr>
                <w:rFonts w:hint="eastAsia" w:ascii="宋体" w:hAnsi="宋体" w:eastAsia="宋体" w:cs="宋体"/>
                <w:color w:val="000000"/>
                <w:kern w:val="0"/>
                <w:sz w:val="21"/>
                <w:szCs w:val="21"/>
                <w:lang w:val="en-US" w:eastAsia="zh-CN" w:bidi="ar-SA"/>
              </w:rPr>
            </w:pPr>
          </w:p>
        </w:tc>
        <w:tc>
          <w:tcPr>
            <w:tcW w:w="810" w:type="dxa"/>
            <w:vAlign w:val="center"/>
          </w:tcPr>
          <w:p w14:paraId="3E8FCA63">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病案扫描</w:t>
            </w:r>
          </w:p>
        </w:tc>
        <w:tc>
          <w:tcPr>
            <w:tcW w:w="1313" w:type="dxa"/>
            <w:vAlign w:val="center"/>
          </w:tcPr>
          <w:p w14:paraId="0AB4CC00">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2.23</w:t>
            </w:r>
          </w:p>
        </w:tc>
        <w:tc>
          <w:tcPr>
            <w:tcW w:w="1313" w:type="dxa"/>
            <w:vAlign w:val="center"/>
          </w:tcPr>
          <w:p w14:paraId="7FB29CB5">
            <w:pPr>
              <w:pStyle w:val="11"/>
              <w:jc w:val="center"/>
              <w:rPr>
                <w:rFonts w:hint="eastAsia" w:ascii="宋体" w:hAnsi="宋体" w:eastAsia="宋体" w:cs="宋体"/>
                <w:color w:val="000000"/>
                <w:kern w:val="0"/>
                <w:sz w:val="21"/>
                <w:szCs w:val="21"/>
                <w:lang w:val="en-US" w:eastAsia="zh-CN" w:bidi="ar-SA"/>
              </w:rPr>
            </w:pPr>
          </w:p>
        </w:tc>
        <w:tc>
          <w:tcPr>
            <w:tcW w:w="1557" w:type="dxa"/>
            <w:shd w:val="clear" w:color="auto" w:fill="auto"/>
            <w:vAlign w:val="center"/>
          </w:tcPr>
          <w:p w14:paraId="5BDCACD6">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42000份</w:t>
            </w:r>
          </w:p>
        </w:tc>
        <w:tc>
          <w:tcPr>
            <w:tcW w:w="1557" w:type="dxa"/>
            <w:vAlign w:val="center"/>
          </w:tcPr>
          <w:p w14:paraId="4B9B52B6">
            <w:pPr>
              <w:pStyle w:val="11"/>
              <w:jc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w:t>
            </w:r>
          </w:p>
        </w:tc>
      </w:tr>
      <w:tr w14:paraId="277F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7" w:type="dxa"/>
            <w:vMerge w:val="continue"/>
            <w:vAlign w:val="center"/>
          </w:tcPr>
          <w:p w14:paraId="02A2CFDD">
            <w:pPr>
              <w:pStyle w:val="11"/>
              <w:jc w:val="center"/>
              <w:rPr>
                <w:rFonts w:hint="eastAsia" w:ascii="宋体" w:hAnsi="宋体" w:eastAsia="宋体" w:cs="宋体"/>
                <w:color w:val="000000"/>
                <w:kern w:val="0"/>
                <w:sz w:val="21"/>
                <w:szCs w:val="21"/>
                <w:lang w:val="en-US" w:eastAsia="zh-CN" w:bidi="ar-SA"/>
              </w:rPr>
            </w:pPr>
          </w:p>
        </w:tc>
        <w:tc>
          <w:tcPr>
            <w:tcW w:w="1198" w:type="dxa"/>
            <w:vMerge w:val="continue"/>
            <w:vAlign w:val="center"/>
          </w:tcPr>
          <w:p w14:paraId="3EE7D9F6">
            <w:pPr>
              <w:widowControl/>
              <w:snapToGrid w:val="0"/>
              <w:ind w:left="0" w:leftChars="-260" w:right="-617" w:rightChars="-294" w:hanging="546" w:hangingChars="260"/>
              <w:contextualSpacing/>
              <w:jc w:val="center"/>
              <w:rPr>
                <w:rFonts w:hint="eastAsia" w:ascii="宋体" w:hAnsi="宋体" w:eastAsia="宋体" w:cs="宋体"/>
                <w:color w:val="000000"/>
                <w:kern w:val="0"/>
                <w:sz w:val="21"/>
                <w:szCs w:val="21"/>
                <w:lang w:val="en-US" w:eastAsia="zh-CN" w:bidi="ar-SA"/>
              </w:rPr>
            </w:pPr>
          </w:p>
        </w:tc>
        <w:tc>
          <w:tcPr>
            <w:tcW w:w="810" w:type="dxa"/>
            <w:vAlign w:val="center"/>
          </w:tcPr>
          <w:p w14:paraId="4288DAE3">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病案托管</w:t>
            </w:r>
          </w:p>
        </w:tc>
        <w:tc>
          <w:tcPr>
            <w:tcW w:w="1313" w:type="dxa"/>
            <w:vAlign w:val="center"/>
          </w:tcPr>
          <w:p w14:paraId="4CE85E3B">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0.2</w:t>
            </w:r>
          </w:p>
        </w:tc>
        <w:tc>
          <w:tcPr>
            <w:tcW w:w="1313" w:type="dxa"/>
            <w:vAlign w:val="center"/>
          </w:tcPr>
          <w:p w14:paraId="0D32AB48">
            <w:pPr>
              <w:pStyle w:val="11"/>
              <w:jc w:val="center"/>
              <w:rPr>
                <w:rFonts w:hint="eastAsia" w:ascii="宋体" w:hAnsi="宋体" w:eastAsia="宋体" w:cs="宋体"/>
                <w:color w:val="000000"/>
                <w:kern w:val="0"/>
                <w:sz w:val="21"/>
                <w:szCs w:val="21"/>
                <w:lang w:val="en-US" w:eastAsia="zh-CN" w:bidi="ar-SA"/>
              </w:rPr>
            </w:pPr>
          </w:p>
        </w:tc>
        <w:tc>
          <w:tcPr>
            <w:tcW w:w="1557" w:type="dxa"/>
            <w:shd w:val="clear" w:color="auto" w:fill="auto"/>
            <w:vAlign w:val="center"/>
          </w:tcPr>
          <w:p w14:paraId="7F334DF3">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500000份</w:t>
            </w:r>
          </w:p>
        </w:tc>
        <w:tc>
          <w:tcPr>
            <w:tcW w:w="1557" w:type="dxa"/>
            <w:vAlign w:val="center"/>
          </w:tcPr>
          <w:p w14:paraId="59FD64EC">
            <w:pPr>
              <w:pStyle w:val="11"/>
              <w:jc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w:t>
            </w:r>
          </w:p>
        </w:tc>
      </w:tr>
      <w:tr w14:paraId="1472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jc w:val="center"/>
        </w:trPr>
        <w:tc>
          <w:tcPr>
            <w:tcW w:w="427" w:type="dxa"/>
            <w:vMerge w:val="continue"/>
            <w:vAlign w:val="center"/>
          </w:tcPr>
          <w:p w14:paraId="7F1435A6">
            <w:pPr>
              <w:pStyle w:val="11"/>
              <w:jc w:val="center"/>
              <w:rPr>
                <w:rFonts w:hint="eastAsia" w:ascii="宋体" w:hAnsi="宋体" w:eastAsia="宋体" w:cs="宋体"/>
                <w:color w:val="000000"/>
                <w:kern w:val="0"/>
                <w:sz w:val="21"/>
                <w:szCs w:val="21"/>
                <w:lang w:val="en-US" w:eastAsia="zh-CN" w:bidi="ar-SA"/>
              </w:rPr>
            </w:pPr>
          </w:p>
        </w:tc>
        <w:tc>
          <w:tcPr>
            <w:tcW w:w="1198" w:type="dxa"/>
            <w:vMerge w:val="continue"/>
            <w:vAlign w:val="center"/>
          </w:tcPr>
          <w:p w14:paraId="16104CF3">
            <w:pPr>
              <w:widowControl/>
              <w:snapToGrid w:val="0"/>
              <w:ind w:left="0" w:leftChars="-260" w:right="-617" w:rightChars="-294" w:hanging="546" w:hangingChars="260"/>
              <w:contextualSpacing/>
              <w:jc w:val="center"/>
              <w:rPr>
                <w:rFonts w:hint="eastAsia" w:ascii="宋体" w:hAnsi="宋体" w:eastAsia="宋体" w:cs="宋体"/>
                <w:color w:val="000000"/>
                <w:kern w:val="0"/>
                <w:sz w:val="21"/>
                <w:szCs w:val="21"/>
                <w:lang w:val="en-US" w:eastAsia="zh-CN" w:bidi="ar-SA"/>
              </w:rPr>
            </w:pPr>
          </w:p>
        </w:tc>
        <w:tc>
          <w:tcPr>
            <w:tcW w:w="810" w:type="dxa"/>
            <w:vAlign w:val="center"/>
          </w:tcPr>
          <w:p w14:paraId="58443C3D">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病案首页录入</w:t>
            </w:r>
          </w:p>
        </w:tc>
        <w:tc>
          <w:tcPr>
            <w:tcW w:w="1313" w:type="dxa"/>
            <w:vAlign w:val="center"/>
          </w:tcPr>
          <w:p w14:paraId="572E2774">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2.5</w:t>
            </w:r>
          </w:p>
        </w:tc>
        <w:tc>
          <w:tcPr>
            <w:tcW w:w="1313" w:type="dxa"/>
            <w:vAlign w:val="center"/>
          </w:tcPr>
          <w:p w14:paraId="3F90532D">
            <w:pPr>
              <w:pStyle w:val="11"/>
              <w:jc w:val="center"/>
              <w:rPr>
                <w:rFonts w:hint="eastAsia" w:ascii="宋体" w:hAnsi="宋体" w:eastAsia="宋体" w:cs="宋体"/>
                <w:color w:val="000000"/>
                <w:kern w:val="0"/>
                <w:sz w:val="21"/>
                <w:szCs w:val="21"/>
                <w:lang w:val="en-US" w:eastAsia="zh-CN" w:bidi="ar-SA"/>
              </w:rPr>
            </w:pPr>
          </w:p>
        </w:tc>
        <w:tc>
          <w:tcPr>
            <w:tcW w:w="1557" w:type="dxa"/>
            <w:shd w:val="clear" w:color="auto" w:fill="auto"/>
            <w:vAlign w:val="center"/>
          </w:tcPr>
          <w:p w14:paraId="244DEC8D">
            <w:pPr>
              <w:pStyle w:val="11"/>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24000份</w:t>
            </w:r>
          </w:p>
        </w:tc>
        <w:tc>
          <w:tcPr>
            <w:tcW w:w="1557" w:type="dxa"/>
            <w:vAlign w:val="center"/>
          </w:tcPr>
          <w:p w14:paraId="4FB7A18A">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1.病案首页录入服务数量每月1500 份以内（含1500份），保底4130元/月。</w:t>
            </w:r>
          </w:p>
          <w:p w14:paraId="3B3F995F">
            <w:pPr>
              <w:keepNext w:val="0"/>
              <w:keepLines w:val="0"/>
              <w:widowControl/>
              <w:numPr>
                <w:ilvl w:val="0"/>
                <w:numId w:val="0"/>
              </w:numPr>
              <w:suppressLineNumbers w:val="0"/>
              <w:jc w:val="left"/>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2.每月超过 1500 份（不含），实际结算按发生数量为准。</w:t>
            </w:r>
          </w:p>
          <w:p w14:paraId="7E4A4D94">
            <w:pPr>
              <w:keepNext w:val="0"/>
              <w:keepLines w:val="0"/>
              <w:widowControl/>
              <w:numPr>
                <w:ilvl w:val="0"/>
                <w:numId w:val="0"/>
              </w:numPr>
              <w:suppressLineNumbers w:val="0"/>
              <w:jc w:val="left"/>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3.月度结算金额=4130元+（实际数量-1500份）*中标单价。</w:t>
            </w:r>
          </w:p>
        </w:tc>
      </w:tr>
      <w:tr w14:paraId="319E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748" w:type="dxa"/>
            <w:gridSpan w:val="4"/>
            <w:vAlign w:val="center"/>
          </w:tcPr>
          <w:p w14:paraId="22FD493B">
            <w:pPr>
              <w:pStyle w:val="11"/>
              <w:jc w:val="center"/>
              <w:rPr>
                <w:rFonts w:hint="default" w:hAnsi="宋体"/>
                <w:bCs/>
                <w:color w:val="FF0000"/>
                <w:kern w:val="0"/>
                <w:lang w:val="en-US" w:eastAsia="zh-CN"/>
              </w:rPr>
            </w:pPr>
            <w:r>
              <w:rPr>
                <w:rFonts w:hint="eastAsia" w:hAnsi="宋体"/>
                <w:b/>
                <w:bCs w:val="0"/>
                <w:color w:val="FF0000"/>
                <w:kern w:val="0"/>
                <w:lang w:val="en-US" w:eastAsia="zh-CN"/>
              </w:rPr>
              <w:t>【投标单价合计金额】</w:t>
            </w:r>
          </w:p>
        </w:tc>
        <w:tc>
          <w:tcPr>
            <w:tcW w:w="1313" w:type="dxa"/>
            <w:vAlign w:val="center"/>
          </w:tcPr>
          <w:p w14:paraId="68BB3252">
            <w:pPr>
              <w:pStyle w:val="11"/>
              <w:jc w:val="center"/>
              <w:rPr>
                <w:rFonts w:hint="eastAsia" w:ascii="宋体" w:hAnsi="宋体"/>
                <w:color w:val="FF0000"/>
                <w:sz w:val="24"/>
                <w:szCs w:val="24"/>
                <w:highlight w:val="none"/>
                <w:lang w:val="en-US" w:eastAsia="zh-CN"/>
              </w:rPr>
            </w:pPr>
          </w:p>
        </w:tc>
        <w:tc>
          <w:tcPr>
            <w:tcW w:w="3114" w:type="dxa"/>
            <w:gridSpan w:val="2"/>
            <w:tcBorders>
              <w:tr2bl w:val="single" w:color="auto" w:sz="4" w:space="0"/>
            </w:tcBorders>
            <w:vAlign w:val="center"/>
          </w:tcPr>
          <w:p w14:paraId="0E3CA39F">
            <w:pPr>
              <w:pStyle w:val="11"/>
              <w:jc w:val="center"/>
              <w:rPr>
                <w:rFonts w:hint="eastAsia" w:hAnsi="宋体"/>
                <w:bCs/>
                <w:color w:val="FF0000"/>
                <w:kern w:val="0"/>
              </w:rPr>
            </w:pPr>
          </w:p>
        </w:tc>
      </w:tr>
    </w:tbl>
    <w:p w14:paraId="6049E30F">
      <w:pPr>
        <w:spacing w:line="320" w:lineRule="exact"/>
        <w:rPr>
          <w:rFonts w:ascii="宋体" w:hAnsi="宋体"/>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27B371"/>
    <w:multiLevelType w:val="singleLevel"/>
    <w:tmpl w:val="A127B371"/>
    <w:lvl w:ilvl="0" w:tentative="0">
      <w:start w:val="2"/>
      <w:numFmt w:val="decimal"/>
      <w:suff w:val="space"/>
      <w:lvlText w:val="%1."/>
      <w:lvlJc w:val="left"/>
    </w:lvl>
  </w:abstractNum>
  <w:abstractNum w:abstractNumId="1">
    <w:nsid w:val="D8258E54"/>
    <w:multiLevelType w:val="singleLevel"/>
    <w:tmpl w:val="D8258E54"/>
    <w:lvl w:ilvl="0" w:tentative="0">
      <w:start w:val="1"/>
      <w:numFmt w:val="decimal"/>
      <w:suff w:val="space"/>
      <w:lvlText w:val="%1)"/>
      <w:lvlJc w:val="left"/>
      <w:pPr>
        <w:ind w:left="420" w:hanging="420"/>
      </w:pPr>
      <w:rPr>
        <w:rFonts w:hint="default"/>
      </w:rPr>
    </w:lvl>
  </w:abstractNum>
  <w:abstractNum w:abstractNumId="2">
    <w:nsid w:val="0F902DD8"/>
    <w:multiLevelType w:val="singleLevel"/>
    <w:tmpl w:val="0F902DD8"/>
    <w:lvl w:ilvl="0" w:tentative="0">
      <w:start w:val="1"/>
      <w:numFmt w:val="decimal"/>
      <w:suff w:val="space"/>
      <w:lvlText w:val="%1)"/>
      <w:lvlJc w:val="left"/>
      <w:pPr>
        <w:ind w:left="420" w:hanging="420"/>
      </w:pPr>
      <w:rPr>
        <w:rFonts w:hint="default"/>
      </w:rPr>
    </w:lvl>
  </w:abstractNum>
  <w:abstractNum w:abstractNumId="3">
    <w:nsid w:val="1007157E"/>
    <w:multiLevelType w:val="singleLevel"/>
    <w:tmpl w:val="1007157E"/>
    <w:lvl w:ilvl="0" w:tentative="0">
      <w:start w:val="1"/>
      <w:numFmt w:val="decimal"/>
      <w:suff w:val="space"/>
      <w:lvlText w:val="%1)"/>
      <w:lvlJc w:val="left"/>
      <w:pPr>
        <w:ind w:left="420" w:hanging="420"/>
      </w:pPr>
      <w:rPr>
        <w:rFonts w:hint="default"/>
      </w:rPr>
    </w:lvl>
  </w:abstractNum>
  <w:abstractNum w:abstractNumId="4">
    <w:nsid w:val="3EFEECF0"/>
    <w:multiLevelType w:val="singleLevel"/>
    <w:tmpl w:val="3EFEECF0"/>
    <w:lvl w:ilvl="0" w:tentative="0">
      <w:start w:val="1"/>
      <w:numFmt w:val="decimal"/>
      <w:lvlText w:val="%1."/>
      <w:lvlJc w:val="left"/>
      <w:pPr>
        <w:tabs>
          <w:tab w:val="left" w:pos="312"/>
        </w:tabs>
        <w:ind w:left="105" w:firstLine="0"/>
      </w:pPr>
    </w:lvl>
  </w:abstractNum>
  <w:abstractNum w:abstractNumId="5">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6">
    <w:nsid w:val="71330A95"/>
    <w:multiLevelType w:val="singleLevel"/>
    <w:tmpl w:val="71330A95"/>
    <w:lvl w:ilvl="0" w:tentative="0">
      <w:start w:val="1"/>
      <w:numFmt w:val="decimal"/>
      <w:suff w:val="space"/>
      <w:lvlText w:val="%1)"/>
      <w:lvlJc w:val="left"/>
      <w:pPr>
        <w:ind w:left="420" w:hanging="420"/>
      </w:pPr>
      <w:rPr>
        <w:rFonts w:hint="default"/>
      </w:rPr>
    </w:lvl>
  </w:abstractNum>
  <w:abstractNum w:abstractNumId="7">
    <w:nsid w:val="743C6090"/>
    <w:multiLevelType w:val="singleLevel"/>
    <w:tmpl w:val="743C6090"/>
    <w:lvl w:ilvl="0" w:tentative="0">
      <w:start w:val="1"/>
      <w:numFmt w:val="decimal"/>
      <w:suff w:val="space"/>
      <w:lvlText w:val="%1)"/>
      <w:lvlJc w:val="left"/>
      <w:pPr>
        <w:ind w:left="420" w:hanging="420"/>
      </w:pPr>
      <w:rPr>
        <w:rFonts w:hint="default"/>
      </w:rPr>
    </w:lvl>
  </w:abstractNum>
  <w:abstractNum w:abstractNumId="8">
    <w:nsid w:val="74DF721D"/>
    <w:multiLevelType w:val="singleLevel"/>
    <w:tmpl w:val="74DF721D"/>
    <w:lvl w:ilvl="0" w:tentative="0">
      <w:start w:val="1"/>
      <w:numFmt w:val="decimal"/>
      <w:suff w:val="space"/>
      <w:lvlText w:val="%1)"/>
      <w:lvlJc w:val="left"/>
      <w:pPr>
        <w:ind w:left="420" w:hanging="420"/>
      </w:pPr>
      <w:rPr>
        <w:rFonts w:hint="default"/>
      </w:rPr>
    </w:lvl>
  </w:abstractNum>
  <w:abstractNum w:abstractNumId="9">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6"/>
  </w:num>
  <w:num w:numId="4">
    <w:abstractNumId w:val="0"/>
  </w:num>
  <w:num w:numId="5">
    <w:abstractNumId w:val="2"/>
  </w:num>
  <w:num w:numId="6">
    <w:abstractNumId w:val="7"/>
  </w:num>
  <w:num w:numId="7">
    <w:abstractNumId w:val="8"/>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EF16FF"/>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137F4C"/>
    <w:rsid w:val="023579C8"/>
    <w:rsid w:val="02365537"/>
    <w:rsid w:val="023A1380"/>
    <w:rsid w:val="02A143D0"/>
    <w:rsid w:val="02A623F4"/>
    <w:rsid w:val="03CE5557"/>
    <w:rsid w:val="04051440"/>
    <w:rsid w:val="040E3C03"/>
    <w:rsid w:val="04147B6B"/>
    <w:rsid w:val="04410970"/>
    <w:rsid w:val="0458764A"/>
    <w:rsid w:val="045E78EA"/>
    <w:rsid w:val="046D23D6"/>
    <w:rsid w:val="04B56B22"/>
    <w:rsid w:val="051F4336"/>
    <w:rsid w:val="058003D3"/>
    <w:rsid w:val="0585243C"/>
    <w:rsid w:val="058D14E6"/>
    <w:rsid w:val="05A916FD"/>
    <w:rsid w:val="05C85AC2"/>
    <w:rsid w:val="05EA06F1"/>
    <w:rsid w:val="06311C08"/>
    <w:rsid w:val="064F28F7"/>
    <w:rsid w:val="06606E3A"/>
    <w:rsid w:val="06947DDF"/>
    <w:rsid w:val="06A4344F"/>
    <w:rsid w:val="07235607"/>
    <w:rsid w:val="07750484"/>
    <w:rsid w:val="07AF7E3A"/>
    <w:rsid w:val="07CB416F"/>
    <w:rsid w:val="07D50310"/>
    <w:rsid w:val="08277A83"/>
    <w:rsid w:val="084148CC"/>
    <w:rsid w:val="08CB0CA3"/>
    <w:rsid w:val="08DF3D52"/>
    <w:rsid w:val="09015385"/>
    <w:rsid w:val="093F3971"/>
    <w:rsid w:val="094009C2"/>
    <w:rsid w:val="09975CDD"/>
    <w:rsid w:val="09A03EDE"/>
    <w:rsid w:val="09A12E0A"/>
    <w:rsid w:val="0A2B08CC"/>
    <w:rsid w:val="0ABF5336"/>
    <w:rsid w:val="0ACF69F6"/>
    <w:rsid w:val="0AD42A6C"/>
    <w:rsid w:val="0ADB6776"/>
    <w:rsid w:val="0AE41BA8"/>
    <w:rsid w:val="0B0A6753"/>
    <w:rsid w:val="0B6E5B51"/>
    <w:rsid w:val="0BF4035C"/>
    <w:rsid w:val="0BF66511"/>
    <w:rsid w:val="0C0249C1"/>
    <w:rsid w:val="0C026B10"/>
    <w:rsid w:val="0C546A8C"/>
    <w:rsid w:val="0C61289A"/>
    <w:rsid w:val="0CFD3DDF"/>
    <w:rsid w:val="0D0137BF"/>
    <w:rsid w:val="0D476125"/>
    <w:rsid w:val="0D607708"/>
    <w:rsid w:val="0DA7141F"/>
    <w:rsid w:val="0DAD030B"/>
    <w:rsid w:val="0DB87CD2"/>
    <w:rsid w:val="0DEA30FF"/>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014D2"/>
    <w:rsid w:val="11537214"/>
    <w:rsid w:val="117E0F6F"/>
    <w:rsid w:val="11F01C84"/>
    <w:rsid w:val="120078F0"/>
    <w:rsid w:val="123B1F6E"/>
    <w:rsid w:val="12594A2B"/>
    <w:rsid w:val="126350FE"/>
    <w:rsid w:val="12752FAF"/>
    <w:rsid w:val="12C53CBF"/>
    <w:rsid w:val="12EA1003"/>
    <w:rsid w:val="12FA4D3D"/>
    <w:rsid w:val="13324923"/>
    <w:rsid w:val="13640A4D"/>
    <w:rsid w:val="136D6ABE"/>
    <w:rsid w:val="137C08A6"/>
    <w:rsid w:val="138342C3"/>
    <w:rsid w:val="13A60619"/>
    <w:rsid w:val="14201F34"/>
    <w:rsid w:val="1469095F"/>
    <w:rsid w:val="15022918"/>
    <w:rsid w:val="151C63E2"/>
    <w:rsid w:val="15271495"/>
    <w:rsid w:val="158B6386"/>
    <w:rsid w:val="15941E22"/>
    <w:rsid w:val="15E52C78"/>
    <w:rsid w:val="15F02F80"/>
    <w:rsid w:val="15F65201"/>
    <w:rsid w:val="161D2575"/>
    <w:rsid w:val="163B4F47"/>
    <w:rsid w:val="167F3E50"/>
    <w:rsid w:val="16B37F65"/>
    <w:rsid w:val="16D72D03"/>
    <w:rsid w:val="17193B6F"/>
    <w:rsid w:val="172C618F"/>
    <w:rsid w:val="17424826"/>
    <w:rsid w:val="1791646E"/>
    <w:rsid w:val="17CF144B"/>
    <w:rsid w:val="17E943D9"/>
    <w:rsid w:val="18C816C6"/>
    <w:rsid w:val="195C4BF4"/>
    <w:rsid w:val="197C0007"/>
    <w:rsid w:val="19D454DE"/>
    <w:rsid w:val="1A4D6620"/>
    <w:rsid w:val="1A943556"/>
    <w:rsid w:val="1AAB623F"/>
    <w:rsid w:val="1AB258A4"/>
    <w:rsid w:val="1AE810AB"/>
    <w:rsid w:val="1B5F527B"/>
    <w:rsid w:val="1B826CAD"/>
    <w:rsid w:val="1BB33561"/>
    <w:rsid w:val="1BBE3026"/>
    <w:rsid w:val="1C1B2640"/>
    <w:rsid w:val="1C3D2105"/>
    <w:rsid w:val="1C3F1570"/>
    <w:rsid w:val="1C4A1E12"/>
    <w:rsid w:val="1C813548"/>
    <w:rsid w:val="1C8F27F1"/>
    <w:rsid w:val="1CF82E88"/>
    <w:rsid w:val="1D86647B"/>
    <w:rsid w:val="1DC454C9"/>
    <w:rsid w:val="1DE57900"/>
    <w:rsid w:val="1E105B1F"/>
    <w:rsid w:val="1E4C2703"/>
    <w:rsid w:val="1E9F4EDC"/>
    <w:rsid w:val="1EA57C51"/>
    <w:rsid w:val="1EBA1E08"/>
    <w:rsid w:val="1EBE176F"/>
    <w:rsid w:val="1ED701A5"/>
    <w:rsid w:val="1F277B72"/>
    <w:rsid w:val="1F6C5D0D"/>
    <w:rsid w:val="1F8C3FD1"/>
    <w:rsid w:val="1F951999"/>
    <w:rsid w:val="1FB262C1"/>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73608F"/>
    <w:rsid w:val="22A275AD"/>
    <w:rsid w:val="22C76102"/>
    <w:rsid w:val="23005595"/>
    <w:rsid w:val="23036D2C"/>
    <w:rsid w:val="2395624F"/>
    <w:rsid w:val="2396465A"/>
    <w:rsid w:val="23B63181"/>
    <w:rsid w:val="24065683"/>
    <w:rsid w:val="240A020C"/>
    <w:rsid w:val="242E18FB"/>
    <w:rsid w:val="24375C15"/>
    <w:rsid w:val="246A53D5"/>
    <w:rsid w:val="247A690F"/>
    <w:rsid w:val="24D84CE9"/>
    <w:rsid w:val="24E92284"/>
    <w:rsid w:val="2511759F"/>
    <w:rsid w:val="256D6D05"/>
    <w:rsid w:val="25744C7A"/>
    <w:rsid w:val="263453F8"/>
    <w:rsid w:val="263C68E5"/>
    <w:rsid w:val="26400EBA"/>
    <w:rsid w:val="2650148C"/>
    <w:rsid w:val="26BC34E5"/>
    <w:rsid w:val="26DF58EA"/>
    <w:rsid w:val="26DF638E"/>
    <w:rsid w:val="26E86FA4"/>
    <w:rsid w:val="26F369E1"/>
    <w:rsid w:val="278A7B32"/>
    <w:rsid w:val="27D26266"/>
    <w:rsid w:val="27DA025D"/>
    <w:rsid w:val="28011B74"/>
    <w:rsid w:val="2861644F"/>
    <w:rsid w:val="28683667"/>
    <w:rsid w:val="287D074A"/>
    <w:rsid w:val="28832A7D"/>
    <w:rsid w:val="28B75145"/>
    <w:rsid w:val="28F76ACD"/>
    <w:rsid w:val="29336DE1"/>
    <w:rsid w:val="29B02846"/>
    <w:rsid w:val="2A491472"/>
    <w:rsid w:val="2A5F682C"/>
    <w:rsid w:val="2A7D214D"/>
    <w:rsid w:val="2A866380"/>
    <w:rsid w:val="2AA50EFC"/>
    <w:rsid w:val="2B903A3A"/>
    <w:rsid w:val="2BB92785"/>
    <w:rsid w:val="2BE11EED"/>
    <w:rsid w:val="2BE47A1F"/>
    <w:rsid w:val="2BEA5A48"/>
    <w:rsid w:val="2C1A620B"/>
    <w:rsid w:val="2C3342E6"/>
    <w:rsid w:val="2C3B319A"/>
    <w:rsid w:val="2C6234F2"/>
    <w:rsid w:val="2C632468"/>
    <w:rsid w:val="2C707634"/>
    <w:rsid w:val="2C7E77FE"/>
    <w:rsid w:val="2CCC7151"/>
    <w:rsid w:val="2CD6118A"/>
    <w:rsid w:val="2CF008E7"/>
    <w:rsid w:val="2D03418D"/>
    <w:rsid w:val="2D5568C4"/>
    <w:rsid w:val="2D5C355C"/>
    <w:rsid w:val="2DBB1C5C"/>
    <w:rsid w:val="2DE85EFD"/>
    <w:rsid w:val="2E40760B"/>
    <w:rsid w:val="2E6356A7"/>
    <w:rsid w:val="2EB44748"/>
    <w:rsid w:val="2F36293F"/>
    <w:rsid w:val="2F7A5790"/>
    <w:rsid w:val="2F834F89"/>
    <w:rsid w:val="2F944BAA"/>
    <w:rsid w:val="2F9B5244"/>
    <w:rsid w:val="2FA02C29"/>
    <w:rsid w:val="30110A49"/>
    <w:rsid w:val="30220BB7"/>
    <w:rsid w:val="304235BD"/>
    <w:rsid w:val="30674160"/>
    <w:rsid w:val="30A6499A"/>
    <w:rsid w:val="311F45E1"/>
    <w:rsid w:val="314074A8"/>
    <w:rsid w:val="31600B93"/>
    <w:rsid w:val="31A76597"/>
    <w:rsid w:val="31B42A02"/>
    <w:rsid w:val="321761DD"/>
    <w:rsid w:val="324A2A66"/>
    <w:rsid w:val="32A035D1"/>
    <w:rsid w:val="32D2354E"/>
    <w:rsid w:val="330B5D79"/>
    <w:rsid w:val="33274478"/>
    <w:rsid w:val="3333192C"/>
    <w:rsid w:val="33BC7EC4"/>
    <w:rsid w:val="34014456"/>
    <w:rsid w:val="34BA1016"/>
    <w:rsid w:val="34FC38DA"/>
    <w:rsid w:val="352F4FEE"/>
    <w:rsid w:val="35E90F65"/>
    <w:rsid w:val="36064F2B"/>
    <w:rsid w:val="36117B51"/>
    <w:rsid w:val="36282051"/>
    <w:rsid w:val="36490B63"/>
    <w:rsid w:val="366B6DD7"/>
    <w:rsid w:val="36764774"/>
    <w:rsid w:val="36D54A9B"/>
    <w:rsid w:val="374061D6"/>
    <w:rsid w:val="37B80232"/>
    <w:rsid w:val="37EF5645"/>
    <w:rsid w:val="384E323D"/>
    <w:rsid w:val="386D2ED1"/>
    <w:rsid w:val="388574E5"/>
    <w:rsid w:val="388E2006"/>
    <w:rsid w:val="38960196"/>
    <w:rsid w:val="391705BD"/>
    <w:rsid w:val="391C31AE"/>
    <w:rsid w:val="394413FB"/>
    <w:rsid w:val="398203D3"/>
    <w:rsid w:val="399F2BC2"/>
    <w:rsid w:val="39D23390"/>
    <w:rsid w:val="39D435F1"/>
    <w:rsid w:val="39DA5E98"/>
    <w:rsid w:val="3A015D92"/>
    <w:rsid w:val="3A306D57"/>
    <w:rsid w:val="3A676BB4"/>
    <w:rsid w:val="3A976388"/>
    <w:rsid w:val="3AB818AA"/>
    <w:rsid w:val="3AF43E0B"/>
    <w:rsid w:val="3B3A1DA3"/>
    <w:rsid w:val="3B3D42BE"/>
    <w:rsid w:val="3B753098"/>
    <w:rsid w:val="3B8713C1"/>
    <w:rsid w:val="3BCA412D"/>
    <w:rsid w:val="3C4A6A2B"/>
    <w:rsid w:val="3C650E53"/>
    <w:rsid w:val="3C680688"/>
    <w:rsid w:val="3C757B77"/>
    <w:rsid w:val="3C823848"/>
    <w:rsid w:val="3C9F2ED3"/>
    <w:rsid w:val="3D0A18CB"/>
    <w:rsid w:val="3D4A6087"/>
    <w:rsid w:val="3DAC5CA6"/>
    <w:rsid w:val="3DB50E5B"/>
    <w:rsid w:val="3DFA1540"/>
    <w:rsid w:val="3E1C3315"/>
    <w:rsid w:val="3E247A94"/>
    <w:rsid w:val="3E2D18ED"/>
    <w:rsid w:val="3E723E2B"/>
    <w:rsid w:val="3E9A01F4"/>
    <w:rsid w:val="3EE84F11"/>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EB0B0E"/>
    <w:rsid w:val="42FC0A69"/>
    <w:rsid w:val="43343E26"/>
    <w:rsid w:val="433A2253"/>
    <w:rsid w:val="4340170F"/>
    <w:rsid w:val="434D08AF"/>
    <w:rsid w:val="435968D0"/>
    <w:rsid w:val="436D6BB9"/>
    <w:rsid w:val="43740C1D"/>
    <w:rsid w:val="43863460"/>
    <w:rsid w:val="438D34E4"/>
    <w:rsid w:val="43BC1F75"/>
    <w:rsid w:val="43CA332A"/>
    <w:rsid w:val="43F237F3"/>
    <w:rsid w:val="4487121B"/>
    <w:rsid w:val="448A1F0F"/>
    <w:rsid w:val="448E5211"/>
    <w:rsid w:val="44CD1E32"/>
    <w:rsid w:val="44DE39F5"/>
    <w:rsid w:val="45234642"/>
    <w:rsid w:val="456227F4"/>
    <w:rsid w:val="458D6121"/>
    <w:rsid w:val="46026FB0"/>
    <w:rsid w:val="46297974"/>
    <w:rsid w:val="466B0DF4"/>
    <w:rsid w:val="47395B76"/>
    <w:rsid w:val="47D75D20"/>
    <w:rsid w:val="47D91706"/>
    <w:rsid w:val="48371BE1"/>
    <w:rsid w:val="49002A19"/>
    <w:rsid w:val="491D2267"/>
    <w:rsid w:val="49D3002D"/>
    <w:rsid w:val="4A012B81"/>
    <w:rsid w:val="4A821CA3"/>
    <w:rsid w:val="4AAE19D8"/>
    <w:rsid w:val="4B0C247A"/>
    <w:rsid w:val="4B3763D8"/>
    <w:rsid w:val="4B3B5C13"/>
    <w:rsid w:val="4B63702B"/>
    <w:rsid w:val="4B783852"/>
    <w:rsid w:val="4BF83930"/>
    <w:rsid w:val="4C2575F9"/>
    <w:rsid w:val="4C3C4C39"/>
    <w:rsid w:val="4CB311FE"/>
    <w:rsid w:val="4CE60A20"/>
    <w:rsid w:val="4D0A1CC7"/>
    <w:rsid w:val="4D3A3304"/>
    <w:rsid w:val="4D6C0AE1"/>
    <w:rsid w:val="4DAE5A6A"/>
    <w:rsid w:val="4DD21613"/>
    <w:rsid w:val="4E2054D7"/>
    <w:rsid w:val="4E212877"/>
    <w:rsid w:val="4E394F2A"/>
    <w:rsid w:val="4E5C1022"/>
    <w:rsid w:val="4E76219C"/>
    <w:rsid w:val="4EAA72A2"/>
    <w:rsid w:val="4F4A14E2"/>
    <w:rsid w:val="4F4E4E0F"/>
    <w:rsid w:val="4F5435A5"/>
    <w:rsid w:val="4F7F0B09"/>
    <w:rsid w:val="4FA87C2D"/>
    <w:rsid w:val="50645CA8"/>
    <w:rsid w:val="506A2FF0"/>
    <w:rsid w:val="50AB003F"/>
    <w:rsid w:val="50D938DF"/>
    <w:rsid w:val="50FF1F96"/>
    <w:rsid w:val="51040A17"/>
    <w:rsid w:val="51435239"/>
    <w:rsid w:val="514B0B63"/>
    <w:rsid w:val="51AA73FC"/>
    <w:rsid w:val="51EF346F"/>
    <w:rsid w:val="52012CAB"/>
    <w:rsid w:val="5219602A"/>
    <w:rsid w:val="523123A0"/>
    <w:rsid w:val="52612683"/>
    <w:rsid w:val="52625AA7"/>
    <w:rsid w:val="52873A90"/>
    <w:rsid w:val="52DE6BCC"/>
    <w:rsid w:val="5333015A"/>
    <w:rsid w:val="53344776"/>
    <w:rsid w:val="536F66F8"/>
    <w:rsid w:val="537C7D09"/>
    <w:rsid w:val="53972158"/>
    <w:rsid w:val="53B54930"/>
    <w:rsid w:val="53CE3177"/>
    <w:rsid w:val="53F87A3F"/>
    <w:rsid w:val="5409540B"/>
    <w:rsid w:val="54813181"/>
    <w:rsid w:val="548A7C35"/>
    <w:rsid w:val="549A5C9F"/>
    <w:rsid w:val="54A36C24"/>
    <w:rsid w:val="54F1729A"/>
    <w:rsid w:val="55670D23"/>
    <w:rsid w:val="55992A17"/>
    <w:rsid w:val="560E29D8"/>
    <w:rsid w:val="561B066F"/>
    <w:rsid w:val="562E599A"/>
    <w:rsid w:val="5649544A"/>
    <w:rsid w:val="56685A5F"/>
    <w:rsid w:val="567A204F"/>
    <w:rsid w:val="567B68CE"/>
    <w:rsid w:val="570A64DF"/>
    <w:rsid w:val="5712720C"/>
    <w:rsid w:val="573C4F11"/>
    <w:rsid w:val="57E83B4D"/>
    <w:rsid w:val="582C095E"/>
    <w:rsid w:val="58626A55"/>
    <w:rsid w:val="589E5285"/>
    <w:rsid w:val="58B02FBD"/>
    <w:rsid w:val="58D97457"/>
    <w:rsid w:val="59484343"/>
    <w:rsid w:val="59606088"/>
    <w:rsid w:val="5A1F5B49"/>
    <w:rsid w:val="5A4F76B4"/>
    <w:rsid w:val="5AAF3568"/>
    <w:rsid w:val="5B6156CC"/>
    <w:rsid w:val="5B7C7936"/>
    <w:rsid w:val="5C991000"/>
    <w:rsid w:val="5CBC47AD"/>
    <w:rsid w:val="5D445AA3"/>
    <w:rsid w:val="5D88386E"/>
    <w:rsid w:val="5DDF14F1"/>
    <w:rsid w:val="5DFB43B4"/>
    <w:rsid w:val="5E4F7594"/>
    <w:rsid w:val="5E651423"/>
    <w:rsid w:val="5E943229"/>
    <w:rsid w:val="5ED35A81"/>
    <w:rsid w:val="5EEC1F4F"/>
    <w:rsid w:val="5F0E6B03"/>
    <w:rsid w:val="5F7A0EDD"/>
    <w:rsid w:val="5F8A33DA"/>
    <w:rsid w:val="5FA83F53"/>
    <w:rsid w:val="5FE61209"/>
    <w:rsid w:val="601E4304"/>
    <w:rsid w:val="602844BB"/>
    <w:rsid w:val="60285A78"/>
    <w:rsid w:val="605B0D86"/>
    <w:rsid w:val="606469A1"/>
    <w:rsid w:val="606E7AE8"/>
    <w:rsid w:val="606F170E"/>
    <w:rsid w:val="60C97836"/>
    <w:rsid w:val="619024AA"/>
    <w:rsid w:val="61A74EFB"/>
    <w:rsid w:val="61AF0925"/>
    <w:rsid w:val="61F734FF"/>
    <w:rsid w:val="61F74869"/>
    <w:rsid w:val="62312A9A"/>
    <w:rsid w:val="62683FE2"/>
    <w:rsid w:val="626F0E29"/>
    <w:rsid w:val="62A10CA5"/>
    <w:rsid w:val="62A17D34"/>
    <w:rsid w:val="62AC4541"/>
    <w:rsid w:val="62C6236D"/>
    <w:rsid w:val="62F91AE9"/>
    <w:rsid w:val="63811696"/>
    <w:rsid w:val="63BF400D"/>
    <w:rsid w:val="63E15A7D"/>
    <w:rsid w:val="64354559"/>
    <w:rsid w:val="64582E10"/>
    <w:rsid w:val="647C349D"/>
    <w:rsid w:val="64925E76"/>
    <w:rsid w:val="649A7622"/>
    <w:rsid w:val="65326CE0"/>
    <w:rsid w:val="653B7E49"/>
    <w:rsid w:val="65565C63"/>
    <w:rsid w:val="655A5E64"/>
    <w:rsid w:val="655E31F6"/>
    <w:rsid w:val="65651AD3"/>
    <w:rsid w:val="65986EAB"/>
    <w:rsid w:val="65A61FF0"/>
    <w:rsid w:val="65BE4AE3"/>
    <w:rsid w:val="65CC6BBB"/>
    <w:rsid w:val="65DA10DB"/>
    <w:rsid w:val="65E36988"/>
    <w:rsid w:val="662A28F3"/>
    <w:rsid w:val="66345218"/>
    <w:rsid w:val="665671D5"/>
    <w:rsid w:val="666435CB"/>
    <w:rsid w:val="66C43673"/>
    <w:rsid w:val="66C92D0F"/>
    <w:rsid w:val="66F735F1"/>
    <w:rsid w:val="66F8656B"/>
    <w:rsid w:val="670F4590"/>
    <w:rsid w:val="67231545"/>
    <w:rsid w:val="676C246A"/>
    <w:rsid w:val="67A32818"/>
    <w:rsid w:val="67AF1DCD"/>
    <w:rsid w:val="67BD1E3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52176C"/>
    <w:rsid w:val="6C5312A4"/>
    <w:rsid w:val="6C563B87"/>
    <w:rsid w:val="6CA56CEA"/>
    <w:rsid w:val="6CBC7A3A"/>
    <w:rsid w:val="6CEA04E7"/>
    <w:rsid w:val="6CF801DC"/>
    <w:rsid w:val="6D312A7D"/>
    <w:rsid w:val="6D396CFB"/>
    <w:rsid w:val="6D3F33CC"/>
    <w:rsid w:val="6D3F4BDC"/>
    <w:rsid w:val="6D9F0256"/>
    <w:rsid w:val="6DA61393"/>
    <w:rsid w:val="6DD4449B"/>
    <w:rsid w:val="6E16454E"/>
    <w:rsid w:val="6E545A35"/>
    <w:rsid w:val="6E615616"/>
    <w:rsid w:val="6E6342CD"/>
    <w:rsid w:val="6E7362C6"/>
    <w:rsid w:val="6E805766"/>
    <w:rsid w:val="6EF07817"/>
    <w:rsid w:val="6EF27CED"/>
    <w:rsid w:val="6EFB1DAB"/>
    <w:rsid w:val="6F03527C"/>
    <w:rsid w:val="6F097C10"/>
    <w:rsid w:val="6F5B05E8"/>
    <w:rsid w:val="6F9A0300"/>
    <w:rsid w:val="6FD346A9"/>
    <w:rsid w:val="6FFF5205"/>
    <w:rsid w:val="701D586D"/>
    <w:rsid w:val="70D95C27"/>
    <w:rsid w:val="71157C60"/>
    <w:rsid w:val="71387836"/>
    <w:rsid w:val="714C1EF3"/>
    <w:rsid w:val="717779D3"/>
    <w:rsid w:val="723D16C0"/>
    <w:rsid w:val="725162FB"/>
    <w:rsid w:val="72564976"/>
    <w:rsid w:val="726423A5"/>
    <w:rsid w:val="72877D76"/>
    <w:rsid w:val="72AE1539"/>
    <w:rsid w:val="72CA214F"/>
    <w:rsid w:val="72F27A06"/>
    <w:rsid w:val="734C3EE7"/>
    <w:rsid w:val="7362007D"/>
    <w:rsid w:val="73942E89"/>
    <w:rsid w:val="73C0566E"/>
    <w:rsid w:val="73EC4A73"/>
    <w:rsid w:val="74393CE7"/>
    <w:rsid w:val="743B1B1E"/>
    <w:rsid w:val="746E403A"/>
    <w:rsid w:val="748B3EC4"/>
    <w:rsid w:val="74B63BFA"/>
    <w:rsid w:val="74E37DF5"/>
    <w:rsid w:val="7536480C"/>
    <w:rsid w:val="754341A3"/>
    <w:rsid w:val="75643B8A"/>
    <w:rsid w:val="75645FE6"/>
    <w:rsid w:val="75994EC8"/>
    <w:rsid w:val="761340A0"/>
    <w:rsid w:val="767C658F"/>
    <w:rsid w:val="769A0BED"/>
    <w:rsid w:val="76CC54DC"/>
    <w:rsid w:val="76EE63EF"/>
    <w:rsid w:val="76FA1E88"/>
    <w:rsid w:val="7723683F"/>
    <w:rsid w:val="779B7BAD"/>
    <w:rsid w:val="77E43D15"/>
    <w:rsid w:val="78717198"/>
    <w:rsid w:val="787B5C11"/>
    <w:rsid w:val="78904137"/>
    <w:rsid w:val="78CE172C"/>
    <w:rsid w:val="78FD327E"/>
    <w:rsid w:val="791653FC"/>
    <w:rsid w:val="794E7981"/>
    <w:rsid w:val="79650AA5"/>
    <w:rsid w:val="79B060D9"/>
    <w:rsid w:val="79BD0E2F"/>
    <w:rsid w:val="7A0F3269"/>
    <w:rsid w:val="7A2D0AA1"/>
    <w:rsid w:val="7A6C06BC"/>
    <w:rsid w:val="7A7E6973"/>
    <w:rsid w:val="7AAD6DD9"/>
    <w:rsid w:val="7B282F94"/>
    <w:rsid w:val="7B355031"/>
    <w:rsid w:val="7BBB2EEA"/>
    <w:rsid w:val="7BE3090B"/>
    <w:rsid w:val="7C63519C"/>
    <w:rsid w:val="7CA17C79"/>
    <w:rsid w:val="7CA97FA9"/>
    <w:rsid w:val="7CF000CF"/>
    <w:rsid w:val="7D6A7126"/>
    <w:rsid w:val="7D802E56"/>
    <w:rsid w:val="7DC22469"/>
    <w:rsid w:val="7E0711A6"/>
    <w:rsid w:val="7E356D01"/>
    <w:rsid w:val="7E4B71C3"/>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4">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4"/>
    <w:qFormat/>
    <w:uiPriority w:val="0"/>
    <w:pPr>
      <w:ind w:firstLine="420"/>
    </w:pPr>
    <w:rPr>
      <w:szCs w:val="20"/>
    </w:rPr>
  </w:style>
  <w:style w:type="paragraph" w:styleId="6">
    <w:name w:val="annotation text"/>
    <w:basedOn w:val="1"/>
    <w:link w:val="53"/>
    <w:qFormat/>
    <w:uiPriority w:val="0"/>
    <w:pPr>
      <w:jc w:val="left"/>
    </w:pPr>
  </w:style>
  <w:style w:type="paragraph" w:styleId="7">
    <w:name w:val="index 6"/>
    <w:next w:val="1"/>
    <w:qFormat/>
    <w:uiPriority w:val="0"/>
    <w:pPr>
      <w:jc w:val="both"/>
    </w:pPr>
    <w:rPr>
      <w:rFonts w:ascii="Times New Roman" w:hAnsi="Times New Roman" w:eastAsia="宋体" w:cs="Times New Roman"/>
      <w:sz w:val="21"/>
      <w:szCs w:val="24"/>
      <w:lang w:val="en-US" w:eastAsia="zh-CN" w:bidi="ar-SA"/>
    </w:rPr>
  </w:style>
  <w:style w:type="paragraph" w:styleId="8">
    <w:name w:val="Body Text"/>
    <w:basedOn w:val="1"/>
    <w:next w:val="1"/>
    <w:link w:val="45"/>
    <w:qFormat/>
    <w:uiPriority w:val="0"/>
    <w:pPr>
      <w:tabs>
        <w:tab w:val="left" w:pos="562"/>
        <w:tab w:val="left" w:pos="3372"/>
        <w:tab w:val="left" w:pos="3653"/>
      </w:tabs>
    </w:pPr>
    <w:rPr>
      <w:sz w:val="24"/>
    </w:rPr>
  </w:style>
  <w:style w:type="paragraph" w:styleId="9">
    <w:name w:val="Body Text Indent"/>
    <w:basedOn w:val="1"/>
    <w:next w:val="1"/>
    <w:semiHidden/>
    <w:qFormat/>
    <w:uiPriority w:val="0"/>
    <w:pPr>
      <w:spacing w:line="360" w:lineRule="auto"/>
      <w:ind w:left="720" w:hanging="720" w:hangingChars="300"/>
    </w:pPr>
    <w:rPr>
      <w:sz w:val="24"/>
      <w:szCs w:val="20"/>
    </w:r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35"/>
    <w:qFormat/>
    <w:uiPriority w:val="0"/>
    <w:rPr>
      <w:rFonts w:ascii="宋体" w:hAnsi="Courier New" w:cs="宋体"/>
      <w:szCs w:val="21"/>
    </w:rPr>
  </w:style>
  <w:style w:type="paragraph" w:styleId="12">
    <w:name w:val="Balloon Text"/>
    <w:basedOn w:val="1"/>
    <w:link w:val="52"/>
    <w:semiHidden/>
    <w:unhideWhenUsed/>
    <w:qFormat/>
    <w:uiPriority w:val="99"/>
    <w:rPr>
      <w:sz w:val="18"/>
      <w:szCs w:val="18"/>
    </w:rPr>
  </w:style>
  <w:style w:type="paragraph" w:styleId="13">
    <w:name w:val="footer"/>
    <w:basedOn w:val="1"/>
    <w:link w:val="37"/>
    <w:unhideWhenUsed/>
    <w:qFormat/>
    <w:uiPriority w:val="99"/>
    <w:pPr>
      <w:tabs>
        <w:tab w:val="center" w:pos="4153"/>
        <w:tab w:val="right" w:pos="8306"/>
      </w:tabs>
      <w:snapToGrid w:val="0"/>
      <w:jc w:val="left"/>
    </w:pPr>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8"/>
    <w:next w:val="1"/>
    <w:qFormat/>
    <w:uiPriority w:val="0"/>
    <w:pPr>
      <w:ind w:firstLine="420" w:firstLineChars="100"/>
    </w:pPr>
  </w:style>
  <w:style w:type="paragraph" w:styleId="23">
    <w:name w:val="Body Text First Indent 2"/>
    <w:basedOn w:val="9"/>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2"/>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5"/>
    <w:qFormat/>
    <w:uiPriority w:val="0"/>
    <w:rPr>
      <w:rFonts w:ascii="Times New Roman" w:hAnsi="Times New Roman" w:eastAsia="宋体" w:cs="Times New Roman"/>
      <w:szCs w:val="20"/>
    </w:rPr>
  </w:style>
  <w:style w:type="character" w:customStyle="1" w:styleId="35">
    <w:name w:val="纯文本 Char1"/>
    <w:basedOn w:val="26"/>
    <w:link w:val="11"/>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13"/>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8"/>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2"/>
    <w:semiHidden/>
    <w:qFormat/>
    <w:uiPriority w:val="99"/>
    <w:rPr>
      <w:rFonts w:ascii="Times New Roman" w:hAnsi="Times New Roman" w:eastAsia="宋体" w:cs="Times New Roman"/>
      <w:sz w:val="18"/>
      <w:szCs w:val="18"/>
    </w:rPr>
  </w:style>
  <w:style w:type="character" w:customStyle="1" w:styleId="53">
    <w:name w:val="批注文字 Char"/>
    <w:basedOn w:val="26"/>
    <w:link w:val="6"/>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2"/>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2"/>
    <w:qFormat/>
    <w:uiPriority w:val="9"/>
    <w:rPr>
      <w:b/>
      <w:bCs/>
      <w:kern w:val="44"/>
      <w:sz w:val="28"/>
      <w:szCs w:val="44"/>
    </w:rPr>
  </w:style>
  <w:style w:type="paragraph" w:customStyle="1" w:styleId="68">
    <w:name w:val="_正文段落"/>
    <w:basedOn w:val="1"/>
    <w:qFormat/>
    <w:uiPriority w:val="0"/>
    <w:pPr>
      <w:snapToGrid w:val="0"/>
      <w:spacing w:before="240" w:after="120" w:line="360" w:lineRule="auto"/>
      <w:ind w:firstLine="200" w:firstLineChars="200"/>
      <w:jc w:val="left"/>
    </w:pPr>
    <w:rPr>
      <w:kern w:val="0"/>
      <w:sz w:val="24"/>
    </w:rPr>
  </w:style>
  <w:style w:type="paragraph" w:customStyle="1" w:styleId="69">
    <w:name w:val="Table Paragraph"/>
    <w:basedOn w:val="1"/>
    <w:qFormat/>
    <w:uiPriority w:val="0"/>
    <w:pPr>
      <w:autoSpaceDE w:val="0"/>
      <w:autoSpaceDN w:val="0"/>
      <w:adjustRightInd w:val="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5280</Words>
  <Characters>5657</Characters>
  <Lines>102</Lines>
  <Paragraphs>28</Paragraphs>
  <TotalTime>4</TotalTime>
  <ScaleCrop>false</ScaleCrop>
  <LinksUpToDate>false</LinksUpToDate>
  <CharactersWithSpaces>5738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2025-06-03T07:55:00Z</cp:lastPrinted>
  <dcterms:modified xsi:type="dcterms:W3CDTF">2025-10-20T06:51:57Z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33E21AF7C4324ADB8D0C1426E34F5200_13</vt:lpwstr>
  </property>
  <property fmtid="{D5CDD505-2E9C-101B-9397-08002B2CF9AE}" pid="4" name="KSOTemplateDocerSaveRecord">
    <vt:lpwstr>eyJoZGlkIjoiYjY1MzcxZmEzNzdmYzQ3NGQ5M2I5ZmVmMzc3YmE5ZTgiLCJ1c2VySWQiOiI0MTA0OTM5OTgifQ==</vt:lpwstr>
  </property>
</Properties>
</file>