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w:t>
      </w:r>
      <w:r>
        <w:rPr>
          <w:rFonts w:hint="eastAsia" w:ascii="宋体" w:hAnsi="宋体" w:cs="宋体-18030"/>
          <w:b/>
          <w:bCs/>
          <w:color w:val="000000"/>
          <w:sz w:val="30"/>
          <w:szCs w:val="30"/>
        </w:rPr>
        <w:t>56</w:t>
      </w:r>
      <w:r>
        <w:rPr>
          <w:rFonts w:ascii="宋体" w:hAnsi="宋体" w:cs="宋体-18030"/>
          <w:b/>
          <w:bCs/>
          <w:color w:val="000000"/>
          <w:sz w:val="30"/>
          <w:szCs w:val="30"/>
        </w:rPr>
        <w:t>期</w:t>
      </w:r>
      <w:r>
        <w:rPr>
          <w:rFonts w:hint="eastAsia" w:ascii="宋体" w:hAnsi="宋体" w:cs="宋体-18030"/>
          <w:b/>
          <w:bCs/>
          <w:color w:val="000000"/>
          <w:sz w:val="30"/>
          <w:szCs w:val="30"/>
        </w:rPr>
        <w:t>网络信息安全专项外包服务</w:t>
      </w:r>
      <w:r>
        <w:rPr>
          <w:rFonts w:ascii="宋体" w:hAnsi="宋体" w:cs="宋体-18030"/>
          <w:b/>
          <w:bCs/>
          <w:color w:val="000000"/>
          <w:sz w:val="30"/>
          <w:szCs w:val="30"/>
        </w:rPr>
        <w:t>采购公告</w:t>
      </w:r>
    </w:p>
    <w:p>
      <w:pPr>
        <w:pStyle w:val="2"/>
        <w:snapToGrid w:val="0"/>
        <w:spacing w:line="240" w:lineRule="auto"/>
        <w:ind w:left="982" w:hanging="562"/>
        <w:contextualSpacing/>
        <w:jc w:val="center"/>
        <w:rPr>
          <w:rFonts w:ascii="宋体" w:hAnsi="宋体" w:eastAsia="宋体"/>
          <w:sz w:val="28"/>
          <w:szCs w:val="28"/>
        </w:rPr>
      </w:pPr>
      <w:r>
        <w:rPr>
          <w:rFonts w:hint="eastAsia" w:ascii="宋体" w:hAnsi="宋体" w:eastAsia="宋体"/>
          <w:b/>
          <w:bCs/>
          <w:sz w:val="28"/>
          <w:szCs w:val="28"/>
        </w:rPr>
        <w:t>采购编号:BYZBCG2025-56</w:t>
      </w:r>
    </w:p>
    <w:p>
      <w:pPr>
        <w:widowControl/>
        <w:ind w:left="-283" w:leftChars="-135" w:right="-456" w:rightChars="-217" w:firstLine="424" w:firstLineChars="202"/>
        <w:jc w:val="left"/>
        <w:rPr>
          <w:rFonts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21"/>
        <w:tblW w:w="53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1"/>
        <w:gridCol w:w="3151"/>
        <w:gridCol w:w="2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881" w:type="pct"/>
            <w:vAlign w:val="center"/>
          </w:tcPr>
          <w:p>
            <w:pPr>
              <w:widowControl/>
              <w:snapToGrid w:val="0"/>
              <w:ind w:right="-617" w:rightChars="-294" w:firstLine="1260" w:firstLineChars="600"/>
              <w:contextualSpacing/>
              <w:rPr>
                <w:rFonts w:ascii="宋体" w:hAnsi="宋体" w:cs="宋体-18030"/>
                <w:b/>
                <w:bCs/>
                <w:color w:val="000000"/>
                <w:szCs w:val="21"/>
              </w:rPr>
            </w:pPr>
            <w:r>
              <w:rPr>
                <w:rFonts w:ascii="宋体" w:hAnsi="宋体" w:cs="宋体-18030"/>
                <w:bCs/>
                <w:color w:val="000000"/>
                <w:szCs w:val="21"/>
              </w:rPr>
              <w:t>项目名称</w:t>
            </w:r>
          </w:p>
        </w:tc>
        <w:tc>
          <w:tcPr>
            <w:tcW w:w="1655" w:type="pct"/>
            <w:vAlign w:val="center"/>
          </w:tcPr>
          <w:p>
            <w:pPr>
              <w:widowControl/>
              <w:snapToGrid w:val="0"/>
              <w:ind w:leftChars="-204" w:right="-617" w:rightChars="-294" w:hanging="428" w:hangingChars="204"/>
              <w:contextualSpacing/>
              <w:jc w:val="center"/>
              <w:rPr>
                <w:rFonts w:ascii="宋体" w:hAnsi="宋体" w:cs="宋体-18030"/>
                <w:b/>
                <w:bCs/>
                <w:color w:val="000000"/>
                <w:szCs w:val="21"/>
              </w:rPr>
            </w:pPr>
            <w:r>
              <w:rPr>
                <w:rFonts w:ascii="宋体" w:hAnsi="宋体" w:cs="宋体-18030"/>
                <w:bCs/>
                <w:color w:val="000000"/>
                <w:szCs w:val="21"/>
              </w:rPr>
              <w:t>使用科室</w:t>
            </w:r>
          </w:p>
        </w:tc>
        <w:tc>
          <w:tcPr>
            <w:tcW w:w="1463" w:type="pct"/>
            <w:vAlign w:val="center"/>
          </w:tcPr>
          <w:p>
            <w:pPr>
              <w:widowControl/>
              <w:snapToGrid w:val="0"/>
              <w:ind w:right="-617" w:rightChars="-294" w:firstLine="1050" w:firstLineChars="500"/>
              <w:contextualSpacing/>
              <w:rPr>
                <w:rFonts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881" w:type="pct"/>
            <w:vAlign w:val="center"/>
          </w:tcPr>
          <w:p>
            <w:pPr>
              <w:widowControl/>
              <w:snapToGrid w:val="0"/>
              <w:ind w:right="-617" w:rightChars="-294" w:firstLine="420" w:firstLineChars="200"/>
              <w:contextualSpacing/>
              <w:rPr>
                <w:rFonts w:ascii="宋体" w:hAnsi="宋体" w:cs="宋体-18030"/>
                <w:color w:val="000000"/>
                <w:szCs w:val="21"/>
              </w:rPr>
            </w:pPr>
            <w:r>
              <w:rPr>
                <w:rFonts w:hint="eastAsia" w:ascii="宋体" w:hAnsi="宋体" w:cs="宋体-18030"/>
                <w:bCs/>
                <w:color w:val="000000"/>
                <w:szCs w:val="21"/>
              </w:rPr>
              <w:t>网络信息安全专项外包服务</w:t>
            </w:r>
          </w:p>
        </w:tc>
        <w:tc>
          <w:tcPr>
            <w:tcW w:w="1655" w:type="pct"/>
            <w:vAlign w:val="center"/>
          </w:tcPr>
          <w:p>
            <w:pPr>
              <w:widowControl/>
              <w:snapToGrid w:val="0"/>
              <w:ind w:right="-617" w:rightChars="-294" w:firstLine="420" w:firstLineChars="200"/>
              <w:contextualSpacing/>
              <w:rPr>
                <w:rFonts w:ascii="宋体" w:hAnsi="宋体" w:cs="宋体-18030"/>
                <w:color w:val="000000"/>
                <w:szCs w:val="21"/>
              </w:rPr>
            </w:pPr>
            <w:r>
              <w:rPr>
                <w:rFonts w:ascii="宋体" w:hAnsi="宋体" w:cs="宋体-18030"/>
                <w:color w:val="000000"/>
                <w:szCs w:val="21"/>
              </w:rPr>
              <w:t>信息中心（大数据中心）</w:t>
            </w:r>
          </w:p>
        </w:tc>
        <w:tc>
          <w:tcPr>
            <w:tcW w:w="1463" w:type="pct"/>
            <w:vAlign w:val="center"/>
          </w:tcPr>
          <w:p>
            <w:pPr>
              <w:widowControl/>
              <w:snapToGrid w:val="0"/>
              <w:ind w:right="-617" w:rightChars="-294" w:firstLine="420" w:firstLineChars="200"/>
              <w:contextualSpacing/>
              <w:rPr>
                <w:rFonts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8"/>
        <w:spacing w:before="0" w:after="0" w:line="240" w:lineRule="auto"/>
        <w:ind w:left="-283" w:leftChars="-135" w:right="-313" w:rightChars="-149" w:firstLine="420"/>
        <w:contextualSpacing/>
        <w:rPr>
          <w:rFonts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8"/>
        <w:spacing w:before="0" w:after="0" w:line="240" w:lineRule="auto"/>
        <w:ind w:left="-283" w:leftChars="-135" w:right="-313" w:rightChars="-149" w:firstLine="350" w:firstLineChars="167"/>
        <w:contextualSpacing/>
        <w:rPr>
          <w:rFonts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8"/>
        <w:spacing w:before="0" w:after="0" w:line="240" w:lineRule="auto"/>
        <w:ind w:left="-283" w:leftChars="-135" w:right="-313" w:rightChars="-149" w:firstLine="420"/>
        <w:contextualSpacing/>
        <w:rPr>
          <w:rFonts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8"/>
        <w:spacing w:before="0" w:after="0" w:line="240" w:lineRule="auto"/>
        <w:ind w:left="-283" w:leftChars="-135" w:right="-313" w:rightChars="-149" w:firstLine="420"/>
        <w:contextualSpacing/>
        <w:rPr>
          <w:rFonts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8"/>
        <w:spacing w:before="0" w:after="0" w:line="240" w:lineRule="auto"/>
        <w:ind w:left="-283" w:leftChars="-135" w:right="-313" w:rightChars="-149" w:firstLine="420"/>
        <w:contextualSpacing/>
        <w:rPr>
          <w:rFonts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8"/>
        <w:spacing w:before="0" w:after="0" w:line="240" w:lineRule="auto"/>
        <w:ind w:firstLine="140" w:firstLineChars="67"/>
        <w:contextualSpacing/>
        <w:rPr>
          <w:rFonts w:ascii="宋体" w:hAnsi="宋体"/>
          <w:sz w:val="21"/>
          <w:szCs w:val="21"/>
        </w:rPr>
      </w:pPr>
      <w:r>
        <w:rPr>
          <w:rFonts w:hint="eastAsia" w:ascii="宋体" w:hAnsi="宋体"/>
          <w:sz w:val="21"/>
          <w:szCs w:val="21"/>
        </w:rPr>
        <w:t>6. 本项目不接受联合体投标，不允许分包、转包。</w:t>
      </w:r>
    </w:p>
    <w:p>
      <w:pPr>
        <w:pStyle w:val="48"/>
        <w:spacing w:before="0" w:after="0" w:line="240" w:lineRule="auto"/>
        <w:ind w:left="-283" w:leftChars="-135" w:right="-313" w:rightChars="-149" w:firstLine="424" w:firstLineChars="202"/>
        <w:contextualSpacing/>
        <w:rPr>
          <w:rFonts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8"/>
        <w:spacing w:before="0" w:after="0" w:line="240" w:lineRule="auto"/>
        <w:ind w:left="-283" w:leftChars="-135" w:right="-313" w:rightChars="-149" w:firstLine="420"/>
        <w:contextualSpacing/>
        <w:rPr>
          <w:rFonts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2025年8月</w:t>
      </w:r>
      <w:r>
        <w:rPr>
          <w:rFonts w:hint="eastAsia" w:ascii="宋体" w:hAnsi="宋体"/>
          <w:lang w:val="en-US" w:eastAsia="zh-CN"/>
        </w:rPr>
        <w:t>7</w:t>
      </w:r>
      <w:bookmarkStart w:id="12" w:name="_GoBack"/>
      <w:bookmarkEnd w:id="12"/>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rPr>
        <w:t>8</w:t>
      </w:r>
      <w:r>
        <w:rPr>
          <w:rFonts w:ascii="宋体" w:hAnsi="宋体"/>
        </w:rPr>
        <w:t>月</w:t>
      </w:r>
      <w:r>
        <w:rPr>
          <w:rFonts w:hint="eastAsia" w:ascii="宋体" w:hAnsi="宋体"/>
        </w:rPr>
        <w:t>1</w:t>
      </w:r>
      <w:r>
        <w:rPr>
          <w:rFonts w:hint="eastAsia" w:ascii="宋体" w:hAnsi="宋体"/>
          <w:lang w:val="en-US" w:eastAsia="zh-CN"/>
        </w:rPr>
        <w:t>8</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立即发送报名资料PDF版＋报名资料封面（WORD格式）至电子邮箱,逾期送达或资料缺项者恕不接受｡</w:t>
      </w:r>
    </w:p>
    <w:p>
      <w:pPr>
        <w:widowControl/>
        <w:jc w:val="left"/>
        <w:rPr>
          <w:rFonts w:ascii="微软雅黑" w:hAnsi="微软雅黑" w:eastAsia="微软雅黑" w:cs="微软雅黑"/>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283" w:leftChars="-135" w:right="-166" w:rightChars="-79" w:firstLine="424" w:firstLineChars="201"/>
        <w:jc w:val="left"/>
        <w:rPr>
          <w:rFonts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ascii="微软雅黑" w:hAnsi="微软雅黑" w:eastAsia="微软雅黑" w:cs="微软雅黑"/>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万老师、魏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pStyle w:val="10"/>
        <w:rPr>
          <w:rFonts w:ascii="宋体" w:hAnsi="宋体" w:cs="Arial"/>
          <w:color w:val="000000"/>
          <w:kern w:val="0"/>
          <w:szCs w:val="21"/>
        </w:rPr>
      </w:pPr>
      <w:r>
        <w:rPr>
          <w:rFonts w:hint="eastAsia" w:ascii="宋体" w:hAnsi="宋体" w:cs="宋体-18030"/>
          <w:b/>
          <w:bCs/>
          <w:color w:val="000000"/>
          <w:szCs w:val="21"/>
        </w:rPr>
        <w:t xml:space="preserve"> 七、采购部门（信息中心）联系电话：</w:t>
      </w:r>
      <w:r>
        <w:rPr>
          <w:rFonts w:hint="eastAsia" w:ascii="宋体" w:hAnsi="宋体" w:cs="Arial"/>
          <w:color w:val="000000"/>
          <w:kern w:val="0"/>
          <w:szCs w:val="21"/>
        </w:rPr>
        <w:t>0755-27788311转3344（郑老师）。</w:t>
      </w:r>
    </w:p>
    <w:p>
      <w:pPr>
        <w:widowControl/>
        <w:ind w:right="-309" w:rightChars="-147"/>
        <w:jc w:val="lef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rPr>
        <w:t>8</w:t>
      </w:r>
      <w:r>
        <w:rPr>
          <w:rFonts w:ascii="宋体" w:hAnsi="宋体" w:cs="宋体-18030"/>
          <w:bCs/>
          <w:szCs w:val="21"/>
        </w:rPr>
        <w:t>月</w:t>
      </w:r>
      <w:r>
        <w:rPr>
          <w:rFonts w:hint="eastAsia" w:ascii="宋体" w:hAnsi="宋体" w:cs="宋体-18030"/>
          <w:bCs/>
          <w:szCs w:val="21"/>
          <w:lang w:val="en-US" w:eastAsia="zh-CN"/>
        </w:rPr>
        <w:t>7</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ascii="宋体" w:hAnsi="宋体" w:cs="Arial"/>
          <w:color w:val="000000"/>
          <w:kern w:val="0"/>
          <w:szCs w:val="21"/>
        </w:rPr>
      </w:pPr>
      <w:r>
        <w:rPr>
          <w:rFonts w:ascii="宋体" w:hAnsi="宋体" w:cs="Arial"/>
          <w:b/>
          <w:bCs/>
          <w:color w:val="993300"/>
          <w:kern w:val="0"/>
          <w:sz w:val="36"/>
          <w:szCs w:val="36"/>
        </w:rPr>
        <w:t>谈判须知</w:t>
      </w:r>
    </w:p>
    <w:p>
      <w:pPr>
        <w:widowControl/>
        <w:jc w:val="left"/>
        <w:rPr>
          <w:rFonts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ascii="宋体" w:hAnsi="宋体" w:cs="Arial"/>
          <w:kern w:val="0"/>
          <w:szCs w:val="21"/>
        </w:rPr>
      </w:pPr>
      <w:r>
        <w:rPr>
          <w:rFonts w:hint="eastAsia" w:ascii="宋体" w:hAnsi="宋体" w:cs="Arial"/>
          <w:kern w:val="0"/>
          <w:szCs w:val="21"/>
        </w:rPr>
        <w:t>9.本项目不允许挂靠和分包、转包，不接受联合体投标。除采购人事先书面同意外，中标单位不得将自己应履行的全部或部分合同义务转让给他人。</w:t>
      </w:r>
    </w:p>
    <w:p>
      <w:pPr>
        <w:widowControl/>
        <w:jc w:val="left"/>
        <w:rPr>
          <w:rFonts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ascii="宋体" w:hAnsi="宋体" w:cs="Arial"/>
          <w:color w:val="0070C0"/>
          <w:kern w:val="0"/>
          <w:szCs w:val="21"/>
        </w:rPr>
      </w:pPr>
    </w:p>
    <w:p>
      <w:pPr>
        <w:pStyle w:val="3"/>
      </w:pPr>
    </w:p>
    <w:p>
      <w:pPr>
        <w:rPr>
          <w:rFonts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73" w:leftChars="-35" w:right="-166" w:rightChars="-79" w:firstLine="420" w:firstLineChars="200"/>
        <w:contextualSpacing/>
        <w:jc w:val="left"/>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21"/>
        <w:tblpPr w:leftFromText="180" w:rightFromText="180" w:vertAnchor="text" w:horzAnchor="page" w:tblpX="1144" w:tblpY="8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110"/>
        <w:gridCol w:w="675"/>
        <w:gridCol w:w="6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74" w:type="dxa"/>
            <w:gridSpan w:val="4"/>
            <w:vAlign w:val="center"/>
          </w:tcPr>
          <w:p>
            <w:pPr>
              <w:jc w:val="center"/>
              <w:rPr>
                <w:rFonts w:ascii="宋体" w:hAnsi="宋体"/>
                <w:b/>
                <w:bCs/>
                <w:sz w:val="24"/>
              </w:rPr>
            </w:pPr>
            <w:r>
              <w:rPr>
                <w:rFonts w:ascii="宋体" w:hAnsi="宋体"/>
                <w:b/>
                <w:bCs/>
                <w:sz w:val="24"/>
              </w:rPr>
              <w:t>一、技术</w:t>
            </w:r>
            <w:r>
              <w:rPr>
                <w:rFonts w:hint="eastAsia" w:ascii="宋体" w:hAnsi="宋体"/>
                <w:b/>
                <w:bCs/>
                <w:sz w:val="24"/>
              </w:rPr>
              <w:t>商务</w:t>
            </w:r>
            <w:r>
              <w:rPr>
                <w:rFonts w:ascii="宋体" w:hAnsi="宋体"/>
                <w:b/>
                <w:bCs/>
                <w:sz w:val="24"/>
              </w:rPr>
              <w:t>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 w:type="dxa"/>
            <w:vAlign w:val="center"/>
          </w:tcPr>
          <w:p>
            <w:pPr>
              <w:jc w:val="center"/>
              <w:rPr>
                <w:rFonts w:ascii="宋体" w:hAnsi="宋体"/>
                <w:b/>
                <w:bCs/>
                <w:szCs w:val="21"/>
              </w:rPr>
            </w:pPr>
            <w:r>
              <w:rPr>
                <w:rFonts w:ascii="宋体" w:hAnsi="宋体"/>
                <w:b/>
                <w:bCs/>
                <w:szCs w:val="21"/>
              </w:rPr>
              <w:t>序号</w:t>
            </w:r>
          </w:p>
        </w:tc>
        <w:tc>
          <w:tcPr>
            <w:tcW w:w="1110" w:type="dxa"/>
            <w:vAlign w:val="center"/>
          </w:tcPr>
          <w:p>
            <w:pPr>
              <w:jc w:val="center"/>
              <w:rPr>
                <w:rFonts w:ascii="宋体" w:hAnsi="宋体"/>
                <w:b/>
                <w:bCs/>
                <w:szCs w:val="21"/>
              </w:rPr>
            </w:pPr>
            <w:r>
              <w:rPr>
                <w:rFonts w:ascii="宋体" w:hAnsi="宋体"/>
                <w:b/>
                <w:bCs/>
                <w:szCs w:val="21"/>
              </w:rPr>
              <w:t>评分因素</w:t>
            </w:r>
          </w:p>
        </w:tc>
        <w:tc>
          <w:tcPr>
            <w:tcW w:w="675" w:type="dxa"/>
            <w:vAlign w:val="center"/>
          </w:tcPr>
          <w:p>
            <w:pPr>
              <w:jc w:val="center"/>
              <w:rPr>
                <w:rFonts w:ascii="宋体" w:hAnsi="宋体"/>
                <w:b/>
                <w:bCs/>
                <w:szCs w:val="21"/>
              </w:rPr>
            </w:pPr>
            <w:r>
              <w:rPr>
                <w:rFonts w:ascii="宋体" w:hAnsi="宋体"/>
                <w:b/>
                <w:bCs/>
                <w:szCs w:val="21"/>
              </w:rPr>
              <w:t>分值</w:t>
            </w:r>
          </w:p>
        </w:tc>
        <w:tc>
          <w:tcPr>
            <w:tcW w:w="6574" w:type="dxa"/>
            <w:vAlign w:val="center"/>
          </w:tcPr>
          <w:p>
            <w:pPr>
              <w:jc w:val="center"/>
              <w:rPr>
                <w:rFonts w:ascii="宋体" w:hAnsi="宋体"/>
                <w:b/>
                <w:bCs/>
                <w:szCs w:val="21"/>
              </w:rPr>
            </w:pPr>
            <w:r>
              <w:rPr>
                <w:rFonts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1</w:t>
            </w:r>
          </w:p>
        </w:tc>
        <w:tc>
          <w:tcPr>
            <w:tcW w:w="1110"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实施方案</w:t>
            </w:r>
          </w:p>
        </w:tc>
        <w:tc>
          <w:tcPr>
            <w:tcW w:w="67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10</w:t>
            </w:r>
          </w:p>
        </w:tc>
        <w:tc>
          <w:tcPr>
            <w:tcW w:w="6574" w:type="dxa"/>
          </w:tcPr>
          <w:p>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根据投标人提供的实施方案进行打分，内容包括：</w:t>
            </w:r>
          </w:p>
          <w:p>
            <w:pPr>
              <w:widowControl/>
              <w:spacing w:line="300" w:lineRule="exact"/>
              <w:jc w:val="left"/>
              <w:rPr>
                <w:rFonts w:ascii="宋体" w:hAnsi="宋体" w:cs="宋体"/>
                <w:kern w:val="0"/>
                <w:szCs w:val="21"/>
              </w:rPr>
            </w:pPr>
            <w:r>
              <w:rPr>
                <w:rFonts w:hint="eastAsia" w:ascii="宋体" w:hAnsi="宋体" w:cs="宋体"/>
                <w:kern w:val="0"/>
                <w:szCs w:val="21"/>
              </w:rPr>
              <w:t>1、工作措施；</w:t>
            </w:r>
          </w:p>
          <w:p>
            <w:pPr>
              <w:widowControl/>
              <w:spacing w:line="300" w:lineRule="exact"/>
              <w:jc w:val="left"/>
              <w:rPr>
                <w:rFonts w:ascii="宋体" w:hAnsi="宋体" w:cs="宋体"/>
                <w:kern w:val="0"/>
                <w:szCs w:val="21"/>
              </w:rPr>
            </w:pPr>
            <w:r>
              <w:rPr>
                <w:rFonts w:hint="eastAsia" w:ascii="宋体" w:hAnsi="宋体" w:cs="宋体"/>
                <w:kern w:val="0"/>
                <w:szCs w:val="21"/>
              </w:rPr>
              <w:t>2、工作方法；</w:t>
            </w:r>
          </w:p>
          <w:p>
            <w:pPr>
              <w:widowControl/>
              <w:spacing w:line="300" w:lineRule="exact"/>
              <w:jc w:val="left"/>
              <w:rPr>
                <w:rFonts w:ascii="宋体" w:hAnsi="宋体" w:cs="宋体"/>
                <w:kern w:val="0"/>
                <w:szCs w:val="21"/>
              </w:rPr>
            </w:pPr>
            <w:r>
              <w:rPr>
                <w:rFonts w:hint="eastAsia" w:ascii="宋体" w:hAnsi="宋体" w:cs="宋体"/>
                <w:kern w:val="0"/>
                <w:szCs w:val="21"/>
              </w:rPr>
              <w:t>3、工作流程。</w:t>
            </w:r>
          </w:p>
          <w:p>
            <w:pPr>
              <w:widowControl/>
              <w:spacing w:line="300" w:lineRule="exact"/>
              <w:jc w:val="left"/>
              <w:rPr>
                <w:rFonts w:ascii="宋体" w:hAnsi="宋体" w:cs="宋体"/>
                <w:b/>
                <w:bCs/>
                <w:kern w:val="0"/>
                <w:szCs w:val="21"/>
              </w:rPr>
            </w:pPr>
            <w:r>
              <w:rPr>
                <w:rFonts w:hint="eastAsia" w:ascii="宋体" w:hAnsi="宋体" w:cs="宋体"/>
                <w:b/>
                <w:bCs/>
                <w:kern w:val="0"/>
                <w:szCs w:val="21"/>
              </w:rPr>
              <w:t>（二）评审依据：</w:t>
            </w:r>
          </w:p>
          <w:p>
            <w:pPr>
              <w:widowControl/>
              <w:spacing w:line="300" w:lineRule="exact"/>
              <w:jc w:val="left"/>
              <w:rPr>
                <w:rFonts w:ascii="宋体" w:hAnsi="宋体" w:cs="宋体"/>
                <w:kern w:val="0"/>
                <w:szCs w:val="21"/>
              </w:rPr>
            </w:pPr>
            <w:r>
              <w:rPr>
                <w:rFonts w:hint="eastAsia" w:ascii="宋体" w:hAnsi="宋体" w:cs="宋体"/>
                <w:kern w:val="0"/>
                <w:szCs w:val="21"/>
              </w:rPr>
              <w:t>1. 投标人提供的项目实施方案每满足以上1点要求得2分，最高得6分。</w:t>
            </w:r>
          </w:p>
          <w:p>
            <w:pPr>
              <w:widowControl/>
              <w:spacing w:line="300" w:lineRule="exact"/>
              <w:jc w:val="left"/>
              <w:rPr>
                <w:rFonts w:ascii="宋体" w:hAnsi="宋体" w:cs="宋体"/>
                <w:kern w:val="0"/>
                <w:szCs w:val="21"/>
              </w:rPr>
            </w:pPr>
            <w:r>
              <w:rPr>
                <w:rFonts w:hint="eastAsia" w:ascii="宋体" w:hAnsi="宋体" w:cs="宋体"/>
                <w:kern w:val="0"/>
                <w:szCs w:val="21"/>
              </w:rPr>
              <w:t>2. 在第1项的基础上，根据以下标准对投标人具体响应内容进行进一步评审：</w:t>
            </w:r>
          </w:p>
          <w:p>
            <w:pPr>
              <w:widowControl/>
              <w:spacing w:line="300" w:lineRule="exact"/>
              <w:jc w:val="left"/>
              <w:rPr>
                <w:rFonts w:ascii="宋体" w:hAnsi="宋体" w:cs="宋体"/>
                <w:kern w:val="0"/>
                <w:szCs w:val="21"/>
              </w:rPr>
            </w:pPr>
            <w:r>
              <w:rPr>
                <w:rFonts w:hint="eastAsia" w:ascii="宋体" w:hAnsi="宋体" w:cs="宋体"/>
                <w:kern w:val="0"/>
                <w:szCs w:val="21"/>
              </w:rPr>
              <w:t>（1）内容完整、合理性强，评价为优，得4分；</w:t>
            </w:r>
          </w:p>
          <w:p>
            <w:pPr>
              <w:widowControl/>
              <w:spacing w:line="300" w:lineRule="exact"/>
              <w:jc w:val="left"/>
              <w:rPr>
                <w:rFonts w:ascii="宋体" w:hAnsi="宋体" w:cs="宋体"/>
                <w:kern w:val="0"/>
                <w:szCs w:val="21"/>
              </w:rPr>
            </w:pPr>
            <w:r>
              <w:rPr>
                <w:rFonts w:hint="eastAsia" w:ascii="宋体" w:hAnsi="宋体" w:cs="宋体"/>
                <w:kern w:val="0"/>
                <w:szCs w:val="21"/>
              </w:rPr>
              <w:t>（2）内容较完整、合理性较强，评价为良，得2分；</w:t>
            </w:r>
          </w:p>
          <w:p>
            <w:pPr>
              <w:widowControl/>
              <w:spacing w:line="300" w:lineRule="exact"/>
              <w:jc w:val="left"/>
              <w:rPr>
                <w:rFonts w:ascii="宋体" w:hAnsi="宋体" w:cs="宋体"/>
                <w:kern w:val="0"/>
                <w:szCs w:val="21"/>
              </w:rPr>
            </w:pPr>
            <w:r>
              <w:rPr>
                <w:rFonts w:hint="eastAsia" w:ascii="宋体" w:hAnsi="宋体" w:cs="宋体"/>
                <w:kern w:val="0"/>
                <w:szCs w:val="21"/>
              </w:rPr>
              <w:t>（3）内容完整性一般、合理性一般，评价为中，得1分；</w:t>
            </w:r>
          </w:p>
          <w:p>
            <w:pPr>
              <w:widowControl/>
              <w:spacing w:line="300" w:lineRule="exact"/>
              <w:jc w:val="left"/>
              <w:rPr>
                <w:rFonts w:ascii="宋体" w:hAnsi="宋体" w:cs="宋体"/>
                <w:kern w:val="0"/>
                <w:szCs w:val="21"/>
              </w:rPr>
            </w:pPr>
            <w:r>
              <w:rPr>
                <w:rFonts w:hint="eastAsia" w:ascii="宋体" w:hAnsi="宋体" w:cs="宋体"/>
                <w:kern w:val="0"/>
                <w:szCs w:val="21"/>
              </w:rPr>
              <w:t>（4）内容简单，合理较差，评价为差得0分。</w:t>
            </w:r>
          </w:p>
          <w:p>
            <w:pPr>
              <w:widowControl/>
              <w:spacing w:line="300" w:lineRule="exact"/>
              <w:jc w:val="left"/>
              <w:rPr>
                <w:rFonts w:ascii="宋体" w:hAnsi="宋体" w:cs="宋体"/>
                <w:b/>
                <w:bCs/>
                <w:kern w:val="0"/>
                <w:szCs w:val="21"/>
              </w:rPr>
            </w:pPr>
            <w:r>
              <w:rPr>
                <w:rFonts w:hint="eastAsia" w:ascii="宋体" w:hAnsi="宋体" w:cs="宋体"/>
                <w:kern w:val="0"/>
                <w:szCs w:val="21"/>
              </w:rPr>
              <w:t>以上2项得分累计，最高得10分。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2</w:t>
            </w:r>
          </w:p>
        </w:tc>
        <w:tc>
          <w:tcPr>
            <w:tcW w:w="1110"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项目重点难点分析、应对措施及相关的合理化建议</w:t>
            </w:r>
          </w:p>
        </w:tc>
        <w:tc>
          <w:tcPr>
            <w:tcW w:w="67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10</w:t>
            </w:r>
          </w:p>
        </w:tc>
        <w:tc>
          <w:tcPr>
            <w:tcW w:w="6574" w:type="dxa"/>
          </w:tcPr>
          <w:p>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 xml:space="preserve">根据投标人提供的项目重点难点分析、应对措施及相关的合理化建议进行打分，内容包括： </w:t>
            </w:r>
          </w:p>
          <w:p>
            <w:pPr>
              <w:widowControl/>
              <w:spacing w:line="300" w:lineRule="exact"/>
              <w:jc w:val="left"/>
              <w:rPr>
                <w:rFonts w:ascii="宋体" w:hAnsi="宋体" w:cs="宋体"/>
                <w:kern w:val="0"/>
                <w:szCs w:val="21"/>
              </w:rPr>
            </w:pPr>
            <w:r>
              <w:rPr>
                <w:rFonts w:hint="eastAsia" w:ascii="宋体" w:hAnsi="宋体" w:cs="宋体"/>
                <w:kern w:val="0"/>
                <w:szCs w:val="21"/>
              </w:rPr>
              <w:t xml:space="preserve">1、项目重点难点分析； </w:t>
            </w:r>
          </w:p>
          <w:p>
            <w:pPr>
              <w:widowControl/>
              <w:spacing w:line="300" w:lineRule="exact"/>
              <w:jc w:val="left"/>
              <w:rPr>
                <w:rFonts w:ascii="宋体" w:hAnsi="宋体" w:cs="宋体"/>
                <w:kern w:val="0"/>
                <w:szCs w:val="21"/>
              </w:rPr>
            </w:pPr>
            <w:r>
              <w:rPr>
                <w:rFonts w:hint="eastAsia" w:ascii="宋体" w:hAnsi="宋体" w:cs="宋体"/>
                <w:kern w:val="0"/>
                <w:szCs w:val="21"/>
              </w:rPr>
              <w:t xml:space="preserve">2、对应的应对措施； </w:t>
            </w:r>
          </w:p>
          <w:p>
            <w:pPr>
              <w:widowControl/>
              <w:spacing w:line="300" w:lineRule="exact"/>
              <w:jc w:val="left"/>
              <w:rPr>
                <w:rFonts w:ascii="宋体" w:hAnsi="宋体" w:cs="宋体"/>
                <w:b/>
                <w:bCs/>
                <w:kern w:val="0"/>
                <w:szCs w:val="21"/>
              </w:rPr>
            </w:pPr>
            <w:r>
              <w:rPr>
                <w:rFonts w:hint="eastAsia" w:ascii="宋体" w:hAnsi="宋体" w:cs="宋体"/>
                <w:kern w:val="0"/>
                <w:szCs w:val="21"/>
              </w:rPr>
              <w:t>3、相关的合理化建议。</w:t>
            </w:r>
          </w:p>
          <w:p>
            <w:pPr>
              <w:widowControl/>
              <w:spacing w:line="300" w:lineRule="exact"/>
              <w:jc w:val="left"/>
              <w:rPr>
                <w:rFonts w:ascii="宋体" w:hAnsi="宋体" w:cs="宋体"/>
                <w:b/>
                <w:bCs/>
                <w:kern w:val="0"/>
                <w:szCs w:val="21"/>
              </w:rPr>
            </w:pPr>
            <w:r>
              <w:rPr>
                <w:rFonts w:hint="eastAsia" w:ascii="宋体" w:hAnsi="宋体" w:cs="宋体"/>
                <w:b/>
                <w:bCs/>
                <w:kern w:val="0"/>
                <w:szCs w:val="21"/>
              </w:rPr>
              <w:t>（二）评审依据：</w:t>
            </w:r>
          </w:p>
          <w:p>
            <w:pPr>
              <w:widowControl/>
              <w:spacing w:line="300" w:lineRule="exact"/>
              <w:jc w:val="left"/>
              <w:rPr>
                <w:rFonts w:ascii="宋体" w:hAnsi="宋体" w:cs="宋体"/>
                <w:kern w:val="0"/>
                <w:szCs w:val="21"/>
              </w:rPr>
            </w:pPr>
            <w:r>
              <w:rPr>
                <w:rFonts w:hint="eastAsia" w:ascii="宋体" w:hAnsi="宋体" w:cs="宋体"/>
                <w:kern w:val="0"/>
                <w:szCs w:val="21"/>
              </w:rPr>
              <w:t xml:space="preserve">1. 投标人提供的项目实施方案每满足以上1点要求得2分，最高得6分。 </w:t>
            </w:r>
          </w:p>
          <w:p>
            <w:pPr>
              <w:widowControl/>
              <w:spacing w:line="300" w:lineRule="exact"/>
              <w:jc w:val="left"/>
              <w:rPr>
                <w:rFonts w:ascii="宋体" w:hAnsi="宋体" w:cs="宋体"/>
                <w:kern w:val="0"/>
                <w:szCs w:val="21"/>
              </w:rPr>
            </w:pPr>
            <w:r>
              <w:rPr>
                <w:rFonts w:hint="eastAsia" w:ascii="宋体" w:hAnsi="宋体" w:cs="宋体"/>
                <w:kern w:val="0"/>
                <w:szCs w:val="21"/>
              </w:rPr>
              <w:t>2. 在第1项的基础上，根据以下标准对投标人具体响应内容进行进一步评审：</w:t>
            </w:r>
          </w:p>
          <w:p>
            <w:pPr>
              <w:widowControl/>
              <w:spacing w:line="300" w:lineRule="exact"/>
              <w:jc w:val="left"/>
              <w:rPr>
                <w:rFonts w:ascii="宋体" w:hAnsi="宋体" w:cs="宋体"/>
                <w:kern w:val="0"/>
                <w:szCs w:val="21"/>
              </w:rPr>
            </w:pPr>
            <w:r>
              <w:rPr>
                <w:rFonts w:hint="eastAsia" w:ascii="宋体" w:hAnsi="宋体" w:cs="宋体"/>
                <w:kern w:val="0"/>
                <w:szCs w:val="21"/>
              </w:rPr>
              <w:t>（1）内容完整、合理性强，评价为优，得4分；</w:t>
            </w:r>
          </w:p>
          <w:p>
            <w:pPr>
              <w:widowControl/>
              <w:spacing w:line="300" w:lineRule="exact"/>
              <w:jc w:val="left"/>
              <w:rPr>
                <w:rFonts w:ascii="宋体" w:hAnsi="宋体" w:cs="宋体"/>
                <w:kern w:val="0"/>
                <w:szCs w:val="21"/>
              </w:rPr>
            </w:pPr>
            <w:r>
              <w:rPr>
                <w:rFonts w:hint="eastAsia" w:ascii="宋体" w:hAnsi="宋体" w:cs="宋体"/>
                <w:kern w:val="0"/>
                <w:szCs w:val="21"/>
              </w:rPr>
              <w:t>（2）内容较完整、合理性较强，评价为良，得2分；</w:t>
            </w:r>
          </w:p>
          <w:p>
            <w:pPr>
              <w:widowControl/>
              <w:spacing w:line="300" w:lineRule="exact"/>
              <w:jc w:val="left"/>
              <w:rPr>
                <w:rFonts w:ascii="宋体" w:hAnsi="宋体" w:cs="宋体"/>
                <w:kern w:val="0"/>
                <w:szCs w:val="21"/>
              </w:rPr>
            </w:pPr>
            <w:r>
              <w:rPr>
                <w:rFonts w:hint="eastAsia" w:ascii="宋体" w:hAnsi="宋体" w:cs="宋体"/>
                <w:kern w:val="0"/>
                <w:szCs w:val="21"/>
              </w:rPr>
              <w:t>（3）内容完整性一般、合理性一般，评价为中，得1分；</w:t>
            </w:r>
          </w:p>
          <w:p>
            <w:pPr>
              <w:widowControl/>
              <w:spacing w:line="300" w:lineRule="exact"/>
              <w:jc w:val="left"/>
              <w:rPr>
                <w:rFonts w:ascii="宋体" w:hAnsi="宋体" w:cs="宋体"/>
                <w:kern w:val="0"/>
                <w:szCs w:val="21"/>
              </w:rPr>
            </w:pPr>
            <w:r>
              <w:rPr>
                <w:rFonts w:hint="eastAsia" w:ascii="宋体" w:hAnsi="宋体" w:cs="宋体"/>
                <w:kern w:val="0"/>
                <w:szCs w:val="21"/>
              </w:rPr>
              <w:t>（4）内容简单，合理较差，评价为差得0分。</w:t>
            </w:r>
          </w:p>
          <w:p>
            <w:pPr>
              <w:widowControl/>
              <w:spacing w:line="300" w:lineRule="exact"/>
              <w:jc w:val="left"/>
              <w:rPr>
                <w:rFonts w:ascii="宋体" w:hAnsi="宋体" w:cs="宋体"/>
                <w:b/>
                <w:bCs/>
                <w:kern w:val="0"/>
                <w:szCs w:val="21"/>
              </w:rPr>
            </w:pPr>
            <w:r>
              <w:rPr>
                <w:rFonts w:hint="eastAsia" w:ascii="宋体" w:hAnsi="宋体" w:cs="宋体"/>
                <w:kern w:val="0"/>
                <w:szCs w:val="21"/>
              </w:rPr>
              <w:t>以上2项得分累计，最高得10分。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3</w:t>
            </w:r>
          </w:p>
        </w:tc>
        <w:tc>
          <w:tcPr>
            <w:tcW w:w="1110"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拟使用的工具情况</w:t>
            </w:r>
          </w:p>
        </w:tc>
        <w:tc>
          <w:tcPr>
            <w:tcW w:w="67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12</w:t>
            </w:r>
          </w:p>
        </w:tc>
        <w:tc>
          <w:tcPr>
            <w:tcW w:w="6574" w:type="dxa"/>
          </w:tcPr>
          <w:p>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1、投标人在服务时提供的漏洞扫描工具需具备以下要求：</w:t>
            </w:r>
          </w:p>
          <w:p>
            <w:pPr>
              <w:widowControl/>
              <w:spacing w:line="300" w:lineRule="exact"/>
              <w:jc w:val="left"/>
              <w:rPr>
                <w:rFonts w:ascii="宋体" w:hAnsi="宋体" w:cs="宋体"/>
                <w:kern w:val="0"/>
                <w:szCs w:val="21"/>
              </w:rPr>
            </w:pPr>
            <w:r>
              <w:rPr>
                <w:rFonts w:hint="eastAsia" w:ascii="宋体" w:hAnsi="宋体" w:cs="宋体"/>
                <w:kern w:val="0"/>
                <w:szCs w:val="21"/>
              </w:rPr>
              <w:t>（1）提供对同一目标多次扫描结果或者不同主机间扫描结果的比对功能，并能根据比对结果生成比对报告。报告应能输出为通用的文档格式，包括但不限于PDF、DOC、HTML、WPS、OFD等（需提供具有CNAS和CMA标识的检验检测报告扫描件），得3分；</w:t>
            </w:r>
          </w:p>
          <w:p>
            <w:pPr>
              <w:widowControl/>
              <w:spacing w:line="300" w:lineRule="exact"/>
              <w:jc w:val="left"/>
              <w:rPr>
                <w:rFonts w:ascii="宋体" w:hAnsi="宋体" w:cs="宋体"/>
                <w:kern w:val="0"/>
                <w:szCs w:val="21"/>
              </w:rPr>
            </w:pPr>
            <w:r>
              <w:rPr>
                <w:rFonts w:hint="eastAsia" w:ascii="宋体" w:hAnsi="宋体" w:cs="宋体"/>
                <w:kern w:val="0"/>
                <w:szCs w:val="21"/>
              </w:rPr>
              <w:t>2、在重要保障时期，投标人在服务时提供日志审计工具，采集医院服务器的日志数据，需具备以下要求：</w:t>
            </w:r>
          </w:p>
          <w:p>
            <w:pPr>
              <w:widowControl/>
              <w:spacing w:line="300" w:lineRule="exact"/>
              <w:jc w:val="left"/>
              <w:rPr>
                <w:rFonts w:ascii="宋体" w:hAnsi="宋体" w:cs="宋体"/>
                <w:kern w:val="0"/>
                <w:szCs w:val="21"/>
              </w:rPr>
            </w:pPr>
            <w:r>
              <w:rPr>
                <w:rFonts w:hint="eastAsia" w:ascii="宋体" w:hAnsi="宋体" w:cs="宋体"/>
                <w:kern w:val="0"/>
                <w:szCs w:val="21"/>
              </w:rPr>
              <w:t>（1）支持将安全事件通过资产、安全知识库、弱点库三个维度进行联动分析和匹配，将安全事件进行联动整合并生成安全事件日志（需提供第三方检测机构出具的带有CMA和CNAS标识的检验检测报告扫描件），得3分；</w:t>
            </w:r>
          </w:p>
          <w:p>
            <w:pPr>
              <w:widowControl/>
              <w:spacing w:line="300" w:lineRule="exact"/>
              <w:jc w:val="left"/>
              <w:rPr>
                <w:rFonts w:ascii="宋体" w:hAnsi="宋体" w:cs="宋体"/>
                <w:kern w:val="0"/>
                <w:szCs w:val="21"/>
              </w:rPr>
            </w:pPr>
            <w:r>
              <w:rPr>
                <w:rFonts w:hint="eastAsia" w:ascii="宋体" w:hAnsi="宋体" w:cs="宋体"/>
                <w:kern w:val="0"/>
                <w:szCs w:val="21"/>
              </w:rPr>
              <w:t>（2）支持将插件安装在目标主机上对主机的CPU利用率、内存使用率、磁盘使用率、磁盘使用情况、流量等信息进行转发，在产品监控界面中即可查看目标主机的监控信息（需提供第三方检测机构出具的带有CMA和CNAS标识的检验检测报告扫描件），得3分；</w:t>
            </w:r>
          </w:p>
          <w:p>
            <w:pPr>
              <w:widowControl/>
              <w:spacing w:line="300" w:lineRule="exact"/>
              <w:jc w:val="left"/>
              <w:rPr>
                <w:rFonts w:ascii="宋体" w:hAnsi="宋体" w:cs="宋体"/>
                <w:kern w:val="0"/>
                <w:szCs w:val="21"/>
              </w:rPr>
            </w:pPr>
            <w:r>
              <w:rPr>
                <w:rFonts w:hint="eastAsia" w:ascii="宋体" w:hAnsi="宋体" w:cs="宋体"/>
                <w:kern w:val="0"/>
                <w:szCs w:val="21"/>
              </w:rPr>
              <w:t>（3）支持对日志进行SM4和AES加密转发，转发后的日志内容为密文，日志接收时，可以采用对应的解密策略进行解密（需提供第三方检测机构出具的带有CMA和CNAS标识的检验检测报告扫描件），得3分；</w:t>
            </w:r>
          </w:p>
          <w:p>
            <w:pPr>
              <w:widowControl/>
              <w:spacing w:line="300" w:lineRule="exact"/>
              <w:jc w:val="left"/>
              <w:rPr>
                <w:rFonts w:ascii="宋体" w:hAnsi="宋体" w:cs="宋体"/>
                <w:b/>
                <w:bCs/>
                <w:kern w:val="0"/>
                <w:szCs w:val="21"/>
              </w:rPr>
            </w:pPr>
            <w:r>
              <w:rPr>
                <w:rFonts w:hint="eastAsia" w:ascii="宋体" w:hAnsi="宋体" w:cs="宋体"/>
                <w:b/>
                <w:bCs/>
                <w:kern w:val="0"/>
                <w:szCs w:val="21"/>
              </w:rPr>
              <w:t>（二）评审依据：</w:t>
            </w:r>
          </w:p>
          <w:p>
            <w:pPr>
              <w:widowControl/>
              <w:spacing w:line="300" w:lineRule="exact"/>
              <w:jc w:val="left"/>
              <w:rPr>
                <w:rFonts w:ascii="宋体" w:hAnsi="宋体" w:cs="宋体"/>
                <w:kern w:val="0"/>
                <w:szCs w:val="21"/>
              </w:rPr>
            </w:pPr>
            <w:r>
              <w:rPr>
                <w:rFonts w:hint="eastAsia" w:ascii="宋体" w:hAnsi="宋体" w:cs="宋体"/>
                <w:kern w:val="0"/>
                <w:szCs w:val="21"/>
              </w:rPr>
              <w:t>1.要求提供具有CNAS和CMA标识的检验检测报告扫描件等证明材料作为得分依据。</w:t>
            </w:r>
          </w:p>
          <w:p>
            <w:pPr>
              <w:widowControl/>
              <w:spacing w:line="300" w:lineRule="exact"/>
              <w:jc w:val="left"/>
              <w:rPr>
                <w:rFonts w:ascii="宋体" w:hAnsi="宋体" w:cs="宋体"/>
                <w:b/>
                <w:bCs/>
                <w:kern w:val="0"/>
                <w:szCs w:val="21"/>
              </w:rPr>
            </w:pPr>
            <w:r>
              <w:rPr>
                <w:rFonts w:hint="eastAsia" w:ascii="宋体" w:hAnsi="宋体" w:cs="宋体"/>
                <w:kern w:val="0"/>
                <w:szCs w:val="21"/>
              </w:rPr>
              <w:t>2.以上资料均要求提供扫描件，原件备查。评分中出现无证明资料或专家无法凭所提供资料判断是否得分的情况，一律作不得分处理。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4</w:t>
            </w:r>
          </w:p>
        </w:tc>
        <w:tc>
          <w:tcPr>
            <w:tcW w:w="1110"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拟安排的项目负责人情况（仅限一人）</w:t>
            </w:r>
          </w:p>
        </w:tc>
        <w:tc>
          <w:tcPr>
            <w:tcW w:w="67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4</w:t>
            </w:r>
          </w:p>
        </w:tc>
        <w:tc>
          <w:tcPr>
            <w:tcW w:w="6574" w:type="dxa"/>
          </w:tcPr>
          <w:p>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拟安排项目负责人为投标单位员工（以社保为准），具备项目管理专业的硕士及以上学历，否则本项不得分。在此基础上：</w:t>
            </w:r>
          </w:p>
          <w:p>
            <w:pPr>
              <w:widowControl/>
              <w:spacing w:line="300" w:lineRule="exact"/>
              <w:jc w:val="left"/>
              <w:rPr>
                <w:rFonts w:ascii="宋体" w:hAnsi="宋体" w:cs="宋体"/>
                <w:kern w:val="0"/>
                <w:szCs w:val="21"/>
              </w:rPr>
            </w:pPr>
            <w:r>
              <w:rPr>
                <w:rFonts w:hint="eastAsia" w:ascii="宋体" w:hAnsi="宋体" w:cs="宋体"/>
                <w:kern w:val="0"/>
                <w:szCs w:val="21"/>
              </w:rPr>
              <w:t>1.项目负责人具有信息技术（信息安全）专业的高级工程师职称的，得4分；</w:t>
            </w:r>
          </w:p>
          <w:p>
            <w:pPr>
              <w:widowControl/>
              <w:spacing w:line="300" w:lineRule="exact"/>
              <w:jc w:val="left"/>
              <w:rPr>
                <w:rFonts w:ascii="宋体" w:hAnsi="宋体" w:cs="宋体"/>
                <w:b/>
                <w:bCs/>
                <w:kern w:val="0"/>
                <w:szCs w:val="21"/>
              </w:rPr>
            </w:pPr>
            <w:r>
              <w:rPr>
                <w:rFonts w:hint="eastAsia" w:ascii="宋体" w:hAnsi="宋体" w:cs="宋体"/>
                <w:b/>
                <w:bCs/>
                <w:kern w:val="0"/>
                <w:szCs w:val="21"/>
              </w:rPr>
              <w:t>（二）评审依据：</w:t>
            </w:r>
          </w:p>
          <w:p>
            <w:pPr>
              <w:widowControl/>
              <w:spacing w:line="300" w:lineRule="exact"/>
              <w:jc w:val="left"/>
              <w:rPr>
                <w:rFonts w:ascii="宋体" w:hAnsi="宋体" w:cs="宋体"/>
                <w:kern w:val="0"/>
                <w:szCs w:val="21"/>
              </w:rPr>
            </w:pPr>
            <w:r>
              <w:rPr>
                <w:rFonts w:hint="eastAsia" w:ascii="宋体" w:hAnsi="宋体" w:cs="宋体"/>
                <w:kern w:val="0"/>
                <w:szCs w:val="21"/>
              </w:rPr>
              <w:t>1. 提供项目团队成员通过投标单位缴纳的载有社保部门或税务部门公章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widowControl/>
              <w:spacing w:line="300" w:lineRule="exact"/>
              <w:jc w:val="left"/>
              <w:rPr>
                <w:rFonts w:ascii="宋体" w:hAnsi="宋体" w:cs="宋体"/>
                <w:kern w:val="0"/>
                <w:szCs w:val="21"/>
              </w:rPr>
            </w:pPr>
            <w:r>
              <w:rPr>
                <w:rFonts w:hint="eastAsia" w:ascii="宋体" w:hAnsi="宋体" w:cs="宋体"/>
                <w:kern w:val="0"/>
                <w:szCs w:val="21"/>
              </w:rPr>
              <w:t>2. 学历证书：要求提供证书扫描件以及学信网</w:t>
            </w:r>
          </w:p>
          <w:p>
            <w:pPr>
              <w:widowControl/>
              <w:spacing w:line="300" w:lineRule="exact"/>
              <w:jc w:val="left"/>
              <w:rPr>
                <w:rFonts w:ascii="宋体" w:hAnsi="宋体" w:cs="宋体"/>
                <w:kern w:val="0"/>
                <w:szCs w:val="21"/>
              </w:rPr>
            </w:pPr>
            <w:r>
              <w:rPr>
                <w:rFonts w:hint="eastAsia" w:ascii="宋体" w:hAnsi="宋体" w:cs="宋体"/>
                <w:kern w:val="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pPr>
              <w:widowControl/>
              <w:spacing w:line="300" w:lineRule="exact"/>
              <w:jc w:val="left"/>
              <w:rPr>
                <w:rFonts w:ascii="宋体" w:hAnsi="宋体" w:cs="宋体"/>
                <w:kern w:val="0"/>
                <w:szCs w:val="21"/>
              </w:rPr>
            </w:pPr>
            <w:r>
              <w:rPr>
                <w:rFonts w:hint="eastAsia" w:ascii="宋体" w:hAnsi="宋体" w:cs="宋体"/>
                <w:kern w:val="0"/>
                <w:szCs w:val="21"/>
              </w:rPr>
              <w:t>3. 提供上述有效证书的信息查询截图：颁发地的政务服务网，如：浙江政务服务网(www.zjzwfw.gov.cn)的验证结果网页截图或扫描二维码验证结果截图。</w:t>
            </w:r>
          </w:p>
          <w:p>
            <w:pPr>
              <w:widowControl/>
              <w:spacing w:line="300" w:lineRule="exact"/>
              <w:jc w:val="left"/>
              <w:rPr>
                <w:rFonts w:ascii="宋体" w:hAnsi="宋体" w:cs="宋体"/>
                <w:b/>
                <w:bCs/>
                <w:kern w:val="0"/>
                <w:szCs w:val="21"/>
              </w:rPr>
            </w:pPr>
            <w:r>
              <w:rPr>
                <w:rFonts w:hint="eastAsia" w:ascii="宋体" w:hAnsi="宋体" w:cs="宋体"/>
                <w:kern w:val="0"/>
                <w:szCs w:val="21"/>
              </w:rPr>
              <w:t>4.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5</w:t>
            </w:r>
          </w:p>
        </w:tc>
        <w:tc>
          <w:tcPr>
            <w:tcW w:w="1110"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拟安排的项目主要团队成员（主要技术人员）情况（项目负责人除外）</w:t>
            </w:r>
          </w:p>
        </w:tc>
        <w:tc>
          <w:tcPr>
            <w:tcW w:w="67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14</w:t>
            </w:r>
          </w:p>
        </w:tc>
        <w:tc>
          <w:tcPr>
            <w:tcW w:w="6574" w:type="dxa"/>
          </w:tcPr>
          <w:p>
            <w:pPr>
              <w:widowControl/>
              <w:spacing w:line="300" w:lineRule="exact"/>
              <w:jc w:val="left"/>
            </w:pPr>
            <w:r>
              <w:rPr>
                <w:rFonts w:hint="eastAsia"/>
              </w:rPr>
              <w:t>（一）评审内容：</w:t>
            </w:r>
          </w:p>
          <w:p>
            <w:pPr>
              <w:widowControl/>
              <w:spacing w:line="300" w:lineRule="exact"/>
              <w:jc w:val="left"/>
            </w:pPr>
            <w:r>
              <w:rPr>
                <w:rFonts w:hint="eastAsia"/>
              </w:rPr>
              <w:t>拟安排项目团队成员为投标单位员工（以社保为准），否则该人员本项不得分。在此基础上：</w:t>
            </w:r>
          </w:p>
          <w:p>
            <w:pPr>
              <w:widowControl/>
              <w:spacing w:line="300" w:lineRule="exact"/>
              <w:jc w:val="left"/>
            </w:pPr>
            <w:r>
              <w:rPr>
                <w:rFonts w:hint="eastAsia"/>
              </w:rPr>
              <w:t>1.拟安排一名技术负责人1名，须具有网络空间安全相关专业的中级职称，</w:t>
            </w:r>
            <w:bookmarkStart w:id="2" w:name="OLE_LINK2"/>
            <w:r>
              <w:rPr>
                <w:rFonts w:hint="eastAsia"/>
                <w:lang w:val="en-US" w:eastAsia="zh-CN"/>
              </w:rPr>
              <w:t>提供信息查询截图结果，</w:t>
            </w:r>
            <w:bookmarkEnd w:id="2"/>
            <w:r>
              <w:rPr>
                <w:rFonts w:hint="eastAsia"/>
              </w:rPr>
              <w:t>否则本项不得分，在此基础上；</w:t>
            </w:r>
          </w:p>
          <w:p>
            <w:pPr>
              <w:widowControl/>
              <w:spacing w:line="300" w:lineRule="exact"/>
              <w:jc w:val="left"/>
            </w:pPr>
            <w:r>
              <w:rPr>
                <w:rFonts w:hint="eastAsia"/>
              </w:rPr>
              <w:t>具有中国信息安全测评中心颁发的信息安全工程师证书（CISP-CISE）（中国信息安全测评中心颁发的注册渗透测试专家证书（CISP-PTS）（中国网络安全审查技术与认证中心颁发的CISAW渗透测试（专业级）证书、中国网络安全审查技术与认证中心颁发的CISAW应急服务（专业级）证书；每具备一个得1分，本项最高得4分；</w:t>
            </w:r>
          </w:p>
          <w:p>
            <w:pPr>
              <w:widowControl/>
              <w:spacing w:line="300" w:lineRule="exact"/>
              <w:jc w:val="left"/>
            </w:pPr>
            <w:r>
              <w:rPr>
                <w:rFonts w:hint="eastAsia"/>
              </w:rPr>
              <w:t>2.拟派常备机动安全专家1名，须具有网络安全工程相关专业的中级职称，</w:t>
            </w:r>
            <w:r>
              <w:rPr>
                <w:rFonts w:hint="eastAsia"/>
                <w:lang w:val="en-US" w:eastAsia="zh-CN"/>
              </w:rPr>
              <w:t>提供信息查询截图结果，</w:t>
            </w:r>
            <w:r>
              <w:rPr>
                <w:rFonts w:hint="eastAsia"/>
              </w:rPr>
              <w:t>提供颁发地专业技术人员管理服务平台。否则本项不得分，在此基础上；具有中国信息安全测评中心颁发的注册数据安全治理专业人员（CISP-DSG）证书、中国网络安全审查技术与认证中心颁发的数据合规官证书（CCRC-DCO）、中国网络安全审查技术与认证中心颁发的信息安全保障人员认证证书CISAW风险管理（专业级）；得6分，若未同时具有上述全部证书，则每具有其中一个证书得0.25分；</w:t>
            </w:r>
          </w:p>
          <w:p>
            <w:pPr>
              <w:widowControl/>
              <w:spacing w:line="300" w:lineRule="exact"/>
              <w:jc w:val="left"/>
            </w:pPr>
            <w:r>
              <w:rPr>
                <w:rFonts w:hint="eastAsia"/>
              </w:rPr>
              <w:t>3. 团队成员至少有一名项目实施人员须同时具有中国网络安全审查技术与认证中心颁发的信息安全保障人员认证CISAW渗透测试（基础级）证书、中国信息安全测评中心颁发的大数据分析师（CISP-BDSA）证书、中国网络安全审查技术与认证中心颁发的网络安全应急响应工程师（CCRC-CSERE）证书，得4分，若未同时具有上述全部证书，则每具有其中一个证书得0.25分；</w:t>
            </w:r>
          </w:p>
          <w:p>
            <w:pPr>
              <w:widowControl/>
              <w:spacing w:line="300" w:lineRule="exact"/>
              <w:jc w:val="left"/>
            </w:pPr>
            <w:r>
              <w:rPr>
                <w:rFonts w:hint="eastAsia"/>
              </w:rPr>
              <w:t>4.评分项1-3中，同一人具备多项评分条件不可重复计算得分。</w:t>
            </w:r>
          </w:p>
          <w:p>
            <w:pPr>
              <w:widowControl/>
              <w:spacing w:line="300" w:lineRule="exact"/>
              <w:jc w:val="left"/>
            </w:pPr>
            <w:r>
              <w:rPr>
                <w:rFonts w:hint="eastAsia"/>
              </w:rPr>
              <w:t>（二）评审依据：</w:t>
            </w:r>
          </w:p>
          <w:p>
            <w:pPr>
              <w:widowControl/>
              <w:spacing w:line="300" w:lineRule="exact"/>
              <w:jc w:val="left"/>
            </w:pPr>
            <w:r>
              <w:rPr>
                <w:rFonts w:hint="eastAsia"/>
              </w:rPr>
              <w:t>1. 提供项目团队成员通过投标单位缴纳的载有社保部门或税务部门公章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widowControl/>
              <w:spacing w:line="300" w:lineRule="exact"/>
              <w:jc w:val="left"/>
            </w:pPr>
            <w:r>
              <w:rPr>
                <w:rFonts w:hint="eastAsia"/>
              </w:rPr>
              <w:t>2. 提供以上证明文件复印件或扫描件，如涉及网站截图或照片等证明材料，需提供清晰图片，均要求加盖投标人公章，原件备查。未按要求提供有效证明材料或提供不清晰导致评委无法识别的不计得分。</w:t>
            </w:r>
          </w:p>
          <w:p>
            <w:pPr>
              <w:widowControl/>
              <w:spacing w:line="300" w:lineRule="exact"/>
              <w:jc w:val="left"/>
            </w:pPr>
            <w:r>
              <w:rPr>
                <w:rFonts w:hint="eastAsia"/>
              </w:rPr>
              <w:t>3. 提供上述有效证书的信息查询截图（</w:t>
            </w:r>
            <w:r>
              <w:fldChar w:fldCharType="begin"/>
            </w:r>
            <w:r>
              <w:instrText xml:space="preserve"> HYPERLINK "https://www.itsec.gov.cn/、https://fuwu.rsj.beijing.gov.cn、www.isccc.gov.cn、http:/hrss.shandong.gov.cn、http://www.cpta.com.cn/certQuery.html" </w:instrText>
            </w:r>
            <w:r>
              <w:fldChar w:fldCharType="separate"/>
            </w:r>
            <w:r>
              <w:rPr>
                <w:rFonts w:hint="eastAsia"/>
              </w:rPr>
              <w:t>https://www.itsec.gov.cn/、https://fuwu.rsj.beijing.gov.cn、www.isccc.gov.cn、http:/hrss.shandong.gov.cn</w:t>
            </w:r>
            <w:r>
              <w:rPr>
                <w:rFonts w:hint="eastAsia"/>
              </w:rPr>
              <w:fldChar w:fldCharType="end"/>
            </w:r>
            <w:r>
              <w:rPr>
                <w:rFonts w:hint="eastAsia"/>
              </w:rPr>
              <w:t>）（验证结果网页截图或扫描二维码验证结果截图）：</w:t>
            </w:r>
          </w:p>
          <w:p>
            <w:pPr>
              <w:pStyle w:val="10"/>
            </w:pPr>
            <w:r>
              <w:rPr>
                <w:rFonts w:hint="eastAsia" w:ascii="宋体" w:hAnsi="宋体" w:cs="宋体"/>
                <w:kern w:val="0"/>
                <w:szCs w:val="21"/>
              </w:rPr>
              <w:t>4.提供以上证明文件复印件或扫描件，如涉及网站截图或照片等证明材料，需提供清晰图片，均要求加盖投标人公章，原件备查。未按要求提供有效证明材料或提供不清晰导致评委无法识别的不计得分。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6</w:t>
            </w:r>
          </w:p>
        </w:tc>
        <w:tc>
          <w:tcPr>
            <w:tcW w:w="1110"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投标人通过相关认证情况</w:t>
            </w:r>
          </w:p>
        </w:tc>
        <w:tc>
          <w:tcPr>
            <w:tcW w:w="67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4</w:t>
            </w:r>
          </w:p>
        </w:tc>
        <w:tc>
          <w:tcPr>
            <w:tcW w:w="6574" w:type="dxa"/>
          </w:tcPr>
          <w:p>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考察投标人获得相关证书情况：</w:t>
            </w:r>
          </w:p>
          <w:p>
            <w:pPr>
              <w:widowControl/>
              <w:spacing w:line="300" w:lineRule="exact"/>
              <w:jc w:val="left"/>
              <w:rPr>
                <w:rFonts w:ascii="宋体" w:hAnsi="宋体" w:cs="宋体"/>
                <w:kern w:val="0"/>
                <w:szCs w:val="21"/>
              </w:rPr>
            </w:pPr>
            <w:r>
              <w:rPr>
                <w:rFonts w:hint="eastAsia" w:ascii="宋体" w:hAnsi="宋体" w:cs="宋体"/>
                <w:kern w:val="0"/>
                <w:szCs w:val="21"/>
              </w:rPr>
              <w:t>1.具有ISO9001质量管理体系认证证书，得4分；</w:t>
            </w:r>
          </w:p>
          <w:p>
            <w:pPr>
              <w:widowControl/>
              <w:spacing w:line="300" w:lineRule="exact"/>
              <w:jc w:val="left"/>
              <w:rPr>
                <w:rFonts w:ascii="宋体" w:hAnsi="宋体" w:cs="宋体"/>
                <w:b/>
                <w:bCs/>
                <w:kern w:val="0"/>
                <w:szCs w:val="21"/>
              </w:rPr>
            </w:pPr>
            <w:r>
              <w:rPr>
                <w:rFonts w:hint="eastAsia" w:ascii="宋体" w:hAnsi="宋体" w:cs="宋体"/>
                <w:b/>
                <w:bCs/>
                <w:kern w:val="0"/>
                <w:szCs w:val="21"/>
              </w:rPr>
              <w:t>（二）评审依据：</w:t>
            </w:r>
          </w:p>
          <w:p>
            <w:pPr>
              <w:widowControl/>
              <w:spacing w:line="300" w:lineRule="exact"/>
              <w:jc w:val="left"/>
              <w:rPr>
                <w:rFonts w:ascii="宋体" w:hAnsi="宋体" w:cs="宋体"/>
                <w:kern w:val="0"/>
                <w:szCs w:val="21"/>
              </w:rPr>
            </w:pPr>
            <w:r>
              <w:rPr>
                <w:rFonts w:hint="eastAsia" w:ascii="宋体" w:hAnsi="宋体" w:cs="宋体"/>
                <w:kern w:val="0"/>
                <w:szCs w:val="21"/>
              </w:rPr>
              <w:t>1.提供相关认证证书；</w:t>
            </w:r>
          </w:p>
          <w:p>
            <w:pPr>
              <w:widowControl/>
              <w:spacing w:line="300" w:lineRule="exact"/>
              <w:jc w:val="left"/>
              <w:rPr>
                <w:rFonts w:ascii="宋体" w:hAnsi="宋体" w:cs="宋体"/>
                <w:b/>
                <w:bCs/>
                <w:kern w:val="0"/>
                <w:szCs w:val="21"/>
              </w:rPr>
            </w:pPr>
            <w:r>
              <w:rPr>
                <w:rFonts w:hint="eastAsia" w:ascii="宋体" w:hAnsi="宋体" w:cs="宋体"/>
                <w:kern w:val="0"/>
                <w:szCs w:val="21"/>
              </w:rPr>
              <w:t>2. 以上资料均要求提供扫描件，原件备查。评分中出现无证明资料或专家无法凭所提供资料判断是否得分的情况，一律作不得分处理。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7</w:t>
            </w:r>
          </w:p>
        </w:tc>
        <w:tc>
          <w:tcPr>
            <w:tcW w:w="1110"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投标人同类项目业绩情况</w:t>
            </w:r>
          </w:p>
        </w:tc>
        <w:tc>
          <w:tcPr>
            <w:tcW w:w="67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5</w:t>
            </w:r>
          </w:p>
        </w:tc>
        <w:tc>
          <w:tcPr>
            <w:tcW w:w="6574" w:type="dxa"/>
          </w:tcPr>
          <w:p>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投标人提供近年（自2022年1月起）医疗行业信息安全服务类项目业绩，每提供1个得2.5分，最高得5分。</w:t>
            </w:r>
          </w:p>
          <w:p>
            <w:pPr>
              <w:widowControl/>
              <w:spacing w:line="300" w:lineRule="exact"/>
              <w:jc w:val="left"/>
              <w:rPr>
                <w:rFonts w:ascii="宋体" w:hAnsi="宋体" w:cs="宋体"/>
                <w:b/>
                <w:bCs/>
                <w:kern w:val="0"/>
                <w:szCs w:val="21"/>
              </w:rPr>
            </w:pPr>
            <w:r>
              <w:rPr>
                <w:rFonts w:hint="eastAsia" w:ascii="宋体" w:hAnsi="宋体" w:cs="宋体"/>
                <w:b/>
                <w:bCs/>
                <w:kern w:val="0"/>
                <w:szCs w:val="21"/>
              </w:rPr>
              <w:t>（二）评审依据：</w:t>
            </w:r>
          </w:p>
          <w:p>
            <w:pPr>
              <w:widowControl/>
              <w:spacing w:line="300" w:lineRule="exact"/>
              <w:jc w:val="left"/>
              <w:rPr>
                <w:rFonts w:ascii="宋体" w:hAnsi="宋体" w:cs="宋体"/>
                <w:kern w:val="0"/>
                <w:szCs w:val="21"/>
              </w:rPr>
            </w:pPr>
            <w:r>
              <w:rPr>
                <w:rFonts w:hint="eastAsia" w:ascii="宋体" w:hAnsi="宋体" w:cs="宋体"/>
                <w:kern w:val="0"/>
                <w:szCs w:val="21"/>
              </w:rPr>
              <w:t>1.投标人须提供中标通知书或签订的合同关键页复印件，加盖投标人公章。（原件备查）</w:t>
            </w:r>
          </w:p>
          <w:p>
            <w:pPr>
              <w:widowControl/>
              <w:spacing w:line="300" w:lineRule="exact"/>
              <w:jc w:val="left"/>
              <w:rPr>
                <w:rFonts w:ascii="宋体" w:hAnsi="宋体" w:cs="宋体"/>
                <w:b/>
                <w:bCs/>
                <w:kern w:val="0"/>
                <w:szCs w:val="21"/>
              </w:rPr>
            </w:pPr>
            <w:r>
              <w:rPr>
                <w:rFonts w:hint="eastAsia" w:ascii="宋体" w:hAnsi="宋体" w:cs="宋体"/>
                <w:kern w:val="0"/>
                <w:szCs w:val="21"/>
              </w:rPr>
              <w:t>2.评分中出现无证明资料或专家无法凭所提供资料判断是否得分的情况，一律作不得分处理。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8</w:t>
            </w:r>
          </w:p>
        </w:tc>
        <w:tc>
          <w:tcPr>
            <w:tcW w:w="1110"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投标人自主知识产权产品（创新、设计）情况</w:t>
            </w:r>
          </w:p>
        </w:tc>
        <w:tc>
          <w:tcPr>
            <w:tcW w:w="67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6</w:t>
            </w:r>
          </w:p>
        </w:tc>
        <w:tc>
          <w:tcPr>
            <w:tcW w:w="6574" w:type="dxa"/>
          </w:tcPr>
          <w:p>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1.投标人具有中国人民共和国国家知识产权局颁发的关于网络攻击行为检测方法相关专利情况，得3分；</w:t>
            </w:r>
          </w:p>
          <w:p>
            <w:pPr>
              <w:widowControl/>
              <w:spacing w:line="300" w:lineRule="exact"/>
              <w:jc w:val="left"/>
              <w:rPr>
                <w:rFonts w:ascii="宋体" w:hAnsi="宋体" w:cs="宋体"/>
                <w:kern w:val="0"/>
                <w:szCs w:val="21"/>
              </w:rPr>
            </w:pPr>
            <w:r>
              <w:rPr>
                <w:rFonts w:hint="eastAsia" w:ascii="宋体" w:hAnsi="宋体" w:cs="宋体"/>
                <w:kern w:val="0"/>
                <w:szCs w:val="21"/>
              </w:rPr>
              <w:t>2.投标人具有中国人民共和国国家知识产权局颁发的关于网络事件分析方法相关专利情况，得3分。</w:t>
            </w:r>
          </w:p>
          <w:p>
            <w:pPr>
              <w:widowControl/>
              <w:spacing w:line="300" w:lineRule="exact"/>
              <w:jc w:val="left"/>
              <w:rPr>
                <w:rFonts w:ascii="宋体" w:hAnsi="宋体" w:cs="宋体"/>
                <w:b/>
                <w:bCs/>
                <w:kern w:val="0"/>
                <w:szCs w:val="21"/>
              </w:rPr>
            </w:pPr>
            <w:r>
              <w:rPr>
                <w:rFonts w:hint="eastAsia" w:ascii="宋体" w:hAnsi="宋体" w:cs="宋体"/>
                <w:b/>
                <w:bCs/>
                <w:kern w:val="0"/>
                <w:szCs w:val="21"/>
              </w:rPr>
              <w:t>（二）评审依据：</w:t>
            </w:r>
          </w:p>
          <w:p>
            <w:pPr>
              <w:widowControl/>
              <w:spacing w:line="300" w:lineRule="exact"/>
              <w:jc w:val="left"/>
              <w:rPr>
                <w:rFonts w:ascii="宋体" w:hAnsi="宋体" w:cs="宋体"/>
                <w:kern w:val="0"/>
                <w:szCs w:val="21"/>
              </w:rPr>
            </w:pPr>
            <w:r>
              <w:rPr>
                <w:rFonts w:hint="eastAsia" w:ascii="宋体" w:hAnsi="宋体" w:cs="宋体"/>
                <w:kern w:val="0"/>
                <w:szCs w:val="21"/>
              </w:rPr>
              <w:t>1、如为自有的，提供国家知识产权局颁发的的专利证书扫描件和专利检索及分析（https://pss-system.cponline.cnipa.gov.cn）的信息查询截图，需能体现供应商为申请人</w:t>
            </w:r>
          </w:p>
          <w:p>
            <w:pPr>
              <w:widowControl/>
              <w:spacing w:line="300" w:lineRule="exact"/>
              <w:jc w:val="left"/>
              <w:rPr>
                <w:rFonts w:ascii="宋体" w:hAnsi="宋体" w:cs="宋体"/>
                <w:kern w:val="0"/>
                <w:szCs w:val="21"/>
              </w:rPr>
            </w:pPr>
            <w:r>
              <w:rPr>
                <w:rFonts w:hint="eastAsia" w:ascii="宋体" w:hAnsi="宋体" w:cs="宋体"/>
                <w:kern w:val="0"/>
                <w:szCs w:val="21"/>
              </w:rPr>
              <w:t>2、提供的证书如无法判断是否符合评分要求的，可同时提供一致性说明，证书及说明均无法判断的不得分；</w:t>
            </w:r>
          </w:p>
          <w:p>
            <w:pPr>
              <w:widowControl/>
              <w:spacing w:line="300" w:lineRule="exact"/>
              <w:jc w:val="left"/>
              <w:rPr>
                <w:rFonts w:ascii="宋体" w:hAnsi="宋体" w:cs="宋体"/>
                <w:b/>
                <w:bCs/>
                <w:kern w:val="0"/>
                <w:szCs w:val="21"/>
              </w:rPr>
            </w:pPr>
            <w:r>
              <w:rPr>
                <w:rFonts w:hint="eastAsia" w:ascii="宋体" w:hAnsi="宋体" w:cs="宋体"/>
                <w:kern w:val="0"/>
                <w:szCs w:val="21"/>
              </w:rPr>
              <w:t>3、未按要求提供相关证明材料（或相关证明材料无法判断是否符合评分要求）的不计得分，原件备查。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9</w:t>
            </w:r>
          </w:p>
        </w:tc>
        <w:tc>
          <w:tcPr>
            <w:tcW w:w="1110" w:type="dxa"/>
          </w:tcPr>
          <w:p>
            <w:pPr>
              <w:widowControl/>
              <w:spacing w:line="300" w:lineRule="exact"/>
              <w:jc w:val="left"/>
              <w:rPr>
                <w:rFonts w:ascii="宋体" w:hAnsi="宋体" w:cs="宋体"/>
                <w:b/>
                <w:bCs/>
                <w:kern w:val="0"/>
                <w:szCs w:val="21"/>
              </w:rPr>
            </w:pPr>
          </w:p>
          <w:p>
            <w:pPr>
              <w:widowControl/>
              <w:spacing w:line="300" w:lineRule="exact"/>
              <w:jc w:val="left"/>
              <w:rPr>
                <w:rFonts w:ascii="宋体" w:hAnsi="宋体" w:cs="宋体"/>
                <w:b/>
                <w:bCs/>
                <w:kern w:val="0"/>
                <w:szCs w:val="21"/>
              </w:rPr>
            </w:pPr>
          </w:p>
          <w:p>
            <w:pPr>
              <w:widowControl/>
              <w:spacing w:line="300" w:lineRule="exact"/>
              <w:jc w:val="left"/>
              <w:rPr>
                <w:rFonts w:ascii="宋体" w:hAnsi="宋体" w:cs="宋体"/>
                <w:b/>
                <w:bCs/>
                <w:kern w:val="0"/>
                <w:szCs w:val="21"/>
              </w:rPr>
            </w:pPr>
          </w:p>
          <w:p>
            <w:pPr>
              <w:widowControl/>
              <w:spacing w:line="300" w:lineRule="exact"/>
              <w:jc w:val="left"/>
              <w:rPr>
                <w:rFonts w:ascii="宋体" w:hAnsi="宋体" w:cs="宋体"/>
                <w:b/>
                <w:bCs/>
                <w:kern w:val="0"/>
                <w:szCs w:val="21"/>
              </w:rPr>
            </w:pPr>
          </w:p>
          <w:p>
            <w:pPr>
              <w:widowControl/>
              <w:spacing w:line="300" w:lineRule="exact"/>
              <w:jc w:val="left"/>
              <w:rPr>
                <w:rFonts w:ascii="宋体" w:hAnsi="宋体" w:cs="宋体"/>
                <w:b/>
                <w:bCs/>
                <w:kern w:val="0"/>
                <w:szCs w:val="21"/>
              </w:rPr>
            </w:pPr>
            <w:r>
              <w:rPr>
                <w:rFonts w:hint="eastAsia" w:ascii="宋体" w:hAnsi="宋体" w:cs="宋体"/>
                <w:b/>
                <w:bCs/>
                <w:kern w:val="0"/>
                <w:szCs w:val="21"/>
              </w:rPr>
              <w:t>诚信情况</w:t>
            </w:r>
          </w:p>
        </w:tc>
        <w:tc>
          <w:tcPr>
            <w:tcW w:w="675" w:type="dxa"/>
          </w:tcPr>
          <w:p>
            <w:pPr>
              <w:widowControl/>
              <w:spacing w:line="300" w:lineRule="exact"/>
              <w:jc w:val="left"/>
              <w:rPr>
                <w:rFonts w:ascii="宋体" w:hAnsi="宋体" w:cs="宋体"/>
                <w:b/>
                <w:bCs/>
                <w:kern w:val="0"/>
                <w:szCs w:val="21"/>
              </w:rPr>
            </w:pPr>
          </w:p>
          <w:p>
            <w:pPr>
              <w:widowControl/>
              <w:spacing w:line="300" w:lineRule="exact"/>
              <w:jc w:val="left"/>
              <w:rPr>
                <w:rFonts w:ascii="宋体" w:hAnsi="宋体" w:cs="宋体"/>
                <w:b/>
                <w:bCs/>
                <w:kern w:val="0"/>
                <w:szCs w:val="21"/>
              </w:rPr>
            </w:pPr>
          </w:p>
          <w:p>
            <w:pPr>
              <w:widowControl/>
              <w:spacing w:line="300" w:lineRule="exact"/>
              <w:jc w:val="left"/>
              <w:rPr>
                <w:rFonts w:ascii="宋体" w:hAnsi="宋体" w:cs="宋体"/>
                <w:b/>
                <w:bCs/>
                <w:kern w:val="0"/>
                <w:szCs w:val="21"/>
              </w:rPr>
            </w:pPr>
          </w:p>
          <w:p>
            <w:pPr>
              <w:widowControl/>
              <w:spacing w:line="300" w:lineRule="exact"/>
              <w:jc w:val="left"/>
              <w:rPr>
                <w:rFonts w:ascii="宋体" w:hAnsi="宋体" w:cs="宋体"/>
                <w:b/>
                <w:bCs/>
                <w:kern w:val="0"/>
                <w:szCs w:val="21"/>
              </w:rPr>
            </w:pPr>
          </w:p>
          <w:p>
            <w:pPr>
              <w:widowControl/>
              <w:spacing w:line="300" w:lineRule="exact"/>
              <w:jc w:val="left"/>
              <w:rPr>
                <w:rFonts w:ascii="宋体" w:hAnsi="宋体" w:cs="宋体"/>
                <w:b/>
                <w:bCs/>
                <w:kern w:val="0"/>
                <w:szCs w:val="21"/>
              </w:rPr>
            </w:pPr>
            <w:r>
              <w:rPr>
                <w:rFonts w:hint="eastAsia" w:ascii="宋体" w:hAnsi="宋体" w:cs="宋体"/>
                <w:b/>
                <w:bCs/>
                <w:kern w:val="0"/>
                <w:szCs w:val="21"/>
              </w:rPr>
              <w:t>5</w:t>
            </w:r>
          </w:p>
        </w:tc>
        <w:tc>
          <w:tcPr>
            <w:tcW w:w="6574" w:type="dxa"/>
            <w:vAlign w:val="center"/>
          </w:tcPr>
          <w:p>
            <w:pPr>
              <w:numPr>
                <w:ilvl w:val="0"/>
                <w:numId w:val="1"/>
              </w:numPr>
              <w:adjustRightInd w:val="0"/>
              <w:rPr>
                <w:rFonts w:eastAsia="Calibri" w:cs="Calibri"/>
              </w:rPr>
            </w:pPr>
            <w:r>
              <w:rPr>
                <w:rFonts w:hint="eastAsia" w:ascii="宋体" w:hAnsi="宋体" w:cs="宋体"/>
                <w:b/>
              </w:rPr>
              <w:t>评审内容：</w:t>
            </w:r>
            <w:r>
              <w:br w:type="textWrapping"/>
            </w:r>
            <w:r>
              <w:rPr>
                <w:rFonts w:eastAsia="Calibri" w:cs="Calibri"/>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cs="Calibri"/>
              </w:rPr>
              <w:t>5</w:t>
            </w:r>
            <w:r>
              <w:rPr>
                <w:rFonts w:eastAsia="Calibri" w:cs="Calibri"/>
              </w:rPr>
              <w:t>分。</w:t>
            </w:r>
            <w:r>
              <w:br w:type="textWrapping"/>
            </w:r>
            <w:r>
              <w:rPr>
                <w:rFonts w:hint="eastAsia"/>
              </w:rPr>
              <w:t>（二）</w:t>
            </w:r>
            <w:r>
              <w:rPr>
                <w:rFonts w:hint="eastAsia" w:ascii="宋体" w:hAnsi="宋体" w:cs="宋体"/>
                <w:b/>
              </w:rPr>
              <w:t>评审依据：</w:t>
            </w:r>
            <w:r>
              <w:br w:type="textWrapping"/>
            </w:r>
            <w:r>
              <w:rPr>
                <w:rFonts w:hint="eastAsia" w:eastAsia="Calibri" w:cs="Calibri"/>
              </w:rPr>
              <w:t>1.</w:t>
            </w:r>
            <w:r>
              <w:rPr>
                <w:rFonts w:eastAsia="Calibri" w:cs="Calibri"/>
              </w:rPr>
              <w:t>提供</w:t>
            </w:r>
            <w:r>
              <w:rPr>
                <w:rFonts w:hint="eastAsia" w:cs="Calibri" w:asciiTheme="minorEastAsia" w:hAnsiTheme="minorEastAsia" w:eastAsiaTheme="minorEastAsia"/>
              </w:rPr>
              <w:t>“</w:t>
            </w:r>
            <w:r>
              <w:rPr>
                <w:rFonts w:eastAsia="Calibri" w:cs="Calibri"/>
              </w:rPr>
              <w:t>信用中国</w:t>
            </w:r>
            <w:r>
              <w:rPr>
                <w:rFonts w:hint="eastAsia" w:cs="Calibri" w:asciiTheme="minorEastAsia" w:hAnsiTheme="minorEastAsia" w:eastAsiaTheme="minorEastAsia"/>
              </w:rPr>
              <w:t>”</w:t>
            </w:r>
            <w:r>
              <w:rPr>
                <w:rFonts w:eastAsia="Calibri" w:cs="Calibri"/>
              </w:rPr>
              <w:t>、</w:t>
            </w:r>
            <w:r>
              <w:rPr>
                <w:rFonts w:hint="eastAsia" w:cs="Calibri" w:asciiTheme="minorEastAsia" w:hAnsiTheme="minorEastAsia" w:eastAsiaTheme="minorEastAsia"/>
              </w:rPr>
              <w:t>“</w:t>
            </w:r>
            <w:r>
              <w:rPr>
                <w:rFonts w:eastAsia="Calibri" w:cs="Calibri"/>
              </w:rPr>
              <w:t>中国政府采购网</w:t>
            </w:r>
            <w:r>
              <w:rPr>
                <w:rFonts w:hint="eastAsia" w:cs="Calibri" w:asciiTheme="minorEastAsia" w:hAnsiTheme="minorEastAsia" w:eastAsiaTheme="minorEastAsia"/>
              </w:rPr>
              <w:t>”</w:t>
            </w:r>
            <w:r>
              <w:rPr>
                <w:rFonts w:eastAsia="Calibri" w:cs="Calibri"/>
              </w:rPr>
              <w:t>、</w:t>
            </w:r>
            <w:r>
              <w:rPr>
                <w:rFonts w:hint="eastAsia" w:cs="Calibri" w:asciiTheme="minorEastAsia" w:hAnsiTheme="minorEastAsia" w:eastAsiaTheme="minorEastAsia"/>
              </w:rPr>
              <w:t>“</w:t>
            </w:r>
            <w:r>
              <w:rPr>
                <w:rFonts w:eastAsia="Calibri" w:cs="Calibri"/>
              </w:rPr>
              <w:t>深圳信用网</w:t>
            </w:r>
            <w:r>
              <w:rPr>
                <w:rFonts w:hint="eastAsia" w:cs="Calibri" w:asciiTheme="minorEastAsia" w:hAnsiTheme="minorEastAsia" w:eastAsiaTheme="minorEastAsia"/>
              </w:rPr>
              <w:t>”“</w:t>
            </w:r>
            <w:r>
              <w:rPr>
                <w:rFonts w:eastAsia="Calibri" w:cs="Calibri"/>
              </w:rPr>
              <w:t>深圳市政府采购监管网</w:t>
            </w:r>
            <w:r>
              <w:rPr>
                <w:rFonts w:hint="eastAsia" w:cs="Calibri" w:asciiTheme="minorEastAsia" w:hAnsiTheme="minorEastAsia" w:eastAsiaTheme="minorEastAsia"/>
              </w:rPr>
              <w:t>”</w:t>
            </w:r>
            <w:r>
              <w:rPr>
                <w:rFonts w:eastAsia="Calibri" w:cs="Calibri"/>
              </w:rPr>
              <w:t>等查询记录网络截图</w:t>
            </w:r>
            <w:r>
              <w:rPr>
                <w:rFonts w:hint="eastAsia" w:eastAsia="Calibri" w:cs="Calibri"/>
              </w:rPr>
              <w:t>；</w:t>
            </w:r>
          </w:p>
          <w:p>
            <w:pPr>
              <w:widowControl/>
              <w:spacing w:line="300" w:lineRule="exact"/>
              <w:jc w:val="left"/>
              <w:rPr>
                <w:rFonts w:ascii="宋体" w:hAnsi="宋体" w:cs="宋体"/>
                <w:b/>
                <w:bCs/>
                <w:kern w:val="0"/>
                <w:szCs w:val="21"/>
              </w:rPr>
            </w:pPr>
            <w:r>
              <w:rPr>
                <w:rFonts w:hint="eastAsia" w:eastAsia="Calibri" w:cs="Calibri"/>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gridSpan w:val="2"/>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二、价格部分（30分）</w:t>
            </w:r>
          </w:p>
        </w:tc>
        <w:tc>
          <w:tcPr>
            <w:tcW w:w="7249" w:type="dxa"/>
            <w:gridSpan w:val="2"/>
            <w:vAlign w:val="center"/>
          </w:tcPr>
          <w:p>
            <w:pPr>
              <w:widowControl/>
              <w:spacing w:line="300" w:lineRule="exact"/>
              <w:jc w:val="left"/>
              <w:rPr>
                <w:rFonts w:ascii="宋体" w:hAnsi="宋体" w:cs="宋体"/>
                <w:b/>
                <w:bCs/>
                <w:kern w:val="0"/>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ascii="宋体" w:hAnsi="宋体"/>
                <w:szCs w:val="21"/>
              </w:rPr>
              <w:t>3</w:t>
            </w:r>
            <w:r>
              <w:rPr>
                <w:rFonts w:hint="eastAsia" w:ascii="宋体" w:hAnsi="宋体"/>
                <w:szCs w:val="21"/>
                <w:lang w:val="zh-CN"/>
              </w:rPr>
              <w:t>0分)。其他投标人的价格分按照下列公式计算：</w:t>
            </w:r>
            <w:r>
              <w:rPr>
                <w:rFonts w:hint="eastAsia" w:ascii="宋体" w:hAnsi="宋体"/>
                <w:bCs/>
                <w:szCs w:val="21"/>
                <w:lang w:val="zh-CN"/>
              </w:rPr>
              <w:t>投标报价得分=(评标基准价／投标报价)×</w:t>
            </w:r>
            <w:r>
              <w:rPr>
                <w:rFonts w:ascii="宋体" w:hAnsi="宋体"/>
                <w:bCs/>
                <w:szCs w:val="21"/>
              </w:rPr>
              <w:t>3</w:t>
            </w:r>
            <w:r>
              <w:rPr>
                <w:rFonts w:hint="eastAsia" w:ascii="宋体" w:hAnsi="宋体"/>
                <w:bCs/>
                <w:szCs w:val="21"/>
                <w:lang w:val="zh-CN"/>
              </w:rPr>
              <w:t>0</w:t>
            </w:r>
          </w:p>
        </w:tc>
      </w:tr>
    </w:tbl>
    <w:p>
      <w:pPr>
        <w:widowControl/>
        <w:adjustRightInd w:val="0"/>
        <w:snapToGrid w:val="0"/>
        <w:contextualSpacing/>
        <w:jc w:val="left"/>
        <w:rPr>
          <w:rFonts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ascii="宋体" w:hAnsi="宋体" w:cs="Arial"/>
          <w:color w:val="000000"/>
          <w:kern w:val="0"/>
          <w:szCs w:val="21"/>
        </w:rPr>
      </w:pPr>
    </w:p>
    <w:p>
      <w:pPr>
        <w:snapToGrid w:val="0"/>
        <w:ind w:right="150" w:firstLine="480" w:firstLineChars="200"/>
        <w:jc w:val="right"/>
        <w:rPr>
          <w:rFonts w:ascii="宋体" w:hAnsi="宋体" w:cs="宋体-18030"/>
          <w:bCs/>
          <w:sz w:val="24"/>
        </w:rPr>
      </w:pPr>
      <w:r>
        <w:rPr>
          <w:rFonts w:hint="eastAsia" w:ascii="宋体" w:hAnsi="宋体" w:cs="宋体-18030"/>
          <w:bCs/>
          <w:sz w:val="24"/>
        </w:rPr>
        <w:t xml:space="preserve"> </w:t>
      </w:r>
      <w:r>
        <w:rPr>
          <w:rFonts w:ascii="宋体" w:hAnsi="宋体" w:cs="宋体-18030"/>
          <w:bCs/>
          <w:sz w:val="24"/>
        </w:rPr>
        <w:t xml:space="preserve"> </w:t>
      </w:r>
    </w:p>
    <w:p>
      <w:pPr>
        <w:snapToGrid w:val="0"/>
        <w:ind w:right="150" w:firstLine="480" w:firstLineChars="200"/>
        <w:jc w:val="right"/>
        <w:rPr>
          <w:rFonts w:ascii="宋体" w:hAnsi="宋体" w:cs="宋体-18030"/>
          <w:bCs/>
          <w:sz w:val="24"/>
        </w:rPr>
      </w:pPr>
      <w:r>
        <w:rPr>
          <w:rFonts w:ascii="宋体" w:hAnsi="宋体" w:cs="宋体-18030"/>
          <w:bCs/>
          <w:sz w:val="24"/>
        </w:rPr>
        <w:t xml:space="preserve"> </w:t>
      </w:r>
    </w:p>
    <w:p>
      <w:pPr>
        <w:snapToGrid w:val="0"/>
        <w:ind w:right="150" w:firstLine="480" w:firstLineChars="200"/>
        <w:jc w:val="right"/>
        <w:rPr>
          <w:rFonts w:ascii="宋体" w:hAnsi="宋体" w:cs="宋体-18030"/>
          <w:bCs/>
          <w:sz w:val="24"/>
        </w:rPr>
      </w:pPr>
    </w:p>
    <w:p>
      <w:pPr>
        <w:snapToGrid w:val="0"/>
        <w:ind w:right="150" w:firstLine="480" w:firstLineChars="200"/>
        <w:jc w:val="right"/>
        <w:rPr>
          <w:rFonts w:ascii="宋体" w:hAnsi="宋体"/>
          <w:b/>
          <w:sz w:val="24"/>
          <w:szCs w:val="21"/>
        </w:rPr>
        <w:sectPr>
          <w:footerReference r:id="rId3" w:type="default"/>
          <w:pgSz w:w="11910" w:h="16850"/>
          <w:pgMar w:top="1432" w:right="1786" w:bottom="1790" w:left="1366" w:header="0" w:footer="1591" w:gutter="0"/>
          <w:cols w:space="720" w:num="1"/>
        </w:sectPr>
      </w:pPr>
      <w:r>
        <w:rPr>
          <w:rFonts w:ascii="宋体" w:hAnsi="宋体" w:cs="宋体-18030"/>
          <w:bCs/>
          <w:sz w:val="24"/>
        </w:rPr>
        <w:t>深圳市宝安区人民医院</w:t>
      </w:r>
      <w:bookmarkStart w:id="3" w:name="_Hlk124837366"/>
    </w:p>
    <w:bookmarkEnd w:id="3"/>
    <w:p>
      <w:pPr>
        <w:jc w:val="center"/>
        <w:rPr>
          <w:b/>
          <w:bCs/>
          <w:sz w:val="30"/>
          <w:szCs w:val="30"/>
        </w:rPr>
      </w:pPr>
      <w:r>
        <w:rPr>
          <w:rFonts w:hint="eastAsia"/>
          <w:b/>
          <w:bCs/>
          <w:sz w:val="30"/>
          <w:szCs w:val="30"/>
        </w:rPr>
        <w:t>用户需求书</w:t>
      </w:r>
    </w:p>
    <w:p>
      <w:pPr>
        <w:pStyle w:val="3"/>
      </w:pPr>
    </w:p>
    <w:p>
      <w:pPr>
        <w:widowControl/>
        <w:snapToGrid w:val="0"/>
        <w:jc w:val="left"/>
        <w:rPr>
          <w:rFonts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422" w:firstLineChars="200"/>
        <w:rPr>
          <w:rFonts w:hAnsi="宋体"/>
          <w:b/>
          <w:kern w:val="0"/>
        </w:rPr>
      </w:pPr>
    </w:p>
    <w:p>
      <w:pPr>
        <w:jc w:val="center"/>
        <w:rPr>
          <w:b/>
          <w:bCs/>
          <w:sz w:val="30"/>
          <w:szCs w:val="30"/>
        </w:rPr>
      </w:pPr>
      <w:r>
        <w:rPr>
          <w:rFonts w:hint="eastAsia"/>
          <w:b/>
          <w:bCs/>
          <w:sz w:val="30"/>
          <w:szCs w:val="30"/>
        </w:rPr>
        <w:t>一、项目基本信息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814"/>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0" w:type="dxa"/>
            <w:vAlign w:val="center"/>
          </w:tcPr>
          <w:p>
            <w:pPr>
              <w:pStyle w:val="3"/>
              <w:jc w:val="center"/>
              <w:rPr>
                <w:rFonts w:hAnsi="宋体"/>
                <w:b/>
                <w:kern w:val="0"/>
              </w:rPr>
            </w:pPr>
            <w:r>
              <w:rPr>
                <w:rFonts w:hint="eastAsia" w:hAnsi="宋体"/>
                <w:b/>
                <w:kern w:val="0"/>
              </w:rPr>
              <w:t>序号</w:t>
            </w:r>
          </w:p>
        </w:tc>
        <w:tc>
          <w:tcPr>
            <w:tcW w:w="5814" w:type="dxa"/>
            <w:vAlign w:val="center"/>
          </w:tcPr>
          <w:p>
            <w:pPr>
              <w:pStyle w:val="3"/>
              <w:jc w:val="center"/>
              <w:rPr>
                <w:rFonts w:hAnsi="宋体"/>
                <w:b/>
                <w:kern w:val="0"/>
              </w:rPr>
            </w:pPr>
            <w:r>
              <w:rPr>
                <w:rFonts w:hint="eastAsia" w:hAnsi="宋体"/>
                <w:b/>
                <w:kern w:val="0"/>
              </w:rPr>
              <w:t>采购项目名称</w:t>
            </w:r>
          </w:p>
        </w:tc>
        <w:tc>
          <w:tcPr>
            <w:tcW w:w="3957" w:type="dxa"/>
            <w:vAlign w:val="center"/>
          </w:tcPr>
          <w:p>
            <w:pPr>
              <w:pStyle w:val="3"/>
              <w:jc w:val="center"/>
              <w:rPr>
                <w:rFonts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restart"/>
            <w:vAlign w:val="center"/>
          </w:tcPr>
          <w:p>
            <w:pPr>
              <w:pStyle w:val="3"/>
              <w:jc w:val="center"/>
              <w:rPr>
                <w:rFonts w:hAnsi="宋体"/>
                <w:bCs/>
                <w:kern w:val="0"/>
              </w:rPr>
            </w:pPr>
            <w:r>
              <w:rPr>
                <w:rFonts w:hint="eastAsia" w:hAnsi="宋体"/>
                <w:bCs/>
                <w:kern w:val="0"/>
              </w:rPr>
              <w:t>1</w:t>
            </w:r>
          </w:p>
        </w:tc>
        <w:tc>
          <w:tcPr>
            <w:tcW w:w="5814" w:type="dxa"/>
            <w:vMerge w:val="restart"/>
            <w:vAlign w:val="center"/>
          </w:tcPr>
          <w:p>
            <w:pPr>
              <w:widowControl/>
              <w:snapToGrid w:val="0"/>
              <w:ind w:leftChars="-260" w:right="-617" w:rightChars="-294" w:hanging="546" w:hangingChars="260"/>
              <w:contextualSpacing/>
              <w:jc w:val="center"/>
              <w:rPr>
                <w:rFonts w:ascii="宋体" w:hAnsi="宋体" w:cs="宋体-18030"/>
                <w:color w:val="000000"/>
                <w:szCs w:val="21"/>
              </w:rPr>
            </w:pPr>
            <w:r>
              <w:rPr>
                <w:rFonts w:hint="eastAsia" w:ascii="宋体" w:hAnsi="宋体" w:cs="宋体-18030"/>
                <w:bCs/>
                <w:color w:val="000000"/>
                <w:szCs w:val="21"/>
              </w:rPr>
              <w:t>网络信息安全专项外包服务</w:t>
            </w:r>
          </w:p>
        </w:tc>
        <w:tc>
          <w:tcPr>
            <w:tcW w:w="3957" w:type="dxa"/>
            <w:vMerge w:val="restart"/>
            <w:vAlign w:val="center"/>
          </w:tcPr>
          <w:p>
            <w:pPr>
              <w:pStyle w:val="3"/>
              <w:jc w:val="center"/>
              <w:rPr>
                <w:rFonts w:hAnsi="宋体"/>
                <w:bCs/>
                <w:kern w:val="0"/>
              </w:rPr>
            </w:pPr>
            <w:r>
              <w:rPr>
                <w:rFonts w:hint="eastAsia"/>
              </w:rPr>
              <w:t>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vAlign w:val="center"/>
          </w:tcPr>
          <w:p>
            <w:pPr>
              <w:pStyle w:val="3"/>
              <w:jc w:val="center"/>
              <w:rPr>
                <w:rFonts w:hAnsi="宋体"/>
                <w:bCs/>
                <w:kern w:val="0"/>
              </w:rPr>
            </w:pPr>
          </w:p>
        </w:tc>
        <w:tc>
          <w:tcPr>
            <w:tcW w:w="5814" w:type="dxa"/>
            <w:vMerge w:val="continue"/>
            <w:vAlign w:val="center"/>
          </w:tcPr>
          <w:p>
            <w:pPr>
              <w:widowControl/>
              <w:snapToGrid w:val="0"/>
              <w:ind w:leftChars="-260" w:right="-617" w:rightChars="-294" w:hanging="546" w:hangingChars="260"/>
              <w:contextualSpacing/>
              <w:jc w:val="center"/>
              <w:rPr>
                <w:rFonts w:ascii="宋体" w:hAnsi="宋体" w:cs="宋体-18030"/>
                <w:color w:val="000000"/>
                <w:szCs w:val="21"/>
              </w:rPr>
            </w:pPr>
          </w:p>
        </w:tc>
        <w:tc>
          <w:tcPr>
            <w:tcW w:w="3957" w:type="dxa"/>
            <w:vMerge w:val="continue"/>
            <w:vAlign w:val="center"/>
          </w:tcPr>
          <w:p>
            <w:pPr>
              <w:pStyle w:val="3"/>
              <w:jc w:val="center"/>
              <w:rPr>
                <w:rFonts w:hAnsi="宋体"/>
                <w:bCs/>
                <w:kern w:val="0"/>
              </w:rPr>
            </w:pPr>
          </w:p>
        </w:tc>
      </w:tr>
    </w:tbl>
    <w:p>
      <w:pPr>
        <w:pStyle w:val="3"/>
        <w:rPr>
          <w:rFonts w:hAnsi="宋体"/>
          <w:bCs/>
          <w:kern w:val="0"/>
        </w:rPr>
      </w:pPr>
    </w:p>
    <w:p>
      <w:pPr>
        <w:jc w:val="center"/>
        <w:rPr>
          <w:b/>
          <w:bCs/>
          <w:sz w:val="30"/>
          <w:szCs w:val="30"/>
        </w:rPr>
      </w:pPr>
      <w:r>
        <w:rPr>
          <w:rFonts w:hint="eastAsia"/>
          <w:b/>
          <w:bCs/>
          <w:sz w:val="30"/>
          <w:szCs w:val="30"/>
        </w:rPr>
        <w:t>二、服务要求</w:t>
      </w:r>
    </w:p>
    <w:p>
      <w:pPr>
        <w:pStyle w:val="6"/>
        <w:spacing w:line="520" w:lineRule="exact"/>
        <w:ind w:firstLine="0"/>
        <w:rPr>
          <w:rStyle w:val="32"/>
          <w:b/>
          <w:bCs/>
          <w:sz w:val="24"/>
          <w:szCs w:val="24"/>
        </w:rPr>
      </w:pPr>
      <w:bookmarkStart w:id="4" w:name="_Toc480449081"/>
      <w:bookmarkStart w:id="5" w:name="_Toc450137347"/>
      <w:bookmarkStart w:id="6" w:name="_Toc178049979"/>
      <w:r>
        <w:rPr>
          <w:rStyle w:val="32"/>
          <w:rFonts w:hint="eastAsia"/>
          <w:b/>
          <w:bCs/>
          <w:sz w:val="24"/>
          <w:szCs w:val="24"/>
        </w:rPr>
        <w:t>（一）项目概况</w:t>
      </w:r>
    </w:p>
    <w:p>
      <w:pPr>
        <w:spacing w:line="360" w:lineRule="auto"/>
        <w:ind w:firstLine="420" w:firstLineChars="200"/>
        <w:rPr>
          <w:rFonts w:ascii="宋体" w:hAnsi="宋体" w:cs="宋体"/>
          <w:szCs w:val="21"/>
        </w:rPr>
      </w:pPr>
      <w:r>
        <w:rPr>
          <w:rFonts w:ascii="宋体" w:hAnsi="宋体" w:cs="宋体"/>
          <w:szCs w:val="21"/>
        </w:rPr>
        <w:t>为深入贯彻落实《中华人民共和国网络安全法》《中华人民共和国数据安全法》《中华人民共和国个人信息保护法》《深圳经济特区数据条例》《医疗卫生机构网络安全管理办法》及《GB/T22239-2019信息安全技术网络安全等级保护基本要求》等法律法规及国家标准要求，积极响应上级主管部门及监管部门的专项工作部署，深圳市宝安区</w:t>
      </w:r>
      <w:r>
        <w:rPr>
          <w:rFonts w:hint="eastAsia" w:ascii="宋体" w:hAnsi="宋体" w:cs="宋体"/>
          <w:szCs w:val="21"/>
        </w:rPr>
        <w:t>人民</w:t>
      </w:r>
      <w:r>
        <w:rPr>
          <w:rFonts w:ascii="宋体" w:hAnsi="宋体" w:cs="宋体"/>
          <w:szCs w:val="21"/>
        </w:rPr>
        <w:t>医院拟启动网络安全服务项目建设，旨在构建实战化、体系化、常态化的网络安全防护体系，切实保障医院网络、信息系统及平台的安全稳定运行。</w:t>
      </w:r>
    </w:p>
    <w:p>
      <w:pPr>
        <w:spacing w:line="360" w:lineRule="auto"/>
        <w:ind w:firstLine="420" w:firstLineChars="200"/>
        <w:rPr>
          <w:rFonts w:ascii="宋体" w:hAnsi="宋体" w:cs="宋体"/>
          <w:szCs w:val="21"/>
        </w:rPr>
      </w:pPr>
      <w:r>
        <w:rPr>
          <w:rFonts w:ascii="宋体" w:hAnsi="宋体" w:cs="宋体"/>
          <w:szCs w:val="21"/>
        </w:rPr>
        <w:t>当前，医院正处于数字化转型与业务线上化发展的关键阶段，信息化建设成果显著，为患者就医及医疗诊疗服务提供了高效便捷的支撑。然而，随着互联网资产暴露面的扩大，针对医院重要信息系统及网络基础设施的网络攻击行为日益频繁，网络安全风险已成为制约医院信息化、数字化高质量发展的重要瓶颈。</w:t>
      </w:r>
    </w:p>
    <w:p>
      <w:pPr>
        <w:spacing w:line="360" w:lineRule="auto"/>
        <w:ind w:firstLine="420" w:firstLineChars="200"/>
        <w:rPr>
          <w:rFonts w:ascii="宋体" w:hAnsi="宋体" w:cs="宋体"/>
          <w:szCs w:val="21"/>
        </w:rPr>
      </w:pPr>
      <w:r>
        <w:rPr>
          <w:rFonts w:ascii="宋体" w:hAnsi="宋体" w:cs="宋体"/>
          <w:szCs w:val="21"/>
        </w:rPr>
        <w:t>为此，医院</w:t>
      </w:r>
      <w:r>
        <w:rPr>
          <w:rFonts w:hint="eastAsia" w:ascii="宋体" w:hAnsi="宋体" w:cs="宋体"/>
          <w:szCs w:val="21"/>
        </w:rPr>
        <w:t>通过</w:t>
      </w:r>
      <w:r>
        <w:rPr>
          <w:rFonts w:ascii="宋体" w:hAnsi="宋体" w:cs="宋体"/>
          <w:szCs w:val="21"/>
        </w:rPr>
        <w:t>采用专业化外包服务模式，充分依托网络安全服务企业在技术能力、专业团队、实战经验及成本优化等方面的优势，全面提升网络安全防护水平，从源头化解潜在安全隐患，筑牢网络安全防线。网络安全不仅关乎患者健康权益和社会稳定，更是国家关键信息基础设施安全的重要组成部分。有效识别并消除显性及隐性网络安全风险，既是践行以人民为中心的发展思想的具体举措，也是落实国家网络安全战略的必然要求。</w:t>
      </w:r>
    </w:p>
    <w:p>
      <w:pPr>
        <w:pStyle w:val="48"/>
        <w:spacing w:before="0" w:after="0" w:line="520" w:lineRule="exact"/>
        <w:ind w:firstLine="420"/>
        <w:contextualSpacing/>
        <w:rPr>
          <w:rFonts w:ascii="宋体" w:hAnsi="宋体" w:cs="宋体"/>
          <w:sz w:val="21"/>
          <w:szCs w:val="21"/>
        </w:rPr>
      </w:pPr>
      <w:r>
        <w:rPr>
          <w:rFonts w:ascii="宋体" w:hAnsi="宋体" w:cs="宋体"/>
          <w:sz w:val="21"/>
          <w:szCs w:val="21"/>
        </w:rPr>
        <w:t>深圳市宝安区</w:t>
      </w:r>
      <w:r>
        <w:rPr>
          <w:rFonts w:hint="eastAsia" w:ascii="宋体" w:hAnsi="宋体" w:cs="宋体"/>
          <w:sz w:val="21"/>
          <w:szCs w:val="21"/>
        </w:rPr>
        <w:t>人民</w:t>
      </w:r>
      <w:r>
        <w:rPr>
          <w:rFonts w:ascii="宋体" w:hAnsi="宋体" w:cs="宋体"/>
          <w:sz w:val="21"/>
          <w:szCs w:val="21"/>
        </w:rPr>
        <w:t>医院将以此次网络安全服务项目实施为契机，进一步强化网络安全主体责任，完善安全管理机制，为推进智慧医院建设、保障医疗数据安全、服务卫生健康事业高质量发展提供坚实保障。</w:t>
      </w:r>
    </w:p>
    <w:p>
      <w:pPr>
        <w:pStyle w:val="48"/>
        <w:spacing w:before="0" w:after="0" w:line="520" w:lineRule="exact"/>
        <w:ind w:firstLine="0" w:firstLineChars="0"/>
        <w:contextualSpacing/>
        <w:rPr>
          <w:rFonts w:ascii="宋体" w:hAnsi="宋体"/>
          <w:b/>
          <w:bCs/>
          <w:sz w:val="28"/>
          <w:szCs w:val="28"/>
        </w:rPr>
      </w:pPr>
      <w:r>
        <w:rPr>
          <w:rFonts w:hint="eastAsia" w:ascii="宋体" w:hAnsi="宋体"/>
          <w:b/>
          <w:bCs/>
          <w:sz w:val="28"/>
          <w:szCs w:val="28"/>
        </w:rPr>
        <w:t>（二）服务内容</w:t>
      </w:r>
    </w:p>
    <w:p>
      <w:pPr>
        <w:spacing w:line="360" w:lineRule="auto"/>
        <w:ind w:firstLine="315" w:firstLineChars="150"/>
        <w:rPr>
          <w:rFonts w:ascii="宋体" w:hAnsi="宋体"/>
          <w:szCs w:val="21"/>
        </w:rPr>
      </w:pPr>
      <w:r>
        <w:rPr>
          <w:rFonts w:ascii="宋体" w:hAnsi="宋体" w:cs="宋体"/>
          <w:szCs w:val="21"/>
        </w:rPr>
        <w:t>为配合</w:t>
      </w:r>
      <w:r>
        <w:rPr>
          <w:rFonts w:hint="eastAsia" w:ascii="宋体" w:hAnsi="宋体" w:cs="宋体"/>
          <w:szCs w:val="21"/>
        </w:rPr>
        <w:t>我单位信息安全建设</w:t>
      </w:r>
      <w:r>
        <w:rPr>
          <w:rFonts w:ascii="宋体" w:hAnsi="宋体" w:cs="宋体"/>
          <w:szCs w:val="21"/>
        </w:rPr>
        <w:t>工作，拟采购</w:t>
      </w:r>
      <w:r>
        <w:rPr>
          <w:rFonts w:hint="eastAsia" w:ascii="宋体" w:hAnsi="宋体" w:cs="宋体"/>
          <w:szCs w:val="21"/>
        </w:rPr>
        <w:t>一支专业的技术服务团队</w:t>
      </w:r>
      <w:r>
        <w:rPr>
          <w:rFonts w:hint="eastAsia" w:ascii="宋体" w:hAnsi="宋体"/>
          <w:szCs w:val="21"/>
        </w:rPr>
        <w:t>提供网络安全专项测试服务、服务器漏洞修复加固服务、网络设备和安全设备漏洞检测服务（含加固指导）、PC终端漏洞检测加固服务。</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032"/>
        <w:gridCol w:w="6792"/>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spacing w:line="360" w:lineRule="auto"/>
              <w:jc w:val="center"/>
              <w:rPr>
                <w:rFonts w:ascii="宋体" w:hAnsi="宋体"/>
                <w:b/>
                <w:bCs/>
                <w:sz w:val="24"/>
              </w:rPr>
            </w:pPr>
            <w:r>
              <w:rPr>
                <w:rFonts w:hint="eastAsia" w:ascii="宋体" w:hAnsi="宋体"/>
                <w:b/>
                <w:bCs/>
                <w:sz w:val="24"/>
              </w:rPr>
              <w:t>序号</w:t>
            </w:r>
          </w:p>
        </w:tc>
        <w:tc>
          <w:tcPr>
            <w:tcW w:w="951" w:type="pct"/>
            <w:vAlign w:val="center"/>
          </w:tcPr>
          <w:p>
            <w:pPr>
              <w:spacing w:line="360" w:lineRule="auto"/>
              <w:jc w:val="center"/>
              <w:rPr>
                <w:rFonts w:ascii="宋体" w:hAnsi="宋体"/>
                <w:b/>
                <w:bCs/>
                <w:sz w:val="24"/>
              </w:rPr>
            </w:pPr>
            <w:r>
              <w:rPr>
                <w:rFonts w:hint="eastAsia" w:ascii="宋体" w:hAnsi="宋体"/>
                <w:b/>
                <w:bCs/>
                <w:sz w:val="24"/>
              </w:rPr>
              <w:t>服务名称</w:t>
            </w:r>
          </w:p>
        </w:tc>
        <w:tc>
          <w:tcPr>
            <w:tcW w:w="3178" w:type="pct"/>
            <w:vAlign w:val="center"/>
          </w:tcPr>
          <w:p>
            <w:pPr>
              <w:spacing w:line="360" w:lineRule="auto"/>
              <w:jc w:val="center"/>
              <w:rPr>
                <w:rFonts w:ascii="宋体" w:hAnsi="宋体"/>
                <w:b/>
                <w:bCs/>
                <w:sz w:val="24"/>
              </w:rPr>
            </w:pPr>
            <w:r>
              <w:rPr>
                <w:rFonts w:hint="eastAsia" w:ascii="宋体" w:hAnsi="宋体"/>
                <w:b/>
                <w:bCs/>
                <w:sz w:val="24"/>
              </w:rPr>
              <w:t>服务内容</w:t>
            </w:r>
          </w:p>
        </w:tc>
        <w:tc>
          <w:tcPr>
            <w:tcW w:w="497" w:type="pct"/>
            <w:vAlign w:val="center"/>
          </w:tcPr>
          <w:p>
            <w:pPr>
              <w:spacing w:line="360" w:lineRule="auto"/>
              <w:jc w:val="center"/>
              <w:rPr>
                <w:rFonts w:ascii="宋体" w:hAnsi="宋体"/>
                <w:b/>
                <w:bCs/>
                <w:sz w:val="24"/>
              </w:rPr>
            </w:pPr>
            <w:r>
              <w:rPr>
                <w:rFonts w:hint="eastAsia" w:ascii="宋体" w:hAnsi="宋体"/>
                <w:b/>
                <w:bCs/>
                <w:sz w:val="24"/>
              </w:rPr>
              <w:t>服务频次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spacing w:line="360" w:lineRule="auto"/>
              <w:jc w:val="center"/>
              <w:rPr>
                <w:rFonts w:ascii="宋体" w:hAnsi="宋体"/>
                <w:szCs w:val="21"/>
              </w:rPr>
            </w:pPr>
            <w:r>
              <w:rPr>
                <w:rFonts w:hint="eastAsia" w:ascii="宋体" w:hAnsi="宋体"/>
                <w:szCs w:val="21"/>
              </w:rPr>
              <w:t>1</w:t>
            </w:r>
          </w:p>
        </w:tc>
        <w:tc>
          <w:tcPr>
            <w:tcW w:w="951" w:type="pct"/>
            <w:vAlign w:val="center"/>
          </w:tcPr>
          <w:p>
            <w:pPr>
              <w:spacing w:line="360" w:lineRule="auto"/>
              <w:jc w:val="center"/>
              <w:rPr>
                <w:rFonts w:ascii="宋体" w:hAnsi="宋体"/>
                <w:szCs w:val="21"/>
              </w:rPr>
            </w:pPr>
            <w:r>
              <w:rPr>
                <w:rFonts w:hint="eastAsia" w:ascii="宋体" w:hAnsi="宋体"/>
                <w:szCs w:val="21"/>
              </w:rPr>
              <w:t>专职驻场技术服务人员</w:t>
            </w:r>
          </w:p>
        </w:tc>
        <w:tc>
          <w:tcPr>
            <w:tcW w:w="3178" w:type="pct"/>
            <w:vAlign w:val="center"/>
          </w:tcPr>
          <w:p>
            <w:pPr>
              <w:spacing w:line="360" w:lineRule="auto"/>
              <w:rPr>
                <w:rFonts w:ascii="宋体" w:hAnsi="宋体"/>
                <w:szCs w:val="21"/>
              </w:rPr>
            </w:pPr>
            <w:r>
              <w:rPr>
                <w:rFonts w:hint="eastAsia" w:ascii="宋体" w:hAnsi="宋体"/>
                <w:szCs w:val="21"/>
              </w:rPr>
              <w:t>驻场工程师服从医院工作安排，工作时间与医院工作时间同步。工程师资质要求如下：信息安全、计算机相关专业全日制本科或以上学历，具备CISP或CISAW系列认证证书；能独立完成渗透工作的，拥有扎实的安全运营和网络安全攻防知识，包括安全技术防御、威胁检测、安全事件响应等，熟悉威胁情报并能应用于安全运营工作，熟练掌握各种渗透测试工具并且对其原理有深入了解。</w:t>
            </w:r>
          </w:p>
        </w:tc>
        <w:tc>
          <w:tcPr>
            <w:tcW w:w="497" w:type="pct"/>
            <w:vAlign w:val="center"/>
          </w:tcPr>
          <w:p>
            <w:pPr>
              <w:spacing w:line="360" w:lineRule="auto"/>
              <w:jc w:val="center"/>
              <w:rPr>
                <w:rFonts w:ascii="宋体" w:hAnsi="宋体"/>
                <w:szCs w:val="21"/>
              </w:rPr>
            </w:pPr>
            <w:r>
              <w:rPr>
                <w:rFonts w:hint="eastAsia" w:ascii="宋体" w:hAnsi="宋体"/>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372" w:type="pct"/>
            <w:vAlign w:val="center"/>
          </w:tcPr>
          <w:p>
            <w:pPr>
              <w:spacing w:line="360" w:lineRule="auto"/>
              <w:jc w:val="center"/>
              <w:rPr>
                <w:rFonts w:ascii="宋体" w:hAnsi="宋体"/>
                <w:szCs w:val="21"/>
              </w:rPr>
            </w:pPr>
            <w:r>
              <w:rPr>
                <w:rFonts w:hint="eastAsia" w:ascii="宋体" w:hAnsi="宋体"/>
                <w:szCs w:val="21"/>
              </w:rPr>
              <w:t>2</w:t>
            </w:r>
          </w:p>
        </w:tc>
        <w:tc>
          <w:tcPr>
            <w:tcW w:w="951"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网络安全专项测试</w:t>
            </w:r>
          </w:p>
        </w:tc>
        <w:tc>
          <w:tcPr>
            <w:tcW w:w="3178" w:type="pct"/>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针对医院的40个业务系统进行模拟黑客攻击，含整改加固指导并复测。</w:t>
            </w:r>
          </w:p>
        </w:tc>
        <w:tc>
          <w:tcPr>
            <w:tcW w:w="497" w:type="pct"/>
            <w:vAlign w:val="center"/>
          </w:tcPr>
          <w:p>
            <w:pPr>
              <w:spacing w:line="360"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spacing w:line="360" w:lineRule="auto"/>
              <w:jc w:val="center"/>
              <w:rPr>
                <w:rFonts w:ascii="宋体" w:hAnsi="宋体"/>
                <w:szCs w:val="21"/>
              </w:rPr>
            </w:pPr>
            <w:r>
              <w:rPr>
                <w:rFonts w:hint="eastAsia" w:ascii="宋体" w:hAnsi="宋体"/>
                <w:szCs w:val="21"/>
              </w:rPr>
              <w:t>3</w:t>
            </w:r>
          </w:p>
        </w:tc>
        <w:tc>
          <w:tcPr>
            <w:tcW w:w="951"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szCs w:val="21"/>
              </w:rPr>
              <w:t>服务器漏洞检测及修复加固服务</w:t>
            </w:r>
          </w:p>
        </w:tc>
        <w:tc>
          <w:tcPr>
            <w:tcW w:w="3178" w:type="pct"/>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szCs w:val="21"/>
              </w:rPr>
              <w:t>针对客户的</w:t>
            </w:r>
            <w:r>
              <w:rPr>
                <w:rFonts w:hint="eastAsia" w:ascii="宋体" w:hAnsi="宋体"/>
                <w:color w:val="000000"/>
                <w:szCs w:val="21"/>
              </w:rPr>
              <w:t>服务器</w:t>
            </w:r>
            <w:r>
              <w:rPr>
                <w:rFonts w:hint="eastAsia" w:ascii="宋体" w:hAnsi="宋体"/>
                <w:szCs w:val="21"/>
              </w:rPr>
              <w:t>（最多不超过45</w:t>
            </w:r>
            <w:r>
              <w:rPr>
                <w:rFonts w:ascii="宋体" w:hAnsi="宋体"/>
                <w:szCs w:val="21"/>
              </w:rPr>
              <w:t>0</w:t>
            </w:r>
            <w:r>
              <w:rPr>
                <w:rFonts w:hint="eastAsia" w:ascii="宋体" w:hAnsi="宋体"/>
                <w:szCs w:val="21"/>
              </w:rPr>
              <w:t>台）</w:t>
            </w:r>
            <w:r>
              <w:rPr>
                <w:rFonts w:hint="eastAsia" w:ascii="宋体" w:hAnsi="宋体"/>
                <w:color w:val="000000"/>
                <w:szCs w:val="21"/>
              </w:rPr>
              <w:t>漏洞进行检测并对</w:t>
            </w:r>
            <w:r>
              <w:rPr>
                <w:rFonts w:hint="eastAsia" w:ascii="宋体" w:hAnsi="宋体"/>
                <w:szCs w:val="21"/>
              </w:rPr>
              <w:t>存在漏洞的服务器进行全面的安全隐患修复加固。</w:t>
            </w:r>
          </w:p>
        </w:tc>
        <w:tc>
          <w:tcPr>
            <w:tcW w:w="497"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szCs w:val="21"/>
              </w:rPr>
              <w:t>4次/年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spacing w:line="360" w:lineRule="auto"/>
              <w:jc w:val="center"/>
              <w:rPr>
                <w:rFonts w:ascii="宋体" w:hAnsi="宋体"/>
                <w:szCs w:val="21"/>
              </w:rPr>
            </w:pPr>
            <w:r>
              <w:rPr>
                <w:rFonts w:hint="eastAsia" w:ascii="宋体" w:hAnsi="宋体"/>
                <w:szCs w:val="21"/>
              </w:rPr>
              <w:t>4</w:t>
            </w:r>
          </w:p>
        </w:tc>
        <w:tc>
          <w:tcPr>
            <w:tcW w:w="951"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szCs w:val="21"/>
              </w:rPr>
              <w:t>网络设备和安全设备漏洞检测服务（含加固指导）</w:t>
            </w:r>
          </w:p>
        </w:tc>
        <w:tc>
          <w:tcPr>
            <w:tcW w:w="3178" w:type="pct"/>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szCs w:val="21"/>
              </w:rPr>
              <w:t>对客户使用的网络设备和安全设备（最多不超过2</w:t>
            </w:r>
            <w:r>
              <w:rPr>
                <w:rFonts w:ascii="宋体" w:hAnsi="宋体"/>
                <w:szCs w:val="21"/>
              </w:rPr>
              <w:t>00</w:t>
            </w:r>
            <w:r>
              <w:rPr>
                <w:rFonts w:hint="eastAsia" w:ascii="宋体" w:hAnsi="宋体"/>
                <w:szCs w:val="21"/>
              </w:rPr>
              <w:t>台）进行全面的漏洞检测，为用户提供漏洞修复加固报告，并协助用户完成修复和整改。</w:t>
            </w:r>
          </w:p>
        </w:tc>
        <w:tc>
          <w:tcPr>
            <w:tcW w:w="497"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szCs w:val="21"/>
              </w:rPr>
              <w:t>4次/年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pPr>
              <w:spacing w:line="360" w:lineRule="auto"/>
              <w:jc w:val="center"/>
              <w:rPr>
                <w:rFonts w:ascii="宋体" w:hAnsi="宋体"/>
                <w:szCs w:val="21"/>
              </w:rPr>
            </w:pPr>
            <w:r>
              <w:rPr>
                <w:rFonts w:hint="eastAsia" w:ascii="宋体" w:hAnsi="宋体"/>
                <w:szCs w:val="21"/>
              </w:rPr>
              <w:t>5</w:t>
            </w:r>
          </w:p>
        </w:tc>
        <w:tc>
          <w:tcPr>
            <w:tcW w:w="951"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szCs w:val="21"/>
              </w:rPr>
              <w:t>PC终端漏洞检测加固服务</w:t>
            </w:r>
          </w:p>
        </w:tc>
        <w:tc>
          <w:tcPr>
            <w:tcW w:w="3178" w:type="pct"/>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szCs w:val="21"/>
              </w:rPr>
              <w:t>通过对PC终端（最多不超过20</w:t>
            </w:r>
            <w:r>
              <w:rPr>
                <w:rFonts w:ascii="宋体" w:hAnsi="宋体"/>
                <w:szCs w:val="21"/>
              </w:rPr>
              <w:t>00</w:t>
            </w:r>
            <w:r>
              <w:rPr>
                <w:rFonts w:hint="eastAsia" w:ascii="宋体" w:hAnsi="宋体"/>
                <w:szCs w:val="21"/>
              </w:rPr>
              <w:t>台）进行漏洞检测发现其存在的安全隐患并协助修复。</w:t>
            </w:r>
          </w:p>
        </w:tc>
        <w:tc>
          <w:tcPr>
            <w:tcW w:w="497"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szCs w:val="21"/>
              </w:rPr>
              <w:t>4次/年</w:t>
            </w:r>
          </w:p>
        </w:tc>
      </w:tr>
    </w:tbl>
    <w:p>
      <w:pPr>
        <w:widowControl/>
        <w:spacing w:before="90"/>
        <w:ind w:firstLine="301" w:firstLineChars="100"/>
        <w:jc w:val="center"/>
        <w:rPr>
          <w:b/>
          <w:bCs/>
          <w:sz w:val="30"/>
          <w:szCs w:val="30"/>
        </w:rPr>
      </w:pPr>
      <w:r>
        <w:rPr>
          <w:rFonts w:hint="eastAsia"/>
          <w:b/>
          <w:bCs/>
          <w:sz w:val="30"/>
          <w:szCs w:val="30"/>
        </w:rPr>
        <w:t>三、实质性条款</w:t>
      </w:r>
    </w:p>
    <w:tbl>
      <w:tblPr>
        <w:tblStyle w:val="20"/>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2"/>
        <w:ind w:left="424" w:leftChars="202" w:right="258" w:rightChars="123" w:firstLine="426" w:firstLineChars="202"/>
        <w:rPr>
          <w:b/>
          <w:bCs/>
          <w:sz w:val="30"/>
          <w:szCs w:val="30"/>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 w:val="30"/>
          <w:szCs w:val="30"/>
        </w:rPr>
      </w:pPr>
      <w:r>
        <w:rPr>
          <w:rFonts w:hint="eastAsia"/>
          <w:b/>
          <w:bCs/>
          <w:sz w:val="30"/>
          <w:szCs w:val="30"/>
        </w:rPr>
        <w:t>四、商务条款要求</w:t>
      </w:r>
    </w:p>
    <w:bookmarkEnd w:id="4"/>
    <w:bookmarkEnd w:id="5"/>
    <w:bookmarkEnd w:id="6"/>
    <w:p>
      <w:pPr>
        <w:rPr>
          <w:rFonts w:ascii="宋体" w:hAnsi="宋体"/>
          <w:b/>
          <w:szCs w:val="21"/>
          <w:u w:val="single"/>
        </w:rPr>
      </w:pPr>
      <w:r>
        <w:rPr>
          <w:rFonts w:hint="eastAsia" w:ascii="宋体" w:hAnsi="宋体"/>
          <w:szCs w:val="21"/>
        </w:rPr>
        <w:t>1. 服务期要求</w:t>
      </w:r>
      <w:r>
        <w:rPr>
          <w:rFonts w:hint="eastAsia" w:ascii="宋体" w:hAnsi="宋体"/>
          <w:bCs/>
          <w:szCs w:val="21"/>
        </w:rPr>
        <w:t>：自合同签订日起一年。合同服务期满前，由采购人根据中标人提供的服务情况及自身需求，决定是否续签。合同最长可续签2次，服务期限累计不得超过36个月。</w:t>
      </w:r>
    </w:p>
    <w:p>
      <w:pPr>
        <w:pStyle w:val="37"/>
        <w:numPr>
          <w:ilvl w:val="0"/>
          <w:numId w:val="2"/>
        </w:numPr>
        <w:ind w:firstLineChars="0"/>
        <w:rPr>
          <w:rFonts w:ascii="宋体" w:hAnsi="宋体" w:eastAsia="宋体" w:cs="Times New Roman"/>
          <w:szCs w:val="21"/>
        </w:rPr>
      </w:pPr>
      <w:r>
        <w:rPr>
          <w:rFonts w:hint="eastAsia" w:ascii="宋体" w:hAnsi="宋体" w:eastAsia="宋体" w:cs="Times New Roman"/>
          <w:szCs w:val="21"/>
        </w:rPr>
        <w:t xml:space="preserve">服务地点：深圳市宝安区人民医院 </w:t>
      </w:r>
    </w:p>
    <w:p>
      <w:pPr>
        <w:jc w:val="left"/>
        <w:rPr>
          <w:rFonts w:ascii="宋体" w:hAnsi="宋体"/>
          <w:szCs w:val="21"/>
        </w:rPr>
      </w:pPr>
      <w:r>
        <w:rPr>
          <w:rFonts w:hint="eastAsia" w:ascii="宋体" w:hAnsi="宋体"/>
          <w:szCs w:val="21"/>
        </w:rPr>
        <w:t>3. 人员要求：</w:t>
      </w:r>
    </w:p>
    <w:p>
      <w:pPr>
        <w:tabs>
          <w:tab w:val="left" w:pos="567"/>
        </w:tabs>
        <w:snapToGrid w:val="0"/>
        <w:rPr>
          <w:rFonts w:ascii="宋体" w:hAnsi="宋体"/>
          <w:szCs w:val="21"/>
        </w:rPr>
      </w:pPr>
      <w:r>
        <w:rPr>
          <w:rFonts w:hint="eastAsia" w:ascii="宋体" w:hAnsi="宋体"/>
          <w:szCs w:val="21"/>
        </w:rPr>
        <w:t>3.1投标人拟安排的项目负责人（仅限1人）情况（1人）：</w:t>
      </w:r>
    </w:p>
    <w:p>
      <w:pPr>
        <w:tabs>
          <w:tab w:val="left" w:pos="567"/>
        </w:tabs>
        <w:snapToGrid w:val="0"/>
        <w:rPr>
          <w:rFonts w:ascii="宋体" w:hAnsi="宋体"/>
          <w:szCs w:val="21"/>
        </w:rPr>
      </w:pPr>
      <w:r>
        <w:rPr>
          <w:rFonts w:hint="eastAsia" w:ascii="宋体" w:hAnsi="宋体"/>
          <w:szCs w:val="21"/>
        </w:rPr>
        <w:t>3.1.1项目负责人具有信息技术（信息安全）专业的高级工程师职称证书、项目管理专业的硕士及以上学历；</w:t>
      </w:r>
    </w:p>
    <w:p>
      <w:pPr>
        <w:tabs>
          <w:tab w:val="left" w:pos="567"/>
        </w:tabs>
        <w:snapToGrid w:val="0"/>
        <w:rPr>
          <w:rFonts w:ascii="宋体" w:hAnsi="宋体"/>
          <w:szCs w:val="21"/>
        </w:rPr>
      </w:pPr>
      <w:r>
        <w:rPr>
          <w:rFonts w:hint="eastAsia" w:ascii="宋体" w:hAnsi="宋体"/>
          <w:szCs w:val="21"/>
        </w:rPr>
        <w:t>3.2拟安排的项目团队成员（主要技术人员）情况（项目负责人除外）（不少于</w:t>
      </w:r>
      <w:r>
        <w:rPr>
          <w:rFonts w:ascii="宋体" w:hAnsi="宋体"/>
          <w:szCs w:val="21"/>
        </w:rPr>
        <w:t>3</w:t>
      </w:r>
      <w:r>
        <w:rPr>
          <w:rFonts w:hint="eastAsia" w:ascii="宋体" w:hAnsi="宋体"/>
          <w:szCs w:val="21"/>
        </w:rPr>
        <w:t>人）：</w:t>
      </w:r>
    </w:p>
    <w:p>
      <w:pPr>
        <w:tabs>
          <w:tab w:val="left" w:pos="567"/>
        </w:tabs>
        <w:snapToGrid w:val="0"/>
        <w:rPr>
          <w:rFonts w:ascii="宋体" w:hAnsi="宋体"/>
          <w:szCs w:val="21"/>
        </w:rPr>
      </w:pPr>
      <w:r>
        <w:rPr>
          <w:rFonts w:hint="eastAsia" w:ascii="宋体" w:hAnsi="宋体"/>
          <w:szCs w:val="21"/>
        </w:rPr>
        <w:t>3.2.1项目技术负责人具有网络空间安全相关专业的中级职称证书、</w:t>
      </w:r>
      <w:r>
        <w:rPr>
          <w:rFonts w:hint="eastAsia" w:ascii="宋体" w:hAnsi="宋体"/>
          <w:szCs w:val="21"/>
          <w:lang w:val="en-US" w:eastAsia="zh-CN"/>
        </w:rPr>
        <w:t>注册</w:t>
      </w:r>
      <w:r>
        <w:rPr>
          <w:rFonts w:hint="eastAsia" w:ascii="宋体" w:hAnsi="宋体"/>
          <w:szCs w:val="21"/>
        </w:rPr>
        <w:t>信息安全工程师证书、注册渗透测试专家证书、</w:t>
      </w:r>
      <w:r>
        <w:rPr>
          <w:rFonts w:ascii="宋体" w:hAnsi="宋体"/>
          <w:szCs w:val="21"/>
        </w:rPr>
        <w:t>CISAW</w:t>
      </w:r>
      <w:r>
        <w:rPr>
          <w:rFonts w:hint="eastAsia" w:ascii="宋体" w:hAnsi="宋体"/>
          <w:szCs w:val="21"/>
        </w:rPr>
        <w:t>渗透测试（专业级）证书、</w:t>
      </w:r>
      <w:r>
        <w:rPr>
          <w:rFonts w:ascii="宋体" w:hAnsi="宋体"/>
          <w:szCs w:val="21"/>
        </w:rPr>
        <w:t>CISAW</w:t>
      </w:r>
      <w:r>
        <w:rPr>
          <w:rFonts w:hint="eastAsia" w:ascii="宋体" w:hAnsi="宋体"/>
          <w:szCs w:val="21"/>
        </w:rPr>
        <w:t>应急服务（专业级）证书：</w:t>
      </w:r>
    </w:p>
    <w:p>
      <w:pPr>
        <w:tabs>
          <w:tab w:val="left" w:pos="567"/>
        </w:tabs>
        <w:snapToGrid w:val="0"/>
        <w:rPr>
          <w:rFonts w:ascii="宋体" w:hAnsi="宋体"/>
          <w:szCs w:val="21"/>
        </w:rPr>
      </w:pPr>
      <w:r>
        <w:rPr>
          <w:rFonts w:hint="eastAsia" w:ascii="宋体" w:hAnsi="宋体"/>
          <w:szCs w:val="21"/>
        </w:rPr>
        <w:t>3.2.2项目团队成员中具有网络安全工程相关专业的中级职称证书、注册数据安全治理专业人员（</w:t>
      </w:r>
      <w:r>
        <w:rPr>
          <w:rFonts w:ascii="宋体" w:hAnsi="宋体"/>
          <w:szCs w:val="21"/>
        </w:rPr>
        <w:t>CISP-DSG</w:t>
      </w:r>
      <w:r>
        <w:rPr>
          <w:rFonts w:hint="eastAsia" w:ascii="宋体" w:hAnsi="宋体"/>
          <w:szCs w:val="21"/>
        </w:rPr>
        <w:t>）证书、数据合规官证书（</w:t>
      </w:r>
      <w:r>
        <w:rPr>
          <w:rFonts w:ascii="宋体" w:hAnsi="宋体"/>
          <w:szCs w:val="21"/>
        </w:rPr>
        <w:t>CCRC-DCO</w:t>
      </w:r>
      <w:r>
        <w:rPr>
          <w:rFonts w:hint="eastAsia" w:ascii="宋体" w:hAnsi="宋体"/>
          <w:szCs w:val="21"/>
        </w:rPr>
        <w:t>）、信息安全保障人员认证证书</w:t>
      </w:r>
      <w:r>
        <w:rPr>
          <w:rFonts w:ascii="宋体" w:hAnsi="宋体"/>
          <w:szCs w:val="21"/>
        </w:rPr>
        <w:t>CISAW</w:t>
      </w:r>
      <w:r>
        <w:rPr>
          <w:rFonts w:hint="eastAsia" w:ascii="宋体" w:hAnsi="宋体"/>
          <w:szCs w:val="21"/>
        </w:rPr>
        <w:t>风险管理（专业级）；</w:t>
      </w:r>
    </w:p>
    <w:p>
      <w:pPr>
        <w:jc w:val="left"/>
        <w:rPr>
          <w:rFonts w:ascii="宋体" w:hAnsi="宋体"/>
          <w:szCs w:val="21"/>
        </w:rPr>
      </w:pPr>
      <w:r>
        <w:rPr>
          <w:rFonts w:hint="eastAsia" w:ascii="宋体" w:hAnsi="宋体"/>
          <w:szCs w:val="21"/>
        </w:rPr>
        <w:t>3.3项目团队成员中具有信息安全保障人员认证CISAW渗透测试（基础级）证书、大数据分析师(CISP-BDSA)证书、网络安全应急响应工程师（</w:t>
      </w:r>
      <w:r>
        <w:rPr>
          <w:rFonts w:ascii="宋体" w:hAnsi="宋体"/>
          <w:szCs w:val="21"/>
        </w:rPr>
        <w:t>CCRC-CSERE</w:t>
      </w:r>
      <w:r>
        <w:rPr>
          <w:rFonts w:hint="eastAsia" w:ascii="宋体" w:hAnsi="宋体"/>
          <w:szCs w:val="21"/>
        </w:rPr>
        <w:t>）证书。</w:t>
      </w:r>
    </w:p>
    <w:p>
      <w:pPr>
        <w:jc w:val="left"/>
        <w:rPr>
          <w:rFonts w:ascii="宋体" w:hAnsi="宋体"/>
          <w:szCs w:val="21"/>
        </w:rPr>
      </w:pPr>
      <w:r>
        <w:rPr>
          <w:rFonts w:hint="eastAsia" w:ascii="宋体" w:hAnsi="宋体"/>
          <w:szCs w:val="21"/>
        </w:rPr>
        <w:t>4. 投入工具要求：</w:t>
      </w:r>
    </w:p>
    <w:p>
      <w:pPr>
        <w:jc w:val="left"/>
        <w:rPr>
          <w:rFonts w:ascii="宋体" w:hAnsi="宋体"/>
          <w:szCs w:val="21"/>
        </w:rPr>
      </w:pPr>
      <w:r>
        <w:rPr>
          <w:rFonts w:hint="eastAsia" w:ascii="宋体" w:hAnsi="宋体"/>
          <w:szCs w:val="21"/>
        </w:rPr>
        <w:t>4.1提供对同一目标多次扫描结果或者不同主机间扫描结果的比对功能，并能根据比对结果生成比对报告。报告应能输出为通用的文档格式，包括但不限于PDF、DOC、HTML、WPS、OFD等</w:t>
      </w:r>
      <w:r>
        <w:rPr>
          <w:rFonts w:hint="eastAsia" w:ascii="宋体" w:hAnsi="宋体" w:cs="宋体"/>
          <w:kern w:val="0"/>
          <w:szCs w:val="21"/>
        </w:rPr>
        <w:t>（需提供具有CNAS和CMA标识的检验检测报告扫描件）</w:t>
      </w:r>
      <w:r>
        <w:rPr>
          <w:rFonts w:hint="eastAsia" w:ascii="宋体" w:hAnsi="宋体"/>
          <w:szCs w:val="21"/>
        </w:rPr>
        <w:t>；</w:t>
      </w:r>
    </w:p>
    <w:p>
      <w:pPr>
        <w:jc w:val="left"/>
        <w:rPr>
          <w:rFonts w:ascii="宋体" w:hAnsi="宋体"/>
          <w:szCs w:val="21"/>
        </w:rPr>
      </w:pPr>
      <w:r>
        <w:rPr>
          <w:rFonts w:hint="eastAsia" w:ascii="宋体" w:hAnsi="宋体"/>
          <w:szCs w:val="21"/>
        </w:rPr>
        <w:t>4.2支持将安全事件通过资产、安全知识库、弱点库三个维度进行联动分析和匹配，将安全事件进行联动整合并生成安全事件日志</w:t>
      </w:r>
      <w:r>
        <w:rPr>
          <w:rFonts w:hint="eastAsia" w:ascii="宋体" w:hAnsi="宋体" w:cs="宋体"/>
          <w:kern w:val="0"/>
          <w:szCs w:val="21"/>
        </w:rPr>
        <w:t>（需提供第三方检测机构出具的带有CMA和CNAS标识的检验检测报告扫描件）</w:t>
      </w:r>
      <w:r>
        <w:rPr>
          <w:rFonts w:hint="eastAsia" w:ascii="宋体" w:hAnsi="宋体"/>
          <w:szCs w:val="21"/>
        </w:rPr>
        <w:t>；</w:t>
      </w:r>
    </w:p>
    <w:p>
      <w:pPr>
        <w:jc w:val="left"/>
        <w:rPr>
          <w:rFonts w:ascii="宋体" w:hAnsi="宋体"/>
          <w:szCs w:val="21"/>
        </w:rPr>
      </w:pPr>
      <w:r>
        <w:rPr>
          <w:rFonts w:hint="eastAsia" w:ascii="宋体" w:hAnsi="宋体"/>
          <w:szCs w:val="21"/>
        </w:rPr>
        <w:t>4.3支持将插件安装在目标主机上对主机的CPU利用率、内存使用率、磁盘使用率、磁盘使用情况、流量等信息进行转发，在产品监控界面中即可查看目标主机的监控信息</w:t>
      </w:r>
      <w:r>
        <w:rPr>
          <w:rFonts w:hint="eastAsia" w:ascii="宋体" w:hAnsi="宋体" w:cs="宋体"/>
          <w:kern w:val="0"/>
          <w:szCs w:val="21"/>
        </w:rPr>
        <w:t>（需提供第三方检测机构出具的带有CMA和CNAS标识的检验检测报告扫描件）</w:t>
      </w:r>
      <w:r>
        <w:rPr>
          <w:rFonts w:hint="eastAsia" w:ascii="宋体" w:hAnsi="宋体"/>
          <w:szCs w:val="21"/>
        </w:rPr>
        <w:t>；</w:t>
      </w:r>
    </w:p>
    <w:p>
      <w:pPr>
        <w:jc w:val="left"/>
        <w:rPr>
          <w:rFonts w:ascii="宋体" w:hAnsi="宋体"/>
          <w:szCs w:val="21"/>
        </w:rPr>
      </w:pPr>
      <w:r>
        <w:rPr>
          <w:rFonts w:hint="eastAsia" w:ascii="宋体" w:hAnsi="宋体"/>
          <w:szCs w:val="21"/>
        </w:rPr>
        <w:t>4.4支持对日志进行SM4和AES加密转发，转发后的日志内容为密文，日志接收时，可以采用对应的解密策略进行解密</w:t>
      </w:r>
      <w:r>
        <w:rPr>
          <w:rFonts w:hint="eastAsia" w:ascii="宋体" w:hAnsi="宋体" w:cs="宋体"/>
          <w:kern w:val="0"/>
          <w:szCs w:val="21"/>
        </w:rPr>
        <w:t>（需提供第三方检测机构出具的带有CMA和CNAS标识的检验检测报告扫描件）</w:t>
      </w:r>
      <w:r>
        <w:rPr>
          <w:rFonts w:hint="eastAsia" w:ascii="宋体" w:hAnsi="宋体"/>
          <w:szCs w:val="21"/>
        </w:rPr>
        <w:t>。</w:t>
      </w:r>
    </w:p>
    <w:p>
      <w:pPr>
        <w:jc w:val="left"/>
        <w:rPr>
          <w:rFonts w:ascii="宋体" w:hAnsi="宋体"/>
          <w:szCs w:val="21"/>
        </w:rPr>
      </w:pPr>
      <w:r>
        <w:rPr>
          <w:rFonts w:hint="eastAsia" w:ascii="宋体" w:hAnsi="宋体"/>
          <w:szCs w:val="21"/>
        </w:rPr>
        <w:t>5.成果要求:</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521"/>
        <w:gridCol w:w="6062"/>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pPr>
              <w:spacing w:line="360" w:lineRule="auto"/>
              <w:jc w:val="center"/>
              <w:rPr>
                <w:rFonts w:ascii="宋体" w:hAnsi="宋体"/>
                <w:b/>
                <w:bCs/>
                <w:sz w:val="24"/>
              </w:rPr>
            </w:pPr>
            <w:bookmarkStart w:id="7" w:name="_Hlk162430721"/>
            <w:r>
              <w:rPr>
                <w:rFonts w:hint="eastAsia" w:ascii="宋体" w:hAnsi="宋体"/>
                <w:b/>
                <w:bCs/>
                <w:sz w:val="24"/>
              </w:rPr>
              <w:t>序号</w:t>
            </w:r>
          </w:p>
        </w:tc>
        <w:tc>
          <w:tcPr>
            <w:tcW w:w="1180" w:type="pct"/>
            <w:vAlign w:val="center"/>
          </w:tcPr>
          <w:p>
            <w:pPr>
              <w:spacing w:line="360" w:lineRule="auto"/>
              <w:jc w:val="center"/>
              <w:rPr>
                <w:rFonts w:ascii="宋体" w:hAnsi="宋体"/>
                <w:b/>
                <w:bCs/>
                <w:sz w:val="24"/>
              </w:rPr>
            </w:pPr>
            <w:r>
              <w:rPr>
                <w:rFonts w:hint="eastAsia" w:ascii="宋体" w:hAnsi="宋体"/>
                <w:b/>
                <w:bCs/>
                <w:sz w:val="24"/>
              </w:rPr>
              <w:t>服务项</w:t>
            </w:r>
          </w:p>
        </w:tc>
        <w:tc>
          <w:tcPr>
            <w:tcW w:w="2837" w:type="pct"/>
            <w:vAlign w:val="center"/>
          </w:tcPr>
          <w:p>
            <w:pPr>
              <w:spacing w:line="360" w:lineRule="auto"/>
              <w:jc w:val="center"/>
              <w:rPr>
                <w:rFonts w:ascii="宋体" w:hAnsi="宋体"/>
                <w:b/>
                <w:bCs/>
                <w:sz w:val="24"/>
              </w:rPr>
            </w:pPr>
            <w:r>
              <w:rPr>
                <w:rFonts w:hint="eastAsia" w:ascii="宋体" w:hAnsi="宋体"/>
                <w:b/>
                <w:bCs/>
                <w:sz w:val="24"/>
              </w:rPr>
              <w:t>交付成果</w:t>
            </w:r>
          </w:p>
        </w:tc>
        <w:tc>
          <w:tcPr>
            <w:tcW w:w="645" w:type="pct"/>
            <w:vAlign w:val="center"/>
          </w:tcPr>
          <w:p>
            <w:pPr>
              <w:spacing w:line="360" w:lineRule="auto"/>
              <w:jc w:val="center"/>
              <w:rPr>
                <w:rFonts w:ascii="宋体" w:hAnsi="宋体"/>
                <w:b/>
                <w:bCs/>
                <w:sz w:val="24"/>
              </w:rPr>
            </w:pPr>
            <w:r>
              <w:rPr>
                <w:rFonts w:hint="eastAsia" w:ascii="宋体" w:hAnsi="宋体"/>
                <w:b/>
                <w:bCs/>
                <w:sz w:val="24"/>
              </w:rPr>
              <w:t>交付频次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pPr>
              <w:spacing w:line="360" w:lineRule="auto"/>
              <w:jc w:val="center"/>
              <w:rPr>
                <w:rFonts w:ascii="宋体" w:hAnsi="宋体"/>
                <w:szCs w:val="21"/>
              </w:rPr>
            </w:pPr>
            <w:r>
              <w:rPr>
                <w:rFonts w:hint="eastAsia" w:ascii="宋体" w:hAnsi="宋体"/>
                <w:szCs w:val="21"/>
              </w:rPr>
              <w:t>1</w:t>
            </w:r>
          </w:p>
        </w:tc>
        <w:tc>
          <w:tcPr>
            <w:tcW w:w="1180" w:type="pct"/>
            <w:vAlign w:val="center"/>
          </w:tcPr>
          <w:p>
            <w:pPr>
              <w:spacing w:line="360" w:lineRule="auto"/>
              <w:jc w:val="center"/>
              <w:rPr>
                <w:rFonts w:ascii="宋体" w:hAnsi="宋体"/>
                <w:szCs w:val="21"/>
              </w:rPr>
            </w:pPr>
            <w:r>
              <w:rPr>
                <w:rFonts w:hint="eastAsia" w:ascii="宋体" w:hAnsi="宋体"/>
                <w:szCs w:val="21"/>
              </w:rPr>
              <w:t>专职驻场技术服务人员（1人）</w:t>
            </w:r>
          </w:p>
        </w:tc>
        <w:tc>
          <w:tcPr>
            <w:tcW w:w="2837" w:type="pct"/>
            <w:vAlign w:val="center"/>
          </w:tcPr>
          <w:p>
            <w:pPr>
              <w:spacing w:line="360" w:lineRule="auto"/>
              <w:rPr>
                <w:rFonts w:ascii="宋体" w:hAnsi="宋体"/>
                <w:szCs w:val="21"/>
              </w:rPr>
            </w:pPr>
            <w:r>
              <w:rPr>
                <w:rFonts w:hint="eastAsia" w:ascii="宋体" w:hAnsi="宋体"/>
                <w:szCs w:val="21"/>
              </w:rPr>
              <w:t>网络安全专项检测驻场服务报告。</w:t>
            </w:r>
          </w:p>
        </w:tc>
        <w:tc>
          <w:tcPr>
            <w:tcW w:w="645" w:type="pct"/>
            <w:vAlign w:val="center"/>
          </w:tcPr>
          <w:p>
            <w:pPr>
              <w:spacing w:line="360" w:lineRule="auto"/>
              <w:jc w:val="center"/>
              <w:rPr>
                <w:rFonts w:ascii="宋体" w:hAnsi="宋体"/>
                <w:szCs w:val="21"/>
              </w:rPr>
            </w:pPr>
            <w:r>
              <w:rPr>
                <w:rFonts w:hint="eastAsia" w:ascii="宋体" w:hAnsi="宋体"/>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pPr>
              <w:spacing w:line="360" w:lineRule="auto"/>
              <w:jc w:val="center"/>
              <w:rPr>
                <w:rFonts w:ascii="宋体" w:hAnsi="宋体"/>
                <w:szCs w:val="21"/>
              </w:rPr>
            </w:pPr>
            <w:r>
              <w:rPr>
                <w:rFonts w:hint="eastAsia" w:ascii="宋体" w:hAnsi="宋体"/>
                <w:szCs w:val="21"/>
              </w:rPr>
              <w:t>2</w:t>
            </w:r>
          </w:p>
        </w:tc>
        <w:tc>
          <w:tcPr>
            <w:tcW w:w="1180"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网络安全渗透专项测试</w:t>
            </w:r>
          </w:p>
        </w:tc>
        <w:tc>
          <w:tcPr>
            <w:tcW w:w="2837" w:type="pct"/>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针对客户的40个业务系统进行模拟黑客攻击并出具安全渗透报告，含后期整改加固指导并复测。</w:t>
            </w:r>
          </w:p>
        </w:tc>
        <w:tc>
          <w:tcPr>
            <w:tcW w:w="645" w:type="pct"/>
            <w:vAlign w:val="center"/>
          </w:tcPr>
          <w:p>
            <w:pPr>
              <w:spacing w:line="360"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pPr>
              <w:spacing w:line="360" w:lineRule="auto"/>
              <w:jc w:val="center"/>
              <w:rPr>
                <w:rFonts w:ascii="宋体" w:hAnsi="宋体"/>
                <w:szCs w:val="21"/>
              </w:rPr>
            </w:pPr>
            <w:r>
              <w:rPr>
                <w:rFonts w:hint="eastAsia" w:ascii="宋体" w:hAnsi="宋体"/>
                <w:szCs w:val="21"/>
              </w:rPr>
              <w:t>3</w:t>
            </w:r>
          </w:p>
        </w:tc>
        <w:tc>
          <w:tcPr>
            <w:tcW w:w="1180"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szCs w:val="21"/>
              </w:rPr>
              <w:t>服务器漏洞检测及修复加固服务</w:t>
            </w:r>
          </w:p>
        </w:tc>
        <w:tc>
          <w:tcPr>
            <w:tcW w:w="2837" w:type="pct"/>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szCs w:val="21"/>
              </w:rPr>
              <w:t>《深圳市宝安区人民医院服务器漏洞管理报告》</w:t>
            </w:r>
            <w:r>
              <w:rPr>
                <w:rFonts w:hint="eastAsia" w:ascii="宋体" w:hAnsi="宋体"/>
                <w:color w:val="000000"/>
                <w:szCs w:val="21"/>
              </w:rPr>
              <w:t>及修复加固服务</w:t>
            </w:r>
          </w:p>
        </w:tc>
        <w:tc>
          <w:tcPr>
            <w:tcW w:w="645"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szCs w:val="21"/>
              </w:rPr>
              <w:t>4次/年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pPr>
              <w:spacing w:line="360" w:lineRule="auto"/>
              <w:jc w:val="center"/>
              <w:rPr>
                <w:rFonts w:ascii="宋体" w:hAnsi="宋体"/>
                <w:szCs w:val="21"/>
              </w:rPr>
            </w:pPr>
            <w:r>
              <w:rPr>
                <w:rFonts w:hint="eastAsia" w:ascii="宋体" w:hAnsi="宋体"/>
                <w:szCs w:val="21"/>
              </w:rPr>
              <w:t>4</w:t>
            </w:r>
          </w:p>
        </w:tc>
        <w:tc>
          <w:tcPr>
            <w:tcW w:w="1180"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szCs w:val="21"/>
              </w:rPr>
              <w:t>网络设备和安全设备漏洞检测服务（含加固指导）</w:t>
            </w:r>
          </w:p>
        </w:tc>
        <w:tc>
          <w:tcPr>
            <w:tcW w:w="2837" w:type="pct"/>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szCs w:val="21"/>
              </w:rPr>
              <w:t>《深圳市宝安区人民医院</w:t>
            </w:r>
            <w:r>
              <w:rPr>
                <w:rFonts w:hint="eastAsia" w:ascii="宋体" w:hAnsi="宋体"/>
                <w:color w:val="000000"/>
                <w:szCs w:val="21"/>
              </w:rPr>
              <w:t>网络设备和安全设备</w:t>
            </w:r>
            <w:r>
              <w:rPr>
                <w:rFonts w:hint="eastAsia" w:ascii="宋体" w:hAnsi="宋体"/>
                <w:szCs w:val="21"/>
              </w:rPr>
              <w:t>漏洞管理报告》</w:t>
            </w:r>
          </w:p>
        </w:tc>
        <w:tc>
          <w:tcPr>
            <w:tcW w:w="645"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szCs w:val="21"/>
              </w:rPr>
              <w:t>4次/年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 w:type="pct"/>
            <w:vAlign w:val="center"/>
          </w:tcPr>
          <w:p>
            <w:pPr>
              <w:spacing w:line="360" w:lineRule="auto"/>
              <w:jc w:val="center"/>
              <w:rPr>
                <w:rFonts w:ascii="宋体" w:hAnsi="宋体"/>
                <w:szCs w:val="21"/>
              </w:rPr>
            </w:pPr>
            <w:r>
              <w:rPr>
                <w:rFonts w:hint="eastAsia" w:ascii="宋体" w:hAnsi="宋体"/>
                <w:szCs w:val="21"/>
              </w:rPr>
              <w:t>5</w:t>
            </w:r>
          </w:p>
        </w:tc>
        <w:tc>
          <w:tcPr>
            <w:tcW w:w="1180"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szCs w:val="21"/>
              </w:rPr>
              <w:t>PC终端漏洞检测加固服务</w:t>
            </w:r>
          </w:p>
        </w:tc>
        <w:tc>
          <w:tcPr>
            <w:tcW w:w="2837" w:type="pct"/>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szCs w:val="21"/>
              </w:rPr>
              <w:t>《深圳市宝安区人民医院PC</w:t>
            </w:r>
            <w:r>
              <w:rPr>
                <w:rFonts w:hint="eastAsia" w:ascii="宋体" w:hAnsi="宋体"/>
                <w:color w:val="000000"/>
                <w:szCs w:val="21"/>
              </w:rPr>
              <w:t>终端</w:t>
            </w:r>
            <w:r>
              <w:rPr>
                <w:rFonts w:hint="eastAsia" w:ascii="宋体" w:hAnsi="宋体"/>
                <w:szCs w:val="21"/>
              </w:rPr>
              <w:t>漏洞管理报告》</w:t>
            </w:r>
          </w:p>
        </w:tc>
        <w:tc>
          <w:tcPr>
            <w:tcW w:w="645" w:type="pct"/>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szCs w:val="21"/>
              </w:rPr>
              <w:t>4次/年</w:t>
            </w:r>
          </w:p>
        </w:tc>
      </w:tr>
      <w:bookmarkEnd w:id="7"/>
    </w:tbl>
    <w:p>
      <w:pPr>
        <w:pStyle w:val="3"/>
        <w:rPr>
          <w:rFonts w:asciiTheme="minorEastAsia" w:hAnsiTheme="minorEastAsia" w:eastAsiaTheme="minorEastAsia" w:cstheme="minorEastAsia"/>
        </w:rPr>
      </w:pPr>
    </w:p>
    <w:p>
      <w:pPr>
        <w:jc w:val="left"/>
        <w:rPr>
          <w:rFonts w:ascii="宋体" w:hAnsi="宋体"/>
        </w:rPr>
      </w:pPr>
      <w:r>
        <w:rPr>
          <w:rFonts w:hint="eastAsia" w:ascii="宋体" w:hAnsi="宋体"/>
        </w:rPr>
        <w:t>6.报价要求：</w:t>
      </w:r>
    </w:p>
    <w:p>
      <w:pPr>
        <w:ind w:firstLine="420" w:firstLineChars="200"/>
        <w:jc w:val="left"/>
        <w:rPr>
          <w:rFonts w:ascii="宋体" w:hAnsi="宋体"/>
        </w:rPr>
      </w:pPr>
      <w:r>
        <w:rPr>
          <w:rFonts w:hint="eastAsia" w:ascii="宋体" w:hAnsi="宋体"/>
        </w:rPr>
        <w:t>投标总价必须是完成该项目的一切费用总和，包括人工费、保险费、管理费、技术培训费、售后服务费、国家规定的各项税费等全部费用。</w:t>
      </w:r>
    </w:p>
    <w:p>
      <w:pPr>
        <w:jc w:val="left"/>
        <w:rPr>
          <w:rFonts w:ascii="宋体" w:hAnsi="宋体"/>
        </w:rPr>
      </w:pPr>
      <w:r>
        <w:rPr>
          <w:rFonts w:hint="eastAsia" w:ascii="宋体" w:hAnsi="宋体"/>
        </w:rPr>
        <w:t>7.违约责任：</w:t>
      </w:r>
    </w:p>
    <w:p>
      <w:pPr>
        <w:jc w:val="left"/>
        <w:rPr>
          <w:rFonts w:ascii="宋体" w:hAnsi="宋体"/>
        </w:rPr>
      </w:pPr>
      <w:r>
        <w:rPr>
          <w:rFonts w:hint="eastAsia" w:ascii="宋体" w:hAnsi="宋体"/>
        </w:rPr>
        <w:t>7.1中标人逾期提交本合同约定的成果或履行本合同项下义务，每逾期一天，应向采购人支付合同最高总价0.1%的违约金。逾期超过30天的，采购人有权解除本合同，中标人应向采购人支付相当于合同最高总价20%的违约金。</w:t>
      </w:r>
    </w:p>
    <w:p>
      <w:pPr>
        <w:jc w:val="left"/>
        <w:rPr>
          <w:rFonts w:ascii="宋体" w:hAnsi="宋体"/>
        </w:rPr>
      </w:pPr>
      <w:r>
        <w:rPr>
          <w:rFonts w:hint="eastAsia" w:ascii="宋体" w:hAnsi="宋体"/>
        </w:rPr>
        <w:t>7.2中标人提供的成果不能通过采购人任一阶段审查或验收的，采购人有权解除合同，中标人应向采购人支付相当于合同最高总价20%的违约金，并有权另行委托其它单位继续开展此项工作。如采购人同意中标人继续履行合同的，中标人应向采购人支付合同最高总价5%的违约金，并在10个工作日内完成修改完善工作，未如期完成修善并通过采购人审核的，采购人仍有权解除合同，中标人应向采购人支付相当于合同最高总价20%的违约金。</w:t>
      </w:r>
    </w:p>
    <w:p>
      <w:pPr>
        <w:jc w:val="left"/>
        <w:rPr>
          <w:rFonts w:ascii="宋体" w:hAnsi="宋体"/>
        </w:rPr>
      </w:pPr>
      <w:r>
        <w:rPr>
          <w:rFonts w:hint="eastAsia" w:ascii="宋体" w:hAnsi="宋体"/>
        </w:rPr>
        <w:t>7.3中标人擅自更换项目服务人员或不按采购人要求更换项目服务人员的，采购人有权要求中标人承担1万元/人次的违约金。发生3次以上（含本数）时，招标方有权要求中标人支付相当于合同总价款20%的违约金，并有权解除合同。</w:t>
      </w:r>
    </w:p>
    <w:p>
      <w:pPr>
        <w:jc w:val="left"/>
        <w:rPr>
          <w:rFonts w:ascii="宋体" w:hAnsi="宋体"/>
        </w:rPr>
      </w:pPr>
      <w:r>
        <w:rPr>
          <w:rFonts w:hint="eastAsia" w:ascii="宋体" w:hAnsi="宋体"/>
        </w:rPr>
        <w:t>7.4中标人未按照合同约定提供咨询、现场服务及售后服务的，每发生一起，应当向采购人支付合同最高总价5%的违约金，且采购人有权寻求第三方提供服务，因此发生的费用由中标人予以承担。</w:t>
      </w:r>
    </w:p>
    <w:p>
      <w:pPr>
        <w:jc w:val="left"/>
        <w:rPr>
          <w:rFonts w:ascii="宋体" w:hAnsi="宋体"/>
        </w:rPr>
      </w:pPr>
      <w:r>
        <w:rPr>
          <w:rFonts w:hint="eastAsia" w:ascii="宋体" w:hAnsi="宋体"/>
        </w:rPr>
        <w:t>8.技术保障要求：</w:t>
      </w:r>
    </w:p>
    <w:p>
      <w:pPr>
        <w:ind w:firstLine="420" w:firstLineChars="200"/>
        <w:jc w:val="left"/>
        <w:rPr>
          <w:rFonts w:ascii="宋体" w:hAnsi="宋体"/>
        </w:rPr>
      </w:pPr>
      <w:r>
        <w:rPr>
          <w:rFonts w:hint="eastAsia" w:ascii="宋体" w:hAnsi="宋体"/>
        </w:rPr>
        <w:t>中标人未检测出最终用户防护对象的安全漏洞，被最终用户信息安全监管部门/上级主管单位通报存在中高风险漏洞（主机漏洞除外），每个高风险漏洞中标人需扣减5000元，每个中风险漏洞中标人需扣减3000元；最高扣减不超过6万元。扣减款从采购人支付的最后一期费用中扣除（若中标人能提供证明在通报前已查出漏洞，但第三方未及时修补的则不进行扣款）。重要时刻安全保障期间被省、市、区通报，或一年累计被信息安全监管部门/上级主管单位通报6次（以出具的整改通知书为准），采购人有权单方解除合同，采购人按照实际数量进行减扣并根据中标人已实际提供的服务进行结算。</w:t>
      </w:r>
    </w:p>
    <w:p>
      <w:pPr>
        <w:jc w:val="left"/>
        <w:rPr>
          <w:rFonts w:ascii="宋体" w:hAnsi="宋体"/>
        </w:rPr>
      </w:pPr>
      <w:r>
        <w:rPr>
          <w:rFonts w:hint="eastAsia" w:ascii="宋体" w:hAnsi="宋体"/>
        </w:rPr>
        <w:t>9.其他要求：</w:t>
      </w:r>
    </w:p>
    <w:p>
      <w:pPr>
        <w:ind w:firstLine="420" w:firstLineChars="200"/>
        <w:jc w:val="left"/>
        <w:rPr>
          <w:rFonts w:ascii="宋体" w:hAnsi="宋体"/>
        </w:rPr>
      </w:pPr>
      <w:r>
        <w:rPr>
          <w:rFonts w:hint="eastAsia" w:ascii="宋体" w:hAnsi="宋体"/>
        </w:rPr>
        <w:t>由于本项目技术服务对象均为采购人重要信息系统，部分功能组件有可能暴露于复杂网络环境下，应充分考虑各种风险因素。项目实施前中标人须向采购人提交详细技术服务方案，方案应包含但不限于技术人员安排、安全服务计划、服务实施方法、使用工具和应急响应措施等内容，且方案应完善并符合采购人现场实际情况、针对性及操作性强，经采购人确认后方可实施。</w:t>
      </w:r>
    </w:p>
    <w:p>
      <w:pPr>
        <w:jc w:val="left"/>
        <w:rPr>
          <w:rFonts w:ascii="宋体" w:hAnsi="宋体"/>
        </w:rPr>
      </w:pPr>
    </w:p>
    <w:p>
      <w:pPr>
        <w:jc w:val="left"/>
        <w:rPr>
          <w:rFonts w:ascii="宋体" w:hAnsi="宋体"/>
        </w:rPr>
      </w:pPr>
    </w:p>
    <w:p>
      <w:pPr>
        <w:jc w:val="left"/>
        <w:rPr>
          <w:rFonts w:ascii="宋体" w:hAnsi="宋体"/>
        </w:rPr>
      </w:pPr>
    </w:p>
    <w:p>
      <w:pPr>
        <w:jc w:val="left"/>
        <w:rPr>
          <w:rFonts w:ascii="宋体" w:hAnsi="宋体"/>
        </w:rPr>
      </w:pP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ascii="宋体" w:hAnsi="宋体" w:cs="宋体-18030"/>
          <w:b/>
          <w:bCs/>
          <w:sz w:val="24"/>
        </w:rPr>
      </w:pPr>
    </w:p>
    <w:p>
      <w:pPr>
        <w:widowControl/>
        <w:spacing w:line="700" w:lineRule="exact"/>
        <w:jc w:val="center"/>
        <w:rPr>
          <w:rFonts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rPr>
        <w:t>56</w:t>
      </w:r>
      <w:r>
        <w:rPr>
          <w:rFonts w:ascii="宋体" w:hAnsi="宋体"/>
          <w:b/>
          <w:bCs/>
          <w:sz w:val="28"/>
          <w:szCs w:val="28"/>
        </w:rPr>
        <w:t>期采购</w:t>
      </w:r>
    </w:p>
    <w:p>
      <w:pPr>
        <w:spacing w:after="60" w:line="360" w:lineRule="auto"/>
        <w:rPr>
          <w:rFonts w:ascii="宋体" w:hAnsi="宋体"/>
          <w:b/>
          <w:bCs/>
          <w:sz w:val="24"/>
        </w:rPr>
      </w:pPr>
    </w:p>
    <w:p>
      <w:pPr>
        <w:widowControl/>
        <w:spacing w:line="360" w:lineRule="auto"/>
        <w:jc w:val="center"/>
        <w:rPr>
          <w:rFonts w:ascii="宋体" w:hAnsi="宋体"/>
          <w:b/>
          <w:bCs/>
          <w:sz w:val="84"/>
          <w:szCs w:val="84"/>
        </w:rPr>
      </w:pPr>
      <w:r>
        <w:rPr>
          <w:rFonts w:ascii="宋体" w:hAnsi="宋体"/>
          <w:b/>
          <w:bCs/>
          <w:sz w:val="84"/>
          <w:szCs w:val="84"/>
        </w:rPr>
        <w:t>投标文件</w:t>
      </w:r>
    </w:p>
    <w:p>
      <w:pPr>
        <w:widowControl/>
        <w:spacing w:line="700" w:lineRule="exact"/>
        <w:ind w:left="1"/>
        <w:jc w:val="center"/>
        <w:rPr>
          <w:rFonts w:ascii="宋体" w:hAnsi="宋体" w:cs="Arial"/>
          <w:b/>
          <w:bCs/>
          <w:kern w:val="0"/>
          <w:sz w:val="30"/>
          <w:szCs w:val="30"/>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rPr>
        <w:t>56</w:t>
      </w:r>
    </w:p>
    <w:p>
      <w:pPr>
        <w:widowControl/>
        <w:spacing w:line="500" w:lineRule="exact"/>
        <w:ind w:left="1"/>
        <w:jc w:val="center"/>
        <w:rPr>
          <w:rFonts w:ascii="宋体" w:hAnsi="宋体"/>
          <w:b/>
          <w:bCs/>
          <w:color w:val="FF0000"/>
        </w:rPr>
      </w:pPr>
      <w:r>
        <w:rPr>
          <w:rFonts w:ascii="宋体" w:hAnsi="宋体"/>
          <w:b/>
          <w:bCs/>
          <w:sz w:val="28"/>
          <w:szCs w:val="28"/>
        </w:rPr>
        <w:t xml:space="preserve"> </w:t>
      </w:r>
    </w:p>
    <w:p>
      <w:pPr>
        <w:widowControl/>
        <w:spacing w:line="500" w:lineRule="exact"/>
        <w:ind w:left="1"/>
        <w:jc w:val="center"/>
        <w:rPr>
          <w:rStyle w:val="25"/>
          <w:rFonts w:eastAsia="宋体"/>
          <w:color w:val="000000"/>
        </w:rPr>
      </w:pPr>
    </w:p>
    <w:p>
      <w:pPr>
        <w:widowControl/>
        <w:spacing w:line="500" w:lineRule="exact"/>
        <w:ind w:firstLine="970" w:firstLineChars="345"/>
      </w:pPr>
      <w:r>
        <w:rPr>
          <w:rStyle w:val="25"/>
          <w:rFonts w:eastAsia="宋体"/>
          <w:color w:val="000000"/>
          <w:szCs w:val="28"/>
        </w:rPr>
        <w:t>项目名称:</w:t>
      </w:r>
      <w:r>
        <w:rPr>
          <w:rFonts w:hint="eastAsia"/>
        </w:rPr>
        <w:t xml:space="preserve"> </w:t>
      </w:r>
      <w:r>
        <w:rPr>
          <w:rStyle w:val="25"/>
          <w:rFonts w:eastAsia="宋体"/>
          <w:color w:val="000000"/>
          <w:szCs w:val="28"/>
          <w:u w:val="single"/>
        </w:rPr>
        <w:t xml:space="preserve">                                 </w:t>
      </w:r>
      <w:r>
        <w:rPr>
          <w:rFonts w:hint="eastAsia"/>
        </w:rPr>
        <w:t xml:space="preserve"> </w:t>
      </w:r>
    </w:p>
    <w:p>
      <w:pPr>
        <w:widowControl/>
        <w:spacing w:line="500" w:lineRule="exact"/>
        <w:ind w:firstLine="970" w:firstLineChars="345"/>
      </w:pPr>
      <w:r>
        <w:rPr>
          <w:rStyle w:val="25"/>
          <w:rFonts w:eastAsia="宋体"/>
          <w:color w:val="000000"/>
          <w:szCs w:val="28"/>
        </w:rPr>
        <w:t>投标单位:</w:t>
      </w:r>
      <w:r>
        <w:rPr>
          <w:rStyle w:val="25"/>
          <w:rFonts w:eastAsia="宋体"/>
          <w:color w:val="000000"/>
          <w:szCs w:val="28"/>
          <w:u w:val="single"/>
        </w:rPr>
        <w:t xml:space="preserve">                                 </w:t>
      </w:r>
      <w:r>
        <w:rPr>
          <w:rFonts w:hint="eastAsia"/>
        </w:rPr>
        <w:t xml:space="preserve"> </w:t>
      </w:r>
    </w:p>
    <w:p>
      <w:pPr>
        <w:widowControl/>
        <w:spacing w:line="500" w:lineRule="exact"/>
        <w:ind w:firstLine="567" w:firstLineChars="270"/>
        <w:rPr>
          <w:rStyle w:val="25"/>
          <w:rFonts w:eastAsia="宋体"/>
          <w:color w:val="000000"/>
          <w:szCs w:val="28"/>
        </w:rPr>
      </w:pPr>
      <w:r>
        <w:rPr>
          <w:rFonts w:hint="eastAsia"/>
        </w:rPr>
        <w:t xml:space="preserve">    </w:t>
      </w:r>
      <w:r>
        <w:rPr>
          <w:rStyle w:val="25"/>
          <w:rFonts w:eastAsia="宋体"/>
          <w:color w:val="000000"/>
          <w:szCs w:val="28"/>
        </w:rPr>
        <w:t xml:space="preserve">联系人:  </w:t>
      </w:r>
      <w:r>
        <w:rPr>
          <w:rStyle w:val="25"/>
          <w:rFonts w:eastAsia="宋体"/>
          <w:color w:val="000000"/>
          <w:szCs w:val="28"/>
          <w:u w:val="single"/>
        </w:rPr>
        <w:t xml:space="preserve">                                  </w:t>
      </w:r>
    </w:p>
    <w:p>
      <w:pPr>
        <w:widowControl/>
        <w:spacing w:line="500" w:lineRule="exact"/>
        <w:ind w:firstLine="970" w:firstLineChars="345"/>
        <w:rPr>
          <w:rStyle w:val="25"/>
          <w:rFonts w:eastAsia="宋体"/>
          <w:color w:val="000000"/>
          <w:szCs w:val="28"/>
          <w:u w:val="single"/>
        </w:rPr>
      </w:pPr>
      <w:r>
        <w:rPr>
          <w:rStyle w:val="25"/>
          <w:rFonts w:eastAsia="宋体"/>
          <w:color w:val="000000"/>
          <w:szCs w:val="28"/>
        </w:rPr>
        <w:t>联系电话:</w:t>
      </w:r>
      <w:r>
        <w:rPr>
          <w:rStyle w:val="25"/>
          <w:rFonts w:eastAsia="宋体"/>
          <w:color w:val="000000"/>
          <w:szCs w:val="28"/>
          <w:u w:val="single"/>
        </w:rPr>
        <w:t xml:space="preserve">                </w:t>
      </w:r>
      <w:r>
        <w:rPr>
          <w:rStyle w:val="25"/>
          <w:rFonts w:eastAsia="宋体"/>
          <w:b w:val="0"/>
          <w:color w:val="000000"/>
          <w:sz w:val="18"/>
          <w:szCs w:val="18"/>
        </w:rPr>
        <w:t>(手机)</w:t>
      </w:r>
      <w:r>
        <w:rPr>
          <w:rStyle w:val="25"/>
          <w:rFonts w:eastAsia="宋体"/>
          <w:color w:val="000000"/>
          <w:szCs w:val="28"/>
          <w:u w:val="single"/>
        </w:rPr>
        <w:t xml:space="preserve">            </w:t>
      </w:r>
      <w:r>
        <w:rPr>
          <w:rStyle w:val="25"/>
          <w:rFonts w:eastAsia="宋体"/>
          <w:b w:val="0"/>
          <w:color w:val="000000"/>
          <w:sz w:val="18"/>
          <w:szCs w:val="18"/>
        </w:rPr>
        <w:t>(办公)</w:t>
      </w:r>
    </w:p>
    <w:p>
      <w:pPr>
        <w:widowControl/>
        <w:spacing w:line="500" w:lineRule="exact"/>
        <w:ind w:firstLine="970" w:firstLineChars="345"/>
        <w:rPr>
          <w:rStyle w:val="25"/>
          <w:rFonts w:eastAsia="宋体"/>
          <w:color w:val="000000"/>
          <w:szCs w:val="28"/>
          <w:u w:val="single"/>
        </w:rPr>
      </w:pPr>
      <w:r>
        <w:rPr>
          <w:rStyle w:val="25"/>
          <w:rFonts w:eastAsia="宋体"/>
          <w:color w:val="000000"/>
          <w:szCs w:val="28"/>
        </w:rPr>
        <w:t>地址:</w:t>
      </w:r>
      <w:r>
        <w:rPr>
          <w:rStyle w:val="25"/>
          <w:rFonts w:eastAsia="宋体"/>
          <w:color w:val="000000"/>
          <w:szCs w:val="28"/>
          <w:u w:val="single"/>
        </w:rPr>
        <w:t xml:space="preserve">                                        </w:t>
      </w:r>
    </w:p>
    <w:p>
      <w:pPr>
        <w:widowControl/>
        <w:spacing w:line="500" w:lineRule="exact"/>
        <w:ind w:firstLine="970" w:firstLineChars="345"/>
        <w:rPr>
          <w:rStyle w:val="25"/>
          <w:rFonts w:eastAsia="宋体"/>
          <w:color w:val="000000"/>
          <w:szCs w:val="28"/>
        </w:rPr>
      </w:pPr>
      <w:r>
        <w:rPr>
          <w:rStyle w:val="25"/>
          <w:rFonts w:eastAsia="宋体"/>
          <w:color w:val="000000"/>
          <w:szCs w:val="28"/>
        </w:rPr>
        <w:t>日期:2025年</w:t>
      </w:r>
      <w:r>
        <w:rPr>
          <w:rStyle w:val="25"/>
          <w:rFonts w:eastAsia="宋体"/>
          <w:color w:val="000000"/>
          <w:szCs w:val="28"/>
          <w:u w:val="single"/>
        </w:rPr>
        <w:t xml:space="preserve">    </w:t>
      </w:r>
      <w:r>
        <w:rPr>
          <w:rStyle w:val="25"/>
          <w:rFonts w:eastAsia="宋体"/>
          <w:color w:val="000000"/>
          <w:szCs w:val="28"/>
        </w:rPr>
        <w:t>月</w:t>
      </w:r>
      <w:r>
        <w:rPr>
          <w:rStyle w:val="25"/>
          <w:rFonts w:eastAsia="宋体"/>
          <w:color w:val="000000"/>
          <w:szCs w:val="28"/>
          <w:u w:val="single"/>
        </w:rPr>
        <w:t xml:space="preserve">    </w:t>
      </w:r>
      <w:r>
        <w:rPr>
          <w:rStyle w:val="25"/>
          <w:rFonts w:eastAsia="宋体"/>
          <w:color w:val="000000"/>
          <w:szCs w:val="28"/>
        </w:rPr>
        <w:t xml:space="preserve">日                                           </w:t>
      </w:r>
    </w:p>
    <w:p>
      <w:pPr>
        <w:widowControl/>
        <w:spacing w:line="500" w:lineRule="exact"/>
        <w:ind w:firstLine="970" w:firstLineChars="345"/>
        <w:rPr>
          <w:rStyle w:val="25"/>
          <w:rFonts w:eastAsia="宋体"/>
          <w:color w:val="000000"/>
          <w:szCs w:val="28"/>
        </w:rPr>
      </w:pPr>
      <w:r>
        <w:rPr>
          <w:rStyle w:val="25"/>
          <w:rFonts w:eastAsia="宋体"/>
          <w:color w:val="000000"/>
          <w:szCs w:val="28"/>
        </w:rPr>
        <w:t xml:space="preserve">                                           </w:t>
      </w:r>
    </w:p>
    <w:p>
      <w:pPr>
        <w:widowControl/>
        <w:spacing w:line="500" w:lineRule="exact"/>
        <w:jc w:val="left"/>
        <w:rPr>
          <w:rStyle w:val="25"/>
          <w:rFonts w:cs="宋体"/>
          <w:color w:val="000000"/>
          <w:szCs w:val="28"/>
        </w:rPr>
      </w:pPr>
      <w:r>
        <w:rPr>
          <w:rStyle w:val="25"/>
          <w:rFonts w:hint="eastAsia" w:cs="宋体"/>
          <w:color w:val="000000"/>
          <w:szCs w:val="28"/>
        </w:rPr>
        <w:t>备注:</w:t>
      </w:r>
    </w:p>
    <w:p>
      <w:pPr>
        <w:widowControl/>
        <w:spacing w:line="500" w:lineRule="exact"/>
        <w:rPr>
          <w:rFonts w:ascii="微软雅黑" w:hAnsi="微软雅黑" w:cs="微软雅黑"/>
          <w:color w:val="000000"/>
          <w:kern w:val="0"/>
          <w:sz w:val="28"/>
          <w:szCs w:val="28"/>
        </w:rPr>
      </w:pPr>
      <w:r>
        <w:rPr>
          <w:rStyle w:val="25"/>
          <w:rFonts w:hint="eastAsia" w:cs="宋体"/>
          <w:szCs w:val="28"/>
        </w:rPr>
        <w:t>一</w:t>
      </w:r>
      <w:r>
        <w:rPr>
          <w:rStyle w:val="25"/>
          <w:rFonts w:hint="eastAsia" w:ascii="微软雅黑" w:hAnsi="微软雅黑" w:eastAsia="微软雅黑" w:cs="微软雅黑"/>
          <w:szCs w:val="28"/>
        </w:rPr>
        <w:t>､</w:t>
      </w:r>
      <w:r>
        <w:rPr>
          <w:rStyle w:val="25"/>
          <w:rFonts w:hint="eastAsia" w:ascii="黑体" w:hAnsi="黑体" w:cs="黑体"/>
          <w:szCs w:val="28"/>
        </w:rPr>
        <w:t>报名时</w:t>
      </w:r>
      <w:r>
        <w:rPr>
          <w:rStyle w:val="25"/>
          <w:rFonts w:hint="eastAsia" w:cs="宋体"/>
          <w:szCs w:val="28"/>
        </w:rPr>
        <w:t xml:space="preserve">,提交 </w:t>
      </w:r>
      <w:r>
        <w:rPr>
          <w:rStyle w:val="25"/>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5"/>
          <w:rFonts w:hint="eastAsia" w:cs="宋体"/>
          <w:szCs w:val="28"/>
        </w:rPr>
        <w:t>, 资格预审成功后立即发送</w:t>
      </w:r>
      <w:r>
        <w:rPr>
          <w:rStyle w:val="25"/>
          <w:rFonts w:hint="eastAsia" w:cs="宋体"/>
          <w:bCs w:val="0"/>
          <w:szCs w:val="28"/>
        </w:rPr>
        <w:t>PDF版+封面(Word格式)</w:t>
      </w:r>
      <w:r>
        <w:rPr>
          <w:rStyle w:val="25"/>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color w:val="000000"/>
          <w:kern w:val="0"/>
        </w:rPr>
      </w:pPr>
      <w:r>
        <w:rPr>
          <w:rStyle w:val="25"/>
          <w:rFonts w:hint="eastAsia" w:cs="宋体"/>
          <w:szCs w:val="28"/>
        </w:rPr>
        <w:t>二、投标与评标同步进行，</w:t>
      </w:r>
      <w:r>
        <w:rPr>
          <w:rFonts w:hint="eastAsia" w:cs="宋体"/>
          <w:color w:val="000000"/>
          <w:kern w:val="0"/>
          <w:sz w:val="28"/>
          <w:szCs w:val="28"/>
        </w:rPr>
        <w:t>投标商报名成功后请自行关注我院公告信息；</w:t>
      </w:r>
    </w:p>
    <w:p>
      <w:pPr>
        <w:widowControl/>
        <w:spacing w:line="500" w:lineRule="exact"/>
        <w:rPr>
          <w:rStyle w:val="25"/>
          <w:rFonts w:cs="宋体"/>
          <w:szCs w:val="28"/>
        </w:rPr>
      </w:pPr>
      <w:r>
        <w:rPr>
          <w:rStyle w:val="25"/>
          <w:rFonts w:hint="eastAsia" w:ascii="微软雅黑" w:hAnsi="微软雅黑" w:eastAsia="微软雅黑" w:cs="微软雅黑"/>
          <w:szCs w:val="28"/>
        </w:rPr>
        <w:t>三､</w:t>
      </w:r>
      <w:r>
        <w:rPr>
          <w:rStyle w:val="25"/>
          <w:rFonts w:hint="eastAsia" w:ascii="黑体" w:hAnsi="黑体" w:cs="黑体"/>
          <w:szCs w:val="28"/>
        </w:rPr>
        <w:t>谈判现场</w:t>
      </w:r>
      <w:r>
        <w:rPr>
          <w:rStyle w:val="25"/>
          <w:rFonts w:hint="eastAsia" w:cs="宋体"/>
          <w:szCs w:val="28"/>
        </w:rPr>
        <w:t>,需提交6份密封投标书（2正4副）(胶装成册)</w:t>
      </w:r>
      <w:r>
        <w:rPr>
          <w:rStyle w:val="25"/>
          <w:rFonts w:hint="eastAsia" w:ascii="微软雅黑" w:hAnsi="微软雅黑" w:eastAsia="微软雅黑" w:cs="微软雅黑"/>
          <w:szCs w:val="28"/>
        </w:rPr>
        <w:t>､</w:t>
      </w:r>
      <w:r>
        <w:rPr>
          <w:rStyle w:val="25"/>
          <w:rFonts w:hint="eastAsia" w:ascii="黑体" w:hAnsi="黑体" w:cs="黑体"/>
          <w:szCs w:val="28"/>
        </w:rPr>
        <w:t>1份密封报价单、招标文件PDF版；</w:t>
      </w:r>
    </w:p>
    <w:p>
      <w:pPr>
        <w:widowControl/>
        <w:spacing w:line="360" w:lineRule="atLeast"/>
        <w:rPr>
          <w:rStyle w:val="25"/>
          <w:rFonts w:ascii="微软雅黑" w:hAnsi="微软雅黑" w:eastAsia="微软雅黑" w:cs="微软雅黑"/>
          <w:szCs w:val="28"/>
        </w:rPr>
      </w:pPr>
      <w:r>
        <w:rPr>
          <w:rStyle w:val="25"/>
          <w:rFonts w:hint="eastAsia" w:cs="宋体"/>
          <w:szCs w:val="28"/>
        </w:rPr>
        <w:t>四</w:t>
      </w:r>
      <w:r>
        <w:rPr>
          <w:rStyle w:val="25"/>
          <w:rFonts w:hint="eastAsia" w:ascii="微软雅黑" w:hAnsi="微软雅黑" w:eastAsia="微软雅黑" w:cs="微软雅黑"/>
          <w:szCs w:val="28"/>
        </w:rPr>
        <w:t>､</w:t>
      </w:r>
      <w:r>
        <w:rPr>
          <w:rStyle w:val="25"/>
          <w:rFonts w:hint="eastAsia" w:ascii="黑体" w:hAnsi="黑体" w:cs="黑体"/>
          <w:szCs w:val="28"/>
        </w:rPr>
        <w:t>节约纸张</w:t>
      </w:r>
      <w:r>
        <w:rPr>
          <w:rStyle w:val="25"/>
          <w:rFonts w:hint="eastAsia" w:cs="宋体"/>
          <w:szCs w:val="28"/>
        </w:rPr>
        <w:t>,请双面打印</w:t>
      </w:r>
      <w:r>
        <w:rPr>
          <w:rStyle w:val="25"/>
          <w:rFonts w:hint="eastAsia" w:ascii="微软雅黑" w:hAnsi="微软雅黑" w:eastAsia="微软雅黑" w:cs="微软雅黑"/>
          <w:szCs w:val="28"/>
        </w:rPr>
        <w:t>｡</w:t>
      </w:r>
    </w:p>
    <w:p>
      <w:pPr>
        <w:rPr>
          <w:rFonts w:ascii="宋体" w:hAnsi="宋体"/>
          <w:b/>
          <w:bCs/>
          <w:sz w:val="48"/>
          <w:szCs w:val="48"/>
          <w:highlight w:val="yellow"/>
        </w:rPr>
      </w:pPr>
      <w:r>
        <w:rPr>
          <w:rFonts w:hint="eastAsia" w:ascii="宋体" w:hAnsi="宋体"/>
          <w:b/>
          <w:bCs/>
          <w:sz w:val="48"/>
          <w:szCs w:val="48"/>
          <w:highlight w:val="yellow"/>
        </w:rPr>
        <w:br w:type="page"/>
      </w:r>
    </w:p>
    <w:p>
      <w:pPr>
        <w:jc w:val="center"/>
        <w:rPr>
          <w:rFonts w:ascii="宋体" w:hAnsi="宋体"/>
          <w:b/>
          <w:bCs/>
          <w:sz w:val="48"/>
          <w:szCs w:val="48"/>
        </w:rPr>
      </w:pPr>
      <w:r>
        <w:rPr>
          <w:rFonts w:hint="eastAsia" w:ascii="宋体" w:hAnsi="宋体"/>
          <w:b/>
          <w:bCs/>
          <w:sz w:val="48"/>
          <w:szCs w:val="48"/>
          <w:highlight w:val="yellow"/>
        </w:rPr>
        <w:t>特别警示提醒</w:t>
      </w:r>
    </w:p>
    <w:p>
      <w:pPr>
        <w:pStyle w:val="18"/>
        <w:shd w:val="clear" w:color="auto" w:fill="FFFFFF"/>
        <w:snapToGrid w:val="0"/>
        <w:spacing w:before="0" w:beforeAutospacing="0" w:after="0" w:afterAutospacing="0"/>
        <w:ind w:firstLine="420" w:firstLineChars="200"/>
        <w:contextualSpacing/>
        <w:jc w:val="both"/>
        <w:rPr>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8"/>
        <w:shd w:val="clear" w:color="auto" w:fill="FFFFFF"/>
        <w:snapToGrid w:val="0"/>
        <w:spacing w:before="0" w:beforeAutospacing="0" w:after="0" w:afterAutospacing="0"/>
        <w:contextualSpacing/>
        <w:jc w:val="both"/>
        <w:rPr>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9"/>
          <w:rFonts w:ascii="宋体" w:hAnsi="宋体"/>
          <w:color w:val="auto"/>
          <w:szCs w:val="21"/>
        </w:rPr>
        <w:t>构成犯罪的，依法追究刑事责任：</w:t>
      </w:r>
    </w:p>
    <w:p>
      <w:pPr>
        <w:ind w:firstLine="420" w:firstLineChars="200"/>
        <w:rPr>
          <w:rFonts w:ascii="宋体" w:hAnsi="宋体"/>
          <w:szCs w:val="21"/>
        </w:rPr>
      </w:pPr>
      <w:r>
        <w:rPr>
          <w:rFonts w:hint="eastAsia" w:ascii="宋体" w:hAnsi="宋体"/>
          <w:szCs w:val="21"/>
        </w:rPr>
        <w:t>（一）在采购活动中应当回避而未回避的；</w:t>
      </w:r>
    </w:p>
    <w:p>
      <w:pPr>
        <w:ind w:firstLine="420" w:firstLineChars="200"/>
        <w:rPr>
          <w:rFonts w:ascii="宋体" w:hAnsi="宋体"/>
          <w:szCs w:val="21"/>
        </w:rPr>
      </w:pPr>
      <w:r>
        <w:rPr>
          <w:rFonts w:hint="eastAsia" w:ascii="宋体" w:hAnsi="宋体"/>
          <w:szCs w:val="21"/>
        </w:rPr>
        <w:t>（二）未按本条例规定签订、履行采购合同，造成严重后果的；</w:t>
      </w:r>
    </w:p>
    <w:p>
      <w:pPr>
        <w:ind w:firstLine="420" w:firstLineChars="200"/>
        <w:rPr>
          <w:rFonts w:ascii="宋体" w:hAnsi="宋体"/>
          <w:szCs w:val="21"/>
        </w:rPr>
      </w:pPr>
      <w:r>
        <w:rPr>
          <w:rFonts w:hint="eastAsia" w:ascii="宋体" w:hAnsi="宋体"/>
          <w:szCs w:val="21"/>
        </w:rPr>
        <w:t>（三）隐瞒真实情况，提供虚假资料的；</w:t>
      </w:r>
    </w:p>
    <w:p>
      <w:pPr>
        <w:ind w:firstLine="420" w:firstLineChars="200"/>
        <w:rPr>
          <w:rFonts w:ascii="宋体" w:hAnsi="宋体"/>
          <w:szCs w:val="21"/>
        </w:rPr>
      </w:pPr>
      <w:r>
        <w:rPr>
          <w:rFonts w:hint="eastAsia" w:ascii="宋体" w:hAnsi="宋体"/>
          <w:szCs w:val="21"/>
        </w:rPr>
        <w:t>（四）以非法手段排斥其他供应商参与竞争的；</w:t>
      </w:r>
    </w:p>
    <w:p>
      <w:pPr>
        <w:ind w:firstLine="420" w:firstLineChars="200"/>
        <w:rPr>
          <w:rFonts w:ascii="宋体" w:hAnsi="宋体"/>
          <w:szCs w:val="21"/>
        </w:rPr>
      </w:pPr>
      <w:r>
        <w:rPr>
          <w:rFonts w:hint="eastAsia" w:ascii="宋体" w:hAnsi="宋体"/>
          <w:szCs w:val="21"/>
        </w:rPr>
        <w:t>（五）与其他采购参加人串通投标的；</w:t>
      </w:r>
    </w:p>
    <w:p>
      <w:pPr>
        <w:ind w:firstLine="420" w:firstLineChars="200"/>
        <w:rPr>
          <w:rFonts w:ascii="宋体" w:hAnsi="宋体"/>
          <w:szCs w:val="21"/>
        </w:rPr>
      </w:pPr>
      <w:r>
        <w:rPr>
          <w:rFonts w:hint="eastAsia" w:ascii="宋体" w:hAnsi="宋体"/>
          <w:szCs w:val="21"/>
        </w:rPr>
        <w:t>（六）恶意投诉的；</w:t>
      </w:r>
    </w:p>
    <w:p>
      <w:pPr>
        <w:ind w:firstLine="420" w:firstLineChars="200"/>
        <w:rPr>
          <w:rFonts w:ascii="宋体" w:hAnsi="宋体"/>
          <w:szCs w:val="21"/>
        </w:rPr>
      </w:pPr>
      <w:r>
        <w:rPr>
          <w:rFonts w:hint="eastAsia" w:ascii="宋体" w:hAnsi="宋体"/>
          <w:szCs w:val="21"/>
        </w:rPr>
        <w:t>（七）向采购项目相关人行贿或者提供其他不当利益的；</w:t>
      </w:r>
    </w:p>
    <w:p>
      <w:pPr>
        <w:ind w:firstLine="420" w:firstLineChars="200"/>
        <w:rPr>
          <w:rFonts w:ascii="宋体" w:hAnsi="宋体"/>
          <w:szCs w:val="21"/>
        </w:rPr>
      </w:pPr>
      <w:r>
        <w:rPr>
          <w:rFonts w:hint="eastAsia" w:ascii="宋体" w:hAnsi="宋体"/>
          <w:szCs w:val="21"/>
        </w:rPr>
        <w:t>（八）阻碍、抗拒主管部门监督检查的；</w:t>
      </w:r>
    </w:p>
    <w:p>
      <w:pPr>
        <w:ind w:firstLine="420" w:firstLineChars="200"/>
        <w:rPr>
          <w:rFonts w:ascii="宋体" w:hAnsi="宋体"/>
          <w:szCs w:val="21"/>
        </w:rPr>
      </w:pPr>
      <w:r>
        <w:rPr>
          <w:rFonts w:hint="eastAsia" w:ascii="宋体" w:hAnsi="宋体"/>
          <w:szCs w:val="21"/>
        </w:rPr>
        <w:t>（九）其他违反本条例规定的行为。</w:t>
      </w:r>
    </w:p>
    <w:p>
      <w:pPr>
        <w:ind w:firstLine="420" w:firstLineChars="200"/>
        <w:rPr>
          <w:rFonts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7"/>
        <w:rPr>
          <w:rFonts w:ascii="宋体" w:hAnsi="宋体" w:eastAsia="宋体"/>
          <w:smallCaps/>
          <w:sz w:val="24"/>
        </w:rPr>
      </w:pPr>
      <w:r>
        <w:rPr>
          <w:rFonts w:hint="eastAsia" w:ascii="宋体" w:hAnsi="宋体" w:eastAsia="宋体"/>
          <w:szCs w:val="21"/>
        </w:rPr>
        <w:t>六、</w:t>
      </w:r>
      <w:r>
        <w:rPr>
          <w:rStyle w:val="59"/>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ascii="宋体" w:hAnsi="宋体" w:cs="Arial"/>
          <w:b/>
          <w:color w:val="000000"/>
          <w:sz w:val="28"/>
          <w:szCs w:val="28"/>
        </w:rPr>
      </w:pPr>
    </w:p>
    <w:p>
      <w:pPr>
        <w:pStyle w:val="3"/>
        <w:rPr>
          <w:color w:val="FF0000"/>
          <w:sz w:val="24"/>
          <w:szCs w:val="24"/>
        </w:rPr>
      </w:pPr>
      <w:r>
        <w:rPr>
          <w:rFonts w:hint="eastAsia"/>
          <w:color w:val="FF0000"/>
          <w:sz w:val="24"/>
          <w:szCs w:val="24"/>
          <w:highlight w:val="yellow"/>
        </w:rPr>
        <w:t>（此警示条款需与投标文件一起装订入册）</w:t>
      </w:r>
    </w:p>
    <w:p>
      <w:pPr>
        <w:pStyle w:val="3"/>
      </w:pPr>
    </w:p>
    <w:p>
      <w:pPr>
        <w:pStyle w:val="3"/>
      </w:pPr>
    </w:p>
    <w:p>
      <w:pPr>
        <w:pStyle w:val="3"/>
      </w:pPr>
    </w:p>
    <w:p>
      <w:pPr>
        <w:pStyle w:val="3"/>
      </w:pPr>
    </w:p>
    <w:p>
      <w:pPr>
        <w:spacing w:after="60" w:line="360" w:lineRule="exact"/>
        <w:ind w:left="1521" w:hanging="1521" w:hangingChars="541"/>
        <w:jc w:val="center"/>
        <w:rPr>
          <w:rFonts w:ascii="宋体" w:hAnsi="宋体" w:cs="Arial"/>
          <w:b/>
          <w:color w:val="000000"/>
          <w:sz w:val="28"/>
          <w:szCs w:val="28"/>
        </w:rPr>
      </w:pPr>
    </w:p>
    <w:p>
      <w:pPr>
        <w:widowControl/>
        <w:spacing w:line="360" w:lineRule="atLeast"/>
        <w:ind w:firstLine="3975" w:firstLineChars="1100"/>
        <w:rPr>
          <w:rStyle w:val="25"/>
          <w:sz w:val="36"/>
          <w:szCs w:val="36"/>
        </w:rPr>
      </w:pPr>
      <w:r>
        <w:rPr>
          <w:rStyle w:val="25"/>
          <w:sz w:val="36"/>
          <w:szCs w:val="36"/>
        </w:rPr>
        <w:t>目  录</w:t>
      </w:r>
    </w:p>
    <w:p>
      <w:pPr>
        <w:numPr>
          <w:ilvl w:val="0"/>
          <w:numId w:val="3"/>
        </w:numPr>
        <w:snapToGrid w:val="0"/>
        <w:contextualSpacing/>
        <w:rPr>
          <w:rFonts w:ascii="宋体" w:hAnsi="宋体"/>
          <w:szCs w:val="21"/>
        </w:rPr>
      </w:pPr>
      <w:r>
        <w:rPr>
          <w:rFonts w:hint="eastAsia" w:ascii="宋体" w:hAnsi="宋体"/>
          <w:szCs w:val="21"/>
        </w:rPr>
        <w:t>评标指引表</w:t>
      </w:r>
    </w:p>
    <w:p>
      <w:pPr>
        <w:numPr>
          <w:ilvl w:val="0"/>
          <w:numId w:val="3"/>
        </w:numPr>
        <w:snapToGrid w:val="0"/>
        <w:ind w:left="0" w:firstLine="0"/>
        <w:contextualSpacing/>
        <w:rPr>
          <w:rFonts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3"/>
        </w:numPr>
        <w:snapToGrid w:val="0"/>
        <w:ind w:left="442" w:hanging="442"/>
        <w:contextualSpacing/>
        <w:rPr>
          <w:rFonts w:ascii="宋体" w:hAnsi="宋体"/>
          <w:szCs w:val="21"/>
        </w:rPr>
      </w:pPr>
      <w:r>
        <w:rPr>
          <w:rFonts w:hint="eastAsia" w:ascii="宋体" w:hAnsi="宋体"/>
          <w:szCs w:val="21"/>
        </w:rPr>
        <w:t>投标函</w:t>
      </w:r>
    </w:p>
    <w:p>
      <w:pPr>
        <w:numPr>
          <w:ilvl w:val="0"/>
          <w:numId w:val="3"/>
        </w:numPr>
        <w:snapToGrid w:val="0"/>
        <w:ind w:left="442" w:hanging="442"/>
        <w:contextualSpacing/>
        <w:rPr>
          <w:rFonts w:ascii="宋体" w:hAnsi="宋体"/>
          <w:szCs w:val="21"/>
        </w:rPr>
      </w:pPr>
      <w:r>
        <w:rPr>
          <w:rFonts w:hint="eastAsia" w:ascii="宋体" w:hAnsi="宋体"/>
          <w:szCs w:val="21"/>
        </w:rPr>
        <w:t>投标履约承诺函</w:t>
      </w:r>
    </w:p>
    <w:p>
      <w:pPr>
        <w:pStyle w:val="37"/>
        <w:numPr>
          <w:ilvl w:val="0"/>
          <w:numId w:val="3"/>
        </w:numPr>
        <w:snapToGrid w:val="0"/>
        <w:ind w:firstLineChars="0"/>
        <w:contextualSpacing/>
        <w:rPr>
          <w:rFonts w:ascii="宋体" w:hAnsi="宋体" w:eastAsia="宋体"/>
          <w:szCs w:val="21"/>
        </w:rPr>
      </w:pPr>
      <w:r>
        <w:rPr>
          <w:rFonts w:hint="eastAsia" w:ascii="宋体" w:hAnsi="宋体" w:eastAsia="宋体"/>
          <w:szCs w:val="21"/>
        </w:rPr>
        <w:t>关于围标串标风险防控的承诺函</w:t>
      </w:r>
    </w:p>
    <w:p>
      <w:pPr>
        <w:numPr>
          <w:ilvl w:val="0"/>
          <w:numId w:val="3"/>
        </w:numPr>
        <w:snapToGrid w:val="0"/>
        <w:ind w:left="442" w:hanging="442"/>
        <w:contextualSpacing/>
        <w:rPr>
          <w:rFonts w:ascii="宋体" w:hAnsi="宋体"/>
          <w:szCs w:val="21"/>
        </w:rPr>
      </w:pPr>
      <w:r>
        <w:rPr>
          <w:rFonts w:hint="eastAsia" w:ascii="宋体" w:hAnsi="宋体"/>
          <w:szCs w:val="21"/>
        </w:rPr>
        <w:t>法定代表人授权书</w:t>
      </w:r>
      <w:r>
        <w:rPr>
          <w:rFonts w:ascii="宋体" w:hAnsi="宋体"/>
          <w:szCs w:val="21"/>
        </w:rPr>
        <w:t>(附身份证扫描件)</w:t>
      </w:r>
    </w:p>
    <w:p>
      <w:pPr>
        <w:pStyle w:val="2"/>
        <w:numPr>
          <w:ilvl w:val="0"/>
          <w:numId w:val="3"/>
        </w:numPr>
        <w:snapToGrid w:val="0"/>
        <w:spacing w:line="240" w:lineRule="auto"/>
        <w:ind w:left="442" w:leftChars="0" w:hanging="442" w:firstLineChars="0"/>
        <w:contextualSpacing/>
        <w:rPr>
          <w:rFonts w:ascii="宋体" w:hAnsi="宋体" w:eastAsia="宋体"/>
          <w:sz w:val="21"/>
          <w:szCs w:val="21"/>
        </w:rPr>
      </w:pPr>
      <w:r>
        <w:rPr>
          <w:rFonts w:hint="eastAsia" w:ascii="宋体" w:hAnsi="宋体" w:eastAsia="宋体"/>
          <w:sz w:val="21"/>
          <w:szCs w:val="21"/>
        </w:rPr>
        <w:t>供应商基本情况表</w:t>
      </w:r>
    </w:p>
    <w:p>
      <w:pPr>
        <w:numPr>
          <w:ilvl w:val="0"/>
          <w:numId w:val="3"/>
        </w:numPr>
        <w:snapToGrid w:val="0"/>
        <w:ind w:left="442" w:hanging="442"/>
        <w:contextualSpacing/>
        <w:rPr>
          <w:rFonts w:ascii="宋体" w:hAnsi="宋体"/>
          <w:szCs w:val="21"/>
        </w:rPr>
      </w:pPr>
      <w:r>
        <w:rPr>
          <w:rFonts w:hint="eastAsia" w:ascii="宋体" w:hAnsi="宋体"/>
          <w:szCs w:val="21"/>
        </w:rPr>
        <w:t>法定代表人、主要经营负责人、项目投标授权代表人最近一个月社会保险证明</w:t>
      </w:r>
    </w:p>
    <w:p>
      <w:pPr>
        <w:numPr>
          <w:ilvl w:val="0"/>
          <w:numId w:val="3"/>
        </w:numPr>
        <w:snapToGrid w:val="0"/>
        <w:ind w:left="442" w:hanging="442"/>
        <w:contextualSpacing/>
        <w:rPr>
          <w:rFonts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3"/>
        </w:numPr>
        <w:snapToGrid w:val="0"/>
        <w:contextualSpacing/>
        <w:rPr>
          <w:rFonts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3"/>
        </w:numPr>
        <w:snapToGrid w:val="0"/>
        <w:contextualSpacing/>
        <w:rPr>
          <w:rFonts w:ascii="宋体" w:hAnsi="宋体"/>
          <w:szCs w:val="21"/>
        </w:rPr>
      </w:pPr>
      <w:r>
        <w:rPr>
          <w:rFonts w:hint="eastAsia" w:ascii="宋体" w:hAnsi="宋体"/>
          <w:szCs w:val="21"/>
        </w:rPr>
        <w:t>项目管理主要技术和售后服务人员情况表及最近一个月社会保险证明</w:t>
      </w:r>
    </w:p>
    <w:p>
      <w:pPr>
        <w:snapToGrid w:val="0"/>
        <w:contextualSpacing/>
        <w:rPr>
          <w:rFonts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3"/>
          <w:rFonts w:ascii="宋体" w:hAnsi="宋体"/>
          <w:color w:val="auto"/>
          <w:szCs w:val="21"/>
        </w:rPr>
        <w:t>www.ccgp.gov.cn</w:t>
      </w:r>
      <w:r>
        <w:rPr>
          <w:rStyle w:val="23"/>
          <w:rFonts w:hint="eastAsia" w:ascii="宋体" w:hAnsi="宋体"/>
          <w:color w:val="auto"/>
          <w:szCs w:val="21"/>
        </w:rPr>
        <w:t>)</w:t>
      </w:r>
      <w:r>
        <w:rPr>
          <w:rStyle w:val="23"/>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5"/>
          <w:rFonts w:hint="default"/>
        </w:rPr>
      </w:pPr>
      <w:r>
        <w:rPr>
          <w:rFonts w:hint="eastAsia" w:ascii="宋体" w:hAnsi="宋体"/>
          <w:szCs w:val="21"/>
        </w:rPr>
        <w:t>13.4</w:t>
      </w:r>
      <w:r>
        <w:rPr>
          <w:rStyle w:val="55"/>
          <w:rFonts w:hint="default"/>
        </w:rPr>
        <w:t>深圳信用网</w:t>
      </w:r>
      <w:r>
        <w:rPr>
          <w:rStyle w:val="55"/>
          <w:rFonts w:hint="default"/>
          <w:color w:val="auto"/>
        </w:rPr>
        <w:t>（</w:t>
      </w:r>
      <w:r>
        <w:fldChar w:fldCharType="begin"/>
      </w:r>
      <w:r>
        <w:instrText xml:space="preserve"> HYPERLINK "https://www.szcredit.org.cn/?cdType=sgsl&amp;type=XZXK" \l "/xyfw" </w:instrText>
      </w:r>
      <w:r>
        <w:fldChar w:fldCharType="separate"/>
      </w:r>
      <w:r>
        <w:rPr>
          <w:rStyle w:val="23"/>
          <w:rFonts w:ascii="宋体" w:hAnsi="宋体" w:cs="宋体"/>
          <w:color w:val="auto"/>
          <w:szCs w:val="21"/>
        </w:rPr>
        <w:t>https://www.szcredit.org.cn/?cdType=sgsl&amp;type=XZXK#/xyfw</w:t>
      </w:r>
      <w:r>
        <w:rPr>
          <w:rStyle w:val="23"/>
          <w:rFonts w:ascii="宋体" w:hAnsi="宋体" w:cs="宋体"/>
          <w:color w:val="auto"/>
          <w:szCs w:val="21"/>
        </w:rPr>
        <w:fldChar w:fldCharType="end"/>
      </w:r>
      <w:r>
        <w:rPr>
          <w:rStyle w:val="55"/>
          <w:rFonts w:hint="default"/>
        </w:rPr>
        <w:t>）</w:t>
      </w:r>
    </w:p>
    <w:p>
      <w:pPr>
        <w:snapToGrid w:val="0"/>
        <w:ind w:firstLine="1260" w:firstLineChars="600"/>
        <w:contextualSpacing/>
        <w:rPr>
          <w:rFonts w:ascii="宋体" w:hAnsi="宋体"/>
          <w:szCs w:val="21"/>
        </w:rPr>
      </w:pPr>
      <w:r>
        <w:rPr>
          <w:rStyle w:val="55"/>
          <w:rFonts w:hint="default"/>
        </w:rPr>
        <w:t>13.5</w:t>
      </w:r>
      <w:bookmarkStart w:id="8" w:name="OLE_LINK1"/>
      <w:r>
        <w:rPr>
          <w:rFonts w:hint="eastAsia" w:ascii="宋体" w:hAnsi="宋体"/>
          <w:szCs w:val="21"/>
        </w:rPr>
        <w:t>国家企业信用信息公示系统</w:t>
      </w:r>
      <w:bookmarkEnd w:id="8"/>
      <w:r>
        <w:rPr>
          <w:rFonts w:ascii="宋体" w:hAnsi="宋体"/>
          <w:szCs w:val="21"/>
        </w:rPr>
        <w:t>(</w:t>
      </w:r>
      <w:r>
        <w:fldChar w:fldCharType="begin"/>
      </w:r>
      <w:r>
        <w:instrText xml:space="preserve"> HYPERLINK "https://www.gsxt.gov.cnindex.html" </w:instrText>
      </w:r>
      <w:r>
        <w:fldChar w:fldCharType="separate"/>
      </w:r>
      <w:r>
        <w:rPr>
          <w:rStyle w:val="23"/>
          <w:rFonts w:ascii="宋体" w:hAnsi="宋体"/>
          <w:color w:val="auto"/>
          <w:szCs w:val="21"/>
        </w:rPr>
        <w:t>https://www.gsxt.gov.cnindex.html</w:t>
      </w:r>
      <w:r>
        <w:rPr>
          <w:rStyle w:val="23"/>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ascii="宋体" w:hAnsi="宋体"/>
          <w:szCs w:val="21"/>
        </w:rPr>
      </w:pPr>
      <w:r>
        <w:rPr>
          <w:rFonts w:hint="eastAsia" w:ascii="宋体" w:hAnsi="宋体"/>
          <w:szCs w:val="21"/>
        </w:rPr>
        <w:t>16. 报价</w:t>
      </w:r>
      <w:r>
        <w:rPr>
          <w:rFonts w:ascii="宋体" w:hAnsi="宋体"/>
          <w:szCs w:val="21"/>
        </w:rPr>
        <w:t>表</w:t>
      </w:r>
    </w:p>
    <w:p>
      <w:pPr>
        <w:spacing w:after="60" w:line="240" w:lineRule="exact"/>
        <w:ind w:left="420"/>
        <w:rPr>
          <w:rFonts w:ascii="宋体" w:hAnsi="宋体"/>
          <w:szCs w:val="21"/>
        </w:rPr>
      </w:pPr>
    </w:p>
    <w:p>
      <w:pPr>
        <w:spacing w:after="60"/>
        <w:ind w:firstLine="420" w:firstLineChars="200"/>
        <w:contextualSpacing/>
        <w:rPr>
          <w:rFonts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ascii="宋体" w:hAnsi="宋体"/>
          <w:szCs w:val="21"/>
        </w:rPr>
      </w:pPr>
      <w:r>
        <w:rPr>
          <w:rFonts w:hint="eastAsia" w:ascii="宋体" w:hAnsi="宋体"/>
          <w:szCs w:val="21"/>
        </w:rPr>
        <w:t>备注：</w:t>
      </w:r>
    </w:p>
    <w:p>
      <w:pPr>
        <w:spacing w:after="60"/>
        <w:ind w:left="420"/>
        <w:contextualSpacing/>
        <w:rPr>
          <w:rFonts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ascii="宋体" w:hAnsi="宋体"/>
          <w:szCs w:val="21"/>
        </w:rPr>
      </w:pPr>
    </w:p>
    <w:tbl>
      <w:tblPr>
        <w:tblStyle w:val="20"/>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ascii="宋体" w:hAnsi="宋体"/>
                <w:szCs w:val="21"/>
              </w:rPr>
            </w:pPr>
            <w:r>
              <w:rPr>
                <w:rFonts w:hint="eastAsia" w:ascii="宋体" w:hAnsi="宋体"/>
                <w:szCs w:val="21"/>
              </w:rPr>
              <w:t>评分类别</w:t>
            </w:r>
          </w:p>
        </w:tc>
        <w:tc>
          <w:tcPr>
            <w:tcW w:w="4854" w:type="dxa"/>
            <w:vAlign w:val="center"/>
          </w:tcPr>
          <w:p>
            <w:pPr>
              <w:spacing w:line="360" w:lineRule="exact"/>
              <w:jc w:val="center"/>
              <w:rPr>
                <w:rFonts w:ascii="宋体" w:hAnsi="宋体"/>
                <w:szCs w:val="21"/>
              </w:rPr>
            </w:pPr>
            <w:r>
              <w:rPr>
                <w:rFonts w:hint="eastAsia" w:ascii="宋体" w:hAnsi="宋体"/>
                <w:szCs w:val="21"/>
              </w:rPr>
              <w:t>评分因素</w:t>
            </w:r>
          </w:p>
        </w:tc>
        <w:tc>
          <w:tcPr>
            <w:tcW w:w="2169" w:type="dxa"/>
            <w:vAlign w:val="center"/>
          </w:tcPr>
          <w:p>
            <w:pPr>
              <w:spacing w:line="360" w:lineRule="exact"/>
              <w:jc w:val="center"/>
              <w:rPr>
                <w:rFonts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ascii="宋体" w:hAnsi="宋体"/>
                <w:szCs w:val="21"/>
              </w:rPr>
            </w:pPr>
            <w:r>
              <w:rPr>
                <w:rFonts w:hint="eastAsia" w:ascii="宋体" w:hAnsi="宋体"/>
                <w:szCs w:val="21"/>
              </w:rPr>
              <w:t>技术部分</w:t>
            </w:r>
          </w:p>
        </w:tc>
        <w:tc>
          <w:tcPr>
            <w:tcW w:w="4854" w:type="dxa"/>
          </w:tcPr>
          <w:p>
            <w:pPr>
              <w:jc w:val="center"/>
              <w:rPr>
                <w:rFonts w:ascii="宋体" w:hAnsi="宋体"/>
              </w:rPr>
            </w:pPr>
            <w:r>
              <w:rPr>
                <w:rFonts w:hint="eastAsia" w:ascii="宋体" w:hAnsi="宋体"/>
                <w:szCs w:val="21"/>
              </w:rPr>
              <w:t>1.……</w:t>
            </w:r>
          </w:p>
        </w:tc>
        <w:tc>
          <w:tcPr>
            <w:tcW w:w="2169" w:type="dxa"/>
            <w:vAlign w:val="center"/>
          </w:tcPr>
          <w:p>
            <w:pPr>
              <w:spacing w:line="360" w:lineRule="exact"/>
              <w:jc w:val="center"/>
              <w:rPr>
                <w:rFonts w:ascii="宋体" w:hAnsi="宋体"/>
                <w:b/>
                <w:szCs w:val="21"/>
              </w:rPr>
            </w:pPr>
          </w:p>
        </w:tc>
        <w:tc>
          <w:tcPr>
            <w:tcW w:w="2095"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ascii="宋体" w:hAnsi="宋体"/>
                <w:szCs w:val="21"/>
              </w:rPr>
            </w:pPr>
          </w:p>
        </w:tc>
        <w:tc>
          <w:tcPr>
            <w:tcW w:w="4854" w:type="dxa"/>
          </w:tcPr>
          <w:p>
            <w:pPr>
              <w:jc w:val="center"/>
              <w:rPr>
                <w:rFonts w:ascii="宋体" w:hAnsi="宋体"/>
              </w:rPr>
            </w:pPr>
            <w:r>
              <w:rPr>
                <w:rFonts w:hint="eastAsia" w:ascii="宋体" w:hAnsi="宋体"/>
                <w:szCs w:val="21"/>
              </w:rPr>
              <w:t>2.……</w:t>
            </w:r>
          </w:p>
        </w:tc>
        <w:tc>
          <w:tcPr>
            <w:tcW w:w="2169" w:type="dxa"/>
            <w:vAlign w:val="center"/>
          </w:tcPr>
          <w:p>
            <w:pPr>
              <w:spacing w:line="360" w:lineRule="exact"/>
              <w:jc w:val="center"/>
              <w:rPr>
                <w:rFonts w:ascii="宋体" w:hAnsi="宋体"/>
                <w:b/>
                <w:szCs w:val="21"/>
              </w:rPr>
            </w:pPr>
          </w:p>
        </w:tc>
        <w:tc>
          <w:tcPr>
            <w:tcW w:w="2095"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ascii="宋体" w:hAnsi="宋体"/>
                <w:szCs w:val="21"/>
              </w:rPr>
            </w:pPr>
          </w:p>
        </w:tc>
        <w:tc>
          <w:tcPr>
            <w:tcW w:w="4854" w:type="dxa"/>
          </w:tcPr>
          <w:p>
            <w:pPr>
              <w:jc w:val="center"/>
              <w:rPr>
                <w:rFonts w:ascii="宋体" w:hAnsi="宋体"/>
              </w:rPr>
            </w:pPr>
            <w:r>
              <w:rPr>
                <w:rFonts w:hint="eastAsia" w:ascii="宋体" w:hAnsi="宋体"/>
                <w:szCs w:val="21"/>
              </w:rPr>
              <w:t>……</w:t>
            </w:r>
          </w:p>
        </w:tc>
        <w:tc>
          <w:tcPr>
            <w:tcW w:w="2169" w:type="dxa"/>
            <w:vAlign w:val="center"/>
          </w:tcPr>
          <w:p>
            <w:pPr>
              <w:spacing w:line="360" w:lineRule="exact"/>
              <w:jc w:val="center"/>
              <w:rPr>
                <w:rFonts w:ascii="宋体" w:hAnsi="宋体"/>
                <w:b/>
                <w:szCs w:val="21"/>
              </w:rPr>
            </w:pPr>
          </w:p>
        </w:tc>
        <w:tc>
          <w:tcPr>
            <w:tcW w:w="2095"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ascii="宋体" w:hAnsi="宋体"/>
                <w:szCs w:val="21"/>
              </w:rPr>
            </w:pPr>
            <w:r>
              <w:rPr>
                <w:rFonts w:hint="eastAsia" w:ascii="宋体" w:hAnsi="宋体"/>
                <w:szCs w:val="21"/>
              </w:rPr>
              <w:t>商务部分</w:t>
            </w:r>
          </w:p>
        </w:tc>
        <w:tc>
          <w:tcPr>
            <w:tcW w:w="4854" w:type="dxa"/>
          </w:tcPr>
          <w:p>
            <w:pPr>
              <w:spacing w:line="360" w:lineRule="exact"/>
              <w:jc w:val="center"/>
              <w:rPr>
                <w:rFonts w:ascii="宋体" w:hAnsi="宋体"/>
                <w:szCs w:val="21"/>
              </w:rPr>
            </w:pPr>
            <w:r>
              <w:rPr>
                <w:rFonts w:hint="eastAsia" w:ascii="宋体" w:hAnsi="宋体"/>
                <w:szCs w:val="21"/>
              </w:rPr>
              <w:t>1.……</w:t>
            </w:r>
          </w:p>
        </w:tc>
        <w:tc>
          <w:tcPr>
            <w:tcW w:w="2169" w:type="dxa"/>
            <w:vAlign w:val="center"/>
          </w:tcPr>
          <w:p>
            <w:pPr>
              <w:spacing w:line="360" w:lineRule="exact"/>
              <w:jc w:val="center"/>
              <w:rPr>
                <w:rFonts w:ascii="宋体" w:hAnsi="宋体"/>
                <w:b/>
                <w:szCs w:val="21"/>
              </w:rPr>
            </w:pPr>
          </w:p>
        </w:tc>
        <w:tc>
          <w:tcPr>
            <w:tcW w:w="2095"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ascii="宋体" w:hAnsi="宋体"/>
                <w:szCs w:val="21"/>
              </w:rPr>
            </w:pPr>
          </w:p>
        </w:tc>
        <w:tc>
          <w:tcPr>
            <w:tcW w:w="4854" w:type="dxa"/>
          </w:tcPr>
          <w:p>
            <w:pPr>
              <w:spacing w:line="360" w:lineRule="exact"/>
              <w:jc w:val="center"/>
              <w:rPr>
                <w:rFonts w:ascii="宋体" w:hAnsi="宋体"/>
                <w:szCs w:val="21"/>
              </w:rPr>
            </w:pPr>
            <w:r>
              <w:rPr>
                <w:rFonts w:hint="eastAsia" w:ascii="宋体" w:hAnsi="宋体"/>
                <w:szCs w:val="21"/>
              </w:rPr>
              <w:t>2.……</w:t>
            </w:r>
          </w:p>
        </w:tc>
        <w:tc>
          <w:tcPr>
            <w:tcW w:w="2169" w:type="dxa"/>
            <w:vAlign w:val="center"/>
          </w:tcPr>
          <w:p>
            <w:pPr>
              <w:spacing w:line="360" w:lineRule="exact"/>
              <w:jc w:val="center"/>
              <w:rPr>
                <w:rFonts w:ascii="宋体" w:hAnsi="宋体"/>
                <w:b/>
                <w:szCs w:val="21"/>
              </w:rPr>
            </w:pPr>
          </w:p>
        </w:tc>
        <w:tc>
          <w:tcPr>
            <w:tcW w:w="2095"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ascii="宋体" w:hAnsi="宋体"/>
                <w:szCs w:val="21"/>
              </w:rPr>
            </w:pPr>
          </w:p>
        </w:tc>
        <w:tc>
          <w:tcPr>
            <w:tcW w:w="4854" w:type="dxa"/>
          </w:tcPr>
          <w:p>
            <w:pPr>
              <w:spacing w:line="360" w:lineRule="exact"/>
              <w:jc w:val="center"/>
              <w:rPr>
                <w:rFonts w:ascii="宋体" w:hAnsi="宋体"/>
                <w:szCs w:val="21"/>
              </w:rPr>
            </w:pPr>
            <w:r>
              <w:rPr>
                <w:rFonts w:hint="eastAsia" w:ascii="宋体" w:hAnsi="宋体"/>
                <w:szCs w:val="21"/>
              </w:rPr>
              <w:t>……</w:t>
            </w:r>
          </w:p>
        </w:tc>
        <w:tc>
          <w:tcPr>
            <w:tcW w:w="2169" w:type="dxa"/>
            <w:vAlign w:val="center"/>
          </w:tcPr>
          <w:p>
            <w:pPr>
              <w:spacing w:line="360" w:lineRule="exact"/>
              <w:jc w:val="center"/>
              <w:rPr>
                <w:rFonts w:ascii="宋体" w:hAnsi="宋体"/>
                <w:b/>
                <w:szCs w:val="21"/>
              </w:rPr>
            </w:pPr>
          </w:p>
        </w:tc>
        <w:tc>
          <w:tcPr>
            <w:tcW w:w="2095"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ascii="宋体" w:hAnsi="宋体"/>
                <w:szCs w:val="21"/>
              </w:rPr>
            </w:pPr>
            <w:r>
              <w:rPr>
                <w:rFonts w:hint="eastAsia" w:ascii="宋体" w:hAnsi="宋体"/>
                <w:szCs w:val="21"/>
              </w:rPr>
              <w:t>价格部分</w:t>
            </w:r>
          </w:p>
        </w:tc>
        <w:tc>
          <w:tcPr>
            <w:tcW w:w="4854" w:type="dxa"/>
            <w:vAlign w:val="center"/>
          </w:tcPr>
          <w:p>
            <w:pPr>
              <w:spacing w:line="360" w:lineRule="exact"/>
              <w:jc w:val="center"/>
              <w:rPr>
                <w:rFonts w:ascii="宋体" w:hAnsi="宋体"/>
                <w:szCs w:val="21"/>
              </w:rPr>
            </w:pPr>
          </w:p>
        </w:tc>
        <w:tc>
          <w:tcPr>
            <w:tcW w:w="2169" w:type="dxa"/>
            <w:vAlign w:val="center"/>
          </w:tcPr>
          <w:p>
            <w:pPr>
              <w:spacing w:line="360" w:lineRule="exact"/>
              <w:jc w:val="center"/>
              <w:rPr>
                <w:rFonts w:ascii="宋体" w:hAnsi="宋体"/>
                <w:b/>
                <w:szCs w:val="21"/>
              </w:rPr>
            </w:pPr>
          </w:p>
        </w:tc>
        <w:tc>
          <w:tcPr>
            <w:tcW w:w="2095"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ascii="宋体" w:hAnsi="宋体"/>
                <w:szCs w:val="21"/>
              </w:rPr>
            </w:pPr>
            <w:r>
              <w:rPr>
                <w:rFonts w:hint="eastAsia" w:ascii="宋体" w:hAnsi="宋体"/>
                <w:szCs w:val="21"/>
              </w:rPr>
              <w:t>其他资料</w:t>
            </w:r>
          </w:p>
        </w:tc>
        <w:tc>
          <w:tcPr>
            <w:tcW w:w="4854" w:type="dxa"/>
            <w:vAlign w:val="center"/>
          </w:tcPr>
          <w:p>
            <w:pPr>
              <w:rPr>
                <w:rFonts w:ascii="宋体" w:hAnsi="宋体"/>
              </w:rPr>
            </w:pPr>
            <w:r>
              <w:rPr>
                <w:rFonts w:hint="eastAsia" w:ascii="宋体" w:hAnsi="宋体"/>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ascii="宋体" w:hAnsi="宋体"/>
                <w:b/>
                <w:szCs w:val="21"/>
              </w:rPr>
            </w:pPr>
          </w:p>
        </w:tc>
        <w:tc>
          <w:tcPr>
            <w:tcW w:w="2095" w:type="dxa"/>
            <w:vAlign w:val="center"/>
          </w:tcPr>
          <w:p>
            <w:pPr>
              <w:spacing w:line="360" w:lineRule="exact"/>
              <w:jc w:val="center"/>
              <w:rPr>
                <w:rFonts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pStyle w:val="3"/>
      </w:pPr>
    </w:p>
    <w:p>
      <w:pPr>
        <w:pStyle w:val="3"/>
      </w:pPr>
    </w:p>
    <w:p>
      <w:pPr>
        <w:spacing w:after="78" w:afterLines="25" w:line="300" w:lineRule="auto"/>
        <w:jc w:val="center"/>
        <w:rPr>
          <w:rFonts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2"/>
        <w:ind w:left="1060" w:hanging="640"/>
      </w:pPr>
    </w:p>
    <w:p>
      <w:pPr>
        <w:jc w:val="center"/>
        <w:outlineLvl w:val="0"/>
        <w:rPr>
          <w:rFonts w:cs="宋体"/>
          <w:b/>
          <w:color w:val="000000"/>
          <w:szCs w:val="21"/>
        </w:rPr>
      </w:pPr>
    </w:p>
    <w:p>
      <w:pPr>
        <w:pStyle w:val="3"/>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20"/>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ascii="宋体" w:hAnsi="宋体" w:cs="宋体"/>
                <w:b/>
                <w:kern w:val="0"/>
                <w:szCs w:val="21"/>
              </w:rPr>
            </w:pPr>
            <w:r>
              <w:rPr>
                <w:rFonts w:hint="eastAsia" w:ascii="宋体" w:hAnsi="宋体" w:cs="宋体"/>
                <w:b/>
                <w:kern w:val="0"/>
                <w:szCs w:val="21"/>
              </w:rPr>
              <w:t>/</w:t>
            </w:r>
          </w:p>
        </w:tc>
      </w:tr>
    </w:tbl>
    <w:p>
      <w:pPr>
        <w:pStyle w:val="3"/>
        <w:ind w:left="1060" w:hanging="640"/>
      </w:pPr>
    </w:p>
    <w:p>
      <w:pPr>
        <w:pStyle w:val="3"/>
        <w:ind w:left="1060" w:hanging="1344"/>
        <w:jc w:val="left"/>
      </w:pPr>
      <w:r>
        <w:rPr>
          <w:rFonts w:hint="eastAsia"/>
        </w:rPr>
        <w:t>填写说明:</w:t>
      </w:r>
    </w:p>
    <w:p>
      <w:pPr>
        <w:pStyle w:val="3"/>
        <w:ind w:left="850" w:leftChars="100" w:hanging="64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73" w:leftChars="-35" w:firstLine="281" w:firstLineChars="134"/>
        <w:jc w:val="left"/>
      </w:pPr>
      <w:r>
        <w:rPr>
          <w:rFonts w:hint="eastAsia"/>
        </w:rPr>
        <w:t>5. 实质性响应条款“投标响应情况”与投标文件其它内容冲突的，以实质性响应条款“投标响应情况”为准。</w:t>
      </w:r>
    </w:p>
    <w:p>
      <w:pPr>
        <w:pStyle w:val="3"/>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2"/>
        <w:ind w:left="900" w:hanging="480"/>
        <w:rPr>
          <w:rFonts w:ascii="宋体" w:hAnsi="宋体" w:eastAsia="宋体"/>
          <w:sz w:val="24"/>
          <w:szCs w:val="24"/>
        </w:rPr>
      </w:pPr>
    </w:p>
    <w:tbl>
      <w:tblPr>
        <w:tblStyle w:val="20"/>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3"/>
        <w:ind w:left="1060" w:hanging="640"/>
        <w:jc w:val="left"/>
      </w:pPr>
    </w:p>
    <w:p>
      <w:pPr>
        <w:pStyle w:val="3"/>
        <w:ind w:left="1060" w:hanging="1344"/>
        <w:jc w:val="left"/>
      </w:pPr>
      <w:r>
        <w:rPr>
          <w:rFonts w:hint="eastAsia"/>
        </w:rPr>
        <w:t>填写说明:</w:t>
      </w:r>
    </w:p>
    <w:p>
      <w:pPr>
        <w:pStyle w:val="3"/>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3. 评审委员会有权对投标响应情况作出判断。</w:t>
      </w:r>
    </w:p>
    <w:p>
      <w:pPr>
        <w:pStyle w:val="3"/>
        <w:ind w:left="-73" w:leftChars="-35" w:firstLine="281" w:firstLineChars="134"/>
        <w:jc w:val="left"/>
      </w:pPr>
      <w:r>
        <w:rPr>
          <w:rFonts w:hint="eastAsia"/>
        </w:rPr>
        <w:t>4. 实质性响应条款“投标响应情况”与投标文件其它内容冲突的，以实质性响应条款“投标响应情况”为准。</w:t>
      </w:r>
    </w:p>
    <w:p>
      <w:pPr>
        <w:pStyle w:val="3"/>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ascii="宋体" w:hAnsi="宋体" w:cs="Arial"/>
          <w:b/>
          <w:bCs/>
          <w:color w:val="000000"/>
          <w:kern w:val="0"/>
          <w:sz w:val="28"/>
          <w:szCs w:val="28"/>
        </w:rPr>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widowControl/>
        <w:ind w:left="1"/>
        <w:jc w:val="left"/>
        <w:rPr>
          <w:rFonts w:hAnsi="宋体"/>
          <w:b/>
          <w:kern w:val="0"/>
        </w:rPr>
      </w:pPr>
    </w:p>
    <w:p>
      <w:pPr>
        <w:pStyle w:val="2"/>
        <w:ind w:left="1060" w:hanging="640"/>
      </w:pPr>
    </w:p>
    <w:p>
      <w:pPr>
        <w:pStyle w:val="3"/>
      </w:pPr>
    </w:p>
    <w:p>
      <w:pPr>
        <w:pStyle w:val="3"/>
      </w:pPr>
    </w:p>
    <w:p>
      <w:pPr>
        <w:pStyle w:val="3"/>
      </w:pPr>
    </w:p>
    <w:p>
      <w:pPr>
        <w:pStyle w:val="3"/>
      </w:pPr>
    </w:p>
    <w:p>
      <w:pPr>
        <w:pStyle w:val="3"/>
      </w:pPr>
    </w:p>
    <w:p>
      <w:pPr>
        <w:pStyle w:val="3"/>
      </w:pPr>
    </w:p>
    <w:p>
      <w:pPr>
        <w:jc w:val="center"/>
        <w:outlineLvl w:val="0"/>
        <w:rPr>
          <w:rFonts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ascii="宋体" w:hAnsi="宋体" w:cs="Arial"/>
          <w:color w:val="000000"/>
          <w:kern w:val="0"/>
          <w:szCs w:val="21"/>
        </w:rPr>
      </w:pPr>
      <w:bookmarkStart w:id="9"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9"/>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ascii="宋体" w:hAnsi="宋体" w:cs="Arial"/>
          <w:b/>
          <w:color w:val="000000"/>
          <w:sz w:val="28"/>
          <w:szCs w:val="28"/>
        </w:rPr>
      </w:pPr>
    </w:p>
    <w:p>
      <w:pPr>
        <w:spacing w:line="300" w:lineRule="auto"/>
        <w:ind w:left="140"/>
        <w:jc w:val="center"/>
        <w:rPr>
          <w:rFonts w:ascii="宋体" w:hAnsi="宋体" w:cs="Arial"/>
          <w:b/>
          <w:color w:val="000000"/>
          <w:sz w:val="28"/>
          <w:szCs w:val="28"/>
        </w:rPr>
      </w:pPr>
    </w:p>
    <w:p>
      <w:pPr>
        <w:spacing w:line="300" w:lineRule="auto"/>
        <w:ind w:left="140"/>
        <w:jc w:val="center"/>
        <w:rPr>
          <w:rFonts w:ascii="宋体" w:hAnsi="宋体" w:cs="Arial"/>
          <w:b/>
          <w:color w:val="000000"/>
          <w:sz w:val="28"/>
          <w:szCs w:val="28"/>
        </w:rPr>
      </w:pPr>
    </w:p>
    <w:p>
      <w:pPr>
        <w:spacing w:line="300" w:lineRule="auto"/>
        <w:ind w:left="140"/>
        <w:jc w:val="center"/>
        <w:rPr>
          <w:rFonts w:ascii="宋体" w:hAnsi="宋体" w:cs="Arial"/>
          <w:b/>
          <w:color w:val="000000"/>
          <w:sz w:val="28"/>
          <w:szCs w:val="28"/>
        </w:rPr>
      </w:pPr>
    </w:p>
    <w:p>
      <w:pPr>
        <w:pStyle w:val="3"/>
      </w:pPr>
    </w:p>
    <w:p>
      <w:pPr>
        <w:pStyle w:val="3"/>
      </w:pPr>
    </w:p>
    <w:p>
      <w:pPr>
        <w:pStyle w:val="3"/>
      </w:pPr>
    </w:p>
    <w:p>
      <w:pPr>
        <w:pStyle w:val="3"/>
      </w:pPr>
    </w:p>
    <w:p>
      <w:pPr>
        <w:spacing w:line="300" w:lineRule="auto"/>
        <w:ind w:left="140"/>
        <w:jc w:val="center"/>
        <w:rPr>
          <w:rFonts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ascii="宋体" w:hAnsi="宋体"/>
          <w:szCs w:val="21"/>
        </w:rPr>
      </w:pPr>
      <w:r>
        <w:rPr>
          <w:rFonts w:hint="eastAsia" w:ascii="宋体" w:hAnsi="宋体"/>
          <w:szCs w:val="21"/>
        </w:rPr>
        <w:t>我单位承诺：</w:t>
      </w:r>
    </w:p>
    <w:p>
      <w:pPr>
        <w:ind w:firstLine="420" w:firstLineChars="200"/>
        <w:contextualSpacing/>
        <w:rPr>
          <w:rFonts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ascii="宋体" w:hAnsi="宋体"/>
          <w:szCs w:val="21"/>
        </w:rPr>
      </w:pPr>
      <w:r>
        <w:rPr>
          <w:rFonts w:hint="eastAsia" w:ascii="宋体" w:hAnsi="宋体"/>
          <w:szCs w:val="21"/>
        </w:rPr>
        <w:t xml:space="preserve">                                                            </w:t>
      </w:r>
    </w:p>
    <w:p>
      <w:pPr>
        <w:ind w:firstLine="7770" w:firstLineChars="3700"/>
        <w:contextualSpacing/>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Ansi="宋体"/>
        </w:rPr>
      </w:pPr>
    </w:p>
    <w:p>
      <w:pPr>
        <w:widowControl/>
        <w:contextualSpacing/>
        <w:rPr>
          <w:rFonts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ascii="宋体" w:hAnsi="宋体" w:cs="Arial"/>
          <w:b/>
          <w:sz w:val="28"/>
          <w:szCs w:val="28"/>
        </w:rPr>
      </w:pPr>
      <w:r>
        <w:rPr>
          <w:rFonts w:hint="eastAsia" w:ascii="宋体" w:hAnsi="宋体"/>
          <w:b/>
          <w:kern w:val="0"/>
          <w:szCs w:val="21"/>
        </w:rPr>
        <w:t>2.不得擅自改变此投标履约承诺函内容。</w:t>
      </w:r>
    </w:p>
    <w:p>
      <w:pPr>
        <w:jc w:val="center"/>
        <w:rPr>
          <w:rFonts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ascii="宋体" w:hAnsi="宋体" w:cs="宋体"/>
          <w:b/>
          <w:bCs/>
          <w:szCs w:val="21"/>
        </w:rPr>
      </w:pPr>
    </w:p>
    <w:p>
      <w:pPr>
        <w:spacing w:line="360" w:lineRule="auto"/>
        <w:ind w:firstLine="420"/>
        <w:jc w:val="right"/>
        <w:rPr>
          <w:rFonts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ascii="宋体" w:hAnsi="宋体" w:cs="宋体"/>
          <w:b/>
          <w:sz w:val="24"/>
        </w:rPr>
      </w:pPr>
    </w:p>
    <w:p>
      <w:pPr>
        <w:spacing w:line="300" w:lineRule="auto"/>
        <w:ind w:left="140"/>
        <w:jc w:val="center"/>
        <w:rPr>
          <w:rFonts w:ascii="宋体" w:hAnsi="微软雅黑" w:eastAsia="微软雅黑" w:cs="微软雅黑"/>
          <w:b/>
          <w:color w:val="000000"/>
          <w:sz w:val="28"/>
          <w:szCs w:val="28"/>
        </w:rPr>
      </w:pPr>
    </w:p>
    <w:p>
      <w:pPr>
        <w:pStyle w:val="2"/>
        <w:ind w:left="1060" w:hanging="640"/>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本项目投标授权代表为法定代表人（负责人）的，需提供法人身份证复印件。</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840" w:firstLineChars="300"/>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840" w:firstLineChars="300"/>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1120" w:firstLineChars="400"/>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1120" w:firstLineChars="400"/>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ascii="宋体" w:hAnsi="宋体" w:eastAsia="仿宋_GB2312"/>
          <w:bCs/>
          <w:sz w:val="28"/>
          <w:szCs w:val="28"/>
          <w:u w:val="single"/>
        </w:rPr>
      </w:pPr>
    </w:p>
    <w:p>
      <w:pPr>
        <w:spacing w:line="500" w:lineRule="exact"/>
        <w:ind w:firstLine="555"/>
        <w:jc w:val="left"/>
        <w:rPr>
          <w:rFonts w:ascii="宋体" w:hAnsi="宋体" w:eastAsia="仿宋_GB2312"/>
          <w:bCs/>
          <w:sz w:val="28"/>
          <w:szCs w:val="28"/>
          <w:u w:val="single"/>
        </w:rPr>
      </w:pPr>
    </w:p>
    <w:p>
      <w:pPr>
        <w:spacing w:line="500" w:lineRule="exact"/>
        <w:ind w:firstLine="555"/>
        <w:jc w:val="left"/>
        <w:rPr>
          <w:rFonts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840" w:firstLineChars="300"/>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840" w:firstLineChars="300"/>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1120" w:firstLineChars="400"/>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1120" w:firstLineChars="400"/>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10"/>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20"/>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6"/>
              <w:ind w:left="340"/>
              <w:rPr>
                <w:rFonts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6"/>
              <w:ind w:left="510"/>
              <w:rPr>
                <w:rFonts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ind w:right="1"/>
              <w:jc w:val="center"/>
              <w:rPr>
                <w:rFonts w:ascii="宋体" w:hAnsi="宋体" w:eastAsia="宋体" w:cs="Microsoft JhengHei"/>
                <w:sz w:val="21"/>
                <w:szCs w:val="21"/>
              </w:rPr>
            </w:pPr>
            <w:r>
              <w:rPr>
                <w:rFonts w:hint="eastAsia" w:ascii="宋体" w:hAnsi="宋体" w:eastAsia="宋体" w:cs="Microsoft JhengHei"/>
                <w:sz w:val="21"/>
                <w:szCs w:val="21"/>
              </w:rPr>
              <w:t>投标（响</w:t>
            </w:r>
          </w:p>
          <w:p>
            <w:pPr>
              <w:pStyle w:val="66"/>
              <w:kinsoku w:val="0"/>
              <w:overflowPunct w:val="0"/>
              <w:spacing w:line="350" w:lineRule="exact"/>
              <w:jc w:val="center"/>
              <w:rPr>
                <w:rFonts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jc w:val="center"/>
              <w:rPr>
                <w:rFonts w:ascii="宋体" w:hAnsi="宋体" w:eastAsia="宋体" w:cs="Microsoft JhengHei"/>
                <w:sz w:val="21"/>
                <w:szCs w:val="21"/>
              </w:rPr>
            </w:pPr>
            <w:r>
              <w:rPr>
                <w:rFonts w:hint="eastAsia" w:ascii="宋体" w:hAnsi="宋体" w:eastAsia="宋体" w:cs="Microsoft JhengHei"/>
                <w:sz w:val="21"/>
                <w:szCs w:val="21"/>
              </w:rPr>
              <w:t>供应商统一社会</w:t>
            </w:r>
          </w:p>
          <w:p>
            <w:pPr>
              <w:pStyle w:val="66"/>
              <w:kinsoku w:val="0"/>
              <w:overflowPunct w:val="0"/>
              <w:spacing w:line="350" w:lineRule="exact"/>
              <w:jc w:val="center"/>
              <w:rPr>
                <w:rFonts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2665"/>
              <w:rPr>
                <w:rFonts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4"/>
              <w:ind w:left="124"/>
              <w:rPr>
                <w:rFonts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2"/>
              <w:ind w:right="1"/>
              <w:jc w:val="center"/>
              <w:rPr>
                <w:rFonts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2"/>
              <w:ind w:left="228"/>
              <w:rPr>
                <w:rFonts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2"/>
              <w:ind w:left="390"/>
              <w:rPr>
                <w:rFonts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ind w:left="264"/>
              <w:rPr>
                <w:rFonts w:ascii="宋体" w:hAnsi="宋体" w:eastAsia="宋体" w:cs="Microsoft JhengHei"/>
                <w:sz w:val="21"/>
                <w:szCs w:val="21"/>
              </w:rPr>
            </w:pPr>
            <w:r>
              <w:rPr>
                <w:rFonts w:hint="eastAsia" w:ascii="宋体" w:hAnsi="宋体" w:eastAsia="宋体" w:cs="Microsoft JhengHei"/>
                <w:sz w:val="21"/>
                <w:szCs w:val="21"/>
              </w:rPr>
              <w:t>劳动合同</w:t>
            </w:r>
          </w:p>
          <w:p>
            <w:pPr>
              <w:pStyle w:val="66"/>
              <w:kinsoku w:val="0"/>
              <w:overflowPunct w:val="0"/>
              <w:spacing w:line="348" w:lineRule="exact"/>
              <w:ind w:left="264"/>
              <w:rPr>
                <w:rFonts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ind w:left="257"/>
              <w:rPr>
                <w:rFonts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firstLine="245" w:firstLineChars="117"/>
              <w:rPr>
                <w:rFonts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43"/>
              <w:ind w:left="1"/>
              <w:jc w:val="center"/>
              <w:rPr>
                <w:rFonts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6"/>
              <w:kinsoku w:val="0"/>
              <w:overflowPunct w:val="0"/>
              <w:spacing w:before="82"/>
              <w:ind w:left="2"/>
              <w:jc w:val="center"/>
              <w:rPr>
                <w:rFonts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Chars="-4" w:hanging="8" w:hangingChars="4"/>
              <w:jc w:val="center"/>
              <w:rPr>
                <w:rFonts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59"/>
              <w:ind w:left="146"/>
              <w:rPr>
                <w:rFonts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210" w:leftChars="-100" w:firstLine="455" w:firstLineChars="217"/>
              <w:rPr>
                <w:rFonts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535"/>
              <w:rPr>
                <w:rFonts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Chars="-60" w:hanging="126" w:hangingChars="60"/>
              <w:jc w:val="center"/>
              <w:rPr>
                <w:rFonts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3"/>
              <w:ind w:left="415"/>
              <w:rPr>
                <w:rFonts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Chars="-60" w:hanging="126" w:hangingChars="60"/>
              <w:jc w:val="center"/>
              <w:rPr>
                <w:rFonts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5"/>
              <w:ind w:left="175"/>
              <w:rPr>
                <w:rFonts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5"/>
              <w:ind w:left="102"/>
              <w:rPr>
                <w:rFonts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5"/>
              <w:ind w:left="2665"/>
              <w:rPr>
                <w:rFonts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124"/>
              <w:rPr>
                <w:rFonts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415"/>
              <w:rPr>
                <w:rFonts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144"/>
              <w:rPr>
                <w:rFonts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1"/>
              <w:jc w:val="center"/>
              <w:rPr>
                <w:rFonts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266" w:right="268"/>
              <w:jc w:val="center"/>
              <w:rPr>
                <w:rFonts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655"/>
              <w:rPr>
                <w:rFonts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6"/>
              <w:kinsoku w:val="0"/>
              <w:overflowPunct w:val="0"/>
              <w:spacing w:line="232" w:lineRule="exact"/>
              <w:ind w:left="103"/>
              <w:rPr>
                <w:rFonts w:ascii="宋体" w:hAnsi="宋体" w:eastAsia="宋体" w:cs="Microsoft JhengHei"/>
                <w:sz w:val="21"/>
                <w:szCs w:val="21"/>
              </w:rPr>
            </w:pPr>
          </w:p>
          <w:p>
            <w:pPr>
              <w:pStyle w:val="66"/>
              <w:kinsoku w:val="0"/>
              <w:overflowPunct w:val="0"/>
              <w:spacing w:line="232" w:lineRule="exact"/>
              <w:ind w:left="103"/>
              <w:rPr>
                <w:rFonts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284" w:right="283"/>
              <w:jc w:val="center"/>
              <w:rPr>
                <w:rFonts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3"/>
              <w:ind w:left="655"/>
              <w:rPr>
                <w:rFonts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6"/>
              <w:kinsoku w:val="0"/>
              <w:overflowPunct w:val="0"/>
              <w:spacing w:line="311" w:lineRule="exact"/>
              <w:ind w:left="103"/>
              <w:rPr>
                <w:rFonts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6"/>
              <w:kinsoku w:val="0"/>
              <w:overflowPunct w:val="0"/>
              <w:spacing w:line="350" w:lineRule="exact"/>
              <w:ind w:left="103" w:right="-9"/>
              <w:rPr>
                <w:rFonts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6"/>
              <w:kinsoku w:val="0"/>
              <w:overflowPunct w:val="0"/>
              <w:spacing w:line="310" w:lineRule="exact"/>
              <w:ind w:left="102"/>
              <w:rPr>
                <w:rFonts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3"/>
      </w:pPr>
    </w:p>
    <w:p>
      <w:pPr>
        <w:pStyle w:val="3"/>
      </w:pPr>
    </w:p>
    <w:p>
      <w:pPr>
        <w:pStyle w:val="3"/>
      </w:pPr>
    </w:p>
    <w:p>
      <w:pPr>
        <w:pStyle w:val="3"/>
      </w:pPr>
    </w:p>
    <w:p>
      <w:pPr>
        <w:spacing w:after="60"/>
        <w:ind w:left="440"/>
        <w:contextualSpacing/>
        <w:rPr>
          <w:rFonts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ascii="宋体" w:hAnsi="宋体"/>
          <w:b/>
          <w:bCs/>
          <w:kern w:val="0"/>
          <w:szCs w:val="21"/>
        </w:rPr>
      </w:pPr>
      <w:r>
        <w:rPr>
          <w:rFonts w:hint="eastAsia" w:ascii="宋体" w:hAnsi="宋体"/>
          <w:b/>
          <w:bCs/>
          <w:kern w:val="0"/>
          <w:szCs w:val="21"/>
        </w:rPr>
        <w:t>特别提醒：</w:t>
      </w:r>
    </w:p>
    <w:p>
      <w:pPr>
        <w:widowControl/>
        <w:snapToGrid w:val="0"/>
        <w:contextualSpacing/>
        <w:jc w:val="left"/>
        <w:rPr>
          <w:rFonts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ascii="宋体" w:hAnsi="宋体"/>
          <w:kern w:val="0"/>
          <w:szCs w:val="21"/>
        </w:rPr>
      </w:pPr>
    </w:p>
    <w:p>
      <w:pPr>
        <w:widowControl/>
        <w:snapToGrid w:val="0"/>
        <w:contextualSpacing/>
        <w:jc w:val="left"/>
        <w:rPr>
          <w:rFonts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ascii="宋体" w:hAnsi="宋体" w:cs="Arial"/>
          <w:color w:val="000000"/>
          <w:szCs w:val="21"/>
        </w:rPr>
      </w:pPr>
    </w:p>
    <w:p>
      <w:pPr>
        <w:spacing w:after="60"/>
        <w:ind w:firstLine="140" w:firstLineChars="67"/>
        <w:rPr>
          <w:rFonts w:ascii="宋体" w:hAnsi="宋体" w:cs="Arial"/>
          <w:color w:val="000000"/>
          <w:szCs w:val="21"/>
        </w:rPr>
      </w:pPr>
      <w:r>
        <w:rPr>
          <w:rFonts w:ascii="宋体" w:hAnsi="宋体" w:cs="Arial"/>
          <w:color w:val="000000"/>
          <w:szCs w:val="21"/>
        </w:rPr>
        <w:t xml:space="preserve">投标人名称__________________ </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ascii="宋体" w:hAnsi="宋体"/>
                <w:color w:val="000000"/>
                <w:szCs w:val="21"/>
              </w:rPr>
            </w:pPr>
            <w:r>
              <w:rPr>
                <w:rFonts w:ascii="宋体" w:hAnsi="宋体"/>
                <w:color w:val="000000"/>
                <w:szCs w:val="21"/>
              </w:rPr>
              <w:t>序号</w:t>
            </w:r>
          </w:p>
        </w:tc>
        <w:tc>
          <w:tcPr>
            <w:tcW w:w="2813" w:type="dxa"/>
          </w:tcPr>
          <w:p>
            <w:pPr>
              <w:spacing w:after="60"/>
              <w:jc w:val="center"/>
              <w:rPr>
                <w:rFonts w:ascii="宋体" w:hAnsi="宋体"/>
                <w:color w:val="000000"/>
                <w:szCs w:val="21"/>
              </w:rPr>
            </w:pPr>
            <w:r>
              <w:rPr>
                <w:rFonts w:ascii="宋体" w:hAnsi="宋体"/>
                <w:color w:val="000000"/>
                <w:szCs w:val="21"/>
              </w:rPr>
              <w:t>用户单位</w:t>
            </w:r>
          </w:p>
        </w:tc>
        <w:tc>
          <w:tcPr>
            <w:tcW w:w="1253" w:type="dxa"/>
          </w:tcPr>
          <w:p>
            <w:pPr>
              <w:spacing w:after="60"/>
              <w:jc w:val="center"/>
              <w:rPr>
                <w:rFonts w:ascii="宋体" w:hAnsi="宋体"/>
                <w:color w:val="000000"/>
                <w:szCs w:val="21"/>
              </w:rPr>
            </w:pPr>
            <w:r>
              <w:rPr>
                <w:rFonts w:ascii="宋体" w:hAnsi="宋体"/>
                <w:color w:val="000000"/>
                <w:szCs w:val="21"/>
              </w:rPr>
              <w:t>项目名称</w:t>
            </w:r>
          </w:p>
        </w:tc>
        <w:tc>
          <w:tcPr>
            <w:tcW w:w="1058" w:type="dxa"/>
          </w:tcPr>
          <w:p>
            <w:pPr>
              <w:spacing w:after="60"/>
              <w:jc w:val="center"/>
              <w:rPr>
                <w:rFonts w:ascii="宋体" w:hAnsi="宋体"/>
                <w:color w:val="000000"/>
                <w:szCs w:val="21"/>
              </w:rPr>
            </w:pPr>
            <w:r>
              <w:rPr>
                <w:rFonts w:ascii="宋体" w:hAnsi="宋体"/>
                <w:color w:val="000000"/>
                <w:szCs w:val="21"/>
              </w:rPr>
              <w:t>时间</w:t>
            </w:r>
          </w:p>
        </w:tc>
        <w:tc>
          <w:tcPr>
            <w:tcW w:w="1275" w:type="dxa"/>
          </w:tcPr>
          <w:p>
            <w:pPr>
              <w:spacing w:after="60"/>
              <w:jc w:val="center"/>
              <w:rPr>
                <w:rFonts w:ascii="宋体" w:hAnsi="宋体"/>
                <w:color w:val="000000"/>
                <w:szCs w:val="21"/>
              </w:rPr>
            </w:pPr>
            <w:r>
              <w:rPr>
                <w:rFonts w:ascii="宋体" w:hAnsi="宋体"/>
                <w:color w:val="000000"/>
                <w:szCs w:val="21"/>
              </w:rPr>
              <w:t>规模(金额)</w:t>
            </w:r>
          </w:p>
        </w:tc>
        <w:tc>
          <w:tcPr>
            <w:tcW w:w="851" w:type="dxa"/>
          </w:tcPr>
          <w:p>
            <w:pPr>
              <w:spacing w:after="60"/>
              <w:jc w:val="center"/>
              <w:rPr>
                <w:rFonts w:ascii="宋体" w:hAnsi="宋体"/>
                <w:color w:val="000000"/>
                <w:szCs w:val="21"/>
              </w:rPr>
            </w:pPr>
            <w:r>
              <w:rPr>
                <w:rFonts w:ascii="宋体" w:hAnsi="宋体"/>
                <w:color w:val="000000"/>
                <w:szCs w:val="21"/>
              </w:rPr>
              <w:t>联系人</w:t>
            </w:r>
          </w:p>
        </w:tc>
        <w:tc>
          <w:tcPr>
            <w:tcW w:w="1977" w:type="dxa"/>
          </w:tcPr>
          <w:p>
            <w:pPr>
              <w:spacing w:after="60"/>
              <w:jc w:val="center"/>
              <w:rPr>
                <w:rFonts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ascii="宋体" w:hAnsi="宋体"/>
                <w:color w:val="000000"/>
                <w:szCs w:val="21"/>
              </w:rPr>
            </w:pPr>
          </w:p>
        </w:tc>
        <w:tc>
          <w:tcPr>
            <w:tcW w:w="2813" w:type="dxa"/>
          </w:tcPr>
          <w:p>
            <w:pPr>
              <w:spacing w:after="60"/>
              <w:rPr>
                <w:rFonts w:ascii="宋体" w:hAnsi="宋体"/>
                <w:color w:val="000000"/>
                <w:szCs w:val="21"/>
              </w:rPr>
            </w:pPr>
          </w:p>
        </w:tc>
        <w:tc>
          <w:tcPr>
            <w:tcW w:w="1253" w:type="dxa"/>
          </w:tcPr>
          <w:p>
            <w:pPr>
              <w:spacing w:after="60"/>
              <w:rPr>
                <w:rFonts w:ascii="宋体" w:hAnsi="宋体"/>
                <w:color w:val="000000"/>
                <w:szCs w:val="21"/>
              </w:rPr>
            </w:pPr>
          </w:p>
        </w:tc>
        <w:tc>
          <w:tcPr>
            <w:tcW w:w="1058" w:type="dxa"/>
          </w:tcPr>
          <w:p>
            <w:pPr>
              <w:spacing w:after="60"/>
              <w:rPr>
                <w:rFonts w:ascii="宋体" w:hAnsi="宋体"/>
                <w:color w:val="000000"/>
                <w:szCs w:val="21"/>
              </w:rPr>
            </w:pPr>
          </w:p>
        </w:tc>
        <w:tc>
          <w:tcPr>
            <w:tcW w:w="1275" w:type="dxa"/>
          </w:tcPr>
          <w:p>
            <w:pPr>
              <w:spacing w:after="60"/>
              <w:rPr>
                <w:rFonts w:ascii="宋体" w:hAnsi="宋体"/>
                <w:color w:val="000000"/>
                <w:szCs w:val="21"/>
              </w:rPr>
            </w:pPr>
          </w:p>
        </w:tc>
        <w:tc>
          <w:tcPr>
            <w:tcW w:w="851" w:type="dxa"/>
          </w:tcPr>
          <w:p>
            <w:pPr>
              <w:spacing w:after="60"/>
              <w:rPr>
                <w:rFonts w:ascii="宋体" w:hAnsi="宋体"/>
                <w:color w:val="000000"/>
                <w:szCs w:val="21"/>
              </w:rPr>
            </w:pPr>
          </w:p>
        </w:tc>
        <w:tc>
          <w:tcPr>
            <w:tcW w:w="1977" w:type="dxa"/>
          </w:tcPr>
          <w:p>
            <w:pPr>
              <w:spacing w:after="60"/>
              <w:rPr>
                <w:rFonts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十一、项目管理主要技术和售后服务人员情况表及最近一个月社会保险证明</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ascii="宋体" w:hAnsi="宋体" w:cs="Arial"/>
                <w:color w:val="000000"/>
                <w:szCs w:val="21"/>
              </w:rPr>
            </w:pPr>
          </w:p>
        </w:tc>
        <w:tc>
          <w:tcPr>
            <w:tcW w:w="1800" w:type="dxa"/>
            <w:vAlign w:val="center"/>
          </w:tcPr>
          <w:p>
            <w:pPr>
              <w:spacing w:after="60"/>
              <w:jc w:val="center"/>
              <w:rPr>
                <w:rFonts w:ascii="宋体" w:hAnsi="宋体" w:cs="Arial"/>
                <w:color w:val="000000"/>
                <w:szCs w:val="21"/>
              </w:rPr>
            </w:pPr>
          </w:p>
        </w:tc>
        <w:tc>
          <w:tcPr>
            <w:tcW w:w="1260" w:type="dxa"/>
            <w:vAlign w:val="center"/>
          </w:tcPr>
          <w:p>
            <w:pPr>
              <w:spacing w:after="60"/>
              <w:jc w:val="center"/>
              <w:rPr>
                <w:rFonts w:ascii="宋体" w:hAnsi="宋体" w:cs="Arial"/>
                <w:color w:val="000000"/>
                <w:szCs w:val="21"/>
              </w:rPr>
            </w:pPr>
          </w:p>
        </w:tc>
        <w:tc>
          <w:tcPr>
            <w:tcW w:w="4901" w:type="dxa"/>
            <w:vAlign w:val="center"/>
          </w:tcPr>
          <w:p>
            <w:pPr>
              <w:spacing w:after="60"/>
              <w:jc w:val="center"/>
              <w:rPr>
                <w:rFonts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ascii="宋体" w:hAnsi="宋体" w:cs="Arial"/>
                <w:color w:val="000000"/>
                <w:szCs w:val="21"/>
              </w:rPr>
            </w:pPr>
          </w:p>
        </w:tc>
        <w:tc>
          <w:tcPr>
            <w:tcW w:w="1800" w:type="dxa"/>
            <w:vAlign w:val="center"/>
          </w:tcPr>
          <w:p>
            <w:pPr>
              <w:spacing w:after="60"/>
              <w:jc w:val="center"/>
              <w:rPr>
                <w:rFonts w:ascii="宋体" w:hAnsi="宋体" w:cs="Arial"/>
                <w:color w:val="000000"/>
                <w:szCs w:val="21"/>
              </w:rPr>
            </w:pPr>
          </w:p>
        </w:tc>
        <w:tc>
          <w:tcPr>
            <w:tcW w:w="1260" w:type="dxa"/>
            <w:vAlign w:val="center"/>
          </w:tcPr>
          <w:p>
            <w:pPr>
              <w:spacing w:after="60"/>
              <w:jc w:val="center"/>
              <w:rPr>
                <w:rFonts w:ascii="宋体" w:hAnsi="宋体" w:cs="Arial"/>
                <w:color w:val="000000"/>
                <w:szCs w:val="21"/>
              </w:rPr>
            </w:pPr>
          </w:p>
        </w:tc>
        <w:tc>
          <w:tcPr>
            <w:tcW w:w="4901" w:type="dxa"/>
            <w:vAlign w:val="center"/>
          </w:tcPr>
          <w:p>
            <w:pPr>
              <w:spacing w:after="60"/>
              <w:jc w:val="center"/>
              <w:rPr>
                <w:rFonts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ascii="宋体" w:hAnsi="宋体" w:cs="Arial"/>
                <w:color w:val="000000"/>
                <w:szCs w:val="21"/>
              </w:rPr>
            </w:pPr>
          </w:p>
        </w:tc>
        <w:tc>
          <w:tcPr>
            <w:tcW w:w="1800" w:type="dxa"/>
            <w:vAlign w:val="center"/>
          </w:tcPr>
          <w:p>
            <w:pPr>
              <w:spacing w:after="60"/>
              <w:jc w:val="center"/>
              <w:rPr>
                <w:rFonts w:ascii="宋体" w:hAnsi="宋体" w:cs="Arial"/>
                <w:color w:val="000000"/>
                <w:szCs w:val="21"/>
              </w:rPr>
            </w:pPr>
          </w:p>
        </w:tc>
        <w:tc>
          <w:tcPr>
            <w:tcW w:w="1260" w:type="dxa"/>
            <w:vAlign w:val="center"/>
          </w:tcPr>
          <w:p>
            <w:pPr>
              <w:spacing w:after="60"/>
              <w:jc w:val="center"/>
              <w:rPr>
                <w:rFonts w:ascii="宋体" w:hAnsi="宋体" w:cs="Arial"/>
                <w:color w:val="000000"/>
                <w:szCs w:val="21"/>
              </w:rPr>
            </w:pPr>
          </w:p>
        </w:tc>
        <w:tc>
          <w:tcPr>
            <w:tcW w:w="4901" w:type="dxa"/>
            <w:vAlign w:val="center"/>
          </w:tcPr>
          <w:p>
            <w:pPr>
              <w:spacing w:after="60"/>
              <w:jc w:val="center"/>
              <w:rPr>
                <w:rFonts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ascii="宋体" w:hAnsi="宋体" w:cs="Arial"/>
                <w:color w:val="000000"/>
                <w:szCs w:val="21"/>
              </w:rPr>
            </w:pPr>
          </w:p>
        </w:tc>
        <w:tc>
          <w:tcPr>
            <w:tcW w:w="1800" w:type="dxa"/>
            <w:vAlign w:val="center"/>
          </w:tcPr>
          <w:p>
            <w:pPr>
              <w:spacing w:after="60"/>
              <w:jc w:val="center"/>
              <w:rPr>
                <w:rFonts w:ascii="宋体" w:hAnsi="宋体" w:cs="Arial"/>
                <w:color w:val="000000"/>
                <w:szCs w:val="21"/>
              </w:rPr>
            </w:pPr>
          </w:p>
        </w:tc>
        <w:tc>
          <w:tcPr>
            <w:tcW w:w="1260" w:type="dxa"/>
            <w:vAlign w:val="center"/>
          </w:tcPr>
          <w:p>
            <w:pPr>
              <w:spacing w:after="60"/>
              <w:jc w:val="center"/>
              <w:rPr>
                <w:rFonts w:ascii="宋体" w:hAnsi="宋体" w:cs="Arial"/>
                <w:color w:val="000000"/>
                <w:szCs w:val="21"/>
              </w:rPr>
            </w:pPr>
          </w:p>
        </w:tc>
        <w:tc>
          <w:tcPr>
            <w:tcW w:w="4901" w:type="dxa"/>
            <w:vAlign w:val="center"/>
          </w:tcPr>
          <w:p>
            <w:pPr>
              <w:spacing w:after="60"/>
              <w:jc w:val="center"/>
              <w:rPr>
                <w:rFonts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ascii="宋体" w:hAnsi="宋体" w:cs="Arial"/>
                <w:color w:val="000000"/>
                <w:szCs w:val="21"/>
              </w:rPr>
            </w:pPr>
          </w:p>
        </w:tc>
        <w:tc>
          <w:tcPr>
            <w:tcW w:w="1800" w:type="dxa"/>
            <w:vAlign w:val="center"/>
          </w:tcPr>
          <w:p>
            <w:pPr>
              <w:spacing w:after="60"/>
              <w:jc w:val="center"/>
              <w:rPr>
                <w:rFonts w:ascii="宋体" w:hAnsi="宋体" w:cs="Arial"/>
                <w:color w:val="000000"/>
                <w:szCs w:val="21"/>
              </w:rPr>
            </w:pPr>
          </w:p>
        </w:tc>
        <w:tc>
          <w:tcPr>
            <w:tcW w:w="1260" w:type="dxa"/>
            <w:vAlign w:val="center"/>
          </w:tcPr>
          <w:p>
            <w:pPr>
              <w:spacing w:after="60"/>
              <w:jc w:val="center"/>
              <w:rPr>
                <w:rFonts w:ascii="宋体" w:hAnsi="宋体" w:cs="Arial"/>
                <w:color w:val="000000"/>
                <w:szCs w:val="21"/>
              </w:rPr>
            </w:pPr>
          </w:p>
        </w:tc>
        <w:tc>
          <w:tcPr>
            <w:tcW w:w="4901" w:type="dxa"/>
            <w:vAlign w:val="center"/>
          </w:tcPr>
          <w:p>
            <w:pPr>
              <w:spacing w:after="60"/>
              <w:jc w:val="center"/>
              <w:rPr>
                <w:rFonts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ascii="宋体" w:hAnsi="宋体" w:cs="Arial"/>
                <w:color w:val="000000"/>
                <w:szCs w:val="21"/>
              </w:rPr>
            </w:pPr>
          </w:p>
        </w:tc>
        <w:tc>
          <w:tcPr>
            <w:tcW w:w="1800" w:type="dxa"/>
            <w:vAlign w:val="center"/>
          </w:tcPr>
          <w:p>
            <w:pPr>
              <w:spacing w:after="60"/>
              <w:jc w:val="center"/>
              <w:rPr>
                <w:rFonts w:ascii="宋体" w:hAnsi="宋体" w:cs="Arial"/>
                <w:color w:val="000000"/>
                <w:szCs w:val="21"/>
              </w:rPr>
            </w:pPr>
          </w:p>
        </w:tc>
        <w:tc>
          <w:tcPr>
            <w:tcW w:w="1260" w:type="dxa"/>
            <w:vAlign w:val="center"/>
          </w:tcPr>
          <w:p>
            <w:pPr>
              <w:spacing w:after="60"/>
              <w:jc w:val="center"/>
              <w:rPr>
                <w:rFonts w:ascii="宋体" w:hAnsi="宋体" w:cs="Arial"/>
                <w:color w:val="000000"/>
                <w:szCs w:val="21"/>
              </w:rPr>
            </w:pPr>
          </w:p>
        </w:tc>
        <w:tc>
          <w:tcPr>
            <w:tcW w:w="4901" w:type="dxa"/>
            <w:vAlign w:val="center"/>
          </w:tcPr>
          <w:p>
            <w:pPr>
              <w:spacing w:after="60"/>
              <w:jc w:val="center"/>
              <w:rPr>
                <w:rFonts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ascii="宋体" w:hAnsi="宋体" w:cs="Arial"/>
                <w:color w:val="000000"/>
                <w:szCs w:val="21"/>
              </w:rPr>
            </w:pPr>
          </w:p>
        </w:tc>
        <w:tc>
          <w:tcPr>
            <w:tcW w:w="1800" w:type="dxa"/>
            <w:vAlign w:val="center"/>
          </w:tcPr>
          <w:p>
            <w:pPr>
              <w:spacing w:after="60"/>
              <w:jc w:val="center"/>
              <w:rPr>
                <w:rFonts w:ascii="宋体" w:hAnsi="宋体" w:cs="Arial"/>
                <w:color w:val="000000"/>
                <w:szCs w:val="21"/>
              </w:rPr>
            </w:pPr>
          </w:p>
        </w:tc>
        <w:tc>
          <w:tcPr>
            <w:tcW w:w="1260" w:type="dxa"/>
            <w:vAlign w:val="center"/>
          </w:tcPr>
          <w:p>
            <w:pPr>
              <w:spacing w:after="60"/>
              <w:jc w:val="center"/>
              <w:rPr>
                <w:rFonts w:ascii="宋体" w:hAnsi="宋体" w:cs="Arial"/>
                <w:color w:val="000000"/>
                <w:szCs w:val="21"/>
              </w:rPr>
            </w:pPr>
          </w:p>
        </w:tc>
        <w:tc>
          <w:tcPr>
            <w:tcW w:w="4901" w:type="dxa"/>
            <w:vAlign w:val="center"/>
          </w:tcPr>
          <w:p>
            <w:pPr>
              <w:spacing w:after="60"/>
              <w:jc w:val="center"/>
              <w:rPr>
                <w:rFonts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ascii="宋体" w:hAnsi="宋体" w:cs="Arial"/>
                <w:color w:val="000000"/>
                <w:szCs w:val="21"/>
              </w:rPr>
            </w:pPr>
          </w:p>
        </w:tc>
        <w:tc>
          <w:tcPr>
            <w:tcW w:w="1800" w:type="dxa"/>
            <w:vAlign w:val="center"/>
          </w:tcPr>
          <w:p>
            <w:pPr>
              <w:spacing w:after="60"/>
              <w:jc w:val="center"/>
              <w:rPr>
                <w:rFonts w:ascii="宋体" w:hAnsi="宋体" w:cs="Arial"/>
                <w:color w:val="000000"/>
                <w:szCs w:val="21"/>
              </w:rPr>
            </w:pPr>
          </w:p>
        </w:tc>
        <w:tc>
          <w:tcPr>
            <w:tcW w:w="1260" w:type="dxa"/>
            <w:vAlign w:val="center"/>
          </w:tcPr>
          <w:p>
            <w:pPr>
              <w:spacing w:after="60"/>
              <w:jc w:val="center"/>
              <w:rPr>
                <w:rFonts w:ascii="宋体" w:hAnsi="宋体" w:cs="Arial"/>
                <w:color w:val="000000"/>
                <w:szCs w:val="21"/>
              </w:rPr>
            </w:pPr>
          </w:p>
        </w:tc>
        <w:tc>
          <w:tcPr>
            <w:tcW w:w="4901" w:type="dxa"/>
            <w:vAlign w:val="center"/>
          </w:tcPr>
          <w:p>
            <w:pPr>
              <w:spacing w:after="60"/>
              <w:jc w:val="center"/>
              <w:rPr>
                <w:rFonts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ascii="宋体" w:hAnsi="宋体" w:cs="Arial"/>
                <w:color w:val="000000"/>
                <w:szCs w:val="21"/>
              </w:rPr>
            </w:pPr>
          </w:p>
        </w:tc>
      </w:tr>
    </w:tbl>
    <w:p>
      <w:pPr>
        <w:spacing w:after="60"/>
        <w:rPr>
          <w:rFonts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ascii="宋体" w:hAnsi="宋体" w:cs="Arial"/>
          <w:color w:val="000000"/>
          <w:szCs w:val="21"/>
        </w:rPr>
      </w:pPr>
    </w:p>
    <w:p>
      <w:pPr>
        <w:widowControl/>
        <w:snapToGrid w:val="0"/>
        <w:contextualSpacing/>
        <w:jc w:val="left"/>
        <w:outlineLvl w:val="3"/>
        <w:rPr>
          <w:rFonts w:ascii="宋体" w:hAnsi="宋体"/>
          <w:b/>
          <w:bCs/>
          <w:kern w:val="0"/>
          <w:szCs w:val="21"/>
        </w:rPr>
      </w:pPr>
    </w:p>
    <w:p>
      <w:pPr>
        <w:widowControl/>
        <w:snapToGrid w:val="0"/>
        <w:contextualSpacing/>
        <w:jc w:val="left"/>
        <w:outlineLvl w:val="3"/>
        <w:rPr>
          <w:rFonts w:ascii="宋体" w:hAnsi="宋体"/>
          <w:b/>
          <w:bCs/>
          <w:kern w:val="0"/>
          <w:szCs w:val="21"/>
        </w:rPr>
      </w:pPr>
      <w:r>
        <w:rPr>
          <w:rFonts w:hint="eastAsia" w:ascii="宋体" w:hAnsi="宋体"/>
          <w:b/>
          <w:bCs/>
          <w:kern w:val="0"/>
          <w:szCs w:val="21"/>
        </w:rPr>
        <w:t>特别提醒：</w:t>
      </w:r>
    </w:p>
    <w:p>
      <w:pPr>
        <w:widowControl/>
        <w:snapToGrid w:val="0"/>
        <w:contextualSpacing/>
        <w:jc w:val="left"/>
        <w:rPr>
          <w:rFonts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2"/>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10" w:name="_Hlk191539109"/>
      <w:r>
        <w:rPr>
          <w:rFonts w:hint="eastAsia" w:hAnsi="宋体"/>
          <w:b/>
          <w:bCs/>
          <w:sz w:val="28"/>
          <w:szCs w:val="28"/>
        </w:rPr>
        <w:t>项目服务方案及保障措施方案</w:t>
      </w:r>
      <w:bookmarkEnd w:id="10"/>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ascii="宋体" w:hAnsi="宋体" w:cs="等线"/>
          <w:sz w:val="18"/>
          <w:szCs w:val="18"/>
          <w:u w:val="single"/>
        </w:rPr>
      </w:pPr>
      <w:r>
        <w:rPr>
          <w:rFonts w:hint="eastAsia" w:ascii="宋体" w:hAnsi="宋体" w:cs="等线"/>
          <w:sz w:val="18"/>
          <w:szCs w:val="18"/>
          <w:u w:val="single"/>
        </w:rPr>
        <w:t xml:space="preserve">                                                                                                                   </w:t>
      </w:r>
    </w:p>
    <w:p>
      <w:pPr>
        <w:contextualSpacing/>
        <w:rPr>
          <w:rFonts w:ascii="宋体" w:hAnsi="宋体" w:cs="等线"/>
          <w:sz w:val="18"/>
          <w:szCs w:val="18"/>
        </w:rPr>
      </w:pPr>
      <w:r>
        <w:rPr>
          <w:rFonts w:hint="eastAsia" w:ascii="宋体" w:hAnsi="宋体" w:cs="等线"/>
          <w:sz w:val="18"/>
          <w:szCs w:val="18"/>
          <w:u w:val="single"/>
        </w:rPr>
        <w:t xml:space="preserve">                                                                                                                   </w:t>
      </w:r>
    </w:p>
    <w:p>
      <w:pPr>
        <w:contextualSpacing/>
        <w:rPr>
          <w:rFonts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ascii="宋体" w:hAnsi="宋体" w:cs="等线"/>
          <w:sz w:val="18"/>
          <w:szCs w:val="18"/>
        </w:rPr>
      </w:pPr>
      <w:r>
        <w:rPr>
          <w:rFonts w:hint="eastAsia" w:ascii="宋体" w:hAnsi="宋体" w:cs="等线"/>
          <w:sz w:val="18"/>
          <w:szCs w:val="18"/>
        </w:rPr>
        <w:t>知悉人（公章）：</w:t>
      </w:r>
    </w:p>
    <w:p>
      <w:pPr>
        <w:contextualSpacing/>
        <w:rPr>
          <w:rFonts w:ascii="宋体" w:hAnsi="宋体"/>
          <w:sz w:val="18"/>
          <w:szCs w:val="18"/>
        </w:rPr>
      </w:pPr>
      <w:r>
        <w:rPr>
          <w:rFonts w:hint="eastAsia" w:ascii="宋体" w:hAnsi="宋体" w:cs="等线"/>
          <w:sz w:val="18"/>
          <w:szCs w:val="18"/>
        </w:rPr>
        <w:t xml:space="preserve">                                                                                        日期：</w:t>
      </w:r>
    </w:p>
    <w:p>
      <w:pPr>
        <w:pStyle w:val="3"/>
        <w:ind w:firstLine="361"/>
        <w:contextualSpacing/>
        <w:rPr>
          <w:rFonts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3"/>
          <w:rFonts w:ascii="宋体" w:hAnsi="宋体"/>
          <w:b/>
          <w:bCs/>
          <w:color w:val="auto"/>
          <w:sz w:val="28"/>
          <w:szCs w:val="28"/>
          <w:u w:val="none"/>
        </w:rPr>
        <w:t>https://www.szcredit.org.cn/?cdType=sgsl&amp;type=XZXK#/xyfw</w:t>
      </w:r>
      <w:r>
        <w:rPr>
          <w:rStyle w:val="23"/>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ascii="仿宋" w:hAnsi="仿宋" w:eastAsia="仿宋" w:cs="宋体"/>
          <w:b/>
          <w:kern w:val="0"/>
          <w:sz w:val="24"/>
        </w:rPr>
      </w:pPr>
    </w:p>
    <w:p>
      <w:pPr>
        <w:numPr>
          <w:ilvl w:val="0"/>
          <w:numId w:val="4"/>
        </w:numPr>
        <w:jc w:val="center"/>
        <w:rPr>
          <w:rFonts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ascii="宋体" w:hAnsi="宋体" w:cs="宋体"/>
          <w:bCs/>
          <w:kern w:val="0"/>
          <w:szCs w:val="21"/>
        </w:rPr>
      </w:pPr>
      <w:r>
        <w:rPr>
          <w:rFonts w:ascii="宋体" w:hAnsi="宋体" w:cs="宋体"/>
          <w:bCs/>
          <w:kern w:val="0"/>
          <w:sz w:val="24"/>
        </w:rPr>
        <w:t>提示:必须显示信用记录情况</w:t>
      </w:r>
    </w:p>
    <w:p>
      <w:pPr>
        <w:rPr>
          <w:rFonts w:ascii="宋体" w:hAnsi="宋体" w:cs="宋体"/>
          <w:b/>
          <w:bCs/>
          <w:kern w:val="0"/>
          <w:szCs w:val="21"/>
        </w:rPr>
      </w:pPr>
      <w:r>
        <w:rPr>
          <w:rFonts w:ascii="宋体" w:hAnsi="宋体" w:cs="宋体"/>
          <w:b/>
          <w:bCs/>
          <w:kern w:val="0"/>
          <w:szCs w:val="21"/>
        </w:rPr>
        <w:t>示例图片:</w:t>
      </w:r>
    </w:p>
    <w:p>
      <w:pPr>
        <w:rPr>
          <w:rFonts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ascii="仿宋" w:hAnsi="仿宋" w:eastAsia="仿宋" w:cs="宋体"/>
          <w:b/>
          <w:kern w:val="0"/>
          <w:sz w:val="24"/>
        </w:rPr>
      </w:pPr>
    </w:p>
    <w:p>
      <w:pPr>
        <w:jc w:val="center"/>
        <w:rPr>
          <w:rFonts w:ascii="仿宋" w:hAnsi="仿宋" w:eastAsia="仿宋" w:cs="宋体"/>
          <w:b/>
          <w:kern w:val="0"/>
          <w:sz w:val="24"/>
        </w:rPr>
      </w:pPr>
    </w:p>
    <w:p>
      <w:pPr>
        <w:jc w:val="center"/>
        <w:rPr>
          <w:rFonts w:ascii="仿宋" w:hAnsi="仿宋" w:eastAsia="仿宋" w:cs="宋体"/>
          <w:b/>
          <w:kern w:val="0"/>
          <w:sz w:val="24"/>
        </w:rPr>
      </w:pPr>
    </w:p>
    <w:p>
      <w:pPr>
        <w:jc w:val="center"/>
        <w:rPr>
          <w:rFonts w:ascii="仿宋" w:hAnsi="仿宋" w:eastAsia="仿宋" w:cs="宋体"/>
          <w:b/>
          <w:kern w:val="0"/>
          <w:sz w:val="24"/>
        </w:rPr>
      </w:pPr>
    </w:p>
    <w:p>
      <w:pPr>
        <w:jc w:val="center"/>
        <w:rPr>
          <w:rFonts w:ascii="仿宋" w:hAnsi="仿宋" w:eastAsia="仿宋" w:cs="宋体"/>
          <w:b/>
          <w:kern w:val="0"/>
          <w:sz w:val="24"/>
        </w:rPr>
      </w:pPr>
    </w:p>
    <w:p>
      <w:pPr>
        <w:jc w:val="center"/>
        <w:rPr>
          <w:rFonts w:ascii="宋体" w:hAnsi="宋体" w:cs="宋体"/>
          <w:b/>
          <w:kern w:val="0"/>
          <w:sz w:val="24"/>
        </w:rPr>
      </w:pPr>
      <w:r>
        <w:rPr>
          <w:rFonts w:ascii="宋体" w:hAnsi="宋体" w:cs="宋体"/>
          <w:b/>
          <w:kern w:val="0"/>
          <w:sz w:val="24"/>
        </w:rPr>
        <w:t>2.中国政府采购网信用信息查询记录网络截图件</w:t>
      </w:r>
    </w:p>
    <w:p>
      <w:pPr>
        <w:jc w:val="center"/>
        <w:rPr>
          <w:rFonts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ascii="宋体" w:hAnsi="宋体" w:cs="Arial"/>
          <w:b/>
          <w:color w:val="000000"/>
          <w:szCs w:val="21"/>
        </w:rPr>
      </w:pPr>
    </w:p>
    <w:p>
      <w:pPr>
        <w:spacing w:after="78" w:afterLines="25" w:line="300" w:lineRule="auto"/>
        <w:ind w:left="360"/>
        <w:jc w:val="center"/>
        <w:rPr>
          <w:rFonts w:ascii="宋体" w:hAnsi="宋体" w:cs="Arial"/>
          <w:b/>
          <w:color w:val="000000"/>
          <w:szCs w:val="21"/>
        </w:rPr>
      </w:pPr>
    </w:p>
    <w:p>
      <w:pPr>
        <w:spacing w:after="78" w:afterLines="25" w:line="300" w:lineRule="auto"/>
        <w:ind w:left="360"/>
        <w:jc w:val="center"/>
        <w:rPr>
          <w:rFonts w:ascii="宋体" w:hAnsi="宋体" w:cs="Arial"/>
          <w:b/>
          <w:color w:val="000000"/>
          <w:szCs w:val="21"/>
        </w:rPr>
      </w:pPr>
    </w:p>
    <w:p>
      <w:pPr>
        <w:spacing w:after="78" w:afterLines="25" w:line="300" w:lineRule="auto"/>
        <w:ind w:left="360"/>
        <w:jc w:val="center"/>
        <w:rPr>
          <w:rFonts w:ascii="宋体" w:hAnsi="宋体" w:cs="Arial"/>
          <w:b/>
          <w:color w:val="000000"/>
          <w:szCs w:val="21"/>
        </w:rPr>
      </w:pPr>
    </w:p>
    <w:p>
      <w:pPr>
        <w:spacing w:after="78" w:afterLines="25" w:line="300" w:lineRule="auto"/>
        <w:ind w:left="360"/>
        <w:jc w:val="center"/>
        <w:rPr>
          <w:rFonts w:ascii="宋体" w:hAnsi="宋体" w:cs="Arial"/>
          <w:b/>
          <w:color w:val="000000"/>
          <w:szCs w:val="21"/>
        </w:rPr>
      </w:pPr>
    </w:p>
    <w:p>
      <w:pPr>
        <w:pStyle w:val="3"/>
      </w:pPr>
    </w:p>
    <w:p>
      <w:pPr>
        <w:snapToGrid w:val="0"/>
        <w:spacing w:after="78" w:afterLines="25"/>
        <w:contextualSpacing/>
        <w:jc w:val="center"/>
        <w:rPr>
          <w:rFonts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ascii="宋体" w:hAnsi="宋体" w:cs="Arial"/>
          <w:b/>
          <w:sz w:val="24"/>
        </w:rPr>
      </w:pPr>
      <w:r>
        <w:rPr>
          <w:rFonts w:hint="eastAsia" w:ascii="宋体" w:hAnsi="宋体" w:cs="Arial"/>
          <w:b/>
          <w:color w:val="000000"/>
          <w:sz w:val="24"/>
        </w:rPr>
        <w:t>（http://zfcg.sz.gov.cn/cgjg/cxda/index.html)</w:t>
      </w:r>
    </w:p>
    <w:p>
      <w:pPr>
        <w:rPr>
          <w:rFonts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ascii="宋体" w:hAnsi="宋体" w:cs="Arial"/>
          <w:b/>
          <w:szCs w:val="21"/>
        </w:rPr>
      </w:pPr>
    </w:p>
    <w:p>
      <w:pPr>
        <w:jc w:val="center"/>
        <w:rPr>
          <w:rFonts w:ascii="宋体" w:hAnsi="宋体" w:cs="Arial"/>
          <w:b/>
          <w:szCs w:val="21"/>
        </w:rPr>
      </w:pPr>
    </w:p>
    <w:p>
      <w:pPr>
        <w:jc w:val="center"/>
        <w:rPr>
          <w:rFonts w:ascii="宋体" w:hAnsi="宋体" w:cs="Arial"/>
          <w:b/>
          <w:szCs w:val="21"/>
        </w:rPr>
      </w:pPr>
    </w:p>
    <w:p>
      <w:pPr>
        <w:pStyle w:val="3"/>
      </w:pPr>
    </w:p>
    <w:p>
      <w:pPr>
        <w:jc w:val="center"/>
        <w:rPr>
          <w:rFonts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3"/>
          <w:b/>
          <w:bCs/>
          <w:color w:val="auto"/>
          <w:sz w:val="24"/>
          <w:szCs w:val="24"/>
        </w:rPr>
        <w:t>https://www.szcredit.org.cn/?cdType=sgsl&amp;type=XZXK#/xyfw</w:t>
      </w:r>
      <w:r>
        <w:rPr>
          <w:rStyle w:val="23"/>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ascii="宋体" w:hAnsi="宋体" w:cs="Arial"/>
          <w:b/>
          <w:sz w:val="24"/>
        </w:rPr>
      </w:pPr>
      <w:r>
        <w:rPr>
          <w:rFonts w:hint="eastAsia" w:ascii="宋体" w:hAnsi="宋体" w:cs="Arial"/>
          <w:b/>
          <w:sz w:val="24"/>
        </w:rPr>
        <w:t>5. 国家企业信用信息公示系统</w:t>
      </w:r>
    </w:p>
    <w:p>
      <w:pPr>
        <w:jc w:val="center"/>
        <w:rPr>
          <w:rFonts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ascii="宋体" w:hAnsi="宋体"/>
          <w:b/>
          <w:bCs/>
          <w:color w:val="000000"/>
          <w:sz w:val="28"/>
          <w:szCs w:val="28"/>
        </w:rPr>
      </w:pPr>
      <w:r>
        <w:rPr>
          <w:rFonts w:hint="eastAsia" w:ascii="宋体" w:hAnsi="宋体"/>
          <w:b/>
          <w:color w:val="000000"/>
          <w:sz w:val="28"/>
          <w:szCs w:val="28"/>
        </w:rPr>
        <w:t>十</w:t>
      </w:r>
      <w:r>
        <w:rPr>
          <w:rFonts w:hint="eastAsia"/>
          <w:b/>
          <w:bCs/>
          <w:sz w:val="28"/>
          <w:szCs w:val="28"/>
        </w:rPr>
        <w:t>五、</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ascii="宋体" w:hAnsi="宋体"/>
          <w:bCs/>
          <w:color w:val="000000"/>
          <w:sz w:val="24"/>
        </w:rPr>
      </w:pPr>
    </w:p>
    <w:p>
      <w:pPr>
        <w:spacing w:after="78" w:afterLines="25" w:line="300" w:lineRule="auto"/>
        <w:ind w:left="420"/>
        <w:rPr>
          <w:rFonts w:ascii="宋体" w:hAnsi="宋体"/>
          <w:bCs/>
          <w:color w:val="000000"/>
          <w:sz w:val="24"/>
        </w:rPr>
      </w:pPr>
    </w:p>
    <w:p>
      <w:pPr>
        <w:spacing w:after="78" w:afterLines="25" w:line="300" w:lineRule="auto"/>
        <w:ind w:left="420"/>
        <w:rPr>
          <w:rFonts w:ascii="宋体" w:hAnsi="宋体"/>
          <w:bCs/>
          <w:color w:val="000000"/>
          <w:sz w:val="24"/>
        </w:rPr>
      </w:pPr>
    </w:p>
    <w:p>
      <w:pPr>
        <w:spacing w:after="78" w:afterLines="25" w:line="300" w:lineRule="auto"/>
        <w:ind w:left="420"/>
        <w:rPr>
          <w:rFonts w:ascii="宋体" w:hAnsi="宋体"/>
          <w:bCs/>
          <w:color w:val="000000"/>
          <w:sz w:val="24"/>
        </w:rPr>
      </w:pPr>
    </w:p>
    <w:p>
      <w:pPr>
        <w:spacing w:after="78" w:afterLines="25" w:line="300" w:lineRule="auto"/>
        <w:ind w:left="420"/>
        <w:rPr>
          <w:rFonts w:ascii="宋体" w:hAnsi="宋体"/>
          <w:bCs/>
          <w:color w:val="000000"/>
          <w:sz w:val="24"/>
        </w:rPr>
      </w:pPr>
    </w:p>
    <w:p>
      <w:pPr>
        <w:spacing w:after="78" w:afterLines="25" w:line="300" w:lineRule="auto"/>
        <w:ind w:left="420"/>
        <w:rPr>
          <w:rFonts w:ascii="宋体" w:hAnsi="宋体"/>
          <w:bCs/>
          <w:color w:val="000000"/>
          <w:sz w:val="24"/>
        </w:rPr>
      </w:pPr>
    </w:p>
    <w:p>
      <w:pPr>
        <w:spacing w:after="78" w:afterLines="25" w:line="300" w:lineRule="auto"/>
        <w:ind w:left="420"/>
        <w:rPr>
          <w:rFonts w:ascii="宋体" w:hAnsi="宋体"/>
          <w:bCs/>
          <w:color w:val="000000"/>
          <w:sz w:val="24"/>
        </w:rPr>
      </w:pPr>
    </w:p>
    <w:p>
      <w:pPr>
        <w:spacing w:after="78" w:afterLines="25" w:line="300" w:lineRule="auto"/>
        <w:ind w:left="420"/>
        <w:rPr>
          <w:rFonts w:ascii="宋体" w:hAnsi="宋体"/>
          <w:bCs/>
          <w:color w:val="000000"/>
          <w:sz w:val="24"/>
        </w:rPr>
      </w:pPr>
    </w:p>
    <w:p>
      <w:pPr>
        <w:spacing w:after="78" w:afterLines="25" w:line="300" w:lineRule="auto"/>
        <w:ind w:left="420"/>
        <w:rPr>
          <w:rFonts w:ascii="宋体" w:hAnsi="宋体"/>
          <w:bCs/>
          <w:color w:val="000000"/>
          <w:sz w:val="24"/>
        </w:rPr>
      </w:pPr>
    </w:p>
    <w:p>
      <w:pPr>
        <w:spacing w:after="78" w:afterLines="25" w:line="300" w:lineRule="auto"/>
        <w:ind w:left="420"/>
        <w:rPr>
          <w:rFonts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ascii="宋体" w:hAnsi="宋体"/>
          <w:b/>
          <w:color w:val="000000"/>
          <w:sz w:val="28"/>
          <w:szCs w:val="28"/>
        </w:rPr>
      </w:pPr>
      <w:r>
        <w:rPr>
          <w:rFonts w:hint="eastAsia" w:ascii="宋体" w:hAnsi="宋体" w:cs="Arial"/>
          <w:b/>
          <w:color w:val="000000"/>
          <w:sz w:val="28"/>
          <w:szCs w:val="28"/>
        </w:rPr>
        <w:t>十六</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ascii="宋体" w:hAnsi="宋体" w:cs="Arial"/>
          <w:b/>
          <w:color w:val="000000"/>
          <w:sz w:val="28"/>
          <w:szCs w:val="28"/>
        </w:rPr>
      </w:pPr>
      <w:r>
        <w:rPr>
          <w:rFonts w:ascii="宋体" w:hAnsi="宋体" w:cs="Arial"/>
          <w:b/>
          <w:color w:val="000000"/>
          <w:sz w:val="28"/>
          <w:szCs w:val="28"/>
        </w:rPr>
        <w:t>采购编号:BYZBCG2025-</w:t>
      </w:r>
      <w:r>
        <w:rPr>
          <w:rFonts w:hint="eastAsia" w:ascii="宋体" w:hAnsi="宋体" w:cs="Arial"/>
          <w:b/>
          <w:color w:val="000000"/>
          <w:sz w:val="28"/>
          <w:szCs w:val="28"/>
        </w:rPr>
        <w:t>56</w:t>
      </w:r>
    </w:p>
    <w:p>
      <w:pPr>
        <w:widowControl/>
        <w:spacing w:line="360" w:lineRule="exact"/>
        <w:ind w:left="1" w:hanging="1"/>
        <w:rPr>
          <w:rFonts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2"/>
        <w:snapToGrid w:val="0"/>
        <w:spacing w:line="240" w:lineRule="auto"/>
        <w:ind w:left="73" w:leftChars="4" w:hanging="65" w:hangingChars="31"/>
        <w:contextualSpacing/>
        <w:rPr>
          <w:rFonts w:ascii="宋体" w:hAnsi="宋体" w:eastAsia="宋体"/>
          <w:sz w:val="21"/>
          <w:szCs w:val="21"/>
        </w:rPr>
      </w:pPr>
    </w:p>
    <w:tbl>
      <w:tblPr>
        <w:tblStyle w:val="20"/>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ascii="宋体" w:hAnsi="宋体"/>
                <w:sz w:val="24"/>
              </w:rPr>
            </w:pPr>
            <w:bookmarkStart w:id="11"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ascii="宋体" w:hAnsi="宋体"/>
                <w:sz w:val="24"/>
              </w:rPr>
            </w:pPr>
          </w:p>
        </w:tc>
      </w:tr>
      <w:bookmarkEnd w:id="11"/>
    </w:tbl>
    <w:p>
      <w:pPr>
        <w:pStyle w:val="3"/>
      </w:pPr>
    </w:p>
    <w:p>
      <w:pPr>
        <w:widowControl/>
        <w:jc w:val="left"/>
        <w:rPr>
          <w:rFonts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ascii="宋体" w:hAnsi="宋体"/>
        </w:rPr>
      </w:pPr>
    </w:p>
    <w:p>
      <w:pPr>
        <w:spacing w:after="60" w:line="320" w:lineRule="exact"/>
        <w:ind w:left="1521" w:hanging="1521" w:hangingChars="541"/>
        <w:rPr>
          <w:rFonts w:ascii="宋体" w:hAnsi="宋体"/>
          <w:b/>
          <w:color w:val="000000"/>
          <w:sz w:val="28"/>
          <w:szCs w:val="28"/>
        </w:rPr>
      </w:pPr>
    </w:p>
    <w:p>
      <w:pPr>
        <w:spacing w:after="60" w:line="320" w:lineRule="exact"/>
        <w:ind w:left="1521" w:hanging="1521" w:hangingChars="541"/>
        <w:rPr>
          <w:rFonts w:ascii="宋体" w:hAnsi="宋体"/>
          <w:b/>
          <w:color w:val="000000"/>
          <w:sz w:val="28"/>
          <w:szCs w:val="28"/>
        </w:rPr>
      </w:pPr>
    </w:p>
    <w:p>
      <w:pPr>
        <w:widowControl/>
        <w:spacing w:line="320" w:lineRule="exact"/>
        <w:ind w:firstLine="2310" w:firstLineChars="1100"/>
        <w:rPr>
          <w:rFonts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MS Gothic"/>
    <w:panose1 w:val="02020609040205080304"/>
    <w:charset w:val="80"/>
    <w:family w:val="roman"/>
    <w:pitch w:val="default"/>
    <w:sig w:usb0="00000000" w:usb1="00000000" w:usb2="00000010" w:usb3="00000000" w:csb0="00020000" w:csb1="00000000"/>
  </w:font>
  <w:font w:name="MS PGothic">
    <w:panose1 w:val="020B0600070205080204"/>
    <w:charset w:val="80"/>
    <w:family w:val="auto"/>
    <w:pitch w:val="default"/>
    <w:sig w:usb0="E00002FF" w:usb1="6AC7FDFB" w:usb2="08000012" w:usb3="00000000" w:csb0="4002009F" w:csb1="DFD7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4"/>
          <w:jc w:val="center"/>
        </w:pPr>
        <w:r>
          <w:fldChar w:fldCharType="begin"/>
        </w:r>
        <w:r>
          <w:instrText xml:space="preserve">PAGE   \* MERGEFORMAT</w:instrText>
        </w:r>
        <w:r>
          <w:fldChar w:fldCharType="separate"/>
        </w:r>
        <w:r>
          <w:rPr>
            <w:lang w:val="zh-CN"/>
          </w:rPr>
          <w:t>4</w:t>
        </w:r>
        <w:r>
          <w:fldChar w:fldCharType="end"/>
        </w:r>
      </w:p>
    </w:sdtContent>
  </w:sdt>
  <w:p>
    <w:pPr>
      <w:spacing w:line="183" w:lineRule="auto"/>
      <w:ind w:left="4093"/>
      <w:rPr>
        <w:rFonts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ED7BD7A"/>
    <w:multiLevelType w:val="singleLevel"/>
    <w:tmpl w:val="1ED7BD7A"/>
    <w:lvl w:ilvl="0" w:tentative="0">
      <w:start w:val="1"/>
      <w:numFmt w:val="chineseCounting"/>
      <w:suff w:val="nothing"/>
      <w:lvlText w:val="（%1）"/>
      <w:lvlJc w:val="left"/>
      <w:rPr>
        <w:rFonts w:hint="eastAsia"/>
        <w:b/>
        <w:bCs/>
      </w:rPr>
    </w:lvl>
  </w:abstractNum>
  <w:abstractNum w:abstractNumId="2">
    <w:nsid w:val="5FA45498"/>
    <w:multiLevelType w:val="multilevel"/>
    <w:tmpl w:val="5FA45498"/>
    <w:lvl w:ilvl="0" w:tentative="0">
      <w:start w:val="2"/>
      <w:numFmt w:val="decimal"/>
      <w:lvlText w:val="%1."/>
      <w:lvlJc w:val="left"/>
      <w:pPr>
        <w:ind w:left="360" w:hanging="360"/>
      </w:pPr>
      <w:rPr>
        <w:rFonts w:hint="default"/>
        <w:b w:val="0"/>
        <w:u w:val="no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27A3"/>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5756"/>
    <w:rsid w:val="004A602C"/>
    <w:rsid w:val="004A695F"/>
    <w:rsid w:val="004B2BB0"/>
    <w:rsid w:val="004B4F0B"/>
    <w:rsid w:val="004B6577"/>
    <w:rsid w:val="004C0337"/>
    <w:rsid w:val="004C38C1"/>
    <w:rsid w:val="004C4C6C"/>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110D9"/>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F15"/>
    <w:rsid w:val="0070452E"/>
    <w:rsid w:val="00704F00"/>
    <w:rsid w:val="007061F5"/>
    <w:rsid w:val="00720721"/>
    <w:rsid w:val="00721A8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7E6"/>
    <w:rsid w:val="007D6FA6"/>
    <w:rsid w:val="007E002C"/>
    <w:rsid w:val="007E1B58"/>
    <w:rsid w:val="007E38A3"/>
    <w:rsid w:val="007E3BC2"/>
    <w:rsid w:val="007E6CDC"/>
    <w:rsid w:val="007F041D"/>
    <w:rsid w:val="007F05EB"/>
    <w:rsid w:val="007F0BF9"/>
    <w:rsid w:val="007F170F"/>
    <w:rsid w:val="007F1828"/>
    <w:rsid w:val="007F35FE"/>
    <w:rsid w:val="007F3E26"/>
    <w:rsid w:val="007F4042"/>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B80"/>
    <w:rsid w:val="00867C53"/>
    <w:rsid w:val="00873ACD"/>
    <w:rsid w:val="00873FE7"/>
    <w:rsid w:val="008747C8"/>
    <w:rsid w:val="00874FBD"/>
    <w:rsid w:val="00882358"/>
    <w:rsid w:val="00882CCF"/>
    <w:rsid w:val="00887810"/>
    <w:rsid w:val="00894D01"/>
    <w:rsid w:val="00895205"/>
    <w:rsid w:val="00895FB0"/>
    <w:rsid w:val="008A5BE9"/>
    <w:rsid w:val="008A608B"/>
    <w:rsid w:val="008B00E9"/>
    <w:rsid w:val="008B0CED"/>
    <w:rsid w:val="008B4387"/>
    <w:rsid w:val="008B64A2"/>
    <w:rsid w:val="008B6B5D"/>
    <w:rsid w:val="008B7021"/>
    <w:rsid w:val="008C0D2E"/>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5C58"/>
    <w:rsid w:val="00AA64E6"/>
    <w:rsid w:val="00AB1041"/>
    <w:rsid w:val="00AB10CF"/>
    <w:rsid w:val="00AB27DC"/>
    <w:rsid w:val="00AB47D4"/>
    <w:rsid w:val="00AB6805"/>
    <w:rsid w:val="00AC3B41"/>
    <w:rsid w:val="00AC51FB"/>
    <w:rsid w:val="00AC72E9"/>
    <w:rsid w:val="00AD1DDF"/>
    <w:rsid w:val="00AD7280"/>
    <w:rsid w:val="00AE153E"/>
    <w:rsid w:val="00AE465F"/>
    <w:rsid w:val="00AE49CD"/>
    <w:rsid w:val="00AE628E"/>
    <w:rsid w:val="00AE7804"/>
    <w:rsid w:val="00AF1891"/>
    <w:rsid w:val="00AF28FF"/>
    <w:rsid w:val="00AF3EE9"/>
    <w:rsid w:val="00AF6D57"/>
    <w:rsid w:val="00AF7E05"/>
    <w:rsid w:val="00B01C5E"/>
    <w:rsid w:val="00B01DCA"/>
    <w:rsid w:val="00B03109"/>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31D6"/>
    <w:rsid w:val="00BC33D4"/>
    <w:rsid w:val="00BC3C50"/>
    <w:rsid w:val="00BC3FC2"/>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4D4"/>
    <w:rsid w:val="00C23529"/>
    <w:rsid w:val="00C27351"/>
    <w:rsid w:val="00C30926"/>
    <w:rsid w:val="00C30EAD"/>
    <w:rsid w:val="00C3125E"/>
    <w:rsid w:val="00C33189"/>
    <w:rsid w:val="00C34DFC"/>
    <w:rsid w:val="00C35665"/>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81E27"/>
    <w:rsid w:val="00D84FEF"/>
    <w:rsid w:val="00D91E7B"/>
    <w:rsid w:val="00D924CF"/>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11A63"/>
    <w:rsid w:val="00F130CB"/>
    <w:rsid w:val="00F175C9"/>
    <w:rsid w:val="00F20C14"/>
    <w:rsid w:val="00F21DBE"/>
    <w:rsid w:val="00F225B4"/>
    <w:rsid w:val="00F22CE0"/>
    <w:rsid w:val="00F23463"/>
    <w:rsid w:val="00F260C4"/>
    <w:rsid w:val="00F27E9E"/>
    <w:rsid w:val="00F30095"/>
    <w:rsid w:val="00F3011A"/>
    <w:rsid w:val="00F31614"/>
    <w:rsid w:val="00F35B01"/>
    <w:rsid w:val="00F405DE"/>
    <w:rsid w:val="00F43A32"/>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BBC"/>
    <w:rsid w:val="00FF6AE5"/>
    <w:rsid w:val="01B3097E"/>
    <w:rsid w:val="02BA602B"/>
    <w:rsid w:val="02E041EE"/>
    <w:rsid w:val="04BA6D56"/>
    <w:rsid w:val="054D6166"/>
    <w:rsid w:val="05772532"/>
    <w:rsid w:val="0808754A"/>
    <w:rsid w:val="080A1EEC"/>
    <w:rsid w:val="0C8C4337"/>
    <w:rsid w:val="145F2FE7"/>
    <w:rsid w:val="153E3549"/>
    <w:rsid w:val="168F3C34"/>
    <w:rsid w:val="16E47E2F"/>
    <w:rsid w:val="1984103F"/>
    <w:rsid w:val="1A663D17"/>
    <w:rsid w:val="1A8F602D"/>
    <w:rsid w:val="1BFE7D04"/>
    <w:rsid w:val="1DF75D92"/>
    <w:rsid w:val="1E37428D"/>
    <w:rsid w:val="1E8245AD"/>
    <w:rsid w:val="1F704AC2"/>
    <w:rsid w:val="252332EE"/>
    <w:rsid w:val="27135B8A"/>
    <w:rsid w:val="28321027"/>
    <w:rsid w:val="287B37A3"/>
    <w:rsid w:val="28E55011"/>
    <w:rsid w:val="29126661"/>
    <w:rsid w:val="299D5ED5"/>
    <w:rsid w:val="29B63249"/>
    <w:rsid w:val="29F8398C"/>
    <w:rsid w:val="307C56EC"/>
    <w:rsid w:val="317F1137"/>
    <w:rsid w:val="329C76FF"/>
    <w:rsid w:val="34D7691B"/>
    <w:rsid w:val="34E13287"/>
    <w:rsid w:val="357C3327"/>
    <w:rsid w:val="39321E8F"/>
    <w:rsid w:val="3A227ADB"/>
    <w:rsid w:val="42E3216A"/>
    <w:rsid w:val="43EC179D"/>
    <w:rsid w:val="4487170A"/>
    <w:rsid w:val="461D638C"/>
    <w:rsid w:val="487D4DCD"/>
    <w:rsid w:val="49A308A5"/>
    <w:rsid w:val="49E22A33"/>
    <w:rsid w:val="4AC40612"/>
    <w:rsid w:val="4B8A7F8A"/>
    <w:rsid w:val="4CB6132F"/>
    <w:rsid w:val="4D6C5536"/>
    <w:rsid w:val="4DB637EB"/>
    <w:rsid w:val="4E4C7A1B"/>
    <w:rsid w:val="4E8F1C60"/>
    <w:rsid w:val="51981FF4"/>
    <w:rsid w:val="51FF032F"/>
    <w:rsid w:val="557B3284"/>
    <w:rsid w:val="564F6EA2"/>
    <w:rsid w:val="5A3D7F5A"/>
    <w:rsid w:val="5A93401E"/>
    <w:rsid w:val="5CCC3817"/>
    <w:rsid w:val="5DFF4054"/>
    <w:rsid w:val="5F404B37"/>
    <w:rsid w:val="5F5F2503"/>
    <w:rsid w:val="5FAC1EEF"/>
    <w:rsid w:val="61187337"/>
    <w:rsid w:val="61187829"/>
    <w:rsid w:val="611E71C2"/>
    <w:rsid w:val="645D3BCA"/>
    <w:rsid w:val="64C45B85"/>
    <w:rsid w:val="658436C4"/>
    <w:rsid w:val="668B5859"/>
    <w:rsid w:val="673E09F7"/>
    <w:rsid w:val="677C37D9"/>
    <w:rsid w:val="684E7CC7"/>
    <w:rsid w:val="6A073068"/>
    <w:rsid w:val="6B2004FA"/>
    <w:rsid w:val="6C3F65B3"/>
    <w:rsid w:val="6C67530A"/>
    <w:rsid w:val="6D9D4CB1"/>
    <w:rsid w:val="70B849AC"/>
    <w:rsid w:val="733C6D53"/>
    <w:rsid w:val="73826945"/>
    <w:rsid w:val="754D4ECA"/>
    <w:rsid w:val="7BCC3337"/>
    <w:rsid w:val="7C2C6CA8"/>
    <w:rsid w:val="7DE354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28"/>
    <w:qFormat/>
    <w:uiPriority w:val="0"/>
    <w:rPr>
      <w:rFonts w:ascii="宋体" w:hAnsi="Courier New" w:cs="宋体"/>
      <w:szCs w:val="21"/>
    </w:rPr>
  </w:style>
  <w:style w:type="paragraph" w:styleId="6">
    <w:name w:val="Normal Indent"/>
    <w:basedOn w:val="1"/>
    <w:link w:val="27"/>
    <w:qFormat/>
    <w:uiPriority w:val="0"/>
    <w:pPr>
      <w:ind w:firstLine="420"/>
    </w:pPr>
    <w:rPr>
      <w:szCs w:val="20"/>
    </w:rPr>
  </w:style>
  <w:style w:type="paragraph" w:styleId="7">
    <w:name w:val="toa heading"/>
    <w:basedOn w:val="1"/>
    <w:next w:val="1"/>
    <w:qFormat/>
    <w:uiPriority w:val="0"/>
    <w:rPr>
      <w:rFonts w:ascii="Arial" w:hAnsi="Arial"/>
      <w:szCs w:val="20"/>
    </w:rPr>
  </w:style>
  <w:style w:type="paragraph" w:styleId="8">
    <w:name w:val="annotation text"/>
    <w:basedOn w:val="1"/>
    <w:link w:val="43"/>
    <w:qFormat/>
    <w:uiPriority w:val="99"/>
    <w:pPr>
      <w:jc w:val="left"/>
    </w:pPr>
  </w:style>
  <w:style w:type="paragraph" w:styleId="9">
    <w:name w:val="index 6"/>
    <w:basedOn w:val="1"/>
    <w:next w:val="1"/>
    <w:qFormat/>
    <w:uiPriority w:val="0"/>
  </w:style>
  <w:style w:type="paragraph" w:styleId="10">
    <w:name w:val="Body Text"/>
    <w:basedOn w:val="1"/>
    <w:next w:val="1"/>
    <w:link w:val="35"/>
    <w:qFormat/>
    <w:uiPriority w:val="99"/>
    <w:pPr>
      <w:spacing w:after="120"/>
    </w:pPr>
  </w:style>
  <w:style w:type="paragraph" w:styleId="11">
    <w:name w:val="Body Text Indent"/>
    <w:basedOn w:val="1"/>
    <w:link w:val="57"/>
    <w:semiHidden/>
    <w:unhideWhenUsed/>
    <w:qFormat/>
    <w:uiPriority w:val="99"/>
    <w:pPr>
      <w:spacing w:after="120"/>
      <w:ind w:left="420" w:leftChars="200"/>
    </w:pPr>
  </w:style>
  <w:style w:type="paragraph" w:styleId="12">
    <w:name w:val="Date"/>
    <w:basedOn w:val="1"/>
    <w:next w:val="1"/>
    <w:link w:val="42"/>
    <w:semiHidden/>
    <w:unhideWhenUsed/>
    <w:qFormat/>
    <w:uiPriority w:val="99"/>
    <w:pPr>
      <w:ind w:left="100" w:leftChars="2500"/>
    </w:pPr>
  </w:style>
  <w:style w:type="paragraph" w:styleId="13">
    <w:name w:val="Balloon Text"/>
    <w:basedOn w:val="1"/>
    <w:link w:val="46"/>
    <w:semiHidden/>
    <w:unhideWhenUsed/>
    <w:qFormat/>
    <w:uiPriority w:val="99"/>
    <w:rPr>
      <w:sz w:val="18"/>
      <w:szCs w:val="18"/>
    </w:rPr>
  </w:style>
  <w:style w:type="paragraph" w:styleId="14">
    <w:name w:val="footer"/>
    <w:basedOn w:val="1"/>
    <w:link w:val="30"/>
    <w:unhideWhenUsed/>
    <w:qFormat/>
    <w:uiPriority w:val="99"/>
    <w:pPr>
      <w:tabs>
        <w:tab w:val="center" w:pos="4153"/>
        <w:tab w:val="right" w:pos="8306"/>
      </w:tabs>
      <w:snapToGrid w:val="0"/>
      <w:jc w:val="left"/>
    </w:pPr>
    <w:rPr>
      <w:sz w:val="18"/>
      <w:szCs w:val="18"/>
    </w:rPr>
  </w:style>
  <w:style w:type="paragraph" w:styleId="15">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footnote text"/>
    <w:basedOn w:val="1"/>
    <w:qFormat/>
    <w:uiPriority w:val="0"/>
    <w:rPr>
      <w:sz w:val="18"/>
      <w:szCs w:val="18"/>
    </w:rPr>
  </w:style>
  <w:style w:type="paragraph" w:styleId="17">
    <w:name w:val="Body Text 2"/>
    <w:basedOn w:val="1"/>
    <w:link w:val="67"/>
    <w:semiHidden/>
    <w:unhideWhenUsed/>
    <w:qFormat/>
    <w:uiPriority w:val="99"/>
    <w:pPr>
      <w:spacing w:after="120" w:line="480" w:lineRule="auto"/>
    </w:p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9">
    <w:name w:val="Body Text First Indent 2"/>
    <w:basedOn w:val="11"/>
    <w:link w:val="58"/>
    <w:semiHidden/>
    <w:unhideWhenUsed/>
    <w:qFormat/>
    <w:uiPriority w:val="99"/>
    <w:pPr>
      <w:ind w:firstLine="420" w:firstLineChars="200"/>
    </w:p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qFormat/>
    <w:uiPriority w:val="99"/>
    <w:rPr>
      <w:color w:val="0000FF"/>
      <w:u w:val="single"/>
    </w:rPr>
  </w:style>
  <w:style w:type="paragraph" w:customStyle="1" w:styleId="24">
    <w:name w:val="Default"/>
    <w:next w:val="9"/>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5">
    <w:name w:val="标题 1 Char"/>
    <w:qFormat/>
    <w:uiPriority w:val="0"/>
    <w:rPr>
      <w:rFonts w:ascii="宋体" w:hAnsi="宋体" w:eastAsia="黑体"/>
      <w:b/>
      <w:bCs/>
      <w:kern w:val="44"/>
      <w:sz w:val="28"/>
      <w:szCs w:val="44"/>
      <w:lang w:val="en-US" w:eastAsia="zh-CN" w:bidi="ar-SA"/>
    </w:rPr>
  </w:style>
  <w:style w:type="character" w:customStyle="1" w:styleId="26">
    <w:name w:val="纯文本 字符"/>
    <w:basedOn w:val="22"/>
    <w:qFormat/>
    <w:uiPriority w:val="0"/>
    <w:rPr>
      <w:rFonts w:hAnsi="Courier New" w:cs="Courier New" w:asciiTheme="minorEastAsia"/>
      <w:szCs w:val="24"/>
    </w:rPr>
  </w:style>
  <w:style w:type="character" w:customStyle="1" w:styleId="27">
    <w:name w:val="正文缩进 Char1"/>
    <w:basedOn w:val="22"/>
    <w:link w:val="6"/>
    <w:qFormat/>
    <w:uiPriority w:val="0"/>
    <w:rPr>
      <w:rFonts w:ascii="Times New Roman" w:hAnsi="Times New Roman" w:eastAsia="宋体" w:cs="Times New Roman"/>
      <w:szCs w:val="20"/>
    </w:rPr>
  </w:style>
  <w:style w:type="character" w:customStyle="1" w:styleId="28">
    <w:name w:val="纯文本 Char1"/>
    <w:basedOn w:val="22"/>
    <w:link w:val="3"/>
    <w:qFormat/>
    <w:uiPriority w:val="0"/>
    <w:rPr>
      <w:rFonts w:ascii="宋体" w:hAnsi="Courier New" w:eastAsia="宋体" w:cs="宋体"/>
      <w:szCs w:val="21"/>
    </w:rPr>
  </w:style>
  <w:style w:type="character" w:customStyle="1" w:styleId="29">
    <w:name w:val="页眉 Char"/>
    <w:basedOn w:val="22"/>
    <w:link w:val="15"/>
    <w:qFormat/>
    <w:uiPriority w:val="99"/>
    <w:rPr>
      <w:rFonts w:ascii="Times New Roman" w:hAnsi="Times New Roman" w:eastAsia="宋体" w:cs="Times New Roman"/>
      <w:sz w:val="18"/>
      <w:szCs w:val="18"/>
    </w:rPr>
  </w:style>
  <w:style w:type="character" w:customStyle="1" w:styleId="30">
    <w:name w:val="页脚 Char"/>
    <w:basedOn w:val="22"/>
    <w:link w:val="14"/>
    <w:qFormat/>
    <w:uiPriority w:val="99"/>
    <w:rPr>
      <w:rFonts w:ascii="Times New Roman" w:hAnsi="Times New Roman" w:eastAsia="宋体" w:cs="Times New Roman"/>
      <w:sz w:val="18"/>
      <w:szCs w:val="18"/>
    </w:rPr>
  </w:style>
  <w:style w:type="paragraph" w:customStyle="1" w:styleId="31">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2">
    <w:name w:val="正文缩进 Char1 Char"/>
    <w:basedOn w:val="22"/>
    <w:qFormat/>
    <w:uiPriority w:val="0"/>
    <w:rPr>
      <w:kern w:val="2"/>
      <w:sz w:val="21"/>
    </w:rPr>
  </w:style>
  <w:style w:type="character" w:customStyle="1" w:styleId="33">
    <w:name w:val="纯文本 Char"/>
    <w:basedOn w:val="22"/>
    <w:qFormat/>
    <w:uiPriority w:val="0"/>
    <w:rPr>
      <w:rFonts w:ascii="宋体" w:hAnsi="Courier New" w:cs="宋体"/>
      <w:kern w:val="2"/>
      <w:sz w:val="21"/>
      <w:szCs w:val="21"/>
    </w:rPr>
  </w:style>
  <w:style w:type="paragraph" w:customStyle="1" w:styleId="34">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5">
    <w:name w:val="正文文本 Char"/>
    <w:basedOn w:val="22"/>
    <w:link w:val="10"/>
    <w:qFormat/>
    <w:uiPriority w:val="1"/>
    <w:rPr>
      <w:rFonts w:ascii="Times New Roman" w:hAnsi="Times New Roman" w:eastAsia="宋体" w:cs="Times New Roman"/>
      <w:szCs w:val="24"/>
    </w:rPr>
  </w:style>
  <w:style w:type="character" w:customStyle="1" w:styleId="36">
    <w:name w:val="列出段落 Char"/>
    <w:link w:val="37"/>
    <w:qFormat/>
    <w:uiPriority w:val="34"/>
    <w:rPr>
      <w:szCs w:val="24"/>
    </w:rPr>
  </w:style>
  <w:style w:type="paragraph" w:styleId="37">
    <w:name w:val="List Paragraph"/>
    <w:basedOn w:val="1"/>
    <w:link w:val="36"/>
    <w:qFormat/>
    <w:uiPriority w:val="34"/>
    <w:pPr>
      <w:ind w:firstLine="420" w:firstLineChars="200"/>
    </w:pPr>
    <w:rPr>
      <w:rFonts w:asciiTheme="minorHAnsi" w:hAnsiTheme="minorHAnsi" w:eastAsiaTheme="minorEastAsia" w:cstheme="minorBidi"/>
    </w:rPr>
  </w:style>
  <w:style w:type="paragraph" w:customStyle="1" w:styleId="38">
    <w:name w:val="表格文字"/>
    <w:basedOn w:val="1"/>
    <w:qFormat/>
    <w:uiPriority w:val="0"/>
    <w:pPr>
      <w:spacing w:before="25" w:after="25"/>
    </w:pPr>
    <w:rPr>
      <w:bCs/>
      <w:spacing w:val="10"/>
      <w:szCs w:val="20"/>
    </w:rPr>
  </w:style>
  <w:style w:type="character" w:customStyle="1" w:styleId="39">
    <w:name w:val="正文1 Char Char"/>
    <w:link w:val="40"/>
    <w:qFormat/>
    <w:uiPriority w:val="0"/>
    <w:rPr>
      <w:rFonts w:ascii="宋体"/>
      <w:sz w:val="24"/>
    </w:rPr>
  </w:style>
  <w:style w:type="paragraph" w:customStyle="1" w:styleId="40">
    <w:name w:val="正文1"/>
    <w:link w:val="39"/>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1">
    <w:name w:val="002级标题"/>
    <w:basedOn w:val="1"/>
    <w:qFormat/>
    <w:uiPriority w:val="0"/>
    <w:pPr>
      <w:widowControl/>
      <w:spacing w:before="120" w:after="120"/>
      <w:ind w:firstLine="200"/>
      <w:jc w:val="left"/>
      <w:outlineLvl w:val="1"/>
    </w:pPr>
    <w:rPr>
      <w:rFonts w:ascii="Calibri" w:hAnsi="Calibri"/>
      <w:b/>
    </w:rPr>
  </w:style>
  <w:style w:type="character" w:customStyle="1" w:styleId="42">
    <w:name w:val="日期 Char"/>
    <w:basedOn w:val="22"/>
    <w:link w:val="12"/>
    <w:semiHidden/>
    <w:qFormat/>
    <w:uiPriority w:val="99"/>
    <w:rPr>
      <w:rFonts w:ascii="Times New Roman" w:hAnsi="Times New Roman" w:eastAsia="宋体" w:cs="Times New Roman"/>
      <w:szCs w:val="24"/>
    </w:rPr>
  </w:style>
  <w:style w:type="character" w:customStyle="1" w:styleId="43">
    <w:name w:val="批注文字 Char"/>
    <w:basedOn w:val="22"/>
    <w:link w:val="8"/>
    <w:qFormat/>
    <w:uiPriority w:val="99"/>
    <w:rPr>
      <w:rFonts w:ascii="Times New Roman" w:hAnsi="Times New Roman" w:eastAsia="宋体" w:cs="Times New Roman"/>
      <w:szCs w:val="24"/>
    </w:rPr>
  </w:style>
  <w:style w:type="table" w:customStyle="1" w:styleId="44">
    <w:name w:val="Table Normal"/>
    <w:semiHidden/>
    <w:unhideWhenUsed/>
    <w:qFormat/>
    <w:uiPriority w:val="0"/>
    <w:tblPr>
      <w:tblCellMar>
        <w:top w:w="0" w:type="dxa"/>
        <w:left w:w="0" w:type="dxa"/>
        <w:bottom w:w="0" w:type="dxa"/>
        <w:right w:w="0" w:type="dxa"/>
      </w:tblCellMar>
    </w:tblPr>
  </w:style>
  <w:style w:type="character" w:customStyle="1" w:styleId="45">
    <w:name w:val="正文文本 Char1"/>
    <w:qFormat/>
    <w:uiPriority w:val="99"/>
    <w:rPr>
      <w:kern w:val="2"/>
      <w:sz w:val="21"/>
      <w:szCs w:val="24"/>
    </w:rPr>
  </w:style>
  <w:style w:type="character" w:customStyle="1" w:styleId="46">
    <w:name w:val="批注框文本 Char"/>
    <w:basedOn w:val="22"/>
    <w:link w:val="13"/>
    <w:semiHidden/>
    <w:qFormat/>
    <w:uiPriority w:val="99"/>
    <w:rPr>
      <w:rFonts w:ascii="Times New Roman" w:hAnsi="Times New Roman" w:eastAsia="宋体" w:cs="Times New Roman"/>
      <w:sz w:val="18"/>
      <w:szCs w:val="18"/>
    </w:rPr>
  </w:style>
  <w:style w:type="character" w:customStyle="1" w:styleId="47">
    <w:name w:val="_正文段落 Char"/>
    <w:link w:val="48"/>
    <w:qFormat/>
    <w:uiPriority w:val="0"/>
    <w:rPr>
      <w:sz w:val="24"/>
      <w:szCs w:val="24"/>
    </w:rPr>
  </w:style>
  <w:style w:type="paragraph" w:customStyle="1" w:styleId="48">
    <w:name w:val="_正文段落"/>
    <w:basedOn w:val="1"/>
    <w:link w:val="47"/>
    <w:qFormat/>
    <w:uiPriority w:val="0"/>
    <w:pPr>
      <w:snapToGrid w:val="0"/>
      <w:spacing w:before="240" w:after="120" w:line="360" w:lineRule="auto"/>
      <w:ind w:firstLine="200" w:firstLineChars="200"/>
      <w:jc w:val="left"/>
    </w:pPr>
    <w:rPr>
      <w:kern w:val="0"/>
      <w:sz w:val="24"/>
    </w:rPr>
  </w:style>
  <w:style w:type="paragraph" w:customStyle="1" w:styleId="49">
    <w:name w:val="列出段落1"/>
    <w:basedOn w:val="1"/>
    <w:link w:val="61"/>
    <w:qFormat/>
    <w:uiPriority w:val="0"/>
    <w:pPr>
      <w:ind w:firstLine="420" w:firstLineChars="200"/>
    </w:pPr>
    <w:rPr>
      <w:rFonts w:ascii="Calibri" w:hAnsi="Calibri"/>
      <w:szCs w:val="22"/>
    </w:rPr>
  </w:style>
  <w:style w:type="paragraph" w:customStyle="1" w:styleId="50">
    <w:name w:val="表格"/>
    <w:basedOn w:val="1"/>
    <w:qFormat/>
    <w:uiPriority w:val="0"/>
    <w:pPr>
      <w:spacing w:line="360" w:lineRule="auto"/>
    </w:pPr>
    <w:rPr>
      <w:rFonts w:ascii="仿宋_GB2312" w:hAnsi="宋体" w:eastAsia="仿宋_GB2312"/>
      <w:bCs/>
      <w:color w:val="333333"/>
      <w:kern w:val="0"/>
      <w:sz w:val="28"/>
    </w:rPr>
  </w:style>
  <w:style w:type="character" w:customStyle="1" w:styleId="51">
    <w:name w:val="font31"/>
    <w:basedOn w:val="22"/>
    <w:qFormat/>
    <w:uiPriority w:val="0"/>
    <w:rPr>
      <w:rFonts w:hint="eastAsia" w:ascii="微软雅黑" w:hAnsi="微软雅黑" w:eastAsia="微软雅黑" w:cs="微软雅黑"/>
      <w:color w:val="FF0000"/>
      <w:sz w:val="24"/>
      <w:szCs w:val="24"/>
      <w:u w:val="none"/>
    </w:rPr>
  </w:style>
  <w:style w:type="character" w:customStyle="1" w:styleId="52">
    <w:name w:val="font01"/>
    <w:basedOn w:val="22"/>
    <w:qFormat/>
    <w:uiPriority w:val="0"/>
    <w:rPr>
      <w:rFonts w:hint="eastAsia" w:ascii="微软雅黑" w:hAnsi="微软雅黑" w:eastAsia="微软雅黑" w:cs="微软雅黑"/>
      <w:color w:val="000000"/>
      <w:sz w:val="24"/>
      <w:szCs w:val="24"/>
      <w:u w:val="none"/>
    </w:rPr>
  </w:style>
  <w:style w:type="paragraph" w:customStyle="1" w:styleId="53">
    <w:name w:val="正文文本首行缩进 21"/>
    <w:basedOn w:val="1"/>
    <w:qFormat/>
    <w:uiPriority w:val="0"/>
    <w:pPr>
      <w:spacing w:line="500" w:lineRule="exact"/>
      <w:ind w:firstLine="420" w:firstLineChars="200"/>
    </w:pPr>
    <w:rPr>
      <w:rFonts w:ascii="Calibri" w:hAnsi="Calibri"/>
      <w:szCs w:val="22"/>
    </w:rPr>
  </w:style>
  <w:style w:type="table" w:customStyle="1" w:styleId="54">
    <w:name w:val="标书网格型表格正文1"/>
    <w:basedOn w:val="2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
    <w:name w:val="font21"/>
    <w:qFormat/>
    <w:uiPriority w:val="0"/>
    <w:rPr>
      <w:rFonts w:hint="eastAsia" w:ascii="宋体" w:hAnsi="宋体" w:eastAsia="宋体" w:cs="宋体"/>
      <w:color w:val="000000"/>
      <w:sz w:val="21"/>
      <w:szCs w:val="21"/>
      <w:u w:val="none"/>
    </w:rPr>
  </w:style>
  <w:style w:type="character" w:customStyle="1" w:styleId="56">
    <w:name w:val="NormalCharacter"/>
    <w:qFormat/>
    <w:uiPriority w:val="0"/>
  </w:style>
  <w:style w:type="character" w:customStyle="1" w:styleId="57">
    <w:name w:val="正文文本缩进 Char"/>
    <w:basedOn w:val="22"/>
    <w:link w:val="11"/>
    <w:semiHidden/>
    <w:qFormat/>
    <w:uiPriority w:val="99"/>
    <w:rPr>
      <w:kern w:val="2"/>
      <w:sz w:val="21"/>
      <w:szCs w:val="24"/>
    </w:rPr>
  </w:style>
  <w:style w:type="character" w:customStyle="1" w:styleId="58">
    <w:name w:val="正文首行缩进 2 Char"/>
    <w:basedOn w:val="57"/>
    <w:link w:val="19"/>
    <w:semiHidden/>
    <w:qFormat/>
    <w:uiPriority w:val="99"/>
    <w:rPr>
      <w:kern w:val="2"/>
      <w:sz w:val="21"/>
      <w:szCs w:val="24"/>
    </w:rPr>
  </w:style>
  <w:style w:type="character" w:customStyle="1" w:styleId="59">
    <w:name w:val="不明显参考1"/>
    <w:qFormat/>
    <w:uiPriority w:val="31"/>
    <w:rPr>
      <w:smallCaps/>
      <w:color w:val="5A5A5A"/>
    </w:rPr>
  </w:style>
  <w:style w:type="character" w:customStyle="1" w:styleId="60">
    <w:name w:val="未处理的提及1"/>
    <w:basedOn w:val="22"/>
    <w:semiHidden/>
    <w:unhideWhenUsed/>
    <w:qFormat/>
    <w:uiPriority w:val="99"/>
    <w:rPr>
      <w:color w:val="605E5C"/>
      <w:shd w:val="clear" w:color="auto" w:fill="E1DFDD"/>
    </w:rPr>
  </w:style>
  <w:style w:type="character" w:customStyle="1" w:styleId="61">
    <w:name w:val="列出段落 字符"/>
    <w:link w:val="49"/>
    <w:qFormat/>
    <w:uiPriority w:val="0"/>
    <w:rPr>
      <w:rFonts w:ascii="Calibri" w:hAnsi="Calibri"/>
      <w:kern w:val="2"/>
      <w:sz w:val="21"/>
      <w:szCs w:val="22"/>
    </w:rPr>
  </w:style>
  <w:style w:type="character" w:customStyle="1" w:styleId="62">
    <w:name w:val="正文缩进 Char"/>
    <w:qFormat/>
    <w:locked/>
    <w:uiPriority w:val="0"/>
    <w:rPr>
      <w:rFonts w:ascii="Times New Roman" w:hAnsi="Times New Roman"/>
      <w:kern w:val="2"/>
      <w:sz w:val="21"/>
    </w:rPr>
  </w:style>
  <w:style w:type="character" w:customStyle="1" w:styleId="63">
    <w:name w:val="正文文本 字符2"/>
    <w:qFormat/>
    <w:uiPriority w:val="99"/>
    <w:rPr>
      <w:kern w:val="2"/>
      <w:sz w:val="21"/>
      <w:szCs w:val="24"/>
    </w:rPr>
  </w:style>
  <w:style w:type="paragraph" w:customStyle="1" w:styleId="64">
    <w:name w:val=".正文"/>
    <w:basedOn w:val="1"/>
    <w:qFormat/>
    <w:uiPriority w:val="0"/>
    <w:pPr>
      <w:spacing w:beforeLines="50"/>
      <w:ind w:firstLine="200" w:firstLineChars="200"/>
    </w:pPr>
    <w:rPr>
      <w:rFonts w:ascii="Calibri" w:hAnsi="Calibri" w:eastAsia="华文仿宋"/>
    </w:rPr>
  </w:style>
  <w:style w:type="paragraph" w:customStyle="1" w:styleId="65">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6">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7">
    <w:name w:val="正文文本 2 Char"/>
    <w:basedOn w:val="22"/>
    <w:link w:val="17"/>
    <w:semiHidden/>
    <w:qFormat/>
    <w:uiPriority w:val="99"/>
    <w:rPr>
      <w:kern w:val="2"/>
      <w:sz w:val="21"/>
      <w:szCs w:val="24"/>
    </w:rPr>
  </w:style>
  <w:style w:type="character" w:customStyle="1" w:styleId="68">
    <w:name w:val="Unresolved Mention"/>
    <w:basedOn w:val="22"/>
    <w:semiHidden/>
    <w:unhideWhenUsed/>
    <w:qFormat/>
    <w:uiPriority w:val="99"/>
    <w:rPr>
      <w:color w:val="605E5C"/>
      <w:shd w:val="clear" w:color="auto" w:fill="E1DFDD"/>
    </w:rPr>
  </w:style>
  <w:style w:type="paragraph" w:customStyle="1" w:styleId="69">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7439D5-8162-4326-853E-CA5AFBE15539}">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39</Pages>
  <Words>21144</Words>
  <Characters>22597</Characters>
  <Lines>190</Lines>
  <Paragraphs>53</Paragraphs>
  <TotalTime>9</TotalTime>
  <ScaleCrop>false</ScaleCrop>
  <LinksUpToDate>false</LinksUpToDate>
  <CharactersWithSpaces>24954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WLW</cp:lastModifiedBy>
  <cp:lastPrinted>2025-08-05T01:09:00Z</cp:lastPrinted>
  <dcterms:modified xsi:type="dcterms:W3CDTF">2025-08-06T08:29:24Z</dcterms:modified>
  <dc:title>院内招标采购公告</dc:title>
  <cp:revision>812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0BCFFDF456A64992942AF1EFC3F7DC45</vt:lpwstr>
  </property>
  <property fmtid="{D5CDD505-2E9C-101B-9397-08002B2CF9AE}" pid="4" name="KSOTemplateDocerSaveRecord">
    <vt:lpwstr>eyJoZGlkIjoiOWZkMzE4YjE3ZTIyZGNmZWJlZjE2OGRlZTBmMmZkOGIifQ==</vt:lpwstr>
  </property>
</Properties>
</file>