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0"/>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eastAsia="宋体" w:cs="宋体"/>
          <w:color w:val="000000"/>
          <w:kern w:val="0"/>
          <w:sz w:val="21"/>
          <w:szCs w:val="21"/>
          <w:lang w:val="en-US" w:eastAsia="zh-CN" w:bidi="ar"/>
        </w:rPr>
        <w:t>用于根管治疗，外科手术。</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756"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615"/>
              <w:gridCol w:w="1230"/>
              <w:gridCol w:w="1260"/>
            </w:tblGrid>
            <w:tr w14:paraId="7468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6C668F5B">
                  <w:pPr>
                    <w:spacing w:line="288" w:lineRule="auto"/>
                    <w:jc w:val="center"/>
                    <w:rPr>
                      <w:rFonts w:hint="eastAsia"/>
                      <w:color w:val="FF0000"/>
                      <w:sz w:val="21"/>
                      <w:szCs w:val="21"/>
                    </w:rPr>
                  </w:pPr>
                  <w:r>
                    <w:rPr>
                      <w:rFonts w:hint="eastAsia"/>
                      <w:color w:val="FF0000"/>
                      <w:sz w:val="21"/>
                      <w:szCs w:val="21"/>
                    </w:rPr>
                    <w:t>序号</w:t>
                  </w:r>
                </w:p>
              </w:tc>
              <w:tc>
                <w:tcPr>
                  <w:tcW w:w="3615" w:type="dxa"/>
                  <w:noWrap w:val="0"/>
                  <w:vAlign w:val="center"/>
                </w:tcPr>
                <w:p w14:paraId="09BC4065">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230" w:type="dxa"/>
                  <w:noWrap w:val="0"/>
                  <w:vAlign w:val="center"/>
                </w:tcPr>
                <w:p w14:paraId="5724B3FF">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260" w:type="dxa"/>
                  <w:noWrap w:val="0"/>
                  <w:vAlign w:val="center"/>
                </w:tcPr>
                <w:p w14:paraId="0D7A938E">
                  <w:pPr>
                    <w:spacing w:line="288" w:lineRule="auto"/>
                    <w:jc w:val="center"/>
                    <w:rPr>
                      <w:rFonts w:hint="eastAsia"/>
                      <w:color w:val="FF0000"/>
                      <w:sz w:val="21"/>
                      <w:szCs w:val="21"/>
                    </w:rPr>
                  </w:pPr>
                  <w:r>
                    <w:rPr>
                      <w:rFonts w:hint="eastAsia"/>
                      <w:color w:val="FF0000"/>
                      <w:sz w:val="21"/>
                      <w:szCs w:val="21"/>
                      <w:lang w:eastAsia="zh-CN"/>
                    </w:rPr>
                    <w:t>单位</w:t>
                  </w:r>
                </w:p>
              </w:tc>
            </w:tr>
            <w:tr w14:paraId="1EA0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E5C96B2">
                  <w:pPr>
                    <w:spacing w:line="288" w:lineRule="auto"/>
                    <w:jc w:val="center"/>
                    <w:rPr>
                      <w:rFonts w:hint="eastAsia"/>
                      <w:color w:val="FF0000"/>
                      <w:sz w:val="21"/>
                      <w:szCs w:val="21"/>
                    </w:rPr>
                  </w:pPr>
                  <w:r>
                    <w:rPr>
                      <w:rFonts w:hint="eastAsia"/>
                      <w:color w:val="FF0000"/>
                      <w:sz w:val="21"/>
                      <w:szCs w:val="21"/>
                    </w:rPr>
                    <w:t>1</w:t>
                  </w:r>
                </w:p>
              </w:tc>
              <w:tc>
                <w:tcPr>
                  <w:tcW w:w="3615" w:type="dxa"/>
                  <w:shd w:val="clear" w:color="auto" w:fill="auto"/>
                  <w:noWrap w:val="0"/>
                  <w:vAlign w:val="top"/>
                </w:tcPr>
                <w:p w14:paraId="7A7F8FB9">
                  <w:pPr>
                    <w:numPr>
                      <w:ilvl w:val="0"/>
                      <w:numId w:val="0"/>
                    </w:numPr>
                    <w:spacing w:line="240" w:lineRule="auto"/>
                    <w:ind w:left="0" w:leftChars="0" w:firstLine="0" w:firstLineChars="0"/>
                    <w:jc w:val="both"/>
                    <w:rPr>
                      <w:rFonts w:hint="eastAsia"/>
                      <w:color w:val="FF0000"/>
                      <w:szCs w:val="21"/>
                      <w:lang w:val="en-US" w:eastAsia="zh-CN"/>
                    </w:rPr>
                  </w:pPr>
                  <w:r>
                    <w:rPr>
                      <w:rFonts w:hint="eastAsia"/>
                      <w:color w:val="FF0000"/>
                      <w:szCs w:val="21"/>
                      <w:lang w:val="en-US" w:eastAsia="zh-CN"/>
                    </w:rPr>
                    <w:t>0-200°主镜</w:t>
                  </w:r>
                </w:p>
              </w:tc>
              <w:tc>
                <w:tcPr>
                  <w:tcW w:w="1230" w:type="dxa"/>
                  <w:shd w:val="clear" w:color="auto" w:fill="auto"/>
                  <w:noWrap w:val="0"/>
                  <w:vAlign w:val="top"/>
                </w:tcPr>
                <w:p w14:paraId="71F6B802">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177CEF04">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套</w:t>
                  </w:r>
                </w:p>
              </w:tc>
            </w:tr>
            <w:tr w14:paraId="13DD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1264712">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615" w:type="dxa"/>
                  <w:shd w:val="clear" w:color="auto" w:fill="auto"/>
                  <w:noWrap w:val="0"/>
                  <w:vAlign w:val="top"/>
                </w:tcPr>
                <w:p w14:paraId="0A4B827F">
                  <w:pPr>
                    <w:numPr>
                      <w:ilvl w:val="0"/>
                      <w:numId w:val="0"/>
                    </w:numPr>
                    <w:spacing w:line="240" w:lineRule="auto"/>
                    <w:ind w:left="0" w:leftChars="0" w:firstLine="0" w:firstLineChars="0"/>
                    <w:jc w:val="both"/>
                    <w:rPr>
                      <w:rFonts w:hint="eastAsia"/>
                      <w:color w:val="FF0000"/>
                      <w:szCs w:val="21"/>
                      <w:lang w:val="en-US" w:eastAsia="zh-CN"/>
                    </w:rPr>
                  </w:pPr>
                  <w:r>
                    <w:rPr>
                      <w:rFonts w:hint="eastAsia"/>
                      <w:color w:val="FF0000"/>
                      <w:szCs w:val="21"/>
                      <w:lang w:val="en-US" w:eastAsia="zh-CN"/>
                    </w:rPr>
                    <w:t>120度平衡臂</w:t>
                  </w:r>
                </w:p>
              </w:tc>
              <w:tc>
                <w:tcPr>
                  <w:tcW w:w="1230" w:type="dxa"/>
                  <w:shd w:val="clear" w:color="auto" w:fill="auto"/>
                  <w:noWrap w:val="0"/>
                  <w:vAlign w:val="top"/>
                </w:tcPr>
                <w:p w14:paraId="544F714B">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4AA58F13">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套</w:t>
                  </w:r>
                </w:p>
              </w:tc>
            </w:tr>
            <w:tr w14:paraId="6E9E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534FEA97">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615" w:type="dxa"/>
                  <w:shd w:val="clear" w:color="auto" w:fill="auto"/>
                  <w:noWrap w:val="0"/>
                  <w:vAlign w:val="top"/>
                </w:tcPr>
                <w:p w14:paraId="1F53B919">
                  <w:pPr>
                    <w:numPr>
                      <w:ilvl w:val="0"/>
                      <w:numId w:val="0"/>
                    </w:numPr>
                    <w:spacing w:line="240" w:lineRule="auto"/>
                    <w:ind w:left="0" w:leftChars="0" w:firstLine="0" w:firstLineChars="0"/>
                    <w:jc w:val="both"/>
                    <w:rPr>
                      <w:rFonts w:hint="eastAsia"/>
                      <w:color w:val="FF0000"/>
                      <w:szCs w:val="21"/>
                      <w:lang w:val="en-US" w:eastAsia="zh-CN"/>
                    </w:rPr>
                  </w:pPr>
                  <w:r>
                    <w:rPr>
                      <w:rFonts w:hint="eastAsia"/>
                      <w:color w:val="FF0000"/>
                      <w:szCs w:val="21"/>
                      <w:lang w:val="en-US" w:eastAsia="zh-CN"/>
                    </w:rPr>
                    <w:t>调焦大物镜（200-450mm变焦物镜）</w:t>
                  </w:r>
                </w:p>
              </w:tc>
              <w:tc>
                <w:tcPr>
                  <w:tcW w:w="1230" w:type="dxa"/>
                  <w:shd w:val="clear" w:color="auto" w:fill="auto"/>
                  <w:noWrap w:val="0"/>
                  <w:vAlign w:val="top"/>
                </w:tcPr>
                <w:p w14:paraId="1ADE69D6">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715DD0E1">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套</w:t>
                  </w:r>
                </w:p>
              </w:tc>
            </w:tr>
            <w:tr w14:paraId="6C65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418A238">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615" w:type="dxa"/>
                  <w:shd w:val="clear" w:color="auto" w:fill="auto"/>
                  <w:noWrap w:val="0"/>
                  <w:vAlign w:val="top"/>
                </w:tcPr>
                <w:p w14:paraId="79673E83">
                  <w:pPr>
                    <w:numPr>
                      <w:ilvl w:val="0"/>
                      <w:numId w:val="0"/>
                    </w:numPr>
                    <w:spacing w:line="240" w:lineRule="auto"/>
                    <w:ind w:left="0" w:leftChars="0" w:firstLine="0" w:firstLineChars="0"/>
                    <w:jc w:val="both"/>
                    <w:rPr>
                      <w:rFonts w:hint="eastAsia"/>
                      <w:color w:val="FF0000"/>
                      <w:szCs w:val="21"/>
                      <w:lang w:val="en-US" w:eastAsia="zh-CN"/>
                    </w:rPr>
                  </w:pPr>
                  <w:r>
                    <w:rPr>
                      <w:rFonts w:hint="eastAsia"/>
                      <w:color w:val="FF0000"/>
                      <w:szCs w:val="21"/>
                      <w:lang w:val="en-US" w:eastAsia="zh-CN"/>
                    </w:rPr>
                    <w:t>自平衡悬臂及横臂</w:t>
                  </w:r>
                </w:p>
              </w:tc>
              <w:tc>
                <w:tcPr>
                  <w:tcW w:w="1230" w:type="dxa"/>
                  <w:shd w:val="clear" w:color="auto" w:fill="auto"/>
                  <w:noWrap w:val="0"/>
                  <w:vAlign w:val="top"/>
                </w:tcPr>
                <w:p w14:paraId="269A20CD">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6A2DA3F1">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套</w:t>
                  </w:r>
                </w:p>
              </w:tc>
            </w:tr>
            <w:tr w14:paraId="4833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6D17593">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615" w:type="dxa"/>
                  <w:shd w:val="clear" w:color="auto" w:fill="auto"/>
                  <w:noWrap w:val="0"/>
                  <w:vAlign w:val="top"/>
                </w:tcPr>
                <w:p w14:paraId="7E2A25E7">
                  <w:pPr>
                    <w:numPr>
                      <w:ilvl w:val="0"/>
                      <w:numId w:val="0"/>
                    </w:numPr>
                    <w:spacing w:line="240" w:lineRule="auto"/>
                    <w:ind w:left="0" w:leftChars="0" w:firstLine="0" w:firstLineChars="0"/>
                    <w:jc w:val="both"/>
                    <w:rPr>
                      <w:rFonts w:hint="eastAsia"/>
                      <w:color w:val="FF0000"/>
                      <w:szCs w:val="21"/>
                      <w:lang w:val="en-US" w:eastAsia="zh-CN"/>
                    </w:rPr>
                  </w:pPr>
                  <w:r>
                    <w:rPr>
                      <w:rFonts w:hint="eastAsia"/>
                      <w:color w:val="FF0000"/>
                      <w:szCs w:val="21"/>
                      <w:lang w:val="en-US" w:eastAsia="zh-CN"/>
                    </w:rPr>
                    <w:t>橙色，绿色滤光片，小光斑</w:t>
                  </w:r>
                </w:p>
              </w:tc>
              <w:tc>
                <w:tcPr>
                  <w:tcW w:w="1230" w:type="dxa"/>
                  <w:shd w:val="clear" w:color="auto" w:fill="auto"/>
                  <w:noWrap w:val="0"/>
                  <w:vAlign w:val="top"/>
                </w:tcPr>
                <w:p w14:paraId="02DFD4AA">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5834BD29">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套</w:t>
                  </w:r>
                </w:p>
              </w:tc>
            </w:tr>
            <w:tr w14:paraId="2AD4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A4A86BE">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615" w:type="dxa"/>
                  <w:shd w:val="clear" w:color="auto" w:fill="auto"/>
                  <w:noWrap w:val="0"/>
                  <w:vAlign w:val="top"/>
                </w:tcPr>
                <w:p w14:paraId="44EE1459">
                  <w:pPr>
                    <w:numPr>
                      <w:ilvl w:val="0"/>
                      <w:numId w:val="0"/>
                    </w:numPr>
                    <w:spacing w:line="240" w:lineRule="auto"/>
                    <w:ind w:left="0" w:leftChars="0" w:firstLine="0" w:firstLineChars="0"/>
                    <w:jc w:val="both"/>
                    <w:rPr>
                      <w:rFonts w:hint="eastAsia"/>
                      <w:color w:val="FF0000"/>
                      <w:szCs w:val="21"/>
                      <w:lang w:val="en-US" w:eastAsia="zh-CN"/>
                    </w:rPr>
                  </w:pPr>
                  <w:r>
                    <w:rPr>
                      <w:rFonts w:hint="eastAsia"/>
                      <w:color w:val="FF0000"/>
                      <w:szCs w:val="21"/>
                      <w:lang w:val="en-US" w:eastAsia="zh-CN"/>
                    </w:rPr>
                    <w:t>进口LED照明</w:t>
                  </w:r>
                </w:p>
              </w:tc>
              <w:tc>
                <w:tcPr>
                  <w:tcW w:w="1230" w:type="dxa"/>
                  <w:shd w:val="clear" w:color="auto" w:fill="auto"/>
                  <w:noWrap w:val="0"/>
                  <w:vAlign w:val="top"/>
                </w:tcPr>
                <w:p w14:paraId="4F3A8759">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792E2F70">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rPr>
                    <w:t>个</w:t>
                  </w:r>
                </w:p>
              </w:tc>
            </w:tr>
            <w:tr w14:paraId="272F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0F2A595E">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615" w:type="dxa"/>
                  <w:shd w:val="clear" w:color="auto" w:fill="auto"/>
                  <w:noWrap w:val="0"/>
                  <w:vAlign w:val="top"/>
                </w:tcPr>
                <w:p w14:paraId="40E4D893">
                  <w:pPr>
                    <w:numPr>
                      <w:ilvl w:val="0"/>
                      <w:numId w:val="0"/>
                    </w:numPr>
                    <w:spacing w:line="240" w:lineRule="auto"/>
                    <w:ind w:left="0" w:leftChars="0" w:firstLine="0" w:firstLineChars="0"/>
                    <w:jc w:val="both"/>
                    <w:rPr>
                      <w:rFonts w:hint="eastAsia"/>
                      <w:color w:val="FF0000"/>
                      <w:szCs w:val="21"/>
                      <w:lang w:val="en-US" w:eastAsia="zh-CN"/>
                    </w:rPr>
                  </w:pPr>
                  <w:r>
                    <w:rPr>
                      <w:rFonts w:hint="eastAsia"/>
                      <w:color w:val="FF0000"/>
                      <w:szCs w:val="21"/>
                      <w:lang w:val="en-US" w:eastAsia="zh-CN"/>
                    </w:rPr>
                    <w:t>内置4K CCD高清视频采集系统</w:t>
                  </w:r>
                </w:p>
              </w:tc>
              <w:tc>
                <w:tcPr>
                  <w:tcW w:w="1230" w:type="dxa"/>
                  <w:shd w:val="clear" w:color="auto" w:fill="auto"/>
                  <w:noWrap w:val="0"/>
                  <w:vAlign w:val="top"/>
                </w:tcPr>
                <w:p w14:paraId="10349B56">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51B93DEC">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套</w:t>
                  </w:r>
                </w:p>
              </w:tc>
            </w:tr>
            <w:tr w14:paraId="4DD2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dxa"/>
                  <w:noWrap w:val="0"/>
                  <w:vAlign w:val="top"/>
                </w:tcPr>
                <w:p w14:paraId="10AB825A">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615" w:type="dxa"/>
                  <w:shd w:val="clear" w:color="auto" w:fill="auto"/>
                  <w:noWrap w:val="0"/>
                  <w:vAlign w:val="top"/>
                </w:tcPr>
                <w:p w14:paraId="279BFB21">
                  <w:pPr>
                    <w:numPr>
                      <w:ilvl w:val="0"/>
                      <w:numId w:val="0"/>
                    </w:numPr>
                    <w:spacing w:line="240" w:lineRule="auto"/>
                    <w:ind w:left="0" w:leftChars="0" w:firstLine="0" w:firstLineChars="0"/>
                    <w:jc w:val="both"/>
                    <w:rPr>
                      <w:rFonts w:hint="eastAsia"/>
                      <w:color w:val="FF0000"/>
                      <w:szCs w:val="21"/>
                      <w:lang w:val="en-US" w:eastAsia="zh-CN"/>
                    </w:rPr>
                  </w:pPr>
                  <w:r>
                    <w:rPr>
                      <w:rFonts w:hint="eastAsia"/>
                      <w:color w:val="FF0000"/>
                      <w:szCs w:val="21"/>
                      <w:lang w:val="en-US" w:eastAsia="zh-CN"/>
                    </w:rPr>
                    <w:t>30°光学延长器</w:t>
                  </w:r>
                </w:p>
              </w:tc>
              <w:tc>
                <w:tcPr>
                  <w:tcW w:w="1230" w:type="dxa"/>
                  <w:shd w:val="clear" w:color="auto" w:fill="auto"/>
                  <w:noWrap w:val="0"/>
                  <w:vAlign w:val="top"/>
                </w:tcPr>
                <w:p w14:paraId="449E45C2">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4C6BF807">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套</w:t>
                  </w:r>
                </w:p>
              </w:tc>
            </w:tr>
            <w:tr w14:paraId="07F5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7BDB6F6">
                  <w:pPr>
                    <w:spacing w:line="288" w:lineRule="auto"/>
                    <w:jc w:val="center"/>
                    <w:rPr>
                      <w:rFonts w:hint="default"/>
                      <w:color w:val="FF0000"/>
                      <w:sz w:val="21"/>
                      <w:szCs w:val="21"/>
                      <w:lang w:val="en-US" w:eastAsia="zh-CN"/>
                    </w:rPr>
                  </w:pPr>
                  <w:r>
                    <w:rPr>
                      <w:rFonts w:hint="eastAsia"/>
                      <w:color w:val="FF0000"/>
                      <w:sz w:val="21"/>
                      <w:szCs w:val="21"/>
                      <w:lang w:val="en-US" w:eastAsia="zh-CN"/>
                    </w:rPr>
                    <w:t>9</w:t>
                  </w:r>
                </w:p>
              </w:tc>
              <w:tc>
                <w:tcPr>
                  <w:tcW w:w="3615" w:type="dxa"/>
                  <w:shd w:val="clear" w:color="auto" w:fill="auto"/>
                  <w:noWrap w:val="0"/>
                  <w:vAlign w:val="top"/>
                </w:tcPr>
                <w:p w14:paraId="4D3765E8">
                  <w:pPr>
                    <w:numPr>
                      <w:ilvl w:val="0"/>
                      <w:numId w:val="0"/>
                    </w:numPr>
                    <w:spacing w:line="240" w:lineRule="auto"/>
                    <w:ind w:left="0" w:leftChars="0" w:firstLine="0" w:firstLineChars="0"/>
                    <w:jc w:val="both"/>
                    <w:rPr>
                      <w:rFonts w:hint="eastAsia"/>
                      <w:color w:val="FF0000"/>
                      <w:szCs w:val="21"/>
                      <w:lang w:val="en-US" w:eastAsia="zh-CN"/>
                    </w:rPr>
                  </w:pPr>
                  <w:r>
                    <w:rPr>
                      <w:rFonts w:hint="eastAsia"/>
                      <w:color w:val="FF0000"/>
                      <w:szCs w:val="21"/>
                      <w:lang w:val="en-US" w:eastAsia="zh-CN"/>
                    </w:rPr>
                    <w:t>合格证</w:t>
                  </w:r>
                </w:p>
              </w:tc>
              <w:tc>
                <w:tcPr>
                  <w:tcW w:w="1230" w:type="dxa"/>
                  <w:shd w:val="clear" w:color="auto" w:fill="auto"/>
                  <w:noWrap w:val="0"/>
                  <w:vAlign w:val="top"/>
                </w:tcPr>
                <w:p w14:paraId="59849C3D">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0836997C">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rPr>
                    <w:t>份</w:t>
                  </w:r>
                </w:p>
              </w:tc>
            </w:tr>
            <w:tr w14:paraId="1045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1ABE752">
                  <w:pPr>
                    <w:spacing w:line="288" w:lineRule="auto"/>
                    <w:jc w:val="center"/>
                    <w:rPr>
                      <w:rFonts w:hint="default"/>
                      <w:color w:val="FF0000"/>
                      <w:sz w:val="21"/>
                      <w:szCs w:val="21"/>
                      <w:lang w:val="en-US" w:eastAsia="zh-CN"/>
                    </w:rPr>
                  </w:pPr>
                  <w:r>
                    <w:rPr>
                      <w:rFonts w:hint="eastAsia"/>
                      <w:color w:val="FF0000"/>
                      <w:sz w:val="21"/>
                      <w:szCs w:val="21"/>
                      <w:lang w:val="en-US" w:eastAsia="zh-CN"/>
                    </w:rPr>
                    <w:t>10</w:t>
                  </w:r>
                </w:p>
              </w:tc>
              <w:tc>
                <w:tcPr>
                  <w:tcW w:w="3615" w:type="dxa"/>
                  <w:shd w:val="clear" w:color="auto" w:fill="auto"/>
                  <w:noWrap w:val="0"/>
                  <w:vAlign w:val="top"/>
                </w:tcPr>
                <w:p w14:paraId="7FC42471">
                  <w:pPr>
                    <w:numPr>
                      <w:ilvl w:val="0"/>
                      <w:numId w:val="0"/>
                    </w:numPr>
                    <w:spacing w:line="240" w:lineRule="auto"/>
                    <w:ind w:left="0" w:leftChars="0" w:firstLine="0" w:firstLineChars="0"/>
                    <w:jc w:val="both"/>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装修单</w:t>
                  </w:r>
                </w:p>
              </w:tc>
              <w:tc>
                <w:tcPr>
                  <w:tcW w:w="1230" w:type="dxa"/>
                  <w:shd w:val="clear" w:color="auto" w:fill="auto"/>
                  <w:noWrap w:val="0"/>
                  <w:vAlign w:val="top"/>
                </w:tcPr>
                <w:p w14:paraId="70DBD961">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1E537F1C">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张</w:t>
                  </w:r>
                </w:p>
              </w:tc>
            </w:tr>
            <w:tr w14:paraId="08FB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3AF03157">
                  <w:pPr>
                    <w:spacing w:line="288" w:lineRule="auto"/>
                    <w:jc w:val="center"/>
                    <w:rPr>
                      <w:rFonts w:hint="default"/>
                      <w:color w:val="FF0000"/>
                      <w:sz w:val="21"/>
                      <w:szCs w:val="21"/>
                      <w:lang w:val="en-US" w:eastAsia="zh-CN"/>
                    </w:rPr>
                  </w:pPr>
                  <w:r>
                    <w:rPr>
                      <w:rFonts w:hint="eastAsia"/>
                      <w:color w:val="FF0000"/>
                      <w:sz w:val="21"/>
                      <w:szCs w:val="21"/>
                      <w:lang w:val="en-US" w:eastAsia="zh-CN"/>
                    </w:rPr>
                    <w:t>11</w:t>
                  </w:r>
                </w:p>
              </w:tc>
              <w:tc>
                <w:tcPr>
                  <w:tcW w:w="3615" w:type="dxa"/>
                  <w:shd w:val="clear" w:color="auto" w:fill="auto"/>
                  <w:noWrap w:val="0"/>
                  <w:vAlign w:val="top"/>
                </w:tcPr>
                <w:p w14:paraId="74EE4BE8">
                  <w:pPr>
                    <w:numPr>
                      <w:ilvl w:val="0"/>
                      <w:numId w:val="0"/>
                    </w:numPr>
                    <w:spacing w:line="240" w:lineRule="auto"/>
                    <w:ind w:left="0" w:leftChars="0" w:firstLine="0" w:firstLineChars="0"/>
                    <w:jc w:val="both"/>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保修卡</w:t>
                  </w:r>
                </w:p>
              </w:tc>
              <w:tc>
                <w:tcPr>
                  <w:tcW w:w="1230" w:type="dxa"/>
                  <w:shd w:val="clear" w:color="auto" w:fill="auto"/>
                  <w:noWrap w:val="0"/>
                  <w:vAlign w:val="top"/>
                </w:tcPr>
                <w:p w14:paraId="0DCD1E06">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1</w:t>
                  </w:r>
                </w:p>
              </w:tc>
              <w:tc>
                <w:tcPr>
                  <w:tcW w:w="1260" w:type="dxa"/>
                  <w:shd w:val="clear" w:color="auto" w:fill="auto"/>
                  <w:noWrap w:val="0"/>
                  <w:vAlign w:val="top"/>
                </w:tcPr>
                <w:p w14:paraId="4D9945EE">
                  <w:pPr>
                    <w:spacing w:line="240" w:lineRule="auto"/>
                    <w:jc w:val="center"/>
                    <w:rPr>
                      <w:rFonts w:hint="eastAsia" w:ascii="Times New Roman" w:hAnsi="Times New Roman" w:eastAsia="宋体" w:cs="Times New Roman"/>
                      <w:color w:val="FF0000"/>
                      <w:kern w:val="2"/>
                      <w:sz w:val="21"/>
                      <w:szCs w:val="21"/>
                      <w:lang w:val="en-US" w:eastAsia="zh-CN" w:bidi="ar-SA"/>
                    </w:rPr>
                  </w:pPr>
                  <w:r>
                    <w:rPr>
                      <w:rFonts w:hint="eastAsia"/>
                      <w:color w:val="FF0000"/>
                      <w:szCs w:val="21"/>
                      <w:lang w:val="en-US" w:eastAsia="zh-CN"/>
                    </w:rPr>
                    <w:t>张</w:t>
                  </w:r>
                </w:p>
              </w:tc>
            </w:tr>
          </w:tbl>
          <w:p w14:paraId="157B79BE">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ECC0D1C">
            <w:pPr>
              <w:autoSpaceDE w:val="0"/>
              <w:autoSpaceDN w:val="0"/>
              <w:adjustRightInd w:val="0"/>
              <w:spacing w:line="240" w:lineRule="auto"/>
              <w:jc w:val="left"/>
              <w:textAlignment w:val="baseline"/>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光学品质一流</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无色彩及</w:t>
            </w:r>
            <w:r>
              <w:rPr>
                <w:rFonts w:hint="eastAsia" w:ascii="宋体" w:hAnsi="宋体" w:eastAsia="宋体" w:cs="宋体"/>
                <w:color w:val="FF0000"/>
                <w:sz w:val="21"/>
                <w:szCs w:val="21"/>
                <w:lang w:val="en-US" w:eastAsia="zh-CN"/>
              </w:rPr>
              <w:t>物像</w:t>
            </w:r>
            <w:r>
              <w:rPr>
                <w:rFonts w:hint="eastAsia" w:ascii="宋体" w:hAnsi="宋体" w:eastAsia="宋体" w:cs="宋体"/>
                <w:color w:val="FF0000"/>
                <w:sz w:val="21"/>
                <w:szCs w:val="21"/>
              </w:rPr>
              <w:t>失真，无球面差</w:t>
            </w:r>
            <w:r>
              <w:rPr>
                <w:rFonts w:hint="eastAsia" w:ascii="宋体" w:hAnsi="宋体" w:eastAsia="宋体" w:cs="宋体"/>
                <w:color w:val="FF0000"/>
                <w:sz w:val="21"/>
                <w:szCs w:val="21"/>
                <w:lang w:eastAsia="zh-CN"/>
              </w:rPr>
              <w:t>。</w:t>
            </w:r>
          </w:p>
          <w:p w14:paraId="7A755D39">
            <w:pPr>
              <w:autoSpaceDE w:val="0"/>
              <w:autoSpaceDN w:val="0"/>
              <w:adjustRightInd w:val="0"/>
              <w:spacing w:line="240" w:lineRule="auto"/>
              <w:jc w:val="left"/>
              <w:textAlignment w:val="baseline"/>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所有光学面采用最新反光多涂层复消色差镜头（主镜、助手镜、物镜、目镜及变倍系统）</w:t>
            </w:r>
          </w:p>
          <w:p w14:paraId="5212B607">
            <w:pPr>
              <w:autoSpaceDE w:val="0"/>
              <w:autoSpaceDN w:val="0"/>
              <w:adjustRightInd w:val="0"/>
              <w:spacing w:line="240" w:lineRule="auto"/>
              <w:jc w:val="left"/>
              <w:textAlignment w:val="baseline"/>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极好的清晰度、对比度、景深（10-30mm）、分辨率（&gt;120线）、高亮度、立体感</w:t>
            </w:r>
          </w:p>
          <w:p w14:paraId="62E10C99">
            <w:pPr>
              <w:autoSpaceDE w:val="0"/>
              <w:autoSpaceDN w:val="0"/>
              <w:adjustRightInd w:val="0"/>
              <w:spacing w:line="240" w:lineRule="auto"/>
              <w:jc w:val="left"/>
              <w:textAlignment w:val="baseline"/>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密封性能好，不易刮伤镜面，防霉处理，光学衰减慢（使用寿命10年）</w:t>
            </w:r>
          </w:p>
          <w:p w14:paraId="5116005D">
            <w:pPr>
              <w:spacing w:line="240" w:lineRule="auto"/>
              <w:jc w:val="left"/>
              <w:rPr>
                <w:rFonts w:hint="eastAsia" w:ascii="宋体" w:hAnsi="宋体" w:eastAsia="宋体" w:cs="宋体"/>
                <w:color w:val="FF0000"/>
                <w:sz w:val="21"/>
                <w:szCs w:val="21"/>
              </w:rPr>
            </w:pPr>
            <w:r>
              <w:rPr>
                <w:rFonts w:hint="eastAsia"/>
                <w:color w:val="FF0000"/>
              </w:rPr>
              <w:t>▲</w:t>
            </w:r>
            <w:r>
              <w:rPr>
                <w:rFonts w:hint="eastAsia" w:ascii="宋体" w:hAnsi="宋体" w:eastAsia="宋体" w:cs="宋体"/>
                <w:color w:val="FF0000"/>
                <w:sz w:val="21"/>
                <w:szCs w:val="21"/>
                <w:lang w:val="en-US" w:eastAsia="zh-CN"/>
              </w:rPr>
              <w:t>5</w:t>
            </w:r>
            <w:r>
              <w:rPr>
                <w:rFonts w:hint="eastAsia" w:ascii="宋体" w:hAnsi="宋体" w:eastAsia="宋体" w:cs="宋体"/>
                <w:color w:val="FF0000"/>
                <w:sz w:val="21"/>
                <w:szCs w:val="21"/>
              </w:rPr>
              <w:t>、目镜：放大倍率≧12.5×，瞳距调整范围</w:t>
            </w:r>
            <w:r>
              <w:rPr>
                <w:rFonts w:hint="eastAsia" w:ascii="宋体" w:hAnsi="宋体" w:eastAsia="宋体" w:cs="宋体"/>
                <w:color w:val="FF0000"/>
                <w:sz w:val="21"/>
                <w:szCs w:val="21"/>
                <w:lang w:val="en-US" w:eastAsia="zh-CN"/>
              </w:rPr>
              <w:t>48</w:t>
            </w:r>
            <w:r>
              <w:rPr>
                <w:rFonts w:hint="eastAsia" w:ascii="宋体" w:hAnsi="宋体" w:eastAsia="宋体" w:cs="宋体"/>
                <w:color w:val="FF0000"/>
                <w:sz w:val="21"/>
                <w:szCs w:val="21"/>
              </w:rPr>
              <w:t>～7</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mm手扭调节，视度调节+6D～-6D；</w:t>
            </w:r>
          </w:p>
          <w:p w14:paraId="1D1D7662">
            <w:p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6</w:t>
            </w:r>
            <w:r>
              <w:rPr>
                <w:rFonts w:hint="eastAsia" w:ascii="宋体" w:hAnsi="宋体" w:eastAsia="宋体" w:cs="宋体"/>
                <w:color w:val="FF0000"/>
                <w:sz w:val="21"/>
                <w:szCs w:val="21"/>
              </w:rPr>
              <w:t>、主镜：光学铰链式0-200°大角度</w:t>
            </w:r>
            <w:r>
              <w:rPr>
                <w:rFonts w:hint="eastAsia" w:ascii="宋体" w:hAnsi="宋体" w:eastAsia="宋体" w:cs="宋体"/>
                <w:color w:val="FF0000"/>
                <w:sz w:val="21"/>
                <w:szCs w:val="21"/>
                <w:lang w:val="en-US" w:eastAsia="zh-CN"/>
              </w:rPr>
              <w:t>连续</w:t>
            </w:r>
            <w:r>
              <w:rPr>
                <w:rFonts w:hint="eastAsia" w:ascii="宋体" w:hAnsi="宋体" w:eastAsia="宋体" w:cs="宋体"/>
                <w:color w:val="FF0000"/>
                <w:sz w:val="21"/>
                <w:szCs w:val="21"/>
              </w:rPr>
              <w:t>可调式双目镜筒；</w:t>
            </w:r>
          </w:p>
          <w:p w14:paraId="7BFAE9DE">
            <w:pPr>
              <w:spacing w:line="240" w:lineRule="auto"/>
              <w:jc w:val="left"/>
              <w:rPr>
                <w:rFonts w:hint="eastAsia" w:ascii="宋体" w:hAnsi="宋体" w:eastAsia="宋体" w:cs="宋体"/>
                <w:color w:val="FF0000"/>
                <w:sz w:val="21"/>
                <w:szCs w:val="21"/>
              </w:rPr>
            </w:pPr>
            <w:r>
              <w:rPr>
                <w:rFonts w:hint="eastAsia"/>
                <w:color w:val="FF0000"/>
              </w:rPr>
              <w:t>▲</w:t>
            </w:r>
            <w:r>
              <w:rPr>
                <w:rFonts w:hint="eastAsia" w:ascii="宋体" w:hAnsi="宋体" w:eastAsia="宋体" w:cs="宋体"/>
                <w:color w:val="FF0000"/>
                <w:sz w:val="21"/>
                <w:szCs w:val="21"/>
                <w:lang w:val="en-US" w:eastAsia="zh-CN"/>
              </w:rPr>
              <w:t>7</w:t>
            </w:r>
            <w:r>
              <w:rPr>
                <w:rFonts w:hint="eastAsia" w:ascii="宋体" w:hAnsi="宋体" w:eastAsia="宋体" w:cs="宋体"/>
                <w:color w:val="FF0000"/>
                <w:sz w:val="21"/>
                <w:szCs w:val="21"/>
              </w:rPr>
              <w:t>、连续无极</w:t>
            </w:r>
            <w:r>
              <w:rPr>
                <w:rFonts w:hint="eastAsia" w:ascii="宋体" w:hAnsi="宋体" w:eastAsia="宋体" w:cs="宋体"/>
                <w:color w:val="FF0000"/>
                <w:sz w:val="21"/>
                <w:szCs w:val="21"/>
                <w:lang w:val="en-US" w:eastAsia="zh-CN"/>
              </w:rPr>
              <w:t>变倍</w:t>
            </w:r>
            <w:r>
              <w:rPr>
                <w:rFonts w:hint="eastAsia" w:ascii="宋体" w:hAnsi="宋体" w:eastAsia="宋体" w:cs="宋体"/>
                <w:color w:val="FF0000"/>
                <w:sz w:val="21"/>
                <w:szCs w:val="21"/>
              </w:rPr>
              <w:t>：变倍比1：6，倍率：2.5x-21x；</w:t>
            </w:r>
          </w:p>
          <w:p w14:paraId="3358D096">
            <w:pPr>
              <w:spacing w:line="240" w:lineRule="auto"/>
              <w:jc w:val="left"/>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8.套装器械种类齐全，自由应对根管取断时的各种临床状况。</w:t>
            </w:r>
          </w:p>
          <w:p w14:paraId="113F0BD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color w:val="FF0000"/>
                <w:szCs w:val="21"/>
                <w:lang w:val="en-US" w:eastAsia="zh-CN"/>
              </w:rPr>
              <w:t>9.钢丝套环式的取断结构，只需在断针根管内侧的根管壁制备操作空间即可，对根管的损伤减少到最低。</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shd w:val="clear" w:color="auto" w:fill="auto"/>
            <w:vAlign w:val="center"/>
          </w:tcPr>
          <w:p w14:paraId="30286B44">
            <w:pPr>
              <w:autoSpaceDE w:val="0"/>
              <w:autoSpaceDN w:val="0"/>
              <w:adjustRightInd w:val="0"/>
              <w:spacing w:line="240" w:lineRule="auto"/>
              <w:jc w:val="left"/>
              <w:textAlignment w:val="baseline"/>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所有光学面采用最新反光多涂层复消色差镜头（主镜、助手镜、物镜、目镜及变倍系统）</w:t>
            </w:r>
          </w:p>
          <w:p w14:paraId="291D0C80">
            <w:pPr>
              <w:autoSpaceDE w:val="0"/>
              <w:autoSpaceDN w:val="0"/>
              <w:adjustRightInd w:val="0"/>
              <w:spacing w:line="240" w:lineRule="auto"/>
              <w:jc w:val="left"/>
              <w:textAlignment w:val="baseline"/>
              <w:rPr>
                <w:rFonts w:hint="eastAsia" w:ascii="宋体" w:hAnsi="宋体" w:eastAsia="宋体" w:cs="宋体"/>
                <w:color w:val="FF0000"/>
                <w:sz w:val="21"/>
                <w:szCs w:val="21"/>
              </w:rPr>
            </w:pPr>
            <w:r>
              <w:rPr>
                <w:rFonts w:hint="eastAsia" w:ascii="宋体" w:hAnsi="宋体" w:cs="宋体"/>
                <w:color w:val="FF0000"/>
                <w:sz w:val="21"/>
                <w:szCs w:val="21"/>
                <w:lang w:val="en-US" w:eastAsia="zh-CN"/>
              </w:rPr>
              <w:t>2</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极好的清晰度、对比度、景深（10-30mm）、分辨率&gt;120线、高亮度、立体感</w:t>
            </w:r>
          </w:p>
          <w:p w14:paraId="04B1B3FE">
            <w:pPr>
              <w:autoSpaceDE w:val="0"/>
              <w:autoSpaceDN w:val="0"/>
              <w:adjustRightInd w:val="0"/>
              <w:spacing w:line="240" w:lineRule="auto"/>
              <w:jc w:val="left"/>
              <w:textAlignment w:val="baseline"/>
              <w:rPr>
                <w:rFonts w:hint="eastAsia" w:ascii="宋体" w:hAnsi="宋体" w:eastAsia="宋体" w:cs="宋体"/>
                <w:color w:val="FF0000"/>
                <w:sz w:val="21"/>
                <w:szCs w:val="21"/>
              </w:rPr>
            </w:pPr>
            <w:r>
              <w:rPr>
                <w:rFonts w:hint="eastAsia" w:ascii="宋体" w:hAnsi="宋体" w:cs="宋体"/>
                <w:color w:val="FF0000"/>
                <w:sz w:val="21"/>
                <w:szCs w:val="21"/>
                <w:lang w:val="en-US" w:eastAsia="zh-CN"/>
              </w:rPr>
              <w:t>3</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密封性能好，不易刮伤镜面，防霉处理，光学衰减慢（使用寿命10年）</w:t>
            </w:r>
          </w:p>
          <w:p w14:paraId="1F975877">
            <w:pPr>
              <w:spacing w:line="240" w:lineRule="auto"/>
              <w:rPr>
                <w:rFonts w:hint="eastAsia" w:ascii="宋体" w:hAnsi="宋体" w:eastAsia="宋体" w:cs="宋体"/>
                <w:color w:val="FF0000"/>
                <w:sz w:val="21"/>
                <w:szCs w:val="21"/>
              </w:rPr>
            </w:pPr>
            <w:r>
              <w:rPr>
                <w:rFonts w:hint="eastAsia"/>
                <w:color w:val="FF0000"/>
              </w:rPr>
              <w:t>▲</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rPr>
              <w:t>、目镜：放大倍率≧12.5</w:t>
            </w:r>
            <w:r>
              <w:rPr>
                <w:rFonts w:hint="eastAsia" w:ascii="宋体" w:hAnsi="宋体" w:cs="宋体"/>
                <w:color w:val="FF0000"/>
                <w:sz w:val="21"/>
                <w:szCs w:val="21"/>
                <w:lang w:val="en-US" w:eastAsia="zh-CN"/>
              </w:rPr>
              <w:t>X</w:t>
            </w:r>
            <w:r>
              <w:rPr>
                <w:rFonts w:hint="eastAsia" w:ascii="宋体" w:hAnsi="宋体" w:eastAsia="宋体" w:cs="宋体"/>
                <w:color w:val="FF0000"/>
                <w:sz w:val="21"/>
                <w:szCs w:val="21"/>
              </w:rPr>
              <w:t>，瞳距调整范围</w:t>
            </w:r>
            <w:r>
              <w:rPr>
                <w:rFonts w:hint="eastAsia" w:ascii="宋体" w:hAnsi="宋体" w:eastAsia="宋体" w:cs="宋体"/>
                <w:color w:val="FF0000"/>
                <w:sz w:val="21"/>
                <w:szCs w:val="21"/>
                <w:lang w:val="en-US" w:eastAsia="zh-CN"/>
              </w:rPr>
              <w:t>48</w:t>
            </w:r>
            <w:r>
              <w:rPr>
                <w:rFonts w:hint="eastAsia" w:ascii="宋体" w:hAnsi="宋体" w:eastAsia="宋体" w:cs="宋体"/>
                <w:color w:val="FF0000"/>
                <w:sz w:val="21"/>
                <w:szCs w:val="21"/>
              </w:rPr>
              <w:t>～7</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mm手扭调节，视度调节+6D～-6D；</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3DFB176E">
            <w:pPr>
              <w:spacing w:line="240" w:lineRule="auto"/>
              <w:rPr>
                <w:rFonts w:hint="eastAsia" w:ascii="宋体" w:hAnsi="宋体" w:eastAsia="宋体" w:cs="宋体"/>
                <w:color w:val="FF0000"/>
                <w:sz w:val="21"/>
                <w:szCs w:val="21"/>
              </w:rPr>
            </w:pPr>
            <w:r>
              <w:rPr>
                <w:rFonts w:hint="eastAsia" w:ascii="宋体" w:hAnsi="宋体" w:cs="宋体"/>
                <w:color w:val="FF0000"/>
                <w:sz w:val="21"/>
                <w:szCs w:val="21"/>
                <w:lang w:val="en-US" w:eastAsia="zh-CN"/>
              </w:rPr>
              <w:t>5</w:t>
            </w:r>
            <w:r>
              <w:rPr>
                <w:rFonts w:hint="eastAsia" w:ascii="宋体" w:hAnsi="宋体" w:eastAsia="宋体" w:cs="宋体"/>
                <w:color w:val="FF0000"/>
                <w:sz w:val="21"/>
                <w:szCs w:val="21"/>
              </w:rPr>
              <w:t>、主镜：光学铰链式0-200°大角度</w:t>
            </w:r>
            <w:r>
              <w:rPr>
                <w:rFonts w:hint="eastAsia" w:ascii="宋体" w:hAnsi="宋体" w:eastAsia="宋体" w:cs="宋体"/>
                <w:color w:val="FF0000"/>
                <w:sz w:val="21"/>
                <w:szCs w:val="21"/>
                <w:lang w:val="en-US" w:eastAsia="zh-CN"/>
              </w:rPr>
              <w:t>连续</w:t>
            </w:r>
            <w:r>
              <w:rPr>
                <w:rFonts w:hint="eastAsia" w:ascii="宋体" w:hAnsi="宋体" w:eastAsia="宋体" w:cs="宋体"/>
                <w:color w:val="FF0000"/>
                <w:sz w:val="21"/>
                <w:szCs w:val="21"/>
              </w:rPr>
              <w:t>可调式双目镜筒；</w:t>
            </w:r>
          </w:p>
          <w:p w14:paraId="2141F53B">
            <w:pPr>
              <w:spacing w:line="240" w:lineRule="auto"/>
              <w:rPr>
                <w:rFonts w:hint="eastAsia" w:ascii="Calibri" w:hAnsi="Calibri" w:cs="Calibri"/>
                <w:color w:val="FF0000"/>
              </w:rPr>
            </w:pPr>
            <w:r>
              <w:rPr>
                <w:rFonts w:hint="eastAsia"/>
                <w:color w:val="FF0000"/>
              </w:rPr>
              <w:t>▲</w:t>
            </w:r>
            <w:r>
              <w:rPr>
                <w:rFonts w:hint="eastAsia"/>
                <w:color w:val="FF0000"/>
                <w:lang w:val="en-US" w:eastAsia="zh-CN"/>
              </w:rPr>
              <w:t>6</w:t>
            </w:r>
            <w:r>
              <w:rPr>
                <w:rFonts w:hint="eastAsia" w:ascii="宋体" w:hAnsi="宋体" w:eastAsia="宋体" w:cs="宋体"/>
                <w:color w:val="FF0000"/>
                <w:sz w:val="21"/>
                <w:szCs w:val="21"/>
              </w:rPr>
              <w:t>、连续无极</w:t>
            </w:r>
            <w:r>
              <w:rPr>
                <w:rFonts w:hint="eastAsia" w:ascii="宋体" w:hAnsi="宋体" w:eastAsia="宋体" w:cs="宋体"/>
                <w:color w:val="FF0000"/>
                <w:sz w:val="21"/>
                <w:szCs w:val="21"/>
                <w:lang w:val="en-US" w:eastAsia="zh-CN"/>
              </w:rPr>
              <w:t>变倍</w:t>
            </w:r>
            <w:r>
              <w:rPr>
                <w:rFonts w:hint="eastAsia" w:ascii="宋体" w:hAnsi="宋体" w:eastAsia="宋体" w:cs="宋体"/>
                <w:color w:val="FF0000"/>
                <w:sz w:val="21"/>
                <w:szCs w:val="21"/>
              </w:rPr>
              <w:t>：变倍比1：6，倍率：2.5x-21x；</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66D38CE2">
            <w:pPr>
              <w:spacing w:line="240" w:lineRule="auto"/>
              <w:rPr>
                <w:rFonts w:hint="eastAsia" w:ascii="宋体" w:hAnsi="宋体" w:eastAsia="宋体" w:cs="宋体"/>
                <w:color w:val="FF0000"/>
                <w:sz w:val="21"/>
                <w:szCs w:val="21"/>
              </w:rPr>
            </w:pPr>
            <w:r>
              <w:rPr>
                <w:rFonts w:hint="eastAsia" w:ascii="宋体" w:hAnsi="宋体" w:cs="宋体"/>
                <w:color w:val="FF0000"/>
                <w:sz w:val="21"/>
                <w:szCs w:val="21"/>
                <w:lang w:val="en-US" w:eastAsia="zh-CN"/>
              </w:rPr>
              <w:t>7</w:t>
            </w:r>
            <w:r>
              <w:rPr>
                <w:rFonts w:hint="eastAsia" w:ascii="宋体" w:hAnsi="宋体" w:eastAsia="宋体" w:cs="宋体"/>
                <w:color w:val="FF0000"/>
                <w:sz w:val="21"/>
                <w:szCs w:val="21"/>
              </w:rPr>
              <w:t>、照明光源：进口LED冷光源显微镜</w:t>
            </w:r>
            <w:r>
              <w:rPr>
                <w:rFonts w:hint="eastAsia" w:ascii="宋体" w:hAnsi="宋体" w:eastAsia="宋体" w:cs="宋体"/>
                <w:color w:val="FF0000"/>
                <w:sz w:val="21"/>
                <w:szCs w:val="21"/>
                <w:lang w:val="en-US" w:eastAsia="zh-CN"/>
              </w:rPr>
              <w:t>集成</w:t>
            </w:r>
            <w:r>
              <w:rPr>
                <w:rFonts w:hint="eastAsia" w:ascii="宋体" w:hAnsi="宋体" w:eastAsia="宋体" w:cs="宋体"/>
                <w:color w:val="FF0000"/>
                <w:sz w:val="21"/>
                <w:szCs w:val="21"/>
              </w:rPr>
              <w:t>照明，亮度高，</w:t>
            </w:r>
            <w:r>
              <w:rPr>
                <w:rFonts w:hint="eastAsia" w:ascii="宋体" w:hAnsi="宋体" w:eastAsia="宋体" w:cs="宋体"/>
                <w:color w:val="FF0000"/>
                <w:sz w:val="21"/>
                <w:szCs w:val="21"/>
                <w:lang w:val="en-US" w:eastAsia="zh-CN"/>
              </w:rPr>
              <w:t>可连续调节，</w:t>
            </w:r>
            <w:r>
              <w:rPr>
                <w:rFonts w:hint="eastAsia" w:ascii="宋体" w:hAnsi="宋体" w:eastAsia="宋体" w:cs="宋体"/>
                <w:color w:val="FF0000"/>
                <w:sz w:val="21"/>
                <w:szCs w:val="21"/>
              </w:rPr>
              <w:t>使用寿命更长；</w:t>
            </w:r>
          </w:p>
          <w:p w14:paraId="60F13B8D">
            <w:pPr>
              <w:spacing w:line="240" w:lineRule="auto"/>
              <w:rPr>
                <w:rFonts w:hint="eastAsia" w:ascii="宋体" w:hAnsi="宋体" w:eastAsia="宋体" w:cs="宋体"/>
                <w:bCs/>
                <w:color w:val="FF0000"/>
                <w:sz w:val="21"/>
                <w:szCs w:val="21"/>
              </w:rPr>
            </w:pPr>
            <w:r>
              <w:rPr>
                <w:rFonts w:hint="eastAsia" w:ascii="宋体" w:hAnsi="宋体" w:eastAsia="宋体" w:cs="宋体"/>
                <w:bCs/>
                <w:color w:val="FF0000"/>
                <w:sz w:val="21"/>
                <w:szCs w:val="21"/>
              </w:rPr>
              <w:t>自动限位开关，抬高显微镜旋臂可自动关灯，下拉至工作位自动开灯，延长灯泡的使用寿命，操作方便。</w:t>
            </w:r>
          </w:p>
          <w:p w14:paraId="613B23F6">
            <w:pPr>
              <w:spacing w:line="240" w:lineRule="auto"/>
              <w:rPr>
                <w:rFonts w:hint="eastAsia" w:ascii="Calibri" w:hAnsi="Calibri" w:cs="Calibri"/>
                <w:color w:val="FF0000"/>
              </w:rPr>
            </w:pPr>
            <w:r>
              <w:rPr>
                <w:rFonts w:hint="eastAsia"/>
                <w:color w:val="FF0000"/>
              </w:rPr>
              <w:t>▲</w:t>
            </w:r>
            <w:r>
              <w:rPr>
                <w:rFonts w:hint="eastAsia"/>
                <w:color w:val="FF0000"/>
                <w:lang w:val="en-US" w:eastAsia="zh-CN"/>
              </w:rPr>
              <w:t>8</w:t>
            </w:r>
            <w:r>
              <w:rPr>
                <w:rFonts w:hint="eastAsia" w:ascii="宋体" w:hAnsi="宋体" w:eastAsia="宋体" w:cs="宋体"/>
                <w:color w:val="FF0000"/>
                <w:sz w:val="21"/>
                <w:szCs w:val="21"/>
              </w:rPr>
              <w:t>、照明光斑≦Φ</w:t>
            </w:r>
            <w:r>
              <w:rPr>
                <w:rFonts w:hint="eastAsia" w:ascii="宋体" w:hAnsi="宋体" w:eastAsia="宋体" w:cs="宋体"/>
                <w:color w:val="FF0000"/>
                <w:sz w:val="21"/>
                <w:szCs w:val="21"/>
                <w:lang w:val="en-US" w:eastAsia="zh-CN"/>
              </w:rPr>
              <w:t>161</w:t>
            </w:r>
            <w:r>
              <w:rPr>
                <w:rFonts w:hint="eastAsia" w:ascii="宋体" w:hAnsi="宋体" w:eastAsia="宋体" w:cs="宋体"/>
                <w:color w:val="FF0000"/>
                <w:sz w:val="21"/>
                <w:szCs w:val="21"/>
              </w:rPr>
              <w:t>mm，物面最大照度≥80000 lux；视场直径：</w:t>
            </w:r>
            <w:r>
              <w:rPr>
                <w:rFonts w:hint="eastAsia" w:ascii="宋体" w:hAnsi="宋体" w:cs="宋体"/>
                <w:color w:val="FF0000"/>
                <w:sz w:val="21"/>
                <w:szCs w:val="21"/>
                <w:lang w:val="en-US" w:eastAsia="zh-CN"/>
              </w:rPr>
              <w:t>≤</w:t>
            </w:r>
            <w:r>
              <w:rPr>
                <w:rFonts w:hint="eastAsia" w:ascii="宋体" w:hAnsi="宋体" w:eastAsia="宋体" w:cs="宋体"/>
                <w:color w:val="FF0000"/>
                <w:sz w:val="21"/>
                <w:szCs w:val="21"/>
              </w:rPr>
              <w:t>Φ</w:t>
            </w:r>
            <w:r>
              <w:rPr>
                <w:rFonts w:hint="eastAsia" w:ascii="宋体" w:hAnsi="宋体" w:eastAsia="宋体" w:cs="宋体"/>
                <w:color w:val="FF0000"/>
                <w:sz w:val="21"/>
                <w:szCs w:val="21"/>
                <w:lang w:val="en-US" w:eastAsia="zh-CN"/>
              </w:rPr>
              <w:t>111</w:t>
            </w:r>
            <w:r>
              <w:rPr>
                <w:rFonts w:hint="eastAsia" w:ascii="宋体" w:hAnsi="宋体" w:eastAsia="宋体" w:cs="宋体"/>
                <w:color w:val="FF0000"/>
                <w:sz w:val="21"/>
                <w:szCs w:val="21"/>
              </w:rPr>
              <w:t>mm-Φ</w:t>
            </w:r>
            <w:r>
              <w:rPr>
                <w:rFonts w:hint="eastAsia" w:ascii="宋体" w:hAnsi="宋体" w:eastAsia="宋体" w:cs="宋体"/>
                <w:color w:val="FF0000"/>
                <w:sz w:val="21"/>
                <w:szCs w:val="21"/>
                <w:lang w:val="en-US" w:eastAsia="zh-CN"/>
              </w:rPr>
              <w:t>7.4</w:t>
            </w:r>
            <w:r>
              <w:rPr>
                <w:rFonts w:hint="eastAsia" w:ascii="宋体" w:hAnsi="宋体" w:eastAsia="宋体" w:cs="宋体"/>
                <w:color w:val="FF0000"/>
                <w:sz w:val="21"/>
                <w:szCs w:val="21"/>
              </w:rPr>
              <w:t>mm；</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5872572F">
            <w:pPr>
              <w:spacing w:line="240" w:lineRule="auto"/>
              <w:rPr>
                <w:rFonts w:hint="eastAsia" w:ascii="宋体" w:hAnsi="宋体" w:eastAsia="宋体" w:cs="宋体"/>
                <w:color w:val="FF0000"/>
                <w:sz w:val="21"/>
                <w:szCs w:val="21"/>
              </w:rPr>
            </w:pPr>
            <w:r>
              <w:rPr>
                <w:rFonts w:hint="eastAsia" w:ascii="宋体" w:hAnsi="宋体" w:cs="宋体"/>
                <w:color w:val="FF0000"/>
                <w:sz w:val="21"/>
                <w:szCs w:val="21"/>
                <w:lang w:val="en-US" w:eastAsia="zh-CN"/>
              </w:rPr>
              <w:t>9</w:t>
            </w:r>
            <w:r>
              <w:rPr>
                <w:rFonts w:hint="eastAsia" w:ascii="宋体" w:hAnsi="宋体" w:eastAsia="宋体" w:cs="宋体"/>
                <w:color w:val="FF0000"/>
                <w:sz w:val="21"/>
                <w:szCs w:val="21"/>
              </w:rPr>
              <w:t>、橙色滤色片、绿色（无赤）滤色片、小光斑、隔热片；</w:t>
            </w:r>
          </w:p>
          <w:p w14:paraId="20E4DDC6">
            <w:p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0</w:t>
            </w:r>
            <w:r>
              <w:rPr>
                <w:rFonts w:hint="eastAsia" w:ascii="宋体" w:hAnsi="宋体" w:eastAsia="宋体" w:cs="宋体"/>
                <w:color w:val="FF0000"/>
                <w:sz w:val="21"/>
                <w:szCs w:val="21"/>
              </w:rPr>
              <w:t>、大变焦物镜焦距：F</w:t>
            </w:r>
            <w:r>
              <w:rPr>
                <w:rFonts w:hint="eastAsia" w:ascii="宋体" w:hAnsi="宋体" w:cs="宋体"/>
                <w:color w:val="FF0000"/>
                <w:sz w:val="21"/>
                <w:szCs w:val="21"/>
                <w:lang w:val="en-US" w:eastAsia="zh-CN"/>
              </w:rPr>
              <w:t>=</w:t>
            </w:r>
            <w:r>
              <w:rPr>
                <w:rFonts w:hint="eastAsia" w:ascii="宋体" w:hAnsi="宋体" w:eastAsia="宋体" w:cs="宋体"/>
                <w:color w:val="FF0000"/>
                <w:sz w:val="21"/>
                <w:szCs w:val="21"/>
                <w:lang w:val="en-US" w:eastAsia="zh-CN"/>
              </w:rPr>
              <w:t>200-45</w:t>
            </w:r>
            <w:r>
              <w:rPr>
                <w:rFonts w:hint="eastAsia" w:ascii="宋体" w:hAnsi="宋体" w:eastAsia="宋体" w:cs="宋体"/>
                <w:color w:val="FF0000"/>
                <w:sz w:val="21"/>
                <w:szCs w:val="21"/>
              </w:rPr>
              <w:t>0mm；</w:t>
            </w:r>
          </w:p>
          <w:p w14:paraId="6B3F82D5">
            <w:p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1</w:t>
            </w:r>
            <w:r>
              <w:rPr>
                <w:rFonts w:hint="eastAsia" w:ascii="宋体" w:hAnsi="宋体" w:eastAsia="宋体" w:cs="宋体"/>
                <w:color w:val="FF0000"/>
                <w:sz w:val="21"/>
                <w:szCs w:val="21"/>
              </w:rPr>
              <w:t>、30°</w:t>
            </w:r>
            <w:r>
              <w:rPr>
                <w:rFonts w:hint="eastAsia" w:ascii="宋体" w:hAnsi="宋体" w:eastAsia="宋体" w:cs="宋体"/>
                <w:color w:val="FF0000"/>
                <w:sz w:val="21"/>
                <w:szCs w:val="21"/>
                <w:lang w:val="en-US" w:eastAsia="zh-CN"/>
              </w:rPr>
              <w:t>光学延长器</w:t>
            </w:r>
            <w:r>
              <w:rPr>
                <w:rFonts w:hint="eastAsia" w:ascii="宋体" w:hAnsi="宋体" w:eastAsia="宋体" w:cs="宋体"/>
                <w:color w:val="FF0000"/>
                <w:sz w:val="21"/>
                <w:szCs w:val="21"/>
              </w:rPr>
              <w:t>：≥30°夹角，带倾摆功能，摆动范围左右</w:t>
            </w:r>
            <w:r>
              <w:rPr>
                <w:rFonts w:hint="eastAsia" w:ascii="宋体" w:hAnsi="宋体" w:cs="宋体"/>
                <w:color w:val="FF0000"/>
                <w:sz w:val="21"/>
                <w:szCs w:val="21"/>
                <w:lang w:val="en-US" w:eastAsia="zh-CN"/>
              </w:rPr>
              <w:t>≤</w:t>
            </w:r>
            <w:r>
              <w:rPr>
                <w:rFonts w:hint="eastAsia" w:ascii="宋体" w:hAnsi="宋体" w:eastAsia="宋体" w:cs="宋体"/>
                <w:color w:val="FF0000"/>
                <w:sz w:val="21"/>
                <w:szCs w:val="21"/>
              </w:rPr>
              <w:t>25°</w:t>
            </w:r>
          </w:p>
          <w:p w14:paraId="74C78C3A">
            <w:p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2</w:t>
            </w:r>
            <w:r>
              <w:rPr>
                <w:rFonts w:hint="eastAsia" w:ascii="宋体" w:hAnsi="宋体" w:eastAsia="宋体" w:cs="宋体"/>
                <w:color w:val="FF0000"/>
                <w:sz w:val="21"/>
                <w:szCs w:val="21"/>
              </w:rPr>
              <w:t>、显微镜头二维转动头：配置≥120度平衡挂壁，X方向±45度，Y方向±90度，可调节扭力平衡和阻尼大小，可以使主镜系统前后、左右多角度无重力旋转，任意位置自动悬停，无需锁紧手扭；</w:t>
            </w:r>
          </w:p>
          <w:p w14:paraId="04C5CE0F">
            <w:p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3</w:t>
            </w:r>
            <w:r>
              <w:rPr>
                <w:rFonts w:hint="eastAsia" w:ascii="宋体" w:hAnsi="宋体" w:eastAsia="宋体" w:cs="宋体"/>
                <w:color w:val="FF0000"/>
                <w:sz w:val="21"/>
                <w:szCs w:val="21"/>
              </w:rPr>
              <w:t>、旋臂：长度≥650mm，旋转角度≥300º，上下移动±350 mm，横臂：长度≥520mm，旋转角度≥270º，各关节旋钮带消毒罩；</w:t>
            </w:r>
          </w:p>
          <w:p w14:paraId="2B9DDD6B">
            <w:pPr>
              <w:spacing w:line="240" w:lineRule="auto"/>
              <w:rPr>
                <w:rFonts w:hint="eastAsia" w:ascii="宋体" w:hAnsi="宋体" w:eastAsia="宋体" w:cs="宋体"/>
                <w:color w:val="FF0000"/>
                <w:sz w:val="21"/>
                <w:szCs w:val="21"/>
              </w:rPr>
            </w:pPr>
            <w:r>
              <w:rPr>
                <w:rFonts w:hint="eastAsia"/>
                <w:color w:val="FF0000"/>
              </w:rPr>
              <w:t>▲</w:t>
            </w:r>
            <w:r>
              <w:rPr>
                <w:rFonts w:hint="eastAsia" w:ascii="宋体" w:hAnsi="宋体" w:eastAsia="宋体" w:cs="宋体"/>
                <w:color w:val="FF0000"/>
                <w:sz w:val="21"/>
                <w:szCs w:val="21"/>
              </w:rPr>
              <w:t>1</w:t>
            </w:r>
            <w:r>
              <w:rPr>
                <w:rFonts w:hint="eastAsia" w:ascii="宋体" w:hAnsi="宋体" w:cs="宋体"/>
                <w:color w:val="FF0000"/>
                <w:sz w:val="21"/>
                <w:szCs w:val="21"/>
                <w:lang w:val="en-US" w:eastAsia="zh-CN"/>
              </w:rPr>
              <w:t>4</w:t>
            </w:r>
            <w:r>
              <w:rPr>
                <w:rFonts w:hint="eastAsia" w:ascii="宋体" w:hAnsi="宋体" w:eastAsia="宋体" w:cs="宋体"/>
                <w:color w:val="FF0000"/>
                <w:sz w:val="21"/>
                <w:szCs w:val="21"/>
              </w:rPr>
              <w:t>、仪器最大伸展半径：</w:t>
            </w:r>
            <w:r>
              <w:rPr>
                <w:rFonts w:hint="eastAsia" w:ascii="宋体" w:hAnsi="宋体" w:cs="宋体"/>
                <w:color w:val="FF0000"/>
                <w:sz w:val="21"/>
                <w:szCs w:val="21"/>
                <w:lang w:val="en-US" w:eastAsia="zh-CN"/>
              </w:rPr>
              <w:t>≥</w:t>
            </w:r>
            <w:r>
              <w:rPr>
                <w:rFonts w:hint="eastAsia" w:ascii="宋体" w:hAnsi="宋体" w:eastAsia="宋体" w:cs="宋体"/>
                <w:color w:val="FF0000"/>
                <w:sz w:val="21"/>
                <w:szCs w:val="21"/>
              </w:rPr>
              <w:t>1</w:t>
            </w:r>
            <w:r>
              <w:rPr>
                <w:rFonts w:hint="eastAsia" w:ascii="宋体" w:hAnsi="宋体" w:eastAsia="宋体" w:cs="宋体"/>
                <w:color w:val="FF0000"/>
                <w:sz w:val="21"/>
                <w:szCs w:val="21"/>
                <w:lang w:val="en-US" w:eastAsia="zh-CN"/>
              </w:rPr>
              <w:t>35</w:t>
            </w:r>
            <w:r>
              <w:rPr>
                <w:rFonts w:hint="eastAsia" w:ascii="宋体" w:hAnsi="宋体" w:eastAsia="宋体" w:cs="宋体"/>
                <w:color w:val="FF0000"/>
                <w:sz w:val="21"/>
                <w:szCs w:val="21"/>
              </w:rPr>
              <w:t>0mm；</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128D65D2">
            <w:p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5</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内置4K CCD视频采集系统，高清显示器实时显示手术图像，存储手术视频及照片。无多余外接线缆，整机整洁美观，操作方便。手柄一键拍照、录像及回放。</w:t>
            </w:r>
          </w:p>
          <w:p w14:paraId="1B0CC762">
            <w:pPr>
              <w:spacing w:line="240" w:lineRule="auto"/>
              <w:rPr>
                <w:rFonts w:hint="eastAsia" w:ascii="宋体" w:hAnsi="宋体" w:eastAsia="宋体" w:cs="宋体"/>
                <w:color w:val="FF0000"/>
                <w:sz w:val="21"/>
                <w:szCs w:val="21"/>
              </w:rPr>
            </w:pPr>
            <w:r>
              <w:rPr>
                <w:rFonts w:hint="eastAsia"/>
                <w:color w:val="FF0000"/>
              </w:rPr>
              <w:t>▲</w:t>
            </w:r>
            <w:r>
              <w:rPr>
                <w:rFonts w:hint="eastAsia" w:ascii="宋体" w:hAnsi="宋体" w:eastAsia="宋体" w:cs="宋体"/>
                <w:color w:val="FF0000"/>
                <w:sz w:val="21"/>
                <w:szCs w:val="21"/>
              </w:rPr>
              <w:t>1</w:t>
            </w:r>
            <w:r>
              <w:rPr>
                <w:rFonts w:hint="eastAsia" w:ascii="宋体" w:hAnsi="宋体" w:cs="宋体"/>
                <w:color w:val="FF0000"/>
                <w:sz w:val="21"/>
                <w:szCs w:val="21"/>
                <w:lang w:val="en-US" w:eastAsia="zh-CN"/>
              </w:rPr>
              <w:t>6</w:t>
            </w:r>
            <w:r>
              <w:rPr>
                <w:rFonts w:hint="eastAsia" w:ascii="宋体" w:hAnsi="宋体" w:eastAsia="宋体" w:cs="宋体"/>
                <w:color w:val="FF0000"/>
                <w:sz w:val="21"/>
                <w:szCs w:val="21"/>
              </w:rPr>
              <w:t xml:space="preserve">、图像传感器：IMX334  </w:t>
            </w:r>
            <w:r>
              <w:rPr>
                <w:rFonts w:hint="eastAsia" w:ascii="宋体" w:hAnsi="宋体" w:eastAsia="宋体" w:cs="宋体"/>
                <w:b w:val="0"/>
                <w:bCs w:val="0"/>
                <w:color w:val="FF0000"/>
                <w:sz w:val="21"/>
                <w:szCs w:val="21"/>
              </w:rPr>
              <w:t>1/1.8</w:t>
            </w:r>
            <w:r>
              <w:rPr>
                <w:rFonts w:hint="eastAsia" w:ascii="宋体" w:hAnsi="宋体" w:eastAsia="宋体" w:cs="宋体"/>
                <w:color w:val="FF0000"/>
                <w:sz w:val="21"/>
                <w:szCs w:val="21"/>
              </w:rPr>
              <w:t>英寸，分辨率</w:t>
            </w:r>
            <w:r>
              <w:rPr>
                <w:rFonts w:hint="eastAsia" w:ascii="宋体" w:hAnsi="宋体" w:cs="宋体"/>
                <w:color w:val="FF0000"/>
                <w:sz w:val="21"/>
                <w:szCs w:val="21"/>
                <w:lang w:val="en-US" w:eastAsia="zh-CN"/>
              </w:rPr>
              <w:t>≥</w:t>
            </w:r>
            <w:r>
              <w:rPr>
                <w:rFonts w:hint="eastAsia" w:ascii="宋体" w:hAnsi="宋体" w:eastAsia="宋体" w:cs="宋体"/>
                <w:color w:val="FF0000"/>
                <w:sz w:val="21"/>
                <w:szCs w:val="21"/>
              </w:rPr>
              <w:t>3840x2160</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621540D0">
            <w:pPr>
              <w:spacing w:line="24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7</w:t>
            </w:r>
            <w:r>
              <w:rPr>
                <w:rFonts w:hint="eastAsia" w:ascii="宋体" w:hAnsi="宋体" w:eastAsia="宋体" w:cs="宋体"/>
                <w:color w:val="FF0000"/>
                <w:sz w:val="21"/>
                <w:szCs w:val="21"/>
              </w:rPr>
              <w:t>、帧率：最高</w:t>
            </w:r>
            <w:r>
              <w:rPr>
                <w:rFonts w:hint="eastAsia" w:ascii="宋体" w:hAnsi="宋体" w:cs="宋体"/>
                <w:color w:val="FF0000"/>
                <w:sz w:val="21"/>
                <w:szCs w:val="21"/>
                <w:lang w:val="en-US" w:eastAsia="zh-CN"/>
              </w:rPr>
              <w:t>≥</w:t>
            </w:r>
            <w:r>
              <w:rPr>
                <w:rFonts w:hint="eastAsia" w:ascii="宋体" w:hAnsi="宋体" w:eastAsia="宋体" w:cs="宋体"/>
                <w:color w:val="FF0000"/>
                <w:sz w:val="21"/>
                <w:szCs w:val="21"/>
              </w:rPr>
              <w:t>30帧每秒</w:t>
            </w:r>
          </w:p>
          <w:p w14:paraId="77D92C68">
            <w:pPr>
              <w:spacing w:line="240" w:lineRule="auto"/>
              <w:jc w:val="left"/>
              <w:rPr>
                <w:rFonts w:hint="eastAsia" w:ascii="宋体" w:hAnsi="宋体"/>
                <w:color w:val="FF0000"/>
                <w:szCs w:val="21"/>
              </w:rPr>
            </w:pPr>
            <w:r>
              <w:rPr>
                <w:rFonts w:hint="eastAsia" w:ascii="宋体" w:hAnsi="宋体" w:eastAsia="宋体" w:cs="宋体"/>
                <w:color w:val="FF0000"/>
                <w:sz w:val="21"/>
                <w:szCs w:val="21"/>
                <w:lang w:val="en-US" w:eastAsia="zh-CN"/>
              </w:rPr>
              <w:t>1</w:t>
            </w:r>
            <w:r>
              <w:rPr>
                <w:rFonts w:hint="eastAsia" w:ascii="宋体" w:hAnsi="宋体" w:cs="宋体"/>
                <w:color w:val="FF0000"/>
                <w:sz w:val="21"/>
                <w:szCs w:val="21"/>
                <w:lang w:val="en-US" w:eastAsia="zh-CN"/>
              </w:rPr>
              <w:t>8</w:t>
            </w:r>
            <w:r>
              <w:rPr>
                <w:rFonts w:hint="eastAsia" w:ascii="宋体" w:hAnsi="宋体" w:eastAsia="宋体" w:cs="宋体"/>
                <w:color w:val="FF0000"/>
                <w:sz w:val="21"/>
                <w:szCs w:val="21"/>
              </w:rPr>
              <w:t>、</w:t>
            </w:r>
            <w:r>
              <w:rPr>
                <w:rFonts w:hint="eastAsia" w:ascii="宋体" w:hAnsi="宋体" w:eastAsia="宋体" w:cs="宋体"/>
                <w:b w:val="0"/>
                <w:bCs w:val="0"/>
                <w:color w:val="FF0000"/>
                <w:sz w:val="21"/>
                <w:szCs w:val="21"/>
              </w:rPr>
              <w:t>图像存储方式</w:t>
            </w:r>
            <w:r>
              <w:rPr>
                <w:rFonts w:hint="eastAsia" w:ascii="宋体" w:hAnsi="宋体" w:eastAsia="宋体" w:cs="宋体"/>
                <w:color w:val="FF0000"/>
                <w:sz w:val="21"/>
                <w:szCs w:val="21"/>
              </w:rPr>
              <w:t>：TF卡+UVC</w:t>
            </w:r>
            <w:r>
              <w:rPr>
                <w:rFonts w:hint="eastAsia" w:ascii="宋体" w:hAnsi="宋体"/>
                <w:color w:val="FF0000"/>
                <w:szCs w:val="21"/>
              </w:rPr>
              <w:t>套装器械种类齐全，自由应对根管取断时的各种临床状况。</w:t>
            </w:r>
          </w:p>
          <w:p w14:paraId="08B265F8">
            <w:pPr>
              <w:spacing w:line="240" w:lineRule="auto"/>
              <w:jc w:val="left"/>
              <w:rPr>
                <w:rFonts w:hint="eastAsia" w:ascii="宋体" w:hAnsi="宋体"/>
                <w:color w:val="FF0000"/>
                <w:szCs w:val="21"/>
              </w:rPr>
            </w:pPr>
            <w:r>
              <w:rPr>
                <w:rFonts w:hint="eastAsia"/>
                <w:color w:val="FF0000"/>
              </w:rPr>
              <w:t>▲</w:t>
            </w:r>
            <w:r>
              <w:rPr>
                <w:rFonts w:hint="eastAsia"/>
                <w:color w:val="FF0000"/>
                <w:lang w:val="en-US" w:eastAsia="zh-CN"/>
              </w:rPr>
              <w:t>19</w:t>
            </w:r>
            <w:r>
              <w:rPr>
                <w:rFonts w:hint="eastAsia" w:ascii="宋体" w:hAnsi="宋体"/>
                <w:color w:val="FF0000"/>
                <w:szCs w:val="21"/>
              </w:rPr>
              <w:t>.钢丝套环式的取断结构，只需在断针根管内侧的根管壁制备操作空间即可，对根管的损伤减少到最低。</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65BA2D42">
            <w:pPr>
              <w:spacing w:line="240" w:lineRule="auto"/>
              <w:jc w:val="left"/>
              <w:rPr>
                <w:rFonts w:hint="eastAsia" w:ascii="宋体" w:hAnsi="宋体"/>
                <w:color w:val="FF0000"/>
                <w:szCs w:val="21"/>
              </w:rPr>
            </w:pPr>
            <w:r>
              <w:rPr>
                <w:rFonts w:hint="eastAsia"/>
                <w:color w:val="FF0000"/>
              </w:rPr>
              <w:t>▲</w:t>
            </w:r>
            <w:r>
              <w:rPr>
                <w:rFonts w:hint="eastAsia" w:ascii="宋体" w:hAnsi="宋体"/>
                <w:color w:val="FF0000"/>
                <w:szCs w:val="21"/>
                <w:lang w:val="en-US" w:eastAsia="zh-CN"/>
              </w:rPr>
              <w:t>20</w:t>
            </w:r>
            <w:r>
              <w:rPr>
                <w:rFonts w:hint="eastAsia" w:ascii="宋体" w:hAnsi="宋体"/>
                <w:color w:val="FF0000"/>
                <w:szCs w:val="21"/>
              </w:rPr>
              <w:t>.两端呈鱼枪状，倒刺结构最大轴径0.35mm，4%锥度，不锈钢材质，可预弯的牙探针，独特的结构，助力根管内断针的探查以及根管内残留牙胶尖等异物的去除。</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70C13F91">
            <w:pPr>
              <w:spacing w:line="240" w:lineRule="auto"/>
              <w:jc w:val="left"/>
              <w:rPr>
                <w:rFonts w:hint="eastAsia" w:ascii="宋体" w:hAnsi="宋体"/>
                <w:color w:val="FF0000"/>
                <w:szCs w:val="21"/>
              </w:rPr>
            </w:pPr>
            <w:r>
              <w:rPr>
                <w:rFonts w:hint="eastAsia"/>
                <w:color w:val="FF0000"/>
              </w:rPr>
              <w:t>▲</w:t>
            </w:r>
            <w:r>
              <w:rPr>
                <w:rFonts w:hint="eastAsia" w:ascii="宋体" w:hAnsi="宋体"/>
                <w:color w:val="FF0000"/>
                <w:szCs w:val="21"/>
                <w:lang w:val="en-US" w:eastAsia="zh-CN"/>
              </w:rPr>
              <w:t>21</w:t>
            </w:r>
            <w:r>
              <w:rPr>
                <w:rFonts w:hint="eastAsia" w:ascii="宋体" w:hAnsi="宋体"/>
                <w:color w:val="FF0000"/>
                <w:szCs w:val="21"/>
              </w:rPr>
              <w:t>.表面光滑，尖端直径0.1mm，6%锥度，不锈钢材质，可预弯的牙探针，独特的结构，助力根管内断针的探查以及根管内残留牙胶尖等异物的去除。</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231156C5">
            <w:pPr>
              <w:spacing w:line="240" w:lineRule="auto"/>
              <w:jc w:val="left"/>
              <w:rPr>
                <w:rFonts w:hint="eastAsia" w:ascii="宋体" w:hAnsi="宋体"/>
                <w:color w:val="FF0000"/>
                <w:szCs w:val="21"/>
              </w:rPr>
            </w:pPr>
            <w:r>
              <w:rPr>
                <w:rFonts w:hint="eastAsia"/>
                <w:color w:val="FF0000"/>
              </w:rPr>
              <w:t>▲</w:t>
            </w:r>
            <w:r>
              <w:rPr>
                <w:rFonts w:hint="eastAsia" w:ascii="宋体" w:hAnsi="宋体"/>
                <w:color w:val="FF0000"/>
                <w:szCs w:val="21"/>
                <w:lang w:val="en-US" w:eastAsia="zh-CN"/>
              </w:rPr>
              <w:t>22</w:t>
            </w:r>
            <w:r>
              <w:rPr>
                <w:rFonts w:hint="eastAsia" w:ascii="宋体" w:hAnsi="宋体"/>
                <w:color w:val="FF0000"/>
                <w:szCs w:val="21"/>
              </w:rPr>
              <w:t>.尖端厚度0.1mm的超声工作尖结构，让去除牙本质壁更微创、更高效。</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3EF9D47C">
            <w:pPr>
              <w:spacing w:line="240" w:lineRule="auto"/>
              <w:jc w:val="left"/>
              <w:rPr>
                <w:rFonts w:hint="eastAsia" w:ascii="宋体" w:hAnsi="宋体"/>
                <w:color w:val="FF0000"/>
                <w:szCs w:val="21"/>
              </w:rPr>
            </w:pPr>
            <w:r>
              <w:rPr>
                <w:rFonts w:hint="eastAsia"/>
                <w:color w:val="FF0000"/>
              </w:rPr>
              <w:t>▲</w:t>
            </w:r>
            <w:r>
              <w:rPr>
                <w:rFonts w:hint="eastAsia" w:ascii="宋体" w:hAnsi="宋体"/>
                <w:color w:val="FF0000"/>
                <w:szCs w:val="21"/>
                <w:lang w:val="en-US" w:eastAsia="zh-CN"/>
              </w:rPr>
              <w:t>23</w:t>
            </w:r>
            <w:r>
              <w:rPr>
                <w:rFonts w:hint="eastAsia" w:ascii="宋体" w:hAnsi="宋体"/>
                <w:color w:val="FF0000"/>
                <w:szCs w:val="21"/>
              </w:rPr>
              <w:t>.三种尖端形态结构的超声工作尖，适用于断针所处的不同根管位置。</w:t>
            </w:r>
            <w:r>
              <w:rPr>
                <w:rFonts w:hint="eastAsia" w:ascii="Calibri" w:hAnsi="Calibri" w:cs="Calibri"/>
                <w:color w:val="FF0000"/>
              </w:rPr>
              <w:t>（投标时需提供经广告审查机关备案的产品彩页或检验检测报告或产品技术白皮书或说明书扫描件，注：对应参数在证明材料中进行标注，原件备查。检验检测报告要求：①由第三方检验检测机构出具并加盖（或带有）CMA标志的检验检测报告扫描件，原件备查；②上述检验检测报告在全国认证认可信息公共服务平台（认e云）（http://cx.cnca.cn/）的信息查询记录截图。如检验检测报告中明确备注说明相关检验检测项不在检验检测机构CMA资质许可（认定）范围内的，不符合招标文件要求。）</w:t>
            </w:r>
          </w:p>
          <w:p w14:paraId="4FAFAE66">
            <w:pPr>
              <w:spacing w:line="240" w:lineRule="auto"/>
              <w:jc w:val="left"/>
              <w:rPr>
                <w:rFonts w:hint="eastAsia" w:ascii="宋体" w:hAnsi="宋体"/>
                <w:color w:val="FF0000"/>
                <w:szCs w:val="21"/>
              </w:rPr>
            </w:pPr>
            <w:r>
              <w:rPr>
                <w:rFonts w:hint="eastAsia" w:ascii="宋体" w:hAnsi="宋体"/>
                <w:color w:val="FF0000"/>
                <w:szCs w:val="21"/>
                <w:lang w:val="en-US" w:eastAsia="zh-CN"/>
              </w:rPr>
              <w:t>24</w:t>
            </w:r>
            <w:r>
              <w:rPr>
                <w:rFonts w:hint="eastAsia" w:ascii="宋体" w:hAnsi="宋体"/>
                <w:color w:val="FF0000"/>
                <w:szCs w:val="21"/>
              </w:rPr>
              <w:t>.磨除导向尖的G钻结构，更容易建立起至分离器械断面的直线通路。</w:t>
            </w:r>
          </w:p>
          <w:p w14:paraId="70B18A84">
            <w:pPr>
              <w:spacing w:line="240" w:lineRule="auto"/>
              <w:jc w:val="left"/>
              <w:rPr>
                <w:rFonts w:hint="eastAsia" w:ascii="宋体" w:hAnsi="宋体"/>
                <w:color w:val="FF0000"/>
                <w:szCs w:val="21"/>
              </w:rPr>
            </w:pPr>
            <w:r>
              <w:rPr>
                <w:rFonts w:hint="eastAsia" w:ascii="宋体" w:hAnsi="宋体"/>
                <w:color w:val="FF0000"/>
                <w:szCs w:val="21"/>
                <w:lang w:val="en-US" w:eastAsia="zh-CN"/>
              </w:rPr>
              <w:t>25</w:t>
            </w:r>
            <w:r>
              <w:rPr>
                <w:rFonts w:hint="eastAsia" w:ascii="宋体" w:hAnsi="宋体"/>
                <w:color w:val="FF0000"/>
                <w:szCs w:val="21"/>
              </w:rPr>
              <w:t>.机用根管锉可用于弯曲根管的通道预备。</w:t>
            </w:r>
          </w:p>
          <w:p w14:paraId="595AB7EA">
            <w:pPr>
              <w:pStyle w:val="6"/>
              <w:numPr>
                <w:ilvl w:val="0"/>
                <w:numId w:val="0"/>
              </w:numPr>
              <w:ind w:left="0" w:leftChars="0" w:firstLine="0" w:firstLineChars="0"/>
              <w:rPr>
                <w:rFonts w:hint="eastAsia" w:ascii="Times New Roman" w:hAnsi="Times New Roman" w:eastAsia="宋体" w:cs="Times New Roman"/>
                <w:color w:val="FF0000"/>
                <w:kern w:val="2"/>
                <w:sz w:val="21"/>
                <w:szCs w:val="20"/>
                <w:lang w:val="en-US" w:eastAsia="zh-CN" w:bidi="ar-SA"/>
              </w:rPr>
            </w:pPr>
            <w:r>
              <w:rPr>
                <w:rFonts w:hint="eastAsia" w:ascii="宋体" w:hAnsi="宋体"/>
                <w:color w:val="FF0000"/>
                <w:szCs w:val="21"/>
                <w:lang w:val="en-US" w:eastAsia="zh-CN"/>
              </w:rPr>
              <w:t>26</w:t>
            </w:r>
            <w:r>
              <w:rPr>
                <w:rFonts w:hint="eastAsia" w:ascii="宋体" w:hAnsi="宋体"/>
                <w:color w:val="FF0000"/>
                <w:szCs w:val="21"/>
              </w:rPr>
              <w:t>.超声工作尖的独特设计，尖端磨损后可以使用配套的打磨棒打磨抛光，重复使用。</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4E67064C">
      <w:pPr>
        <w:pStyle w:val="16"/>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CB10CF2"/>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3486</Words>
  <Characters>3617</Characters>
  <Lines>0</Lines>
  <Paragraphs>0</Paragraphs>
  <TotalTime>0</TotalTime>
  <ScaleCrop>false</ScaleCrop>
  <LinksUpToDate>false</LinksUpToDate>
  <CharactersWithSpaces>4321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2025-07-24T07:02:49Z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eyJoZGlkIjoiM2Y4OTc1Y2I2MGRlNTIyYmNkY2I2NTY4MDE2MzU5ZTMiLCJ1c2VySWQiOiIzMDYwMDE4ODIifQ==</vt:lpwstr>
  </property>
</Properties>
</file>