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A69625">
      <w:pPr>
        <w:spacing w:line="360" w:lineRule="auto"/>
        <w:ind w:firstLine="420" w:firstLineChars="200"/>
      </w:pPr>
    </w:p>
    <w:p w14:paraId="131760A5">
      <w:pPr>
        <w:spacing w:line="360" w:lineRule="auto"/>
        <w:ind w:firstLine="420" w:firstLineChars="200"/>
      </w:pPr>
    </w:p>
    <w:p w14:paraId="0DC028DF">
      <w:pPr>
        <w:spacing w:line="360" w:lineRule="auto"/>
        <w:ind w:firstLine="420" w:firstLineChars="200"/>
      </w:pPr>
    </w:p>
    <w:p w14:paraId="0BEEE4F5">
      <w:pPr>
        <w:spacing w:line="360" w:lineRule="auto"/>
      </w:pPr>
    </w:p>
    <w:p w14:paraId="3B68E343">
      <w:pPr>
        <w:jc w:val="center"/>
        <w:rPr>
          <w:b/>
          <w:sz w:val="44"/>
          <w:szCs w:val="44"/>
        </w:rPr>
      </w:pPr>
      <w:r>
        <w:rPr>
          <w:rFonts w:hint="eastAsia"/>
          <w:b/>
          <w:sz w:val="44"/>
          <w:szCs w:val="44"/>
        </w:rPr>
        <w:t>购买一批实验室检</w:t>
      </w:r>
      <w:r>
        <w:rPr>
          <w:rFonts w:hint="eastAsia"/>
          <w:b/>
          <w:sz w:val="44"/>
          <w:szCs w:val="44"/>
          <w:lang w:val="en-US" w:eastAsia="zh-CN"/>
        </w:rPr>
        <w:t>应急</w:t>
      </w:r>
      <w:r>
        <w:rPr>
          <w:rFonts w:hint="eastAsia"/>
          <w:b/>
          <w:sz w:val="44"/>
          <w:szCs w:val="44"/>
        </w:rPr>
        <w:t>测试剂项目</w:t>
      </w:r>
    </w:p>
    <w:p w14:paraId="7F5761A7">
      <w:pPr>
        <w:jc w:val="center"/>
        <w:rPr>
          <w:b/>
          <w:sz w:val="44"/>
          <w:szCs w:val="44"/>
        </w:rPr>
      </w:pPr>
    </w:p>
    <w:p w14:paraId="487CCE29">
      <w:pPr>
        <w:jc w:val="center"/>
        <w:rPr>
          <w:rFonts w:hint="eastAsia" w:eastAsiaTheme="minorEastAsia"/>
          <w:lang w:val="en-US" w:eastAsia="zh-CN"/>
        </w:rPr>
      </w:pPr>
      <w:r>
        <w:rPr>
          <w:rFonts w:hint="eastAsia"/>
          <w:b/>
          <w:sz w:val="30"/>
          <w:szCs w:val="30"/>
        </w:rPr>
        <w:t>项目编号：</w:t>
      </w:r>
      <w:r>
        <w:rPr>
          <w:b/>
          <w:sz w:val="30"/>
          <w:szCs w:val="30"/>
        </w:rPr>
        <w:t>BACDCCG202</w:t>
      </w:r>
      <w:r>
        <w:rPr>
          <w:rFonts w:hint="eastAsia"/>
          <w:b/>
          <w:sz w:val="30"/>
          <w:szCs w:val="30"/>
          <w:lang w:val="en-US" w:eastAsia="zh-CN"/>
        </w:rPr>
        <w:t>5</w:t>
      </w:r>
      <w:r>
        <w:rPr>
          <w:b/>
          <w:sz w:val="30"/>
          <w:szCs w:val="30"/>
        </w:rPr>
        <w:t>00</w:t>
      </w:r>
      <w:r>
        <w:rPr>
          <w:rFonts w:hint="eastAsia"/>
          <w:b/>
          <w:sz w:val="30"/>
          <w:szCs w:val="30"/>
          <w:lang w:val="en-US" w:eastAsia="zh-CN"/>
        </w:rPr>
        <w:t>9</w:t>
      </w:r>
    </w:p>
    <w:p w14:paraId="5052C718">
      <w:pPr>
        <w:spacing w:line="360" w:lineRule="auto"/>
        <w:ind w:firstLine="420" w:firstLineChars="200"/>
      </w:pPr>
    </w:p>
    <w:p w14:paraId="3892F746">
      <w:pPr>
        <w:spacing w:line="360" w:lineRule="auto"/>
        <w:ind w:firstLine="420" w:firstLineChars="200"/>
      </w:pPr>
    </w:p>
    <w:p w14:paraId="52A68AC8">
      <w:pPr>
        <w:spacing w:line="360" w:lineRule="auto"/>
        <w:ind w:firstLine="420" w:firstLineChars="200"/>
      </w:pPr>
    </w:p>
    <w:p w14:paraId="53F1FF5D">
      <w:pPr>
        <w:spacing w:line="360" w:lineRule="auto"/>
        <w:ind w:firstLine="420" w:firstLineChars="200"/>
      </w:pPr>
    </w:p>
    <w:p w14:paraId="194E31C9">
      <w:pPr>
        <w:spacing w:line="360" w:lineRule="auto"/>
        <w:ind w:firstLine="420" w:firstLineChars="200"/>
      </w:pPr>
    </w:p>
    <w:p w14:paraId="14C5305F">
      <w:pPr>
        <w:spacing w:line="360" w:lineRule="auto"/>
        <w:jc w:val="center"/>
        <w:rPr>
          <w:b/>
          <w:sz w:val="72"/>
          <w:szCs w:val="72"/>
        </w:rPr>
      </w:pPr>
      <w:r>
        <w:rPr>
          <w:rFonts w:hint="eastAsia"/>
          <w:b/>
          <w:sz w:val="72"/>
          <w:szCs w:val="72"/>
        </w:rPr>
        <w:t>招标文件</w:t>
      </w:r>
    </w:p>
    <w:p w14:paraId="2819DC55">
      <w:pPr>
        <w:spacing w:line="360" w:lineRule="auto"/>
        <w:ind w:firstLine="420" w:firstLineChars="200"/>
      </w:pPr>
    </w:p>
    <w:p w14:paraId="099D246E">
      <w:pPr>
        <w:spacing w:line="360" w:lineRule="auto"/>
        <w:ind w:firstLine="420" w:firstLineChars="200"/>
      </w:pPr>
    </w:p>
    <w:p w14:paraId="589C18BC">
      <w:pPr>
        <w:spacing w:line="360" w:lineRule="auto"/>
        <w:ind w:firstLine="420" w:firstLineChars="200"/>
      </w:pPr>
    </w:p>
    <w:p w14:paraId="5A9EA4CA">
      <w:pPr>
        <w:spacing w:line="360" w:lineRule="auto"/>
        <w:ind w:firstLine="420" w:firstLineChars="200"/>
      </w:pPr>
    </w:p>
    <w:p w14:paraId="0512425E">
      <w:pPr>
        <w:spacing w:line="360" w:lineRule="auto"/>
        <w:ind w:firstLine="420" w:firstLineChars="200"/>
      </w:pPr>
    </w:p>
    <w:p w14:paraId="6E903514">
      <w:pPr>
        <w:spacing w:line="360" w:lineRule="auto"/>
      </w:pPr>
    </w:p>
    <w:p w14:paraId="5ED4B8CC">
      <w:pPr>
        <w:spacing w:line="360" w:lineRule="auto"/>
      </w:pPr>
    </w:p>
    <w:p w14:paraId="15EB4026">
      <w:pPr>
        <w:spacing w:line="360" w:lineRule="auto"/>
        <w:ind w:firstLine="420" w:firstLineChars="200"/>
      </w:pPr>
    </w:p>
    <w:p w14:paraId="2975D251">
      <w:pPr>
        <w:spacing w:line="360" w:lineRule="auto"/>
        <w:jc w:val="center"/>
        <w:rPr>
          <w:rFonts w:hint="eastAsia"/>
          <w:b/>
          <w:sz w:val="30"/>
          <w:szCs w:val="30"/>
        </w:rPr>
      </w:pPr>
      <w:r>
        <w:rPr>
          <w:rFonts w:hint="eastAsia"/>
          <w:b/>
          <w:sz w:val="30"/>
          <w:szCs w:val="30"/>
        </w:rPr>
        <w:t>深圳市宝安区疾病预防控制中心</w:t>
      </w:r>
    </w:p>
    <w:p w14:paraId="780F4D7E">
      <w:pPr>
        <w:spacing w:line="360" w:lineRule="auto"/>
        <w:jc w:val="center"/>
        <w:rPr>
          <w:b/>
          <w:sz w:val="30"/>
          <w:szCs w:val="30"/>
        </w:rPr>
      </w:pPr>
      <w:r>
        <w:rPr>
          <w:rFonts w:hint="eastAsia"/>
          <w:b/>
          <w:sz w:val="30"/>
          <w:szCs w:val="30"/>
          <w:lang w:eastAsia="zh-CN"/>
        </w:rPr>
        <w:t>（</w:t>
      </w:r>
      <w:r>
        <w:rPr>
          <w:rFonts w:hint="eastAsia"/>
          <w:b/>
          <w:sz w:val="30"/>
          <w:szCs w:val="30"/>
          <w:lang w:val="en-US" w:eastAsia="zh-CN"/>
        </w:rPr>
        <w:t>深圳市宝安区卫生监督所</w:t>
      </w:r>
      <w:r>
        <w:rPr>
          <w:rFonts w:hint="eastAsia"/>
          <w:b/>
          <w:sz w:val="30"/>
          <w:szCs w:val="30"/>
          <w:lang w:eastAsia="zh-CN"/>
        </w:rPr>
        <w:t>）</w:t>
      </w:r>
    </w:p>
    <w:p w14:paraId="4E7C5FDB">
      <w:pPr>
        <w:spacing w:line="360" w:lineRule="auto"/>
        <w:jc w:val="center"/>
        <w:rPr>
          <w:b/>
          <w:sz w:val="30"/>
          <w:szCs w:val="30"/>
        </w:rPr>
      </w:pPr>
      <w:r>
        <w:rPr>
          <w:rFonts w:hint="eastAsia"/>
          <w:b/>
          <w:sz w:val="30"/>
          <w:szCs w:val="30"/>
        </w:rPr>
        <w:t>二〇二</w:t>
      </w:r>
      <w:r>
        <w:rPr>
          <w:rFonts w:hint="eastAsia"/>
          <w:b/>
          <w:sz w:val="30"/>
          <w:szCs w:val="30"/>
          <w:lang w:val="en-US" w:eastAsia="zh-CN"/>
        </w:rPr>
        <w:t>五</w:t>
      </w:r>
      <w:r>
        <w:rPr>
          <w:rFonts w:hint="eastAsia"/>
          <w:b/>
          <w:sz w:val="30"/>
          <w:szCs w:val="30"/>
        </w:rPr>
        <w:t>年</w:t>
      </w:r>
      <w:r>
        <w:rPr>
          <w:rFonts w:hint="eastAsia"/>
          <w:b/>
          <w:sz w:val="30"/>
          <w:szCs w:val="30"/>
          <w:lang w:val="en-US" w:eastAsia="zh-CN"/>
        </w:rPr>
        <w:t>七</w:t>
      </w:r>
      <w:r>
        <w:rPr>
          <w:rFonts w:hint="eastAsia"/>
          <w:b/>
          <w:sz w:val="30"/>
          <w:szCs w:val="30"/>
        </w:rPr>
        <w:t>月</w:t>
      </w:r>
    </w:p>
    <w:p w14:paraId="2C0999F4">
      <w:pPr>
        <w:spacing w:line="360" w:lineRule="auto"/>
        <w:ind w:firstLine="420" w:firstLineChars="200"/>
      </w:pPr>
    </w:p>
    <w:p w14:paraId="031C4C3E">
      <w:pPr>
        <w:spacing w:line="360" w:lineRule="auto"/>
        <w:ind w:firstLine="420" w:firstLineChars="200"/>
        <w:sectPr>
          <w:headerReference r:id="rId3" w:type="default"/>
          <w:footerReference r:id="rId4" w:type="default"/>
          <w:pgSz w:w="11906" w:h="16838"/>
          <w:pgMar w:top="1418" w:right="1474" w:bottom="1418" w:left="1474" w:header="851" w:footer="992" w:gutter="0"/>
          <w:cols w:space="425" w:num="1"/>
          <w:docGrid w:type="lines" w:linePitch="312" w:charSpace="0"/>
        </w:sectPr>
      </w:pPr>
    </w:p>
    <w:p w14:paraId="3822372A">
      <w:pPr>
        <w:pStyle w:val="2"/>
      </w:pPr>
      <w:bookmarkStart w:id="0" w:name="_Toc61539108"/>
      <w:bookmarkStart w:id="1" w:name="_Toc86939328"/>
      <w:r>
        <w:rPr>
          <w:rFonts w:hint="eastAsia"/>
        </w:rPr>
        <w:t xml:space="preserve">第一章  </w:t>
      </w:r>
      <w:bookmarkEnd w:id="0"/>
      <w:r>
        <w:rPr>
          <w:rFonts w:hint="eastAsia"/>
        </w:rPr>
        <w:t>招标公告</w:t>
      </w:r>
      <w:bookmarkEnd w:id="1"/>
    </w:p>
    <w:p w14:paraId="50498E3F">
      <w:pPr>
        <w:spacing w:line="360" w:lineRule="auto"/>
        <w:ind w:firstLine="420" w:firstLineChars="200"/>
      </w:pPr>
      <w:bookmarkStart w:id="2" w:name="_Hlk69568487"/>
      <w:r>
        <w:rPr>
          <w:rFonts w:hint="eastAsia"/>
        </w:rPr>
        <w:t>深圳市宝安区疾病预防控制中心</w:t>
      </w:r>
      <w:bookmarkEnd w:id="2"/>
      <w:r>
        <w:rPr>
          <w:rFonts w:hint="eastAsia"/>
          <w:color w:val="000000" w:themeColor="text1"/>
          <w14:textFill>
            <w14:solidFill>
              <w14:schemeClr w14:val="tx1"/>
            </w14:solidFill>
          </w14:textFill>
        </w:rPr>
        <w:t>就</w:t>
      </w:r>
      <w:r>
        <w:rPr>
          <w:rFonts w:hint="eastAsia"/>
        </w:rPr>
        <w:t>购买一批实验室</w:t>
      </w:r>
      <w:r>
        <w:rPr>
          <w:rFonts w:hint="eastAsia"/>
          <w:lang w:val="en-US" w:eastAsia="zh-CN"/>
        </w:rPr>
        <w:t>应急</w:t>
      </w:r>
      <w:r>
        <w:rPr>
          <w:rFonts w:hint="eastAsia"/>
        </w:rPr>
        <w:t>检测试剂项目接受以下投标人提交密封响应文件。有关事项如下：</w:t>
      </w:r>
    </w:p>
    <w:p w14:paraId="2E44EA54">
      <w:pPr>
        <w:pStyle w:val="5"/>
        <w:ind w:firstLine="482"/>
      </w:pPr>
      <w:bookmarkStart w:id="3" w:name="_Hlk69568538"/>
      <w:r>
        <w:rPr>
          <w:rFonts w:hint="eastAsia"/>
        </w:rPr>
        <w:t>一、项目基本信息</w:t>
      </w:r>
    </w:p>
    <w:p w14:paraId="1230A707">
      <w:pPr>
        <w:spacing w:line="360" w:lineRule="auto"/>
        <w:ind w:firstLine="420" w:firstLineChars="200"/>
        <w:rPr>
          <w:color w:val="000000" w:themeColor="text1"/>
          <w14:textFill>
            <w14:solidFill>
              <w14:schemeClr w14:val="tx1"/>
            </w14:solidFill>
          </w14:textFill>
        </w:rPr>
      </w:pPr>
      <w:r>
        <w:rPr>
          <w:rFonts w:hint="eastAsia"/>
        </w:rPr>
        <w:t>1、项</w:t>
      </w:r>
      <w:r>
        <w:rPr>
          <w:rFonts w:hint="eastAsia"/>
          <w:color w:val="000000" w:themeColor="text1"/>
          <w14:textFill>
            <w14:solidFill>
              <w14:schemeClr w14:val="tx1"/>
            </w14:solidFill>
          </w14:textFill>
        </w:rPr>
        <w:t>目名称：</w:t>
      </w:r>
      <w:r>
        <w:rPr>
          <w:rFonts w:hint="eastAsia"/>
        </w:rPr>
        <w:t>购买一批实验室</w:t>
      </w:r>
      <w:r>
        <w:rPr>
          <w:rFonts w:hint="eastAsia"/>
          <w:lang w:val="en-US" w:eastAsia="zh-CN"/>
        </w:rPr>
        <w:t>应急</w:t>
      </w:r>
      <w:r>
        <w:rPr>
          <w:rFonts w:hint="eastAsia"/>
        </w:rPr>
        <w:t>检测试剂项目</w:t>
      </w:r>
    </w:p>
    <w:p w14:paraId="4B18ECCE">
      <w:pPr>
        <w:spacing w:line="360" w:lineRule="auto"/>
        <w:ind w:firstLine="420" w:firstLineChars="200"/>
        <w:rPr>
          <w:rFonts w:hint="default" w:eastAsiaTheme="minorEastAsia"/>
          <w:lang w:val="en-US" w:eastAsia="zh-CN"/>
        </w:rPr>
      </w:pPr>
      <w:r>
        <w:rPr>
          <w:rFonts w:hint="eastAsia"/>
        </w:rPr>
        <w:t>2、</w:t>
      </w:r>
      <w:r>
        <w:t>项目编号：</w:t>
      </w:r>
      <w:r>
        <w:rPr>
          <w:rFonts w:hint="eastAsia"/>
          <w:lang w:eastAsia="zh-CN"/>
        </w:rPr>
        <w:t>BACDCCG202500</w:t>
      </w:r>
      <w:r>
        <w:rPr>
          <w:rFonts w:hint="eastAsia"/>
          <w:lang w:val="en-US" w:eastAsia="zh-CN"/>
        </w:rPr>
        <w:t>9</w:t>
      </w:r>
    </w:p>
    <w:p w14:paraId="2915F678">
      <w:pPr>
        <w:spacing w:line="360" w:lineRule="auto"/>
        <w:ind w:firstLine="420" w:firstLineChars="200"/>
      </w:pPr>
      <w:r>
        <w:rPr>
          <w:rFonts w:hint="eastAsia"/>
        </w:rPr>
        <w:t>3、项目类别：货物类</w:t>
      </w:r>
    </w:p>
    <w:p w14:paraId="47B4BA25">
      <w:pPr>
        <w:spacing w:line="360" w:lineRule="auto"/>
        <w:ind w:firstLine="420" w:firstLineChars="200"/>
      </w:pPr>
      <w:r>
        <w:t>4</w:t>
      </w:r>
      <w:r>
        <w:rPr>
          <w:rFonts w:hint="eastAsia"/>
        </w:rPr>
        <w:t>、</w:t>
      </w:r>
      <w:r>
        <w:t>采购单位：</w:t>
      </w:r>
      <w:r>
        <w:rPr>
          <w:rFonts w:hint="eastAsia"/>
        </w:rPr>
        <w:t>深圳市宝安区疾病预防控制中心</w:t>
      </w:r>
    </w:p>
    <w:p w14:paraId="77A380F1">
      <w:pPr>
        <w:spacing w:line="360" w:lineRule="auto"/>
        <w:ind w:firstLine="420" w:firstLineChars="200"/>
      </w:pPr>
      <w:r>
        <w:t>5</w:t>
      </w:r>
      <w:r>
        <w:rPr>
          <w:rFonts w:hint="eastAsia"/>
        </w:rPr>
        <w:t>、采购方式：公开招标</w:t>
      </w:r>
    </w:p>
    <w:p w14:paraId="2CAD69A2">
      <w:pPr>
        <w:spacing w:line="360" w:lineRule="auto"/>
        <w:ind w:firstLine="420" w:firstLineChars="200"/>
      </w:pPr>
      <w:r>
        <w:rPr>
          <w:rFonts w:hint="eastAsia"/>
        </w:rPr>
        <w:t>6、评标方法：最低评标价法</w:t>
      </w:r>
    </w:p>
    <w:bookmarkEnd w:id="3"/>
    <w:p w14:paraId="1C9D3DC6">
      <w:pPr>
        <w:pStyle w:val="5"/>
        <w:ind w:firstLine="482"/>
      </w:pPr>
      <w:r>
        <w:rPr>
          <w:rFonts w:hint="eastAsia"/>
        </w:rPr>
        <w:t>二、采购预算</w:t>
      </w:r>
    </w:p>
    <w:p w14:paraId="00304D3A">
      <w:pPr>
        <w:spacing w:line="360" w:lineRule="auto"/>
        <w:ind w:firstLine="420" w:firstLineChars="200"/>
      </w:pPr>
      <w:r>
        <w:rPr>
          <w:rFonts w:hint="eastAsia"/>
        </w:rPr>
        <w:t>本项目采购预算金额为</w:t>
      </w:r>
      <w:r>
        <w:rPr>
          <w:rFonts w:hint="eastAsia"/>
          <w:lang w:val="en-US" w:eastAsia="zh-CN"/>
        </w:rPr>
        <w:t>270000</w:t>
      </w:r>
      <w:r>
        <w:rPr>
          <w:rFonts w:hint="eastAsia"/>
        </w:rPr>
        <w:t>.00元。</w:t>
      </w:r>
    </w:p>
    <w:p w14:paraId="56D23D7A">
      <w:pPr>
        <w:pStyle w:val="5"/>
        <w:ind w:firstLine="482"/>
      </w:pPr>
      <w:bookmarkStart w:id="4" w:name="_Hlk69568757"/>
      <w:r>
        <w:rPr>
          <w:rFonts w:hint="eastAsia"/>
        </w:rPr>
        <w:t>三、需落实的采购政策</w:t>
      </w:r>
    </w:p>
    <w:p w14:paraId="12B711C7">
      <w:pPr>
        <w:spacing w:line="360" w:lineRule="auto"/>
        <w:ind w:firstLine="420" w:firstLineChars="200"/>
      </w:pPr>
      <w:r>
        <w:rPr>
          <w:rFonts w:hint="eastAsia"/>
        </w:rPr>
        <w:t>按照相关规定执行，详见采购需求标准。</w:t>
      </w:r>
    </w:p>
    <w:p w14:paraId="54E48530">
      <w:pPr>
        <w:pStyle w:val="5"/>
        <w:ind w:firstLine="482"/>
      </w:pPr>
      <w:r>
        <w:rPr>
          <w:rFonts w:hint="eastAsia"/>
        </w:rPr>
        <w:t>四、供应商资格要求</w:t>
      </w:r>
    </w:p>
    <w:p w14:paraId="17EDF4D1">
      <w:pPr>
        <w:spacing w:line="360" w:lineRule="auto"/>
        <w:ind w:firstLine="420" w:firstLineChars="200"/>
      </w:pPr>
      <w:r>
        <w:rPr>
          <w:rFonts w:hint="eastAsia"/>
        </w:rPr>
        <w:t>1、</w:t>
      </w:r>
      <w:bookmarkStart w:id="5" w:name="_Hlk145674892"/>
      <w:r>
        <w:rPr>
          <w:rFonts w:hint="eastAsia"/>
        </w:rPr>
        <w:t>投标人</w:t>
      </w:r>
      <w:bookmarkEnd w:id="5"/>
      <w:r>
        <w:rPr>
          <w:rFonts w:hint="eastAsia"/>
        </w:rPr>
        <w:t>必须是在中华人民共和国境内注册的独立法人或其他组织</w:t>
      </w:r>
      <w:bookmarkStart w:id="6" w:name="_Hlk145674976"/>
      <w:r>
        <w:rPr>
          <w:rFonts w:hint="eastAsia"/>
        </w:rPr>
        <w:t>（提供营业执照复印件）；</w:t>
      </w:r>
      <w:bookmarkEnd w:id="6"/>
    </w:p>
    <w:p w14:paraId="4D4C9845">
      <w:pPr>
        <w:spacing w:line="360" w:lineRule="auto"/>
        <w:ind w:firstLine="420" w:firstLineChars="200"/>
      </w:pPr>
      <w:r>
        <w:rPr>
          <w:rFonts w:hint="eastAsia"/>
        </w:rPr>
        <w:t>2、投标人参加本次政府采购活动前3年内在经营活动中没有重大违法记录（提供声明函）；</w:t>
      </w:r>
    </w:p>
    <w:p w14:paraId="6650B73B">
      <w:pPr>
        <w:spacing w:line="360" w:lineRule="auto"/>
        <w:ind w:firstLine="420" w:firstLineChars="200"/>
      </w:pPr>
      <w:r>
        <w:rPr>
          <w:rFonts w:hint="eastAsia"/>
        </w:rPr>
        <w:t>3、截至开标时间为止，未被深圳市各级政府采购主管部门行政处罚（指禁止参与政府采购活动且在有效期内）的投标人；</w:t>
      </w:r>
    </w:p>
    <w:p w14:paraId="695B0D8A">
      <w:pPr>
        <w:spacing w:line="360" w:lineRule="auto"/>
        <w:ind w:firstLine="420" w:firstLineChars="200"/>
      </w:pPr>
      <w:r>
        <w:rPr>
          <w:rFonts w:hint="eastAsia"/>
        </w:rPr>
        <w:t>4、通过“信用中国”网站（www.creditchina.gov.cn）和中国政府采购网（www.ccgp.gov.cn）查询信用记录（相关信息以中标通知书发出前的查询结果为准），被列入失信被执行人、重大税收违法案件当事人名单或政府采购严重违法失信行为记录名单的供应商，拒绝参与本项目的采购活动(网上查询)；</w:t>
      </w:r>
    </w:p>
    <w:p w14:paraId="7D15A032">
      <w:pPr>
        <w:spacing w:line="360" w:lineRule="auto"/>
        <w:ind w:firstLine="420" w:firstLineChars="200"/>
      </w:pPr>
      <w:r>
        <w:rPr>
          <w:rFonts w:hint="eastAsia"/>
        </w:rPr>
        <w:t>5、本项目不接受联合体投标。</w:t>
      </w:r>
    </w:p>
    <w:p w14:paraId="4680CD8F">
      <w:pPr>
        <w:pStyle w:val="5"/>
        <w:ind w:firstLine="482"/>
      </w:pPr>
      <w:r>
        <w:rPr>
          <w:rFonts w:hint="eastAsia"/>
        </w:rPr>
        <w:t>五、获取采购文件的时间、地点及方式</w:t>
      </w:r>
    </w:p>
    <w:bookmarkEnd w:id="4"/>
    <w:p w14:paraId="434AD16E">
      <w:pPr>
        <w:spacing w:line="360" w:lineRule="auto"/>
        <w:ind w:firstLine="420" w:firstLineChars="200"/>
        <w:rPr>
          <w:rFonts w:hint="eastAsia"/>
          <w:highlight w:val="yellow"/>
        </w:rPr>
      </w:pPr>
      <w:r>
        <w:rPr>
          <w:rFonts w:hint="eastAsia"/>
        </w:rPr>
        <w:t>1、获取招标文件时间：</w:t>
      </w:r>
      <w:r>
        <w:rPr>
          <w:rFonts w:hint="eastAsia"/>
          <w:highlight w:val="yellow"/>
        </w:rPr>
        <w:t>202</w:t>
      </w:r>
      <w:r>
        <w:rPr>
          <w:rFonts w:hint="eastAsia"/>
          <w:highlight w:val="yellow"/>
          <w:lang w:val="en-US" w:eastAsia="zh-CN"/>
        </w:rPr>
        <w:t>5</w:t>
      </w:r>
      <w:r>
        <w:rPr>
          <w:rFonts w:hint="eastAsia"/>
          <w:highlight w:val="yellow"/>
        </w:rPr>
        <w:t>年</w:t>
      </w:r>
      <w:r>
        <w:rPr>
          <w:rFonts w:hint="eastAsia"/>
          <w:highlight w:val="yellow"/>
          <w:lang w:val="en-US" w:eastAsia="zh-CN"/>
        </w:rPr>
        <w:t>7</w:t>
      </w:r>
      <w:r>
        <w:rPr>
          <w:rFonts w:hint="eastAsia"/>
          <w:highlight w:val="yellow"/>
        </w:rPr>
        <w:t>月</w:t>
      </w:r>
      <w:r>
        <w:rPr>
          <w:rFonts w:hint="eastAsia"/>
          <w:highlight w:val="yellow"/>
          <w:lang w:val="en-US" w:eastAsia="zh-CN"/>
        </w:rPr>
        <w:t>9</w:t>
      </w:r>
      <w:r>
        <w:rPr>
          <w:rFonts w:hint="eastAsia"/>
          <w:highlight w:val="yellow"/>
        </w:rPr>
        <w:t>日起至202</w:t>
      </w:r>
      <w:r>
        <w:rPr>
          <w:rFonts w:hint="eastAsia"/>
          <w:highlight w:val="yellow"/>
          <w:lang w:val="en-US" w:eastAsia="zh-CN"/>
        </w:rPr>
        <w:t>5</w:t>
      </w:r>
      <w:r>
        <w:rPr>
          <w:rFonts w:hint="eastAsia"/>
          <w:highlight w:val="yellow"/>
        </w:rPr>
        <w:t>年</w:t>
      </w:r>
      <w:r>
        <w:rPr>
          <w:rFonts w:hint="eastAsia"/>
          <w:highlight w:val="yellow"/>
          <w:lang w:val="en-US" w:eastAsia="zh-CN"/>
        </w:rPr>
        <w:t>7</w:t>
      </w:r>
      <w:r>
        <w:rPr>
          <w:rFonts w:hint="eastAsia"/>
          <w:highlight w:val="yellow"/>
        </w:rPr>
        <w:t>月</w:t>
      </w:r>
      <w:r>
        <w:rPr>
          <w:rFonts w:hint="eastAsia"/>
          <w:highlight w:val="yellow"/>
          <w:lang w:val="en-US" w:eastAsia="zh-CN"/>
        </w:rPr>
        <w:t>17</w:t>
      </w:r>
      <w:r>
        <w:rPr>
          <w:rFonts w:hint="eastAsia"/>
          <w:highlight w:val="yellow"/>
        </w:rPr>
        <w:t>日</w:t>
      </w:r>
    </w:p>
    <w:p w14:paraId="133E1003">
      <w:pPr>
        <w:spacing w:line="360" w:lineRule="auto"/>
        <w:ind w:firstLine="420" w:firstLineChars="200"/>
        <w:rPr>
          <w:rFonts w:hint="default" w:eastAsiaTheme="minorEastAsia"/>
          <w:lang w:val="en-US" w:eastAsia="zh-CN"/>
        </w:rPr>
      </w:pPr>
      <w:r>
        <w:rPr>
          <w:rFonts w:hint="eastAsia"/>
        </w:rPr>
        <w:t>2、获取招标文件地点：</w:t>
      </w:r>
      <w:r>
        <w:rPr>
          <w:rFonts w:hint="eastAsia"/>
          <w:lang w:val="en-US" w:eastAsia="zh-CN"/>
        </w:rPr>
        <w:t>线上下载</w:t>
      </w:r>
    </w:p>
    <w:p w14:paraId="2BD0B0C9">
      <w:pPr>
        <w:spacing w:line="360" w:lineRule="auto"/>
        <w:ind w:firstLine="420" w:firstLineChars="200"/>
      </w:pPr>
      <w:r>
        <w:rPr>
          <w:rFonts w:hint="eastAsia"/>
          <w:lang w:val="en-US" w:eastAsia="zh-CN"/>
        </w:rPr>
        <w:t>3</w:t>
      </w:r>
      <w:r>
        <w:rPr>
          <w:rFonts w:hint="eastAsia"/>
        </w:rPr>
        <w:t>、联系人：</w:t>
      </w:r>
      <w:r>
        <w:rPr>
          <w:rFonts w:hint="eastAsia"/>
          <w:lang w:val="en-US" w:eastAsia="zh-CN"/>
        </w:rPr>
        <w:t>姜</w:t>
      </w:r>
      <w:r>
        <w:rPr>
          <w:rFonts w:hint="eastAsia"/>
        </w:rPr>
        <w:t>工</w:t>
      </w:r>
    </w:p>
    <w:p w14:paraId="001ACD70">
      <w:pPr>
        <w:spacing w:line="360" w:lineRule="auto"/>
        <w:ind w:firstLine="420" w:firstLineChars="200"/>
        <w:rPr>
          <w:rFonts w:hint="eastAsia" w:eastAsiaTheme="minorEastAsia"/>
          <w:lang w:eastAsia="zh-CN"/>
        </w:rPr>
      </w:pPr>
      <w:r>
        <w:rPr>
          <w:rFonts w:hint="eastAsia"/>
        </w:rPr>
        <w:t>5、联系电话：</w:t>
      </w:r>
      <w:r>
        <w:t xml:space="preserve">0755- </w:t>
      </w:r>
      <w:r>
        <w:rPr>
          <w:rFonts w:hint="eastAsia"/>
          <w:lang w:eastAsia="zh-CN"/>
        </w:rPr>
        <w:t>27751586</w:t>
      </w:r>
    </w:p>
    <w:p w14:paraId="1F4800EE">
      <w:pPr>
        <w:pStyle w:val="5"/>
        <w:ind w:firstLine="482"/>
      </w:pPr>
      <w:r>
        <w:rPr>
          <w:rFonts w:hint="eastAsia"/>
        </w:rPr>
        <w:t>六、投标截止时间</w:t>
      </w:r>
    </w:p>
    <w:p w14:paraId="285869A1">
      <w:pPr>
        <w:spacing w:line="360" w:lineRule="auto"/>
        <w:ind w:firstLine="420" w:firstLineChars="200"/>
      </w:pPr>
      <w:r>
        <w:rPr>
          <w:rFonts w:hint="eastAsia"/>
        </w:rPr>
        <w:t>1、递交投标文件时间：</w:t>
      </w:r>
      <w:r>
        <w:rPr>
          <w:rFonts w:hint="eastAsia"/>
          <w:highlight w:val="yellow"/>
        </w:rPr>
        <w:t>202</w:t>
      </w:r>
      <w:r>
        <w:rPr>
          <w:rFonts w:hint="eastAsia"/>
          <w:highlight w:val="yellow"/>
          <w:lang w:val="en-US" w:eastAsia="zh-CN"/>
        </w:rPr>
        <w:t>5</w:t>
      </w:r>
      <w:r>
        <w:rPr>
          <w:rFonts w:hint="eastAsia"/>
          <w:highlight w:val="yellow"/>
        </w:rPr>
        <w:t>年</w:t>
      </w:r>
      <w:r>
        <w:rPr>
          <w:rFonts w:hint="eastAsia"/>
          <w:highlight w:val="yellow"/>
          <w:lang w:val="en-US" w:eastAsia="zh-CN"/>
        </w:rPr>
        <w:t>7</w:t>
      </w:r>
      <w:r>
        <w:rPr>
          <w:rFonts w:hint="eastAsia"/>
          <w:highlight w:val="yellow"/>
        </w:rPr>
        <w:t>月</w:t>
      </w:r>
      <w:r>
        <w:rPr>
          <w:rFonts w:hint="eastAsia"/>
          <w:highlight w:val="yellow"/>
          <w:lang w:val="en-US" w:eastAsia="zh-CN"/>
        </w:rPr>
        <w:t>17</w:t>
      </w:r>
      <w:r>
        <w:rPr>
          <w:rFonts w:hint="eastAsia"/>
          <w:highlight w:val="yellow"/>
        </w:rPr>
        <w:t>日</w:t>
      </w:r>
      <w:r>
        <w:rPr>
          <w:rFonts w:hint="eastAsia"/>
        </w:rPr>
        <w:t>下午1</w:t>
      </w:r>
      <w:r>
        <w:rPr>
          <w:rFonts w:hint="eastAsia"/>
          <w:lang w:val="en-US" w:eastAsia="zh-CN"/>
        </w:rPr>
        <w:t>8</w:t>
      </w:r>
      <w:r>
        <w:rPr>
          <w:rFonts w:hint="eastAsia"/>
        </w:rPr>
        <w:t>：</w:t>
      </w:r>
      <w:r>
        <w:t>0</w:t>
      </w:r>
      <w:r>
        <w:rPr>
          <w:rFonts w:hint="eastAsia"/>
        </w:rPr>
        <w:t>0前（可快递，以签收时间为准）。</w:t>
      </w:r>
    </w:p>
    <w:p w14:paraId="62D90C12">
      <w:pPr>
        <w:spacing w:line="360" w:lineRule="auto"/>
        <w:ind w:firstLine="420" w:firstLineChars="200"/>
      </w:pPr>
      <w:r>
        <w:t>2</w:t>
      </w:r>
      <w:r>
        <w:rPr>
          <w:rFonts w:hint="eastAsia"/>
        </w:rPr>
        <w:t>、递交投标文件地点：深圳市宝安区海秀路3号（深圳市宝安区疾病预防控制中心）</w:t>
      </w:r>
      <w:r>
        <w:rPr>
          <w:rFonts w:hint="eastAsia"/>
          <w:lang w:val="en-US" w:eastAsia="zh-CN"/>
        </w:rPr>
        <w:t>525，</w:t>
      </w:r>
      <w:r>
        <w:rPr>
          <w:rFonts w:hint="eastAsia"/>
        </w:rPr>
        <w:t>如无法进入大楼可放置保安室。</w:t>
      </w:r>
    </w:p>
    <w:p w14:paraId="3BB0EC6D">
      <w:pPr>
        <w:pStyle w:val="5"/>
        <w:ind w:firstLine="482"/>
      </w:pPr>
      <w:r>
        <w:rPr>
          <w:rFonts w:hint="eastAsia"/>
        </w:rPr>
        <w:t>七、采购公告查询：</w:t>
      </w:r>
    </w:p>
    <w:p w14:paraId="0D6ADBEE">
      <w:pPr>
        <w:spacing w:line="360" w:lineRule="auto"/>
        <w:ind w:firstLine="420" w:firstLineChars="200"/>
      </w:pPr>
      <w:r>
        <w:rPr>
          <w:rFonts w:hint="eastAsia"/>
        </w:rPr>
        <w:t>https://www.bawjxt.net/baqjbyfkzzx/(深圳市宝安区疾病预防控制中心官网)</w:t>
      </w:r>
    </w:p>
    <w:p w14:paraId="5783F421">
      <w:pPr>
        <w:spacing w:line="360" w:lineRule="auto"/>
        <w:ind w:firstLine="420" w:firstLineChars="200"/>
      </w:pPr>
    </w:p>
    <w:p w14:paraId="7C397871">
      <w:pPr>
        <w:spacing w:line="360" w:lineRule="auto"/>
        <w:ind w:firstLine="420" w:firstLineChars="200"/>
      </w:pPr>
    </w:p>
    <w:p w14:paraId="4FBE17F7">
      <w:pPr>
        <w:spacing w:line="360" w:lineRule="auto"/>
        <w:ind w:firstLine="5460" w:firstLineChars="2600"/>
        <w:rPr>
          <w:rFonts w:hint="eastAsia"/>
        </w:rPr>
      </w:pPr>
      <w:r>
        <w:rPr>
          <w:rFonts w:hint="eastAsia"/>
        </w:rPr>
        <w:t>深圳市宝安区疾病预防控制中心</w:t>
      </w:r>
    </w:p>
    <w:p w14:paraId="43CE7AD1">
      <w:pPr>
        <w:spacing w:line="360" w:lineRule="auto"/>
        <w:ind w:firstLine="5460" w:firstLineChars="2600"/>
        <w:rPr>
          <w:rFonts w:hint="eastAsia" w:eastAsiaTheme="minorEastAsia"/>
          <w:lang w:eastAsia="zh-CN"/>
        </w:rPr>
      </w:pPr>
      <w:r>
        <w:rPr>
          <w:rFonts w:hint="eastAsia"/>
          <w:lang w:eastAsia="zh-CN"/>
        </w:rPr>
        <w:t>（</w:t>
      </w:r>
      <w:r>
        <w:rPr>
          <w:rFonts w:hint="eastAsia"/>
          <w:lang w:val="en-US" w:eastAsia="zh-CN"/>
        </w:rPr>
        <w:t>深圳市宝安区卫生监督所</w:t>
      </w:r>
      <w:r>
        <w:rPr>
          <w:rFonts w:hint="eastAsia"/>
          <w:lang w:eastAsia="zh-CN"/>
        </w:rPr>
        <w:t>）</w:t>
      </w:r>
    </w:p>
    <w:p w14:paraId="1FE86B6C">
      <w:pPr>
        <w:spacing w:line="360" w:lineRule="auto"/>
        <w:ind w:firstLine="5880" w:firstLineChars="2800"/>
      </w:pPr>
      <w:r>
        <w:rPr>
          <w:rFonts w:hint="eastAsia"/>
        </w:rPr>
        <w:t>2</w:t>
      </w:r>
      <w:r>
        <w:t>02</w:t>
      </w:r>
      <w:r>
        <w:rPr>
          <w:rFonts w:hint="eastAsia"/>
          <w:lang w:val="en-US" w:eastAsia="zh-CN"/>
        </w:rPr>
        <w:t>5</w:t>
      </w:r>
      <w:r>
        <w:rPr>
          <w:rFonts w:hint="eastAsia"/>
        </w:rPr>
        <w:t>年</w:t>
      </w:r>
      <w:r>
        <w:rPr>
          <w:rFonts w:hint="eastAsia"/>
          <w:lang w:val="en-US" w:eastAsia="zh-CN"/>
        </w:rPr>
        <w:t>7</w:t>
      </w:r>
      <w:r>
        <w:rPr>
          <w:rFonts w:hint="eastAsia"/>
        </w:rPr>
        <w:t>月</w:t>
      </w:r>
      <w:r>
        <w:rPr>
          <w:rFonts w:hint="eastAsia"/>
          <w:lang w:val="en-US" w:eastAsia="zh-CN"/>
        </w:rPr>
        <w:t>9</w:t>
      </w:r>
      <w:r>
        <w:rPr>
          <w:rFonts w:hint="eastAsia"/>
        </w:rPr>
        <w:t>日</w:t>
      </w:r>
    </w:p>
    <w:p w14:paraId="4EEFC1AD">
      <w:pPr>
        <w:spacing w:line="360" w:lineRule="auto"/>
        <w:ind w:firstLine="420" w:firstLineChars="200"/>
        <w:sectPr>
          <w:pgSz w:w="11906" w:h="16838"/>
          <w:pgMar w:top="1418" w:right="1474" w:bottom="1418" w:left="1474" w:header="851" w:footer="992" w:gutter="0"/>
          <w:cols w:space="425" w:num="1"/>
          <w:docGrid w:type="lines" w:linePitch="312" w:charSpace="0"/>
        </w:sectPr>
      </w:pPr>
    </w:p>
    <w:p w14:paraId="68E0E3FF">
      <w:pPr>
        <w:pStyle w:val="2"/>
      </w:pPr>
      <w:bookmarkStart w:id="7" w:name="_Toc61539109"/>
      <w:bookmarkStart w:id="8" w:name="_Toc86939329"/>
      <w:r>
        <w:rPr>
          <w:rFonts w:hint="eastAsia"/>
        </w:rPr>
        <w:t>第二章  用户需求书</w:t>
      </w:r>
      <w:bookmarkEnd w:id="7"/>
      <w:bookmarkEnd w:id="8"/>
    </w:p>
    <w:p w14:paraId="53BC6BE8">
      <w:pPr>
        <w:pStyle w:val="3"/>
      </w:pPr>
      <w:bookmarkStart w:id="9" w:name="_Toc86939330"/>
      <w:bookmarkStart w:id="10" w:name="_Toc86741961"/>
      <w:r>
        <w:rPr>
          <w:rFonts w:hint="eastAsia"/>
        </w:rPr>
        <w:t>一、货物清单</w:t>
      </w:r>
    </w:p>
    <w:tbl>
      <w:tblPr>
        <w:tblStyle w:val="16"/>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1"/>
        <w:gridCol w:w="4407"/>
        <w:gridCol w:w="2199"/>
        <w:gridCol w:w="627"/>
        <w:gridCol w:w="627"/>
        <w:gridCol w:w="627"/>
      </w:tblGrid>
      <w:tr w14:paraId="6904C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979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4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EF9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货物名称</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3BF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907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91C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ED403">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备注</w:t>
            </w:r>
          </w:p>
        </w:tc>
      </w:tr>
      <w:tr w14:paraId="7D722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84A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721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登革热</w:t>
            </w:r>
            <w:r>
              <w:rPr>
                <w:rFonts w:ascii="Calibri" w:hAnsi="Calibri" w:eastAsia="宋体" w:cs="Calibri"/>
                <w:i w:val="0"/>
                <w:iCs w:val="0"/>
                <w:color w:val="000000"/>
                <w:kern w:val="0"/>
                <w:sz w:val="21"/>
                <w:szCs w:val="21"/>
                <w:u w:val="none"/>
                <w:lang w:val="en-US" w:eastAsia="zh-CN" w:bidi="ar"/>
              </w:rPr>
              <w:t>NS1</w:t>
            </w:r>
            <w:r>
              <w:rPr>
                <w:rFonts w:hint="eastAsia" w:ascii="宋体" w:hAnsi="宋体" w:eastAsia="宋体" w:cs="宋体"/>
                <w:i w:val="0"/>
                <w:iCs w:val="0"/>
                <w:color w:val="000000"/>
                <w:kern w:val="0"/>
                <w:sz w:val="21"/>
                <w:szCs w:val="21"/>
                <w:u w:val="none"/>
                <w:lang w:val="en-US" w:eastAsia="zh-CN" w:bidi="ar"/>
              </w:rPr>
              <w:t>抗原检测试剂（胶体金法）</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B8EDB">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ascii="Calibri" w:hAnsi="Calibri" w:eastAsia="宋体" w:cs="Calibri"/>
                <w:i w:val="0"/>
                <w:iCs w:val="0"/>
                <w:color w:val="000000"/>
                <w:kern w:val="0"/>
                <w:sz w:val="21"/>
                <w:szCs w:val="21"/>
                <w:u w:val="none"/>
                <w:lang w:val="en-US" w:eastAsia="zh-CN" w:bidi="ar"/>
              </w:rPr>
              <w:t>20T/</w:t>
            </w:r>
            <w:r>
              <w:rPr>
                <w:rFonts w:hint="eastAsia" w:ascii="宋体" w:hAnsi="宋体" w:eastAsia="宋体" w:cs="宋体"/>
                <w:i w:val="0"/>
                <w:iCs w:val="0"/>
                <w:color w:val="000000"/>
                <w:kern w:val="0"/>
                <w:sz w:val="21"/>
                <w:szCs w:val="21"/>
                <w:u w:val="none"/>
                <w:lang w:val="en-US" w:eastAsia="zh-CN" w:bidi="ar"/>
              </w:rPr>
              <w:t>盒</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7104E">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993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627" w:type="dxa"/>
            <w:vMerge w:val="restart"/>
            <w:tcBorders>
              <w:top w:val="single" w:color="000000" w:sz="4" w:space="0"/>
              <w:left w:val="single" w:color="000000" w:sz="4" w:space="0"/>
              <w:right w:val="single" w:color="000000" w:sz="4" w:space="0"/>
            </w:tcBorders>
            <w:shd w:val="clear" w:color="auto" w:fill="auto"/>
            <w:noWrap/>
            <w:vAlign w:val="center"/>
          </w:tcPr>
          <w:p w14:paraId="24AB722D">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注明生产厂家</w:t>
            </w:r>
          </w:p>
        </w:tc>
      </w:tr>
      <w:tr w14:paraId="5728F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D8F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CE4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诺如病毒核酸检测试剂盒（荧光</w:t>
            </w:r>
            <w:r>
              <w:rPr>
                <w:rFonts w:ascii="Calibri" w:hAnsi="Calibri" w:eastAsia="宋体" w:cs="Calibri"/>
                <w:i w:val="0"/>
                <w:iCs w:val="0"/>
                <w:color w:val="000000"/>
                <w:kern w:val="0"/>
                <w:sz w:val="21"/>
                <w:szCs w:val="21"/>
                <w:u w:val="none"/>
                <w:lang w:val="en-US" w:eastAsia="zh-CN" w:bidi="ar"/>
              </w:rPr>
              <w:t xml:space="preserve"> PCR </w:t>
            </w:r>
            <w:r>
              <w:rPr>
                <w:rFonts w:hint="eastAsia" w:ascii="宋体" w:hAnsi="宋体" w:eastAsia="宋体" w:cs="宋体"/>
                <w:i w:val="0"/>
                <w:iCs w:val="0"/>
                <w:color w:val="000000"/>
                <w:kern w:val="0"/>
                <w:sz w:val="21"/>
                <w:szCs w:val="21"/>
                <w:u w:val="none"/>
                <w:lang w:val="en-US" w:eastAsia="zh-CN" w:bidi="ar"/>
              </w:rPr>
              <w:t>法）</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56553">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YJC50108N，50 反应/盒</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075C3">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6</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BC2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627" w:type="dxa"/>
            <w:vMerge w:val="continue"/>
            <w:tcBorders>
              <w:left w:val="single" w:color="000000" w:sz="4" w:space="0"/>
              <w:right w:val="single" w:color="000000" w:sz="4" w:space="0"/>
            </w:tcBorders>
            <w:shd w:val="clear" w:color="auto" w:fill="auto"/>
            <w:noWrap/>
            <w:vAlign w:val="center"/>
          </w:tcPr>
          <w:p w14:paraId="6DF43CF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DE2C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154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786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肛拭子采样管（非灭活）</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A37C8">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V10-3.5-50，1000支/箱</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15131">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6F0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箱</w:t>
            </w:r>
          </w:p>
        </w:tc>
        <w:tc>
          <w:tcPr>
            <w:tcW w:w="627" w:type="dxa"/>
            <w:vMerge w:val="continue"/>
            <w:tcBorders>
              <w:left w:val="single" w:color="000000" w:sz="4" w:space="0"/>
              <w:right w:val="single" w:color="000000" w:sz="4" w:space="0"/>
            </w:tcBorders>
            <w:shd w:val="clear" w:color="auto" w:fill="auto"/>
            <w:noWrap/>
            <w:vAlign w:val="center"/>
          </w:tcPr>
          <w:p w14:paraId="27CEC51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2836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FF4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BF0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人类免疫缺陷病毒</w:t>
            </w:r>
            <w:r>
              <w:rPr>
                <w:rFonts w:ascii="Calibri" w:hAnsi="Calibri" w:eastAsia="宋体" w:cs="Calibri"/>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型（</w:t>
            </w:r>
            <w:r>
              <w:rPr>
                <w:rFonts w:ascii="Calibri" w:hAnsi="Calibri" w:eastAsia="宋体" w:cs="Calibri"/>
                <w:i w:val="0"/>
                <w:iCs w:val="0"/>
                <w:color w:val="000000"/>
                <w:kern w:val="0"/>
                <w:sz w:val="21"/>
                <w:szCs w:val="21"/>
                <w:u w:val="none"/>
                <w:lang w:val="en-US" w:eastAsia="zh-CN" w:bidi="ar"/>
              </w:rPr>
              <w:t>HIV-1</w:t>
            </w:r>
            <w:r>
              <w:rPr>
                <w:rFonts w:hint="eastAsia" w:ascii="宋体" w:hAnsi="宋体" w:eastAsia="宋体" w:cs="宋体"/>
                <w:i w:val="0"/>
                <w:iCs w:val="0"/>
                <w:color w:val="000000"/>
                <w:kern w:val="0"/>
                <w:sz w:val="21"/>
                <w:szCs w:val="21"/>
                <w:u w:val="none"/>
                <w:lang w:val="en-US" w:eastAsia="zh-CN" w:bidi="ar"/>
              </w:rPr>
              <w:t>）核酸测定试剂盒（</w:t>
            </w:r>
            <w:r>
              <w:rPr>
                <w:rFonts w:ascii="Calibri" w:hAnsi="Calibri" w:eastAsia="宋体" w:cs="Calibri"/>
                <w:i w:val="0"/>
                <w:iCs w:val="0"/>
                <w:color w:val="000000"/>
                <w:kern w:val="0"/>
                <w:sz w:val="21"/>
                <w:szCs w:val="21"/>
                <w:u w:val="none"/>
                <w:lang w:val="en-US" w:eastAsia="zh-CN" w:bidi="ar"/>
              </w:rPr>
              <w:t>PCR-</w:t>
            </w:r>
            <w:r>
              <w:rPr>
                <w:rFonts w:hint="eastAsia" w:ascii="宋体" w:hAnsi="宋体" w:eastAsia="宋体" w:cs="宋体"/>
                <w:i w:val="0"/>
                <w:iCs w:val="0"/>
                <w:color w:val="000000"/>
                <w:kern w:val="0"/>
                <w:sz w:val="21"/>
                <w:szCs w:val="21"/>
                <w:u w:val="none"/>
                <w:lang w:val="en-US" w:eastAsia="zh-CN" w:bidi="ar"/>
              </w:rPr>
              <w:t>荧光探针法）</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2B32D">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DA0331，48人份</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93C13">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A69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627" w:type="dxa"/>
            <w:vMerge w:val="continue"/>
            <w:tcBorders>
              <w:left w:val="single" w:color="000000" w:sz="4" w:space="0"/>
              <w:right w:val="single" w:color="000000" w:sz="4" w:space="0"/>
            </w:tcBorders>
            <w:shd w:val="clear" w:color="auto" w:fill="auto"/>
            <w:noWrap/>
            <w:vAlign w:val="center"/>
          </w:tcPr>
          <w:p w14:paraId="7114DF1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0078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A96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CD5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脱纤维羊血</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191BA">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TX0030，100ML/瓶</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2397E">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758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627" w:type="dxa"/>
            <w:vMerge w:val="continue"/>
            <w:tcBorders>
              <w:left w:val="single" w:color="000000" w:sz="4" w:space="0"/>
              <w:right w:val="single" w:color="000000" w:sz="4" w:space="0"/>
            </w:tcBorders>
            <w:shd w:val="clear" w:color="auto" w:fill="auto"/>
            <w:noWrap/>
            <w:vAlign w:val="center"/>
          </w:tcPr>
          <w:p w14:paraId="0692850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6CC9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823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66D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哥伦比亚</w:t>
            </w:r>
            <w:r>
              <w:rPr>
                <w:rFonts w:ascii="Calibri" w:hAnsi="Calibri" w:eastAsia="宋体" w:cs="Calibri"/>
                <w:i w:val="0"/>
                <w:iCs w:val="0"/>
                <w:color w:val="000000"/>
                <w:kern w:val="0"/>
                <w:sz w:val="21"/>
                <w:szCs w:val="21"/>
                <w:u w:val="none"/>
                <w:lang w:val="en-US" w:eastAsia="zh-CN" w:bidi="ar"/>
              </w:rPr>
              <w:t>CNA</w:t>
            </w:r>
            <w:r>
              <w:rPr>
                <w:rFonts w:hint="eastAsia" w:ascii="宋体" w:hAnsi="宋体" w:eastAsia="宋体" w:cs="宋体"/>
                <w:i w:val="0"/>
                <w:iCs w:val="0"/>
                <w:color w:val="000000"/>
                <w:kern w:val="0"/>
                <w:sz w:val="21"/>
                <w:szCs w:val="21"/>
                <w:u w:val="none"/>
                <w:lang w:val="en-US" w:eastAsia="zh-CN" w:bidi="ar"/>
              </w:rPr>
              <w:t>血琼脂基础 干粉</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D3945">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024066，250g/瓶</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F38A0">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1B7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627" w:type="dxa"/>
            <w:vMerge w:val="continue"/>
            <w:tcBorders>
              <w:left w:val="single" w:color="000000" w:sz="4" w:space="0"/>
              <w:right w:val="single" w:color="000000" w:sz="4" w:space="0"/>
            </w:tcBorders>
            <w:shd w:val="clear" w:color="auto" w:fill="auto"/>
            <w:noWrap/>
            <w:vAlign w:val="center"/>
          </w:tcPr>
          <w:p w14:paraId="356145C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FADF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A53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2A7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改良胰蛋白胨大豆肉汤配套试剂</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BBA19">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SR0310，10支/盒</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E97C0">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5B9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627" w:type="dxa"/>
            <w:vMerge w:val="continue"/>
            <w:tcBorders>
              <w:left w:val="single" w:color="000000" w:sz="4" w:space="0"/>
              <w:right w:val="single" w:color="000000" w:sz="4" w:space="0"/>
            </w:tcBorders>
            <w:shd w:val="clear" w:color="auto" w:fill="auto"/>
            <w:noWrap/>
            <w:vAlign w:val="center"/>
          </w:tcPr>
          <w:p w14:paraId="7CC7AD3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5193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E73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236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明胶培养基（干粉）</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6BACB">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022250，100g/瓶</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69CE1">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C87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627" w:type="dxa"/>
            <w:vMerge w:val="continue"/>
            <w:tcBorders>
              <w:left w:val="single" w:color="000000" w:sz="4" w:space="0"/>
              <w:right w:val="single" w:color="000000" w:sz="4" w:space="0"/>
            </w:tcBorders>
            <w:shd w:val="clear" w:color="auto" w:fill="auto"/>
            <w:noWrap/>
            <w:vAlign w:val="center"/>
          </w:tcPr>
          <w:p w14:paraId="1F643C4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D656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85D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E2E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链激酶（生化试剂）</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1F6F4">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S4700-10KU，S4700-10KU</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D4835">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909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627" w:type="dxa"/>
            <w:vMerge w:val="continue"/>
            <w:tcBorders>
              <w:left w:val="single" w:color="000000" w:sz="4" w:space="0"/>
              <w:right w:val="single" w:color="000000" w:sz="4" w:space="0"/>
            </w:tcBorders>
            <w:shd w:val="clear" w:color="auto" w:fill="auto"/>
            <w:noWrap/>
            <w:vAlign w:val="center"/>
          </w:tcPr>
          <w:p w14:paraId="4409321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3408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5F1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04C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杆菌肽（生化试剂）</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6D784">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B8181-1g</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9E1B8">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E97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627" w:type="dxa"/>
            <w:vMerge w:val="continue"/>
            <w:tcBorders>
              <w:left w:val="single" w:color="000000" w:sz="4" w:space="0"/>
              <w:right w:val="single" w:color="000000" w:sz="4" w:space="0"/>
            </w:tcBorders>
            <w:shd w:val="clear" w:color="auto" w:fill="auto"/>
            <w:noWrap/>
            <w:vAlign w:val="center"/>
          </w:tcPr>
          <w:p w14:paraId="1D4EABB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80B2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707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4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A18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札如病毒核酸检测试剂盒（荧光</w:t>
            </w:r>
            <w:r>
              <w:rPr>
                <w:rFonts w:ascii="Calibri" w:hAnsi="Calibri" w:eastAsia="宋体" w:cs="Calibri"/>
                <w:i w:val="0"/>
                <w:iCs w:val="0"/>
                <w:color w:val="000000"/>
                <w:kern w:val="0"/>
                <w:sz w:val="21"/>
                <w:szCs w:val="21"/>
                <w:u w:val="none"/>
                <w:lang w:val="en-US" w:eastAsia="zh-CN" w:bidi="ar"/>
              </w:rPr>
              <w:t>PCR</w:t>
            </w:r>
            <w:r>
              <w:rPr>
                <w:rFonts w:hint="eastAsia" w:ascii="宋体" w:hAnsi="宋体" w:eastAsia="宋体" w:cs="宋体"/>
                <w:i w:val="0"/>
                <w:iCs w:val="0"/>
                <w:color w:val="000000"/>
                <w:kern w:val="0"/>
                <w:sz w:val="21"/>
                <w:szCs w:val="21"/>
                <w:u w:val="none"/>
                <w:lang w:val="en-US" w:eastAsia="zh-CN" w:bidi="ar"/>
              </w:rPr>
              <w:t>法）</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A2374">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ascii="Calibri" w:hAnsi="Calibri" w:eastAsia="宋体" w:cs="Calibri"/>
                <w:i w:val="0"/>
                <w:iCs w:val="0"/>
                <w:color w:val="000000"/>
                <w:kern w:val="0"/>
                <w:sz w:val="21"/>
                <w:szCs w:val="21"/>
                <w:u w:val="none"/>
                <w:lang w:val="en-US" w:eastAsia="zh-CN" w:bidi="ar"/>
              </w:rPr>
              <w:t>YJC50105N</w:t>
            </w:r>
            <w:r>
              <w:rPr>
                <w:rFonts w:hint="eastAsia" w:ascii="宋体" w:hAnsi="宋体" w:eastAsia="宋体" w:cs="宋体"/>
                <w:i w:val="0"/>
                <w:iCs w:val="0"/>
                <w:color w:val="000000"/>
                <w:kern w:val="0"/>
                <w:sz w:val="21"/>
                <w:szCs w:val="21"/>
                <w:u w:val="none"/>
                <w:lang w:val="en-US" w:eastAsia="zh-CN" w:bidi="ar"/>
              </w:rPr>
              <w:t>，</w:t>
            </w:r>
            <w:r>
              <w:rPr>
                <w:rFonts w:ascii="Calibri" w:hAnsi="Calibri" w:eastAsia="宋体" w:cs="Calibri"/>
                <w:i w:val="0"/>
                <w:iCs w:val="0"/>
                <w:color w:val="000000"/>
                <w:kern w:val="0"/>
                <w:sz w:val="21"/>
                <w:szCs w:val="21"/>
                <w:u w:val="none"/>
                <w:lang w:val="en-US" w:eastAsia="zh-CN" w:bidi="ar"/>
              </w:rPr>
              <w:t>50T</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D0618">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796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627" w:type="dxa"/>
            <w:vMerge w:val="continue"/>
            <w:tcBorders>
              <w:left w:val="single" w:color="000000" w:sz="4" w:space="0"/>
              <w:right w:val="single" w:color="000000" w:sz="4" w:space="0"/>
            </w:tcBorders>
            <w:shd w:val="clear" w:color="auto" w:fill="auto"/>
            <w:noWrap/>
            <w:vAlign w:val="center"/>
          </w:tcPr>
          <w:p w14:paraId="777014D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DD83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372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FD0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风疹病毒</w:t>
            </w:r>
            <w:r>
              <w:rPr>
                <w:rFonts w:ascii="Calibri" w:hAnsi="Calibri" w:eastAsia="宋体" w:cs="Calibri"/>
                <w:i w:val="0"/>
                <w:iCs w:val="0"/>
                <w:color w:val="000000"/>
                <w:kern w:val="0"/>
                <w:sz w:val="21"/>
                <w:szCs w:val="21"/>
                <w:u w:val="none"/>
                <w:lang w:val="en-US" w:eastAsia="zh-CN" w:bidi="ar"/>
              </w:rPr>
              <w:t xml:space="preserve"> IgM</w:t>
            </w:r>
            <w:r>
              <w:rPr>
                <w:rFonts w:hint="eastAsia" w:ascii="宋体" w:hAnsi="宋体" w:eastAsia="宋体" w:cs="宋体"/>
                <w:i w:val="0"/>
                <w:iCs w:val="0"/>
                <w:color w:val="000000"/>
                <w:kern w:val="0"/>
                <w:sz w:val="21"/>
                <w:szCs w:val="21"/>
                <w:u w:val="none"/>
                <w:lang w:val="en-US" w:eastAsia="zh-CN" w:bidi="ar"/>
              </w:rPr>
              <w:t>抗体检测试剂盒</w:t>
            </w:r>
            <w:r>
              <w:rPr>
                <w:rFonts w:ascii="Calibri" w:hAnsi="Calibri" w:eastAsia="宋体" w:cs="Calibri"/>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酶联免疫捕获法</w:t>
            </w:r>
            <w:r>
              <w:rPr>
                <w:rFonts w:ascii="Calibri" w:hAnsi="Calibri" w:eastAsia="宋体" w:cs="Calibri"/>
                <w:i w:val="0"/>
                <w:iCs w:val="0"/>
                <w:color w:val="000000"/>
                <w:kern w:val="0"/>
                <w:sz w:val="21"/>
                <w:szCs w:val="21"/>
                <w:u w:val="none"/>
                <w:lang w:val="en-US" w:eastAsia="zh-CN" w:bidi="ar"/>
              </w:rPr>
              <w:t>)</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62977">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ascii="Calibri" w:hAnsi="Calibri" w:eastAsia="宋体" w:cs="Calibri"/>
                <w:i w:val="0"/>
                <w:iCs w:val="0"/>
                <w:color w:val="000000"/>
                <w:kern w:val="0"/>
                <w:sz w:val="21"/>
                <w:szCs w:val="21"/>
                <w:u w:val="none"/>
                <w:lang w:val="en-US" w:eastAsia="zh-CN" w:bidi="ar"/>
              </w:rPr>
              <w:t>09675027630094</w:t>
            </w:r>
            <w:r>
              <w:rPr>
                <w:rFonts w:hint="eastAsia" w:ascii="宋体" w:hAnsi="宋体" w:eastAsia="宋体" w:cs="宋体"/>
                <w:i w:val="0"/>
                <w:iCs w:val="0"/>
                <w:color w:val="000000"/>
                <w:kern w:val="0"/>
                <w:sz w:val="21"/>
                <w:szCs w:val="21"/>
                <w:u w:val="none"/>
                <w:lang w:val="en-US" w:eastAsia="zh-CN" w:bidi="ar"/>
              </w:rPr>
              <w:t>，</w:t>
            </w:r>
            <w:r>
              <w:rPr>
                <w:rFonts w:ascii="Calibri" w:hAnsi="Calibri" w:eastAsia="宋体" w:cs="Calibri"/>
                <w:i w:val="0"/>
                <w:iCs w:val="0"/>
                <w:color w:val="000000"/>
                <w:kern w:val="0"/>
                <w:sz w:val="21"/>
                <w:szCs w:val="21"/>
                <w:u w:val="none"/>
                <w:lang w:val="en-US" w:eastAsia="zh-CN" w:bidi="ar"/>
              </w:rPr>
              <w:t xml:space="preserve">48 </w:t>
            </w:r>
            <w:r>
              <w:rPr>
                <w:rFonts w:hint="eastAsia" w:ascii="宋体" w:hAnsi="宋体" w:eastAsia="宋体" w:cs="宋体"/>
                <w:i w:val="0"/>
                <w:iCs w:val="0"/>
                <w:color w:val="000000"/>
                <w:kern w:val="0"/>
                <w:sz w:val="21"/>
                <w:szCs w:val="21"/>
                <w:u w:val="none"/>
                <w:lang w:val="en-US" w:eastAsia="zh-CN" w:bidi="ar"/>
              </w:rPr>
              <w:t>人份</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4D9EB">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6</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423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627" w:type="dxa"/>
            <w:vMerge w:val="continue"/>
            <w:tcBorders>
              <w:left w:val="single" w:color="000000" w:sz="4" w:space="0"/>
              <w:right w:val="single" w:color="000000" w:sz="4" w:space="0"/>
            </w:tcBorders>
            <w:shd w:val="clear" w:color="auto" w:fill="auto"/>
            <w:noWrap/>
            <w:vAlign w:val="center"/>
          </w:tcPr>
          <w:p w14:paraId="4C806D3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908A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EB5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4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261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麻疹病毒</w:t>
            </w:r>
            <w:r>
              <w:rPr>
                <w:rFonts w:ascii="Calibri" w:hAnsi="Calibri" w:eastAsia="宋体" w:cs="Calibri"/>
                <w:i w:val="0"/>
                <w:iCs w:val="0"/>
                <w:color w:val="000000"/>
                <w:kern w:val="0"/>
                <w:sz w:val="21"/>
                <w:szCs w:val="21"/>
                <w:u w:val="none"/>
                <w:lang w:val="en-US" w:eastAsia="zh-CN" w:bidi="ar"/>
              </w:rPr>
              <w:t xml:space="preserve"> IgM </w:t>
            </w:r>
            <w:r>
              <w:rPr>
                <w:rFonts w:hint="eastAsia" w:ascii="宋体" w:hAnsi="宋体" w:eastAsia="宋体" w:cs="宋体"/>
                <w:i w:val="0"/>
                <w:iCs w:val="0"/>
                <w:color w:val="000000"/>
                <w:kern w:val="0"/>
                <w:sz w:val="21"/>
                <w:szCs w:val="21"/>
                <w:u w:val="none"/>
                <w:lang w:val="en-US" w:eastAsia="zh-CN" w:bidi="ar"/>
              </w:rPr>
              <w:t>抗体检测试剂盒</w:t>
            </w:r>
            <w:r>
              <w:rPr>
                <w:rFonts w:ascii="Calibri" w:hAnsi="Calibri" w:eastAsia="宋体" w:cs="Calibri"/>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酶联免疫捕获法</w:t>
            </w:r>
            <w:r>
              <w:rPr>
                <w:rFonts w:ascii="Calibri" w:hAnsi="Calibri" w:eastAsia="宋体" w:cs="Calibri"/>
                <w:i w:val="0"/>
                <w:iCs w:val="0"/>
                <w:color w:val="000000"/>
                <w:kern w:val="0"/>
                <w:sz w:val="21"/>
                <w:szCs w:val="21"/>
                <w:u w:val="none"/>
                <w:lang w:val="en-US" w:eastAsia="zh-CN" w:bidi="ar"/>
              </w:rPr>
              <w:t>)</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C1580">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ascii="Calibri" w:hAnsi="Calibri" w:eastAsia="宋体" w:cs="Calibri"/>
                <w:i w:val="0"/>
                <w:iCs w:val="0"/>
                <w:color w:val="000000"/>
                <w:kern w:val="0"/>
                <w:sz w:val="21"/>
                <w:szCs w:val="21"/>
                <w:u w:val="none"/>
                <w:lang w:val="en-US" w:eastAsia="zh-CN" w:bidi="ar"/>
              </w:rPr>
              <w:t>09675027630223</w:t>
            </w:r>
            <w:r>
              <w:rPr>
                <w:rFonts w:hint="eastAsia" w:ascii="宋体" w:hAnsi="宋体" w:eastAsia="宋体" w:cs="宋体"/>
                <w:i w:val="0"/>
                <w:iCs w:val="0"/>
                <w:color w:val="000000"/>
                <w:kern w:val="0"/>
                <w:sz w:val="21"/>
                <w:szCs w:val="21"/>
                <w:u w:val="none"/>
                <w:lang w:val="en-US" w:eastAsia="zh-CN" w:bidi="ar"/>
              </w:rPr>
              <w:t>，</w:t>
            </w:r>
            <w:r>
              <w:rPr>
                <w:rFonts w:ascii="Calibri" w:hAnsi="Calibri" w:eastAsia="宋体" w:cs="Calibri"/>
                <w:i w:val="0"/>
                <w:iCs w:val="0"/>
                <w:color w:val="000000"/>
                <w:kern w:val="0"/>
                <w:sz w:val="21"/>
                <w:szCs w:val="21"/>
                <w:u w:val="none"/>
                <w:lang w:val="en-US" w:eastAsia="zh-CN" w:bidi="ar"/>
              </w:rPr>
              <w:t xml:space="preserve">48 </w:t>
            </w:r>
            <w:r>
              <w:rPr>
                <w:rFonts w:hint="eastAsia" w:ascii="宋体" w:hAnsi="宋体" w:eastAsia="宋体" w:cs="宋体"/>
                <w:i w:val="0"/>
                <w:iCs w:val="0"/>
                <w:color w:val="000000"/>
                <w:kern w:val="0"/>
                <w:sz w:val="21"/>
                <w:szCs w:val="21"/>
                <w:u w:val="none"/>
                <w:lang w:val="en-US" w:eastAsia="zh-CN" w:bidi="ar"/>
              </w:rPr>
              <w:t>人份</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7FF77">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6</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9ED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627" w:type="dxa"/>
            <w:vMerge w:val="continue"/>
            <w:tcBorders>
              <w:left w:val="single" w:color="000000" w:sz="4" w:space="0"/>
              <w:right w:val="single" w:color="000000" w:sz="4" w:space="0"/>
            </w:tcBorders>
            <w:shd w:val="clear" w:color="auto" w:fill="auto"/>
            <w:noWrap/>
            <w:vAlign w:val="center"/>
          </w:tcPr>
          <w:p w14:paraId="5172A0D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5383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440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4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01C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登革热</w:t>
            </w:r>
            <w:r>
              <w:rPr>
                <w:rFonts w:ascii="Calibri" w:hAnsi="Calibri" w:eastAsia="宋体" w:cs="Calibri"/>
                <w:i w:val="0"/>
                <w:iCs w:val="0"/>
                <w:color w:val="000000"/>
                <w:kern w:val="0"/>
                <w:sz w:val="21"/>
                <w:szCs w:val="21"/>
                <w:u w:val="none"/>
                <w:lang w:val="en-US" w:eastAsia="zh-CN" w:bidi="ar"/>
              </w:rPr>
              <w:t>NS1</w:t>
            </w:r>
            <w:r>
              <w:rPr>
                <w:rFonts w:hint="eastAsia" w:ascii="宋体" w:hAnsi="宋体" w:eastAsia="宋体" w:cs="宋体"/>
                <w:i w:val="0"/>
                <w:iCs w:val="0"/>
                <w:color w:val="000000"/>
                <w:kern w:val="0"/>
                <w:sz w:val="21"/>
                <w:szCs w:val="21"/>
                <w:u w:val="none"/>
                <w:lang w:val="en-US" w:eastAsia="zh-CN" w:bidi="ar"/>
              </w:rPr>
              <w:t>抗原和</w:t>
            </w:r>
            <w:r>
              <w:rPr>
                <w:rFonts w:ascii="Calibri" w:hAnsi="Calibri" w:eastAsia="宋体" w:cs="Calibri"/>
                <w:i w:val="0"/>
                <w:iCs w:val="0"/>
                <w:color w:val="000000"/>
                <w:kern w:val="0"/>
                <w:sz w:val="21"/>
                <w:szCs w:val="21"/>
                <w:u w:val="none"/>
                <w:lang w:val="en-US" w:eastAsia="zh-CN" w:bidi="ar"/>
              </w:rPr>
              <w:t>IgG/IgM</w:t>
            </w:r>
            <w:r>
              <w:rPr>
                <w:rFonts w:hint="eastAsia" w:ascii="宋体" w:hAnsi="宋体" w:eastAsia="宋体" w:cs="宋体"/>
                <w:i w:val="0"/>
                <w:iCs w:val="0"/>
                <w:color w:val="000000"/>
                <w:kern w:val="0"/>
                <w:sz w:val="21"/>
                <w:szCs w:val="21"/>
                <w:u w:val="none"/>
                <w:lang w:val="en-US" w:eastAsia="zh-CN" w:bidi="ar"/>
              </w:rPr>
              <w:t>抗体检测试剂盒（胶体金法）</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7E67C">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ascii="Calibri" w:hAnsi="Calibri" w:eastAsia="宋体" w:cs="Calibri"/>
                <w:i w:val="0"/>
                <w:iCs w:val="0"/>
                <w:color w:val="000000"/>
                <w:kern w:val="0"/>
                <w:sz w:val="21"/>
                <w:szCs w:val="21"/>
                <w:u w:val="none"/>
                <w:lang w:val="en-US" w:eastAsia="zh-CN" w:bidi="ar"/>
              </w:rPr>
              <w:t>11FK46</w:t>
            </w:r>
            <w:r>
              <w:rPr>
                <w:rFonts w:hint="eastAsia" w:ascii="宋体" w:hAnsi="宋体" w:eastAsia="宋体" w:cs="宋体"/>
                <w:i w:val="0"/>
                <w:iCs w:val="0"/>
                <w:color w:val="000000"/>
                <w:kern w:val="0"/>
                <w:sz w:val="21"/>
                <w:szCs w:val="21"/>
                <w:u w:val="none"/>
                <w:lang w:val="en-US" w:eastAsia="zh-CN" w:bidi="ar"/>
              </w:rPr>
              <w:t>，</w:t>
            </w:r>
            <w:r>
              <w:rPr>
                <w:rFonts w:ascii="Calibri" w:hAnsi="Calibri" w:eastAsia="宋体" w:cs="Calibri"/>
                <w:i w:val="0"/>
                <w:iCs w:val="0"/>
                <w:color w:val="000000"/>
                <w:kern w:val="0"/>
                <w:sz w:val="21"/>
                <w:szCs w:val="21"/>
                <w:u w:val="none"/>
                <w:lang w:val="en-US" w:eastAsia="zh-CN" w:bidi="ar"/>
              </w:rPr>
              <w:t>25</w:t>
            </w:r>
            <w:r>
              <w:rPr>
                <w:rFonts w:hint="eastAsia" w:ascii="宋体" w:hAnsi="宋体" w:eastAsia="宋体" w:cs="宋体"/>
                <w:i w:val="0"/>
                <w:iCs w:val="0"/>
                <w:color w:val="000000"/>
                <w:kern w:val="0"/>
                <w:sz w:val="21"/>
                <w:szCs w:val="21"/>
                <w:u w:val="none"/>
                <w:lang w:val="en-US" w:eastAsia="zh-CN" w:bidi="ar"/>
              </w:rPr>
              <w:t>人份</w:t>
            </w:r>
            <w:r>
              <w:rPr>
                <w:rFonts w:ascii="Calibri" w:hAnsi="Calibri" w:eastAsia="宋体" w:cs="Calibri"/>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盒</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A29A2">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15</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E2E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627" w:type="dxa"/>
            <w:vMerge w:val="continue"/>
            <w:tcBorders>
              <w:left w:val="single" w:color="000000" w:sz="4" w:space="0"/>
              <w:right w:val="single" w:color="000000" w:sz="4" w:space="0"/>
            </w:tcBorders>
            <w:shd w:val="clear" w:color="auto" w:fill="auto"/>
            <w:noWrap/>
            <w:vAlign w:val="center"/>
          </w:tcPr>
          <w:p w14:paraId="312CB7D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8FE6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DE7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25B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登革病毒</w:t>
            </w:r>
            <w:r>
              <w:rPr>
                <w:rFonts w:ascii="Calibri" w:hAnsi="Calibri" w:eastAsia="宋体" w:cs="Calibri"/>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型和</w:t>
            </w:r>
            <w:r>
              <w:rPr>
                <w:rFonts w:ascii="Calibri" w:hAnsi="Calibri" w:eastAsia="宋体" w:cs="Calibri"/>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型核酸检测试剂盒</w:t>
            </w:r>
            <w:r>
              <w:rPr>
                <w:rFonts w:ascii="Calibri" w:hAnsi="Calibri" w:eastAsia="宋体" w:cs="Calibri"/>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荧光</w:t>
            </w:r>
            <w:r>
              <w:rPr>
                <w:rFonts w:ascii="Calibri" w:hAnsi="Calibri" w:eastAsia="宋体" w:cs="Calibri"/>
                <w:i w:val="0"/>
                <w:iCs w:val="0"/>
                <w:color w:val="000000"/>
                <w:kern w:val="0"/>
                <w:sz w:val="21"/>
                <w:szCs w:val="21"/>
                <w:u w:val="none"/>
                <w:lang w:val="en-US" w:eastAsia="zh-CN" w:bidi="ar"/>
              </w:rPr>
              <w:t>PCR</w:t>
            </w:r>
            <w:r>
              <w:rPr>
                <w:rFonts w:hint="eastAsia" w:ascii="宋体" w:hAnsi="宋体" w:eastAsia="宋体" w:cs="宋体"/>
                <w:i w:val="0"/>
                <w:iCs w:val="0"/>
                <w:color w:val="000000"/>
                <w:kern w:val="0"/>
                <w:sz w:val="21"/>
                <w:szCs w:val="21"/>
                <w:u w:val="none"/>
                <w:lang w:val="en-US" w:eastAsia="zh-CN" w:bidi="ar"/>
              </w:rPr>
              <w:t>法</w:t>
            </w:r>
            <w:r>
              <w:rPr>
                <w:rFonts w:ascii="Calibri" w:hAnsi="Calibri" w:eastAsia="宋体" w:cs="Calibri"/>
                <w:i w:val="0"/>
                <w:iCs w:val="0"/>
                <w:color w:val="000000"/>
                <w:kern w:val="0"/>
                <w:sz w:val="21"/>
                <w:szCs w:val="21"/>
                <w:u w:val="none"/>
                <w:lang w:val="en-US" w:eastAsia="zh-CN" w:bidi="ar"/>
              </w:rPr>
              <w:t>)</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7A945">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YJC30203N，50T</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78657">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E5E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627" w:type="dxa"/>
            <w:vMerge w:val="continue"/>
            <w:tcBorders>
              <w:left w:val="single" w:color="000000" w:sz="4" w:space="0"/>
              <w:right w:val="single" w:color="000000" w:sz="4" w:space="0"/>
            </w:tcBorders>
            <w:shd w:val="clear" w:color="auto" w:fill="auto"/>
            <w:noWrap/>
            <w:vAlign w:val="center"/>
          </w:tcPr>
          <w:p w14:paraId="54FC5BF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BA35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1EE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4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E34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登革病毒</w:t>
            </w:r>
            <w:r>
              <w:rPr>
                <w:rFonts w:ascii="Calibri" w:hAnsi="Calibri" w:eastAsia="宋体" w:cs="Calibri"/>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型和</w:t>
            </w:r>
            <w:r>
              <w:rPr>
                <w:rFonts w:ascii="Calibri" w:hAnsi="Calibri" w:eastAsia="宋体" w:cs="Calibri"/>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型核酸检测试剂盒（荧光</w:t>
            </w:r>
            <w:r>
              <w:rPr>
                <w:rFonts w:ascii="Calibri" w:hAnsi="Calibri" w:eastAsia="宋体" w:cs="Calibri"/>
                <w:i w:val="0"/>
                <w:iCs w:val="0"/>
                <w:color w:val="000000"/>
                <w:kern w:val="0"/>
                <w:sz w:val="21"/>
                <w:szCs w:val="21"/>
                <w:u w:val="none"/>
                <w:lang w:val="en-US" w:eastAsia="zh-CN" w:bidi="ar"/>
              </w:rPr>
              <w:t>PCR</w:t>
            </w:r>
            <w:r>
              <w:rPr>
                <w:rFonts w:hint="eastAsia" w:ascii="宋体" w:hAnsi="宋体" w:eastAsia="宋体" w:cs="宋体"/>
                <w:i w:val="0"/>
                <w:iCs w:val="0"/>
                <w:color w:val="000000"/>
                <w:kern w:val="0"/>
                <w:sz w:val="21"/>
                <w:szCs w:val="21"/>
                <w:u w:val="none"/>
                <w:lang w:val="en-US" w:eastAsia="zh-CN" w:bidi="ar"/>
              </w:rPr>
              <w:t>法）</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B1512">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YJC30202N，50T</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965B1">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174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627" w:type="dxa"/>
            <w:vMerge w:val="continue"/>
            <w:tcBorders>
              <w:left w:val="single" w:color="000000" w:sz="4" w:space="0"/>
              <w:right w:val="single" w:color="000000" w:sz="4" w:space="0"/>
            </w:tcBorders>
            <w:shd w:val="clear" w:color="auto" w:fill="auto"/>
            <w:noWrap/>
            <w:vAlign w:val="center"/>
          </w:tcPr>
          <w:p w14:paraId="441F242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8E7D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630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4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4BB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登革病毒通用型核酸检测试剂盒（荧光</w:t>
            </w:r>
            <w:r>
              <w:rPr>
                <w:rFonts w:ascii="Calibri" w:hAnsi="Calibri" w:eastAsia="宋体" w:cs="Calibri"/>
                <w:i w:val="0"/>
                <w:iCs w:val="0"/>
                <w:color w:val="000000"/>
                <w:kern w:val="0"/>
                <w:sz w:val="21"/>
                <w:szCs w:val="21"/>
                <w:u w:val="none"/>
                <w:lang w:val="en-US" w:eastAsia="zh-CN" w:bidi="ar"/>
              </w:rPr>
              <w:t>PCR</w:t>
            </w:r>
            <w:r>
              <w:rPr>
                <w:rFonts w:hint="eastAsia" w:ascii="宋体" w:hAnsi="宋体" w:eastAsia="宋体" w:cs="宋体"/>
                <w:i w:val="0"/>
                <w:iCs w:val="0"/>
                <w:color w:val="000000"/>
                <w:kern w:val="0"/>
                <w:sz w:val="21"/>
                <w:szCs w:val="21"/>
                <w:u w:val="none"/>
                <w:lang w:val="en-US" w:eastAsia="zh-CN" w:bidi="ar"/>
              </w:rPr>
              <w:t>法）</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7CE85">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YJC30101N，50T</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7B4E0">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286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627" w:type="dxa"/>
            <w:vMerge w:val="continue"/>
            <w:tcBorders>
              <w:left w:val="single" w:color="000000" w:sz="4" w:space="0"/>
              <w:right w:val="single" w:color="000000" w:sz="4" w:space="0"/>
            </w:tcBorders>
            <w:shd w:val="clear" w:color="auto" w:fill="auto"/>
            <w:noWrap/>
            <w:vAlign w:val="center"/>
          </w:tcPr>
          <w:p w14:paraId="30853A5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03D4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0A7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4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4A4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登革病毒</w:t>
            </w:r>
            <w:r>
              <w:rPr>
                <w:rFonts w:ascii="Calibri" w:hAnsi="Calibri" w:eastAsia="宋体" w:cs="Calibri"/>
                <w:i w:val="0"/>
                <w:iCs w:val="0"/>
                <w:color w:val="000000"/>
                <w:kern w:val="0"/>
                <w:sz w:val="21"/>
                <w:szCs w:val="21"/>
                <w:u w:val="none"/>
                <w:lang w:val="en-US" w:eastAsia="zh-CN" w:bidi="ar"/>
              </w:rPr>
              <w:t>Ⅲ</w:t>
            </w:r>
            <w:r>
              <w:rPr>
                <w:rFonts w:hint="eastAsia" w:ascii="宋体" w:hAnsi="宋体" w:eastAsia="宋体" w:cs="宋体"/>
                <w:i w:val="0"/>
                <w:iCs w:val="0"/>
                <w:color w:val="000000"/>
                <w:kern w:val="0"/>
                <w:sz w:val="21"/>
                <w:szCs w:val="21"/>
                <w:u w:val="none"/>
                <w:lang w:val="en-US" w:eastAsia="zh-CN" w:bidi="ar"/>
              </w:rPr>
              <w:t>型</w:t>
            </w:r>
            <w:r>
              <w:rPr>
                <w:rFonts w:ascii="Calibri" w:hAnsi="Calibri" w:eastAsia="宋体" w:cs="Calibri"/>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登革病毒</w:t>
            </w:r>
            <w:r>
              <w:rPr>
                <w:rFonts w:ascii="Calibri" w:hAnsi="Calibri" w:eastAsia="宋体" w:cs="Calibri"/>
                <w:i w:val="0"/>
                <w:iCs w:val="0"/>
                <w:color w:val="000000"/>
                <w:kern w:val="0"/>
                <w:sz w:val="21"/>
                <w:szCs w:val="21"/>
                <w:u w:val="none"/>
                <w:lang w:val="en-US" w:eastAsia="zh-CN" w:bidi="ar"/>
              </w:rPr>
              <w:t>Ⅳ</w:t>
            </w:r>
            <w:r>
              <w:rPr>
                <w:rFonts w:hint="eastAsia" w:ascii="宋体" w:hAnsi="宋体" w:eastAsia="宋体" w:cs="宋体"/>
                <w:i w:val="0"/>
                <w:iCs w:val="0"/>
                <w:color w:val="000000"/>
                <w:kern w:val="0"/>
                <w:sz w:val="21"/>
                <w:szCs w:val="21"/>
                <w:u w:val="none"/>
                <w:lang w:val="en-US" w:eastAsia="zh-CN" w:bidi="ar"/>
              </w:rPr>
              <w:t xml:space="preserve">型核酸检测试剂盒 </w:t>
            </w:r>
            <w:r>
              <w:rPr>
                <w:rFonts w:ascii="Calibri" w:hAnsi="Calibri" w:eastAsia="宋体" w:cs="Calibri"/>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双重荧光</w:t>
            </w:r>
            <w:r>
              <w:rPr>
                <w:rFonts w:ascii="Calibri" w:hAnsi="Calibri" w:eastAsia="宋体" w:cs="Calibri"/>
                <w:i w:val="0"/>
                <w:iCs w:val="0"/>
                <w:color w:val="000000"/>
                <w:kern w:val="0"/>
                <w:sz w:val="21"/>
                <w:szCs w:val="21"/>
                <w:u w:val="none"/>
                <w:lang w:val="en-US" w:eastAsia="zh-CN" w:bidi="ar"/>
              </w:rPr>
              <w:t>PCR</w:t>
            </w:r>
            <w:r>
              <w:rPr>
                <w:rFonts w:hint="eastAsia" w:ascii="宋体" w:hAnsi="宋体" w:eastAsia="宋体" w:cs="宋体"/>
                <w:i w:val="0"/>
                <w:iCs w:val="0"/>
                <w:color w:val="000000"/>
                <w:kern w:val="0"/>
                <w:sz w:val="21"/>
                <w:szCs w:val="21"/>
                <w:u w:val="none"/>
                <w:lang w:val="en-US" w:eastAsia="zh-CN" w:bidi="ar"/>
              </w:rPr>
              <w:t>法</w:t>
            </w:r>
            <w:r>
              <w:rPr>
                <w:rFonts w:ascii="Calibri" w:hAnsi="Calibri" w:eastAsia="宋体" w:cs="Calibri"/>
                <w:i w:val="0"/>
                <w:iCs w:val="0"/>
                <w:color w:val="000000"/>
                <w:kern w:val="0"/>
                <w:sz w:val="21"/>
                <w:szCs w:val="21"/>
                <w:u w:val="none"/>
                <w:lang w:val="en-US" w:eastAsia="zh-CN" w:bidi="ar"/>
              </w:rPr>
              <w:t>)</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8A12E">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SJ-BM-204-2，50人份/盒</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88246">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172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627" w:type="dxa"/>
            <w:vMerge w:val="continue"/>
            <w:tcBorders>
              <w:left w:val="single" w:color="000000" w:sz="4" w:space="0"/>
              <w:right w:val="single" w:color="000000" w:sz="4" w:space="0"/>
            </w:tcBorders>
            <w:shd w:val="clear" w:color="auto" w:fill="auto"/>
            <w:noWrap/>
            <w:vAlign w:val="center"/>
          </w:tcPr>
          <w:p w14:paraId="6DE2C1F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DD3B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02F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4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103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登革病毒</w:t>
            </w:r>
            <w:r>
              <w:rPr>
                <w:rFonts w:ascii="Calibri" w:hAnsi="Calibri" w:eastAsia="宋体" w:cs="Calibri"/>
                <w:i w:val="0"/>
                <w:iCs w:val="0"/>
                <w:color w:val="000000"/>
                <w:kern w:val="0"/>
                <w:sz w:val="21"/>
                <w:szCs w:val="21"/>
                <w:u w:val="none"/>
                <w:lang w:val="en-US" w:eastAsia="zh-CN" w:bidi="ar"/>
              </w:rPr>
              <w:t xml:space="preserve"> Ⅰ</w:t>
            </w:r>
            <w:r>
              <w:rPr>
                <w:rFonts w:hint="eastAsia" w:ascii="宋体" w:hAnsi="宋体" w:eastAsia="宋体" w:cs="宋体"/>
                <w:i w:val="0"/>
                <w:iCs w:val="0"/>
                <w:color w:val="000000"/>
                <w:kern w:val="0"/>
                <w:sz w:val="21"/>
                <w:szCs w:val="21"/>
                <w:u w:val="none"/>
                <w:lang w:val="en-US" w:eastAsia="zh-CN" w:bidi="ar"/>
              </w:rPr>
              <w:t>型</w:t>
            </w:r>
            <w:r>
              <w:rPr>
                <w:rFonts w:ascii="Calibri" w:hAnsi="Calibri" w:eastAsia="宋体" w:cs="Calibri"/>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登革病毒</w:t>
            </w:r>
            <w:r>
              <w:rPr>
                <w:rFonts w:ascii="Calibri" w:hAnsi="Calibri" w:eastAsia="宋体" w:cs="Calibri"/>
                <w:i w:val="0"/>
                <w:iCs w:val="0"/>
                <w:color w:val="000000"/>
                <w:kern w:val="0"/>
                <w:sz w:val="21"/>
                <w:szCs w:val="21"/>
                <w:u w:val="none"/>
                <w:lang w:val="en-US" w:eastAsia="zh-CN" w:bidi="ar"/>
              </w:rPr>
              <w:t>Ⅱ</w:t>
            </w:r>
            <w:r>
              <w:rPr>
                <w:rFonts w:hint="eastAsia" w:ascii="宋体" w:hAnsi="宋体" w:eastAsia="宋体" w:cs="宋体"/>
                <w:i w:val="0"/>
                <w:iCs w:val="0"/>
                <w:color w:val="000000"/>
                <w:kern w:val="0"/>
                <w:sz w:val="21"/>
                <w:szCs w:val="21"/>
                <w:u w:val="none"/>
                <w:lang w:val="en-US" w:eastAsia="zh-CN" w:bidi="ar"/>
              </w:rPr>
              <w:t xml:space="preserve">型核酸检测试剂盒 </w:t>
            </w:r>
            <w:r>
              <w:rPr>
                <w:rFonts w:ascii="Calibri" w:hAnsi="Calibri" w:eastAsia="宋体" w:cs="Calibri"/>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双重荧光</w:t>
            </w:r>
            <w:r>
              <w:rPr>
                <w:rFonts w:ascii="Calibri" w:hAnsi="Calibri" w:eastAsia="宋体" w:cs="Calibri"/>
                <w:i w:val="0"/>
                <w:iCs w:val="0"/>
                <w:color w:val="000000"/>
                <w:kern w:val="0"/>
                <w:sz w:val="21"/>
                <w:szCs w:val="21"/>
                <w:u w:val="none"/>
                <w:lang w:val="en-US" w:eastAsia="zh-CN" w:bidi="ar"/>
              </w:rPr>
              <w:t>PCR</w:t>
            </w:r>
            <w:r>
              <w:rPr>
                <w:rFonts w:hint="eastAsia" w:ascii="宋体" w:hAnsi="宋体" w:eastAsia="宋体" w:cs="宋体"/>
                <w:i w:val="0"/>
                <w:iCs w:val="0"/>
                <w:color w:val="000000"/>
                <w:kern w:val="0"/>
                <w:sz w:val="21"/>
                <w:szCs w:val="21"/>
                <w:u w:val="none"/>
                <w:lang w:val="en-US" w:eastAsia="zh-CN" w:bidi="ar"/>
              </w:rPr>
              <w:t>法</w:t>
            </w:r>
            <w:r>
              <w:rPr>
                <w:rFonts w:ascii="Calibri" w:hAnsi="Calibri" w:eastAsia="宋体" w:cs="Calibri"/>
                <w:i w:val="0"/>
                <w:iCs w:val="0"/>
                <w:color w:val="000000"/>
                <w:kern w:val="0"/>
                <w:sz w:val="21"/>
                <w:szCs w:val="21"/>
                <w:u w:val="none"/>
                <w:lang w:val="en-US" w:eastAsia="zh-CN" w:bidi="ar"/>
              </w:rPr>
              <w:t>)</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F4622">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SJ-BM-203-2，50人份/盒</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E8149">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4</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0D8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627" w:type="dxa"/>
            <w:vMerge w:val="continue"/>
            <w:tcBorders>
              <w:left w:val="single" w:color="000000" w:sz="4" w:space="0"/>
              <w:right w:val="single" w:color="000000" w:sz="4" w:space="0"/>
            </w:tcBorders>
            <w:shd w:val="clear" w:color="auto" w:fill="auto"/>
            <w:noWrap/>
            <w:vAlign w:val="center"/>
          </w:tcPr>
          <w:p w14:paraId="31892AB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4816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478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946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登革病毒核酸检测试剂盒</w:t>
            </w:r>
            <w:r>
              <w:rPr>
                <w:rFonts w:ascii="Calibri" w:hAnsi="Calibri" w:eastAsia="宋体" w:cs="Calibri"/>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荧光</w:t>
            </w:r>
            <w:r>
              <w:rPr>
                <w:rFonts w:ascii="Calibri" w:hAnsi="Calibri" w:eastAsia="宋体" w:cs="Calibri"/>
                <w:i w:val="0"/>
                <w:iCs w:val="0"/>
                <w:color w:val="000000"/>
                <w:kern w:val="0"/>
                <w:sz w:val="21"/>
                <w:szCs w:val="21"/>
                <w:u w:val="none"/>
                <w:lang w:val="en-US" w:eastAsia="zh-CN" w:bidi="ar"/>
              </w:rPr>
              <w:t>PCR</w:t>
            </w:r>
            <w:r>
              <w:rPr>
                <w:rFonts w:hint="eastAsia" w:ascii="宋体" w:hAnsi="宋体" w:eastAsia="宋体" w:cs="宋体"/>
                <w:i w:val="0"/>
                <w:iCs w:val="0"/>
                <w:color w:val="000000"/>
                <w:kern w:val="0"/>
                <w:sz w:val="21"/>
                <w:szCs w:val="21"/>
                <w:u w:val="none"/>
                <w:lang w:val="en-US" w:eastAsia="zh-CN" w:bidi="ar"/>
              </w:rPr>
              <w:t>法</w:t>
            </w:r>
            <w:r>
              <w:rPr>
                <w:rFonts w:ascii="Calibri" w:hAnsi="Calibri" w:eastAsia="宋体" w:cs="Calibri"/>
                <w:i w:val="0"/>
                <w:iCs w:val="0"/>
                <w:color w:val="000000"/>
                <w:kern w:val="0"/>
                <w:sz w:val="21"/>
                <w:szCs w:val="21"/>
                <w:u w:val="none"/>
                <w:lang w:val="en-US" w:eastAsia="zh-CN" w:bidi="ar"/>
              </w:rPr>
              <w:t>)</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7113F">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SJ-BM-002-2，50人份/盒</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64D8D">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14</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BCF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627" w:type="dxa"/>
            <w:vMerge w:val="continue"/>
            <w:tcBorders>
              <w:left w:val="single" w:color="000000" w:sz="4" w:space="0"/>
              <w:right w:val="single" w:color="000000" w:sz="4" w:space="0"/>
            </w:tcBorders>
            <w:shd w:val="clear" w:color="auto" w:fill="auto"/>
            <w:noWrap/>
            <w:vAlign w:val="center"/>
          </w:tcPr>
          <w:p w14:paraId="34B6650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9C6A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810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4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6A0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甲型、乙型流感抗原快速检测试剂盒（胶体金法）</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46229">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ascii="Calibri" w:hAnsi="Calibri" w:eastAsia="宋体" w:cs="Calibri"/>
                <w:i w:val="0"/>
                <w:iCs w:val="0"/>
                <w:color w:val="000000"/>
                <w:kern w:val="0"/>
                <w:sz w:val="21"/>
                <w:szCs w:val="21"/>
                <w:u w:val="none"/>
                <w:lang w:val="en-US" w:eastAsia="zh-CN" w:bidi="ar"/>
              </w:rPr>
              <w:t>20T/</w:t>
            </w:r>
            <w:r>
              <w:rPr>
                <w:rFonts w:hint="eastAsia" w:ascii="宋体" w:hAnsi="宋体" w:eastAsia="宋体" w:cs="宋体"/>
                <w:i w:val="0"/>
                <w:iCs w:val="0"/>
                <w:color w:val="000000"/>
                <w:kern w:val="0"/>
                <w:sz w:val="21"/>
                <w:szCs w:val="21"/>
                <w:u w:val="none"/>
                <w:lang w:val="en-US" w:eastAsia="zh-CN" w:bidi="ar"/>
              </w:rPr>
              <w:t>盒</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DC79C">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9D4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627" w:type="dxa"/>
            <w:vMerge w:val="continue"/>
            <w:tcBorders>
              <w:left w:val="single" w:color="000000" w:sz="4" w:space="0"/>
              <w:right w:val="single" w:color="000000" w:sz="4" w:space="0"/>
            </w:tcBorders>
            <w:shd w:val="clear" w:color="auto" w:fill="auto"/>
            <w:noWrap/>
            <w:vAlign w:val="center"/>
          </w:tcPr>
          <w:p w14:paraId="6F05EF3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9AAC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512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4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C73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肠道病毒</w:t>
            </w:r>
            <w:r>
              <w:rPr>
                <w:rFonts w:ascii="Calibri" w:hAnsi="Calibri" w:eastAsia="宋体" w:cs="Calibri"/>
                <w:i w:val="0"/>
                <w:iCs w:val="0"/>
                <w:color w:val="000000"/>
                <w:kern w:val="0"/>
                <w:sz w:val="21"/>
                <w:szCs w:val="21"/>
                <w:u w:val="none"/>
                <w:lang w:val="en-US" w:eastAsia="zh-CN" w:bidi="ar"/>
              </w:rPr>
              <w:t>70</w:t>
            </w:r>
            <w:r>
              <w:rPr>
                <w:rFonts w:hint="eastAsia" w:ascii="宋体" w:hAnsi="宋体" w:eastAsia="宋体" w:cs="宋体"/>
                <w:i w:val="0"/>
                <w:iCs w:val="0"/>
                <w:color w:val="000000"/>
                <w:kern w:val="0"/>
                <w:sz w:val="21"/>
                <w:szCs w:val="21"/>
                <w:u w:val="none"/>
                <w:lang w:val="en-US" w:eastAsia="zh-CN" w:bidi="ar"/>
              </w:rPr>
              <w:t>型和柯萨奇病毒</w:t>
            </w:r>
            <w:r>
              <w:rPr>
                <w:rFonts w:ascii="Calibri" w:hAnsi="Calibri" w:eastAsia="宋体" w:cs="Calibri"/>
                <w:i w:val="0"/>
                <w:iCs w:val="0"/>
                <w:color w:val="000000"/>
                <w:kern w:val="0"/>
                <w:sz w:val="21"/>
                <w:szCs w:val="21"/>
                <w:u w:val="none"/>
                <w:lang w:val="en-US" w:eastAsia="zh-CN" w:bidi="ar"/>
              </w:rPr>
              <w:t>A24</w:t>
            </w:r>
            <w:r>
              <w:rPr>
                <w:rFonts w:hint="eastAsia" w:ascii="宋体" w:hAnsi="宋体" w:eastAsia="宋体" w:cs="宋体"/>
                <w:i w:val="0"/>
                <w:iCs w:val="0"/>
                <w:color w:val="000000"/>
                <w:kern w:val="0"/>
                <w:sz w:val="21"/>
                <w:szCs w:val="21"/>
                <w:u w:val="none"/>
                <w:lang w:val="en-US" w:eastAsia="zh-CN" w:bidi="ar"/>
              </w:rPr>
              <w:t>型核酸检测试剂盒</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AC414">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YJC20204，50T/盒</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34624">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071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627" w:type="dxa"/>
            <w:vMerge w:val="continue"/>
            <w:tcBorders>
              <w:left w:val="single" w:color="000000" w:sz="4" w:space="0"/>
              <w:bottom w:val="single" w:color="000000" w:sz="4" w:space="0"/>
              <w:right w:val="single" w:color="000000" w:sz="4" w:space="0"/>
            </w:tcBorders>
            <w:shd w:val="clear" w:color="auto" w:fill="auto"/>
            <w:noWrap/>
            <w:vAlign w:val="center"/>
          </w:tcPr>
          <w:p w14:paraId="6AC1C5D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E964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39F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4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4D6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寨卡病毒和基孔肯雅病毒核酸检测试剂盒（荧光</w:t>
            </w:r>
            <w:r>
              <w:rPr>
                <w:rFonts w:ascii="Calibri" w:hAnsi="Calibri" w:eastAsia="宋体" w:cs="Calibri"/>
                <w:i w:val="0"/>
                <w:iCs w:val="0"/>
                <w:color w:val="000000"/>
                <w:kern w:val="0"/>
                <w:sz w:val="21"/>
                <w:szCs w:val="21"/>
                <w:u w:val="none"/>
                <w:lang w:val="en-US" w:eastAsia="zh-CN" w:bidi="ar"/>
              </w:rPr>
              <w:t>PCR</w:t>
            </w:r>
            <w:r>
              <w:rPr>
                <w:rFonts w:hint="eastAsia" w:ascii="宋体" w:hAnsi="宋体" w:eastAsia="宋体" w:cs="宋体"/>
                <w:i w:val="0"/>
                <w:iCs w:val="0"/>
                <w:color w:val="000000"/>
                <w:kern w:val="0"/>
                <w:sz w:val="21"/>
                <w:szCs w:val="21"/>
                <w:u w:val="none"/>
                <w:lang w:val="en-US" w:eastAsia="zh-CN" w:bidi="ar"/>
              </w:rPr>
              <w:t>法）</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8BFAE">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YJC30205N，50T</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412CA">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7D8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627" w:type="dxa"/>
            <w:vMerge w:val="restart"/>
            <w:tcBorders>
              <w:top w:val="single" w:color="000000" w:sz="4" w:space="0"/>
              <w:left w:val="single" w:color="000000" w:sz="4" w:space="0"/>
              <w:right w:val="single" w:color="000000" w:sz="4" w:space="0"/>
            </w:tcBorders>
            <w:shd w:val="clear" w:color="auto" w:fill="auto"/>
            <w:noWrap/>
            <w:vAlign w:val="center"/>
          </w:tcPr>
          <w:p w14:paraId="2203B63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注明生产厂家</w:t>
            </w:r>
          </w:p>
        </w:tc>
      </w:tr>
      <w:tr w14:paraId="641C9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52C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4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303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轮状病毒</w:t>
            </w:r>
            <w:r>
              <w:rPr>
                <w:rFonts w:ascii="Calibri" w:hAnsi="Calibri" w:eastAsia="宋体" w:cs="Calibri"/>
                <w:i w:val="0"/>
                <w:iCs w:val="0"/>
                <w:color w:val="000000"/>
                <w:kern w:val="0"/>
                <w:sz w:val="21"/>
                <w:szCs w:val="21"/>
                <w:u w:val="none"/>
                <w:lang w:val="en-US" w:eastAsia="zh-CN" w:bidi="ar"/>
              </w:rPr>
              <w:t>A</w:t>
            </w:r>
            <w:r>
              <w:rPr>
                <w:rFonts w:hint="eastAsia" w:ascii="宋体" w:hAnsi="宋体" w:eastAsia="宋体" w:cs="宋体"/>
                <w:i w:val="0"/>
                <w:iCs w:val="0"/>
                <w:color w:val="000000"/>
                <w:kern w:val="0"/>
                <w:sz w:val="21"/>
                <w:szCs w:val="21"/>
                <w:u w:val="none"/>
                <w:lang w:val="en-US" w:eastAsia="zh-CN" w:bidi="ar"/>
              </w:rPr>
              <w:t>组、</w:t>
            </w:r>
            <w:r>
              <w:rPr>
                <w:rFonts w:ascii="Calibri" w:hAnsi="Calibri" w:eastAsia="宋体" w:cs="Calibri"/>
                <w:i w:val="0"/>
                <w:iCs w:val="0"/>
                <w:color w:val="000000"/>
                <w:kern w:val="0"/>
                <w:sz w:val="21"/>
                <w:szCs w:val="21"/>
                <w:u w:val="none"/>
                <w:lang w:val="en-US" w:eastAsia="zh-CN" w:bidi="ar"/>
              </w:rPr>
              <w:t>B</w:t>
            </w:r>
            <w:r>
              <w:rPr>
                <w:rFonts w:hint="eastAsia" w:ascii="宋体" w:hAnsi="宋体" w:eastAsia="宋体" w:cs="宋体"/>
                <w:i w:val="0"/>
                <w:iCs w:val="0"/>
                <w:color w:val="000000"/>
                <w:kern w:val="0"/>
                <w:sz w:val="21"/>
                <w:szCs w:val="21"/>
                <w:u w:val="none"/>
                <w:lang w:val="en-US" w:eastAsia="zh-CN" w:bidi="ar"/>
              </w:rPr>
              <w:t>组和</w:t>
            </w:r>
            <w:r>
              <w:rPr>
                <w:rFonts w:ascii="Calibri" w:hAnsi="Calibri" w:eastAsia="宋体" w:cs="Calibri"/>
                <w:i w:val="0"/>
                <w:iCs w:val="0"/>
                <w:color w:val="000000"/>
                <w:kern w:val="0"/>
                <w:sz w:val="21"/>
                <w:szCs w:val="21"/>
                <w:u w:val="none"/>
                <w:lang w:val="en-US" w:eastAsia="zh-CN" w:bidi="ar"/>
              </w:rPr>
              <w:t>C</w:t>
            </w:r>
            <w:r>
              <w:rPr>
                <w:rFonts w:hint="eastAsia" w:ascii="宋体" w:hAnsi="宋体" w:eastAsia="宋体" w:cs="宋体"/>
                <w:i w:val="0"/>
                <w:iCs w:val="0"/>
                <w:color w:val="000000"/>
                <w:kern w:val="0"/>
                <w:sz w:val="21"/>
                <w:szCs w:val="21"/>
                <w:u w:val="none"/>
                <w:lang w:val="en-US" w:eastAsia="zh-CN" w:bidi="ar"/>
              </w:rPr>
              <w:t>组核酸检测试剂盒（荧光</w:t>
            </w:r>
            <w:r>
              <w:rPr>
                <w:rFonts w:ascii="Calibri" w:hAnsi="Calibri" w:eastAsia="宋体" w:cs="Calibri"/>
                <w:i w:val="0"/>
                <w:iCs w:val="0"/>
                <w:color w:val="000000"/>
                <w:kern w:val="0"/>
                <w:sz w:val="21"/>
                <w:szCs w:val="21"/>
                <w:u w:val="none"/>
                <w:lang w:val="en-US" w:eastAsia="zh-CN" w:bidi="ar"/>
              </w:rPr>
              <w:t>PCR</w:t>
            </w:r>
            <w:r>
              <w:rPr>
                <w:rFonts w:hint="eastAsia" w:ascii="宋体" w:hAnsi="宋体" w:eastAsia="宋体" w:cs="宋体"/>
                <w:i w:val="0"/>
                <w:iCs w:val="0"/>
                <w:color w:val="000000"/>
                <w:kern w:val="0"/>
                <w:sz w:val="21"/>
                <w:szCs w:val="21"/>
                <w:u w:val="none"/>
                <w:lang w:val="en-US" w:eastAsia="zh-CN" w:bidi="ar"/>
              </w:rPr>
              <w:t>法）</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19516">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YJC50301N，50T</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E2432">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74C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627" w:type="dxa"/>
            <w:vMerge w:val="continue"/>
            <w:tcBorders>
              <w:left w:val="single" w:color="000000" w:sz="4" w:space="0"/>
              <w:right w:val="single" w:color="000000" w:sz="4" w:space="0"/>
            </w:tcBorders>
            <w:shd w:val="clear" w:color="auto" w:fill="auto"/>
            <w:noWrap/>
            <w:vAlign w:val="center"/>
          </w:tcPr>
          <w:p w14:paraId="7B8B9BE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6F55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A3D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40E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中和剂肉汤</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FB8B9">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SM7001，10ml*50支</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A31C9">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F64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627" w:type="dxa"/>
            <w:vMerge w:val="continue"/>
            <w:tcBorders>
              <w:left w:val="single" w:color="000000" w:sz="4" w:space="0"/>
              <w:right w:val="single" w:color="000000" w:sz="4" w:space="0"/>
            </w:tcBorders>
            <w:shd w:val="clear" w:color="auto" w:fill="auto"/>
            <w:noWrap/>
            <w:vAlign w:val="center"/>
          </w:tcPr>
          <w:p w14:paraId="059757E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5FD1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A9A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4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603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鹦鹉热衣原体核酸检测预分装试剂盒（荧光</w:t>
            </w:r>
            <w:r>
              <w:rPr>
                <w:rFonts w:ascii="Calibri" w:hAnsi="Calibri" w:eastAsia="宋体" w:cs="Calibri"/>
                <w:i w:val="0"/>
                <w:iCs w:val="0"/>
                <w:color w:val="000000"/>
                <w:kern w:val="0"/>
                <w:sz w:val="21"/>
                <w:szCs w:val="21"/>
                <w:u w:val="none"/>
                <w:lang w:val="en-US" w:eastAsia="zh-CN" w:bidi="ar"/>
              </w:rPr>
              <w:t>PCR</w:t>
            </w:r>
            <w:r>
              <w:rPr>
                <w:rFonts w:hint="eastAsia" w:ascii="宋体" w:hAnsi="宋体" w:eastAsia="宋体" w:cs="宋体"/>
                <w:i w:val="0"/>
                <w:iCs w:val="0"/>
                <w:color w:val="000000"/>
                <w:kern w:val="0"/>
                <w:sz w:val="21"/>
                <w:szCs w:val="21"/>
                <w:u w:val="none"/>
                <w:lang w:val="en-US" w:eastAsia="zh-CN" w:bidi="ar"/>
              </w:rPr>
              <w:t>法）</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4F6F7">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SKY-82152F，24T/盒</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5A81D">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5EC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627" w:type="dxa"/>
            <w:vMerge w:val="continue"/>
            <w:tcBorders>
              <w:left w:val="single" w:color="000000" w:sz="4" w:space="0"/>
              <w:right w:val="single" w:color="000000" w:sz="4" w:space="0"/>
            </w:tcBorders>
            <w:shd w:val="clear" w:color="auto" w:fill="auto"/>
            <w:noWrap/>
            <w:vAlign w:val="center"/>
          </w:tcPr>
          <w:p w14:paraId="159665D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F961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277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4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433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五种致泻性大肠杆菌核酸检测预分装试剂盒（荧光</w:t>
            </w:r>
            <w:r>
              <w:rPr>
                <w:rFonts w:ascii="Calibri" w:hAnsi="Calibri" w:eastAsia="宋体" w:cs="Calibri"/>
                <w:i w:val="0"/>
                <w:iCs w:val="0"/>
                <w:color w:val="000000"/>
                <w:kern w:val="0"/>
                <w:sz w:val="21"/>
                <w:szCs w:val="21"/>
                <w:u w:val="none"/>
                <w:lang w:val="en-US" w:eastAsia="zh-CN" w:bidi="ar"/>
              </w:rPr>
              <w:t>PCR</w:t>
            </w:r>
            <w:r>
              <w:rPr>
                <w:rFonts w:hint="eastAsia" w:ascii="宋体" w:hAnsi="宋体" w:eastAsia="宋体" w:cs="宋体"/>
                <w:i w:val="0"/>
                <w:iCs w:val="0"/>
                <w:color w:val="000000"/>
                <w:kern w:val="0"/>
                <w:sz w:val="21"/>
                <w:szCs w:val="21"/>
                <w:u w:val="none"/>
                <w:lang w:val="en-US" w:eastAsia="zh-CN" w:bidi="ar"/>
              </w:rPr>
              <w:t>法）</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99B5B">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SKY-8163F，48T/盒</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9BC8A">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EBB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627" w:type="dxa"/>
            <w:vMerge w:val="continue"/>
            <w:tcBorders>
              <w:left w:val="single" w:color="000000" w:sz="4" w:space="0"/>
              <w:right w:val="single" w:color="000000" w:sz="4" w:space="0"/>
            </w:tcBorders>
            <w:shd w:val="clear" w:color="auto" w:fill="auto"/>
            <w:noWrap/>
            <w:vAlign w:val="center"/>
          </w:tcPr>
          <w:p w14:paraId="44907D6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14DA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535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4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27A1C">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ascii="Calibri" w:hAnsi="Calibri" w:eastAsia="宋体" w:cs="Calibri"/>
                <w:i w:val="0"/>
                <w:iCs w:val="0"/>
                <w:color w:val="000000"/>
                <w:kern w:val="0"/>
                <w:sz w:val="21"/>
                <w:szCs w:val="21"/>
                <w:u w:val="none"/>
                <w:lang w:val="en-US" w:eastAsia="zh-CN" w:bidi="ar"/>
              </w:rPr>
              <w:t>GVC</w:t>
            </w:r>
            <w:r>
              <w:rPr>
                <w:rFonts w:hint="eastAsia" w:ascii="宋体" w:hAnsi="宋体" w:eastAsia="宋体" w:cs="宋体"/>
                <w:i w:val="0"/>
                <w:iCs w:val="0"/>
                <w:color w:val="000000"/>
                <w:kern w:val="0"/>
                <w:sz w:val="21"/>
                <w:szCs w:val="21"/>
                <w:u w:val="none"/>
                <w:lang w:val="en-US" w:eastAsia="zh-CN" w:bidi="ar"/>
              </w:rPr>
              <w:t>增菌液培养基</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FFDCF">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C21055D1，225mL×10袋,10袋/盒</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A062D">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B72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627" w:type="dxa"/>
            <w:vMerge w:val="continue"/>
            <w:tcBorders>
              <w:left w:val="single" w:color="000000" w:sz="4" w:space="0"/>
              <w:right w:val="single" w:color="000000" w:sz="4" w:space="0"/>
            </w:tcBorders>
            <w:shd w:val="clear" w:color="auto" w:fill="auto"/>
            <w:noWrap/>
            <w:vAlign w:val="center"/>
          </w:tcPr>
          <w:p w14:paraId="50C6133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01FA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370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4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6EB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乳糖明胶生化管</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22C97">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075850，20支/盒</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6F846">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82E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627" w:type="dxa"/>
            <w:vMerge w:val="continue"/>
            <w:tcBorders>
              <w:left w:val="single" w:color="000000" w:sz="4" w:space="0"/>
              <w:right w:val="single" w:color="000000" w:sz="4" w:space="0"/>
            </w:tcBorders>
            <w:shd w:val="clear" w:color="auto" w:fill="auto"/>
            <w:noWrap/>
            <w:vAlign w:val="center"/>
          </w:tcPr>
          <w:p w14:paraId="029BAB0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2B5F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4BD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4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94B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缓冲动力</w:t>
            </w:r>
            <w:r>
              <w:rPr>
                <w:rFonts w:ascii="Calibri" w:hAnsi="Calibri" w:eastAsia="宋体" w:cs="Calibri"/>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硝酸盐培养基</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0EA4D">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075810，20支/盒</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E75E9">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357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627" w:type="dxa"/>
            <w:vMerge w:val="continue"/>
            <w:tcBorders>
              <w:left w:val="single" w:color="000000" w:sz="4" w:space="0"/>
              <w:right w:val="single" w:color="000000" w:sz="4" w:space="0"/>
            </w:tcBorders>
            <w:shd w:val="clear" w:color="auto" w:fill="auto"/>
            <w:noWrap/>
            <w:vAlign w:val="center"/>
          </w:tcPr>
          <w:p w14:paraId="72AA695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07D1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21D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4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E2F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含铁牛奶培养基</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477EE">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028035，250g/瓶</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C07DC">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9BE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627" w:type="dxa"/>
            <w:vMerge w:val="continue"/>
            <w:tcBorders>
              <w:left w:val="single" w:color="000000" w:sz="4" w:space="0"/>
              <w:right w:val="single" w:color="000000" w:sz="4" w:space="0"/>
            </w:tcBorders>
            <w:shd w:val="clear" w:color="auto" w:fill="auto"/>
            <w:noWrap/>
            <w:vAlign w:val="center"/>
          </w:tcPr>
          <w:p w14:paraId="459172E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6F7D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E24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4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0C5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霍乱弧菌</w:t>
            </w:r>
            <w:r>
              <w:rPr>
                <w:rFonts w:ascii="Calibri" w:hAnsi="Calibri" w:eastAsia="宋体" w:cs="Calibri"/>
                <w:i w:val="0"/>
                <w:iCs w:val="0"/>
                <w:color w:val="000000"/>
                <w:kern w:val="0"/>
                <w:sz w:val="21"/>
                <w:szCs w:val="21"/>
                <w:u w:val="none"/>
                <w:lang w:val="en-US" w:eastAsia="zh-CN" w:bidi="ar"/>
              </w:rPr>
              <w:t>CTXAB</w:t>
            </w:r>
            <w:r>
              <w:rPr>
                <w:rFonts w:hint="eastAsia" w:ascii="宋体" w:hAnsi="宋体" w:eastAsia="宋体" w:cs="宋体"/>
                <w:i w:val="0"/>
                <w:iCs w:val="0"/>
                <w:color w:val="000000"/>
                <w:kern w:val="0"/>
                <w:sz w:val="21"/>
                <w:szCs w:val="21"/>
                <w:u w:val="none"/>
                <w:lang w:val="en-US" w:eastAsia="zh-CN" w:bidi="ar"/>
              </w:rPr>
              <w:t>核酸检测试剂盒（荧光</w:t>
            </w:r>
            <w:r>
              <w:rPr>
                <w:rFonts w:ascii="Calibri" w:hAnsi="Calibri" w:eastAsia="宋体" w:cs="Calibri"/>
                <w:i w:val="0"/>
                <w:iCs w:val="0"/>
                <w:color w:val="000000"/>
                <w:kern w:val="0"/>
                <w:sz w:val="21"/>
                <w:szCs w:val="21"/>
                <w:u w:val="none"/>
                <w:lang w:val="en-US" w:eastAsia="zh-CN" w:bidi="ar"/>
              </w:rPr>
              <w:t>PCR</w:t>
            </w:r>
            <w:r>
              <w:rPr>
                <w:rFonts w:hint="eastAsia" w:ascii="宋体" w:hAnsi="宋体" w:eastAsia="宋体" w:cs="宋体"/>
                <w:i w:val="0"/>
                <w:iCs w:val="0"/>
                <w:color w:val="000000"/>
                <w:kern w:val="0"/>
                <w:sz w:val="21"/>
                <w:szCs w:val="21"/>
                <w:u w:val="none"/>
                <w:lang w:val="en-US" w:eastAsia="zh-CN" w:bidi="ar"/>
              </w:rPr>
              <w:t>法）</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3C609">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SKY-8109F，48T/盒</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698C0">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FC9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627" w:type="dxa"/>
            <w:vMerge w:val="continue"/>
            <w:tcBorders>
              <w:left w:val="single" w:color="000000" w:sz="4" w:space="0"/>
              <w:right w:val="single" w:color="000000" w:sz="4" w:space="0"/>
            </w:tcBorders>
            <w:shd w:val="clear" w:color="auto" w:fill="auto"/>
            <w:noWrap/>
            <w:vAlign w:val="center"/>
          </w:tcPr>
          <w:p w14:paraId="3346CC7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AF08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97B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4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B8F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无菌试验用真菌培养基</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B4347">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021044，250g/瓶</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08E7D">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F26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627" w:type="dxa"/>
            <w:vMerge w:val="continue"/>
            <w:tcBorders>
              <w:left w:val="single" w:color="000000" w:sz="4" w:space="0"/>
              <w:right w:val="single" w:color="000000" w:sz="4" w:space="0"/>
            </w:tcBorders>
            <w:shd w:val="clear" w:color="auto" w:fill="auto"/>
            <w:noWrap/>
            <w:vAlign w:val="center"/>
          </w:tcPr>
          <w:p w14:paraId="5066D0A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87A5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B4A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4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439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甘露醇卵黄多粘菌素琼脂平板</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6A742">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028381，90mm×20个/盒</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56F80">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4</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0E1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627" w:type="dxa"/>
            <w:vMerge w:val="continue"/>
            <w:tcBorders>
              <w:left w:val="single" w:color="000000" w:sz="4" w:space="0"/>
              <w:right w:val="single" w:color="000000" w:sz="4" w:space="0"/>
            </w:tcBorders>
            <w:shd w:val="clear" w:color="auto" w:fill="auto"/>
            <w:noWrap/>
            <w:vAlign w:val="center"/>
          </w:tcPr>
          <w:p w14:paraId="41AA06E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31E9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B90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4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17398">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ascii="Calibri" w:hAnsi="Calibri" w:eastAsia="宋体" w:cs="Calibri"/>
                <w:i w:val="0"/>
                <w:iCs w:val="0"/>
                <w:color w:val="000000"/>
                <w:kern w:val="0"/>
                <w:sz w:val="21"/>
                <w:szCs w:val="21"/>
                <w:u w:val="none"/>
                <w:lang w:val="en-US" w:eastAsia="zh-CN" w:bidi="ar"/>
              </w:rPr>
              <w:t>Baird-Parker</w:t>
            </w:r>
            <w:r>
              <w:rPr>
                <w:rFonts w:hint="eastAsia" w:ascii="宋体" w:hAnsi="宋体" w:eastAsia="宋体" w:cs="宋体"/>
                <w:i w:val="0"/>
                <w:iCs w:val="0"/>
                <w:color w:val="000000"/>
                <w:kern w:val="0"/>
                <w:sz w:val="21"/>
                <w:szCs w:val="21"/>
                <w:u w:val="none"/>
                <w:lang w:val="en-US" w:eastAsia="zh-CN" w:bidi="ar"/>
              </w:rPr>
              <w:t>琼脂平板</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4A89A">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024040A，90mm×20个/盒</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C502F">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4</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3F8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627" w:type="dxa"/>
            <w:vMerge w:val="continue"/>
            <w:tcBorders>
              <w:left w:val="single" w:color="000000" w:sz="4" w:space="0"/>
              <w:right w:val="single" w:color="000000" w:sz="4" w:space="0"/>
            </w:tcBorders>
            <w:shd w:val="clear" w:color="auto" w:fill="auto"/>
            <w:noWrap/>
            <w:vAlign w:val="center"/>
          </w:tcPr>
          <w:p w14:paraId="4367C3B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562F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F15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4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9DE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沙门氏菌荧光</w:t>
            </w:r>
            <w:r>
              <w:rPr>
                <w:rFonts w:ascii="Calibri" w:hAnsi="Calibri" w:eastAsia="宋体" w:cs="Calibri"/>
                <w:i w:val="0"/>
                <w:iCs w:val="0"/>
                <w:color w:val="000000"/>
                <w:kern w:val="0"/>
                <w:sz w:val="21"/>
                <w:szCs w:val="21"/>
                <w:u w:val="none"/>
                <w:lang w:val="en-US" w:eastAsia="zh-CN" w:bidi="ar"/>
              </w:rPr>
              <w:t>PCR</w:t>
            </w:r>
            <w:r>
              <w:rPr>
                <w:rFonts w:hint="eastAsia" w:ascii="宋体" w:hAnsi="宋体" w:eastAsia="宋体" w:cs="宋体"/>
                <w:i w:val="0"/>
                <w:iCs w:val="0"/>
                <w:color w:val="000000"/>
                <w:kern w:val="0"/>
                <w:sz w:val="21"/>
                <w:szCs w:val="21"/>
                <w:u w:val="none"/>
                <w:lang w:val="en-US" w:eastAsia="zh-CN" w:bidi="ar"/>
              </w:rPr>
              <w:t>检测试剂盒</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D2106">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SKY-8101F，48T/盒</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E4776">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C55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627" w:type="dxa"/>
            <w:vMerge w:val="continue"/>
            <w:tcBorders>
              <w:left w:val="single" w:color="000000" w:sz="4" w:space="0"/>
              <w:right w:val="single" w:color="000000" w:sz="4" w:space="0"/>
            </w:tcBorders>
            <w:shd w:val="clear" w:color="auto" w:fill="auto"/>
            <w:noWrap/>
            <w:vAlign w:val="center"/>
          </w:tcPr>
          <w:p w14:paraId="6379EB2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CF8F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BC8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4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4E5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副溶血性弧菌</w:t>
            </w:r>
            <w:r>
              <w:rPr>
                <w:rFonts w:ascii="Calibri" w:hAnsi="Calibri" w:eastAsia="宋体" w:cs="Calibri"/>
                <w:i w:val="0"/>
                <w:iCs w:val="0"/>
                <w:color w:val="000000"/>
                <w:kern w:val="0"/>
                <w:sz w:val="21"/>
                <w:szCs w:val="21"/>
                <w:u w:val="none"/>
                <w:lang w:val="en-US" w:eastAsia="zh-CN" w:bidi="ar"/>
              </w:rPr>
              <w:t>(TDH</w:t>
            </w:r>
            <w:r>
              <w:rPr>
                <w:rFonts w:hint="eastAsia" w:ascii="宋体" w:hAnsi="宋体" w:eastAsia="宋体" w:cs="宋体"/>
                <w:i w:val="0"/>
                <w:iCs w:val="0"/>
                <w:color w:val="000000"/>
                <w:kern w:val="0"/>
                <w:sz w:val="21"/>
                <w:szCs w:val="21"/>
                <w:u w:val="none"/>
                <w:lang w:val="en-US" w:eastAsia="zh-CN" w:bidi="ar"/>
              </w:rPr>
              <w:t>、</w:t>
            </w:r>
            <w:r>
              <w:rPr>
                <w:rFonts w:ascii="Calibri" w:hAnsi="Calibri" w:eastAsia="宋体" w:cs="Calibri"/>
                <w:i w:val="0"/>
                <w:iCs w:val="0"/>
                <w:color w:val="000000"/>
                <w:kern w:val="0"/>
                <w:sz w:val="21"/>
                <w:szCs w:val="21"/>
                <w:u w:val="none"/>
                <w:lang w:val="en-US" w:eastAsia="zh-CN" w:bidi="ar"/>
              </w:rPr>
              <w:t xml:space="preserve">TRH) </w:t>
            </w:r>
            <w:r>
              <w:rPr>
                <w:rFonts w:hint="eastAsia" w:ascii="宋体" w:hAnsi="宋体" w:eastAsia="宋体" w:cs="宋体"/>
                <w:i w:val="0"/>
                <w:iCs w:val="0"/>
                <w:color w:val="000000"/>
                <w:kern w:val="0"/>
                <w:sz w:val="21"/>
                <w:szCs w:val="21"/>
                <w:u w:val="none"/>
                <w:lang w:val="en-US" w:eastAsia="zh-CN" w:bidi="ar"/>
              </w:rPr>
              <w:t>双重核酸检测预分装试剂盒（荧光</w:t>
            </w:r>
            <w:r>
              <w:rPr>
                <w:rFonts w:ascii="Calibri" w:hAnsi="Calibri" w:eastAsia="宋体" w:cs="Calibri"/>
                <w:i w:val="0"/>
                <w:iCs w:val="0"/>
                <w:color w:val="000000"/>
                <w:kern w:val="0"/>
                <w:sz w:val="21"/>
                <w:szCs w:val="21"/>
                <w:u w:val="none"/>
                <w:lang w:val="en-US" w:eastAsia="zh-CN" w:bidi="ar"/>
              </w:rPr>
              <w:t>PCR</w:t>
            </w:r>
            <w:r>
              <w:rPr>
                <w:rFonts w:hint="eastAsia" w:ascii="宋体" w:hAnsi="宋体" w:eastAsia="宋体" w:cs="宋体"/>
                <w:i w:val="0"/>
                <w:iCs w:val="0"/>
                <w:color w:val="000000"/>
                <w:kern w:val="0"/>
                <w:sz w:val="21"/>
                <w:szCs w:val="21"/>
                <w:u w:val="none"/>
                <w:lang w:val="en-US" w:eastAsia="zh-CN" w:bidi="ar"/>
              </w:rPr>
              <w:t>法）</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6CC03">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SKY-8114F，48T/盒</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1B12F">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EA0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627" w:type="dxa"/>
            <w:vMerge w:val="continue"/>
            <w:tcBorders>
              <w:left w:val="single" w:color="000000" w:sz="4" w:space="0"/>
              <w:right w:val="single" w:color="000000" w:sz="4" w:space="0"/>
            </w:tcBorders>
            <w:shd w:val="clear" w:color="auto" w:fill="auto"/>
            <w:noWrap/>
            <w:vAlign w:val="center"/>
          </w:tcPr>
          <w:p w14:paraId="6A65F09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532C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172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4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6166C">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ascii="Calibri" w:hAnsi="Calibri" w:eastAsia="宋体" w:cs="Calibri"/>
                <w:i w:val="0"/>
                <w:iCs w:val="0"/>
                <w:color w:val="000000"/>
                <w:kern w:val="0"/>
                <w:sz w:val="21"/>
                <w:szCs w:val="21"/>
                <w:u w:val="none"/>
                <w:lang w:val="en-US" w:eastAsia="zh-CN" w:bidi="ar"/>
              </w:rPr>
              <w:t>90mm</w:t>
            </w:r>
            <w:r>
              <w:rPr>
                <w:rFonts w:hint="eastAsia" w:ascii="宋体" w:hAnsi="宋体" w:eastAsia="宋体" w:cs="宋体"/>
                <w:i w:val="0"/>
                <w:iCs w:val="0"/>
                <w:color w:val="000000"/>
                <w:kern w:val="0"/>
                <w:sz w:val="21"/>
                <w:szCs w:val="21"/>
                <w:u w:val="none"/>
                <w:lang w:val="en-US" w:eastAsia="zh-CN" w:bidi="ar"/>
              </w:rPr>
              <w:t>一次性培养皿</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41317">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MCD000090，10只/包，500个/箱</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5DF97">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6</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C69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箱</w:t>
            </w:r>
          </w:p>
        </w:tc>
        <w:tc>
          <w:tcPr>
            <w:tcW w:w="627" w:type="dxa"/>
            <w:vMerge w:val="continue"/>
            <w:tcBorders>
              <w:left w:val="single" w:color="000000" w:sz="4" w:space="0"/>
              <w:right w:val="single" w:color="000000" w:sz="4" w:space="0"/>
            </w:tcBorders>
            <w:shd w:val="clear" w:color="auto" w:fill="auto"/>
            <w:noWrap/>
            <w:vAlign w:val="center"/>
          </w:tcPr>
          <w:p w14:paraId="4C2A2B1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9505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AE7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4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D61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缓冲蛋白胨水（</w:t>
            </w:r>
            <w:r>
              <w:rPr>
                <w:rFonts w:ascii="Calibri" w:hAnsi="Calibri" w:eastAsia="宋体" w:cs="Calibri"/>
                <w:i w:val="0"/>
                <w:iCs w:val="0"/>
                <w:color w:val="000000"/>
                <w:kern w:val="0"/>
                <w:sz w:val="21"/>
                <w:szCs w:val="21"/>
                <w:u w:val="none"/>
                <w:lang w:val="en-US" w:eastAsia="zh-CN" w:bidi="ar"/>
              </w:rPr>
              <w:t>BPW</w:t>
            </w:r>
            <w:r>
              <w:rPr>
                <w:rFonts w:hint="eastAsia" w:ascii="宋体" w:hAnsi="宋体" w:eastAsia="宋体" w:cs="宋体"/>
                <w:i w:val="0"/>
                <w:iCs w:val="0"/>
                <w:color w:val="000000"/>
                <w:kern w:val="0"/>
                <w:sz w:val="21"/>
                <w:szCs w:val="21"/>
                <w:u w:val="none"/>
                <w:lang w:val="en-US" w:eastAsia="zh-CN" w:bidi="ar"/>
              </w:rPr>
              <w:t>）</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64B39">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CP0290，225mL*6瓶/盒</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58935">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AA2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627" w:type="dxa"/>
            <w:vMerge w:val="continue"/>
            <w:tcBorders>
              <w:left w:val="single" w:color="000000" w:sz="4" w:space="0"/>
              <w:right w:val="single" w:color="000000" w:sz="4" w:space="0"/>
            </w:tcBorders>
            <w:shd w:val="clear" w:color="auto" w:fill="auto"/>
            <w:noWrap/>
            <w:vAlign w:val="center"/>
          </w:tcPr>
          <w:p w14:paraId="18892F4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9063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BAE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4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62B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改良纤维二糖多粘菌素</w:t>
            </w:r>
            <w:r>
              <w:rPr>
                <w:rFonts w:ascii="Calibri" w:hAnsi="Calibri" w:eastAsia="宋体" w:cs="Calibri"/>
                <w:i w:val="0"/>
                <w:iCs w:val="0"/>
                <w:color w:val="000000"/>
                <w:kern w:val="0"/>
                <w:sz w:val="21"/>
                <w:szCs w:val="21"/>
                <w:u w:val="none"/>
                <w:lang w:val="en-US" w:eastAsia="zh-CN" w:bidi="ar"/>
              </w:rPr>
              <w:t>B</w:t>
            </w:r>
            <w:r>
              <w:rPr>
                <w:rFonts w:hint="eastAsia" w:ascii="宋体" w:hAnsi="宋体" w:eastAsia="宋体" w:cs="宋体"/>
                <w:i w:val="0"/>
                <w:iCs w:val="0"/>
                <w:color w:val="000000"/>
                <w:kern w:val="0"/>
                <w:sz w:val="21"/>
                <w:szCs w:val="21"/>
                <w:u w:val="none"/>
                <w:lang w:val="en-US" w:eastAsia="zh-CN" w:bidi="ar"/>
              </w:rPr>
              <w:t>多粘菌素</w:t>
            </w:r>
            <w:r>
              <w:rPr>
                <w:rFonts w:ascii="Calibri" w:hAnsi="Calibri" w:eastAsia="宋体" w:cs="Calibri"/>
                <w:i w:val="0"/>
                <w:iCs w:val="0"/>
                <w:color w:val="000000"/>
                <w:kern w:val="0"/>
                <w:sz w:val="21"/>
                <w:szCs w:val="21"/>
                <w:u w:val="none"/>
                <w:lang w:val="en-US" w:eastAsia="zh-CN" w:bidi="ar"/>
              </w:rPr>
              <w:t>E</w:t>
            </w:r>
            <w:r>
              <w:rPr>
                <w:rFonts w:hint="eastAsia" w:ascii="宋体" w:hAnsi="宋体" w:eastAsia="宋体" w:cs="宋体"/>
                <w:i w:val="0"/>
                <w:iCs w:val="0"/>
                <w:color w:val="000000"/>
                <w:kern w:val="0"/>
                <w:sz w:val="21"/>
                <w:szCs w:val="21"/>
                <w:u w:val="none"/>
                <w:lang w:val="en-US" w:eastAsia="zh-CN" w:bidi="ar"/>
              </w:rPr>
              <w:t>（</w:t>
            </w:r>
            <w:r>
              <w:rPr>
                <w:rFonts w:ascii="Calibri" w:hAnsi="Calibri" w:eastAsia="宋体" w:cs="Calibri"/>
                <w:i w:val="0"/>
                <w:iCs w:val="0"/>
                <w:color w:val="000000"/>
                <w:kern w:val="0"/>
                <w:sz w:val="21"/>
                <w:szCs w:val="21"/>
                <w:u w:val="none"/>
                <w:lang w:val="en-US" w:eastAsia="zh-CN" w:bidi="ar"/>
              </w:rPr>
              <w:t>mCPC</w:t>
            </w:r>
            <w:r>
              <w:rPr>
                <w:rFonts w:hint="eastAsia" w:ascii="宋体" w:hAnsi="宋体" w:eastAsia="宋体" w:cs="宋体"/>
                <w:i w:val="0"/>
                <w:iCs w:val="0"/>
                <w:color w:val="000000"/>
                <w:kern w:val="0"/>
                <w:sz w:val="21"/>
                <w:szCs w:val="21"/>
                <w:u w:val="none"/>
                <w:lang w:val="en-US" w:eastAsia="zh-CN" w:bidi="ar"/>
              </w:rPr>
              <w:t>）琼脂基础</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01641">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025110，250g/瓶</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4E9AF">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6EC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627" w:type="dxa"/>
            <w:vMerge w:val="continue"/>
            <w:tcBorders>
              <w:left w:val="single" w:color="000000" w:sz="4" w:space="0"/>
              <w:right w:val="single" w:color="000000" w:sz="4" w:space="0"/>
            </w:tcBorders>
            <w:shd w:val="clear" w:color="auto" w:fill="auto"/>
            <w:noWrap/>
            <w:vAlign w:val="center"/>
          </w:tcPr>
          <w:p w14:paraId="035C962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19A7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9BE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4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A0F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马铃薯葡萄糖琼脂（椰毒假单胞菌用）</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F0628">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021057，250g</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9C289">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ED4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627" w:type="dxa"/>
            <w:vMerge w:val="continue"/>
            <w:tcBorders>
              <w:left w:val="single" w:color="000000" w:sz="4" w:space="0"/>
              <w:right w:val="single" w:color="000000" w:sz="4" w:space="0"/>
            </w:tcBorders>
            <w:shd w:val="clear" w:color="auto" w:fill="auto"/>
            <w:noWrap/>
            <w:vAlign w:val="center"/>
          </w:tcPr>
          <w:p w14:paraId="2446725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ACDC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5E8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4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28E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改良月桂基硫酸盐胰蛋白胨肉汤基础</w:t>
            </w:r>
            <w:r>
              <w:rPr>
                <w:rFonts w:ascii="Calibri" w:hAnsi="Calibri" w:eastAsia="宋体" w:cs="Calibri"/>
                <w:i w:val="0"/>
                <w:iCs w:val="0"/>
                <w:color w:val="000000"/>
                <w:kern w:val="0"/>
                <w:sz w:val="21"/>
                <w:szCs w:val="21"/>
                <w:u w:val="none"/>
                <w:lang w:val="en-US" w:eastAsia="zh-CN" w:bidi="ar"/>
              </w:rPr>
              <w:t>(MLST)</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584BA">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022212，250g/瓶</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6FA20">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8A2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627" w:type="dxa"/>
            <w:vMerge w:val="continue"/>
            <w:tcBorders>
              <w:left w:val="single" w:color="000000" w:sz="4" w:space="0"/>
              <w:right w:val="single" w:color="000000" w:sz="4" w:space="0"/>
            </w:tcBorders>
            <w:shd w:val="clear" w:color="auto" w:fill="auto"/>
            <w:noWrap/>
            <w:vAlign w:val="center"/>
          </w:tcPr>
          <w:p w14:paraId="7C3BA9D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314E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36A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4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E6B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麦康凯琼脂培养基</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4364F">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022140，250g/瓶</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E66A7">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FD4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627" w:type="dxa"/>
            <w:vMerge w:val="continue"/>
            <w:tcBorders>
              <w:left w:val="single" w:color="000000" w:sz="4" w:space="0"/>
              <w:right w:val="single" w:color="000000" w:sz="4" w:space="0"/>
            </w:tcBorders>
            <w:shd w:val="clear" w:color="auto" w:fill="auto"/>
            <w:noWrap/>
            <w:vAlign w:val="center"/>
          </w:tcPr>
          <w:p w14:paraId="03DFAF4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5023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621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4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37740">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ascii="Calibri" w:hAnsi="Calibri" w:eastAsia="宋体" w:cs="Calibri"/>
                <w:i w:val="0"/>
                <w:iCs w:val="0"/>
                <w:color w:val="000000"/>
                <w:kern w:val="0"/>
                <w:sz w:val="21"/>
                <w:szCs w:val="21"/>
                <w:u w:val="none"/>
                <w:lang w:val="en-US" w:eastAsia="zh-CN" w:bidi="ar"/>
              </w:rPr>
              <w:t>SS</w:t>
            </w:r>
            <w:r>
              <w:rPr>
                <w:rFonts w:hint="eastAsia" w:ascii="宋体" w:hAnsi="宋体" w:eastAsia="宋体" w:cs="宋体"/>
                <w:i w:val="0"/>
                <w:iCs w:val="0"/>
                <w:color w:val="000000"/>
                <w:kern w:val="0"/>
                <w:sz w:val="21"/>
                <w:szCs w:val="21"/>
                <w:u w:val="none"/>
                <w:lang w:val="en-US" w:eastAsia="zh-CN" w:bidi="ar"/>
              </w:rPr>
              <w:t>琼脂培养基（干粉）</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2A6AD">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023080，250g/瓶</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9612E">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A97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627" w:type="dxa"/>
            <w:vMerge w:val="continue"/>
            <w:tcBorders>
              <w:left w:val="single" w:color="000000" w:sz="4" w:space="0"/>
              <w:right w:val="single" w:color="000000" w:sz="4" w:space="0"/>
            </w:tcBorders>
            <w:shd w:val="clear" w:color="auto" w:fill="auto"/>
            <w:noWrap/>
            <w:vAlign w:val="center"/>
          </w:tcPr>
          <w:p w14:paraId="55B077B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490F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534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4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E49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胰胨</w:t>
            </w:r>
            <w:r>
              <w:rPr>
                <w:rFonts w:ascii="Calibri" w:hAnsi="Calibri" w:eastAsia="宋体" w:cs="Calibri"/>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亚硫酸盐</w:t>
            </w:r>
            <w:r>
              <w:rPr>
                <w:rFonts w:ascii="Calibri" w:hAnsi="Calibri" w:eastAsia="宋体" w:cs="Calibri"/>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环丝氨酸</w:t>
            </w:r>
            <w:r>
              <w:rPr>
                <w:rFonts w:ascii="Calibri" w:hAnsi="Calibri" w:eastAsia="宋体" w:cs="Calibri"/>
                <w:i w:val="0"/>
                <w:iCs w:val="0"/>
                <w:color w:val="000000"/>
                <w:kern w:val="0"/>
                <w:sz w:val="21"/>
                <w:szCs w:val="21"/>
                <w:u w:val="none"/>
                <w:lang w:val="en-US" w:eastAsia="zh-CN" w:bidi="ar"/>
              </w:rPr>
              <w:t>(TSC)</w:t>
            </w:r>
            <w:r>
              <w:rPr>
                <w:rFonts w:hint="eastAsia" w:ascii="宋体" w:hAnsi="宋体" w:eastAsia="宋体" w:cs="宋体"/>
                <w:i w:val="0"/>
                <w:iCs w:val="0"/>
                <w:color w:val="000000"/>
                <w:kern w:val="0"/>
                <w:sz w:val="21"/>
                <w:szCs w:val="21"/>
                <w:u w:val="none"/>
                <w:lang w:val="en-US" w:eastAsia="zh-CN" w:bidi="ar"/>
              </w:rPr>
              <w:t>琼脂配套试剂</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E1F10">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SR0290，10支/盒</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23B2F">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4</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ADA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627" w:type="dxa"/>
            <w:vMerge w:val="continue"/>
            <w:tcBorders>
              <w:left w:val="single" w:color="000000" w:sz="4" w:space="0"/>
              <w:right w:val="single" w:color="000000" w:sz="4" w:space="0"/>
            </w:tcBorders>
            <w:shd w:val="clear" w:color="auto" w:fill="auto"/>
            <w:noWrap/>
            <w:vAlign w:val="center"/>
          </w:tcPr>
          <w:p w14:paraId="6DF5FEF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EC4A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993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4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B471B">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ascii="Calibri" w:hAnsi="Calibri" w:eastAsia="宋体" w:cs="Calibri"/>
                <w:i w:val="0"/>
                <w:iCs w:val="0"/>
                <w:color w:val="000000"/>
                <w:kern w:val="0"/>
                <w:sz w:val="21"/>
                <w:szCs w:val="21"/>
                <w:u w:val="none"/>
                <w:lang w:val="en-US" w:eastAsia="zh-CN" w:bidi="ar"/>
              </w:rPr>
              <w:t>7.5%</w:t>
            </w:r>
            <w:r>
              <w:rPr>
                <w:rFonts w:hint="eastAsia" w:ascii="宋体" w:hAnsi="宋体" w:eastAsia="宋体" w:cs="宋体"/>
                <w:i w:val="0"/>
                <w:iCs w:val="0"/>
                <w:color w:val="000000"/>
                <w:kern w:val="0"/>
                <w:sz w:val="21"/>
                <w:szCs w:val="21"/>
                <w:u w:val="none"/>
                <w:lang w:val="en-US" w:eastAsia="zh-CN" w:bidi="ar"/>
              </w:rPr>
              <w:t>氯化钠肉汤（颗粒型）</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BB83C">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024010P1，250g/瓶</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FA782">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B53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627" w:type="dxa"/>
            <w:vMerge w:val="continue"/>
            <w:tcBorders>
              <w:left w:val="single" w:color="000000" w:sz="4" w:space="0"/>
              <w:right w:val="single" w:color="000000" w:sz="4" w:space="0"/>
            </w:tcBorders>
            <w:shd w:val="clear" w:color="auto" w:fill="auto"/>
            <w:noWrap/>
            <w:vAlign w:val="center"/>
          </w:tcPr>
          <w:p w14:paraId="23511B4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0B94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3DA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4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5B161">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ascii="Calibri" w:hAnsi="Calibri" w:eastAsia="宋体" w:cs="Calibri"/>
                <w:i w:val="0"/>
                <w:iCs w:val="0"/>
                <w:color w:val="000000"/>
                <w:kern w:val="0"/>
                <w:sz w:val="21"/>
                <w:szCs w:val="21"/>
                <w:u w:val="none"/>
                <w:lang w:val="en-US" w:eastAsia="zh-CN" w:bidi="ar"/>
              </w:rPr>
              <w:t>PCFA</w:t>
            </w:r>
            <w:r>
              <w:rPr>
                <w:rFonts w:hint="eastAsia" w:ascii="宋体" w:hAnsi="宋体" w:eastAsia="宋体" w:cs="宋体"/>
                <w:i w:val="0"/>
                <w:iCs w:val="0"/>
                <w:color w:val="000000"/>
                <w:kern w:val="0"/>
                <w:sz w:val="21"/>
                <w:szCs w:val="21"/>
                <w:u w:val="none"/>
                <w:lang w:val="en-US" w:eastAsia="zh-CN" w:bidi="ar"/>
              </w:rPr>
              <w:t>培养基基础</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BE132">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021059，250g/瓶</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91715">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FC2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627" w:type="dxa"/>
            <w:vMerge w:val="continue"/>
            <w:tcBorders>
              <w:left w:val="single" w:color="000000" w:sz="4" w:space="0"/>
              <w:right w:val="single" w:color="000000" w:sz="4" w:space="0"/>
            </w:tcBorders>
            <w:shd w:val="clear" w:color="auto" w:fill="auto"/>
            <w:noWrap/>
            <w:vAlign w:val="center"/>
          </w:tcPr>
          <w:p w14:paraId="41E2859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E5C0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932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4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827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亮绿乳糖胆盐培养基</w:t>
            </w:r>
            <w:r>
              <w:rPr>
                <w:rFonts w:ascii="Calibri" w:hAnsi="Calibri" w:eastAsia="宋体" w:cs="Calibri"/>
                <w:i w:val="0"/>
                <w:iCs w:val="0"/>
                <w:color w:val="000000"/>
                <w:kern w:val="0"/>
                <w:sz w:val="21"/>
                <w:szCs w:val="21"/>
                <w:u w:val="none"/>
                <w:lang w:val="en-US" w:eastAsia="zh-CN" w:bidi="ar"/>
              </w:rPr>
              <w:t xml:space="preserve">(BGB) </w:t>
            </w:r>
            <w:r>
              <w:rPr>
                <w:rFonts w:hint="eastAsia" w:ascii="宋体" w:hAnsi="宋体" w:eastAsia="宋体" w:cs="宋体"/>
                <w:i w:val="0"/>
                <w:iCs w:val="0"/>
                <w:color w:val="000000"/>
                <w:kern w:val="0"/>
                <w:sz w:val="21"/>
                <w:szCs w:val="21"/>
                <w:u w:val="none"/>
                <w:lang w:val="en-US" w:eastAsia="zh-CN" w:bidi="ar"/>
              </w:rPr>
              <w:t>干粉</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5C329">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022191，250g/瓶</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D6FDC">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429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627" w:type="dxa"/>
            <w:vMerge w:val="continue"/>
            <w:tcBorders>
              <w:left w:val="single" w:color="000000" w:sz="4" w:space="0"/>
              <w:right w:val="single" w:color="000000" w:sz="4" w:space="0"/>
            </w:tcBorders>
            <w:shd w:val="clear" w:color="auto" w:fill="auto"/>
            <w:noWrap/>
            <w:vAlign w:val="center"/>
          </w:tcPr>
          <w:p w14:paraId="2CC8EE6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BD87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91D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4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81D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碱性琼脂</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E6B39">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025040，250g/瓶</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6755A">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FA0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627" w:type="dxa"/>
            <w:vMerge w:val="continue"/>
            <w:tcBorders>
              <w:left w:val="single" w:color="000000" w:sz="4" w:space="0"/>
              <w:right w:val="single" w:color="000000" w:sz="4" w:space="0"/>
            </w:tcBorders>
            <w:shd w:val="clear" w:color="auto" w:fill="auto"/>
            <w:noWrap/>
            <w:vAlign w:val="center"/>
          </w:tcPr>
          <w:p w14:paraId="2E4AAD7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6C09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604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4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8DF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志贺氏菌增菌肉汤配套试剂（新生霉素</w:t>
            </w:r>
            <w:r>
              <w:rPr>
                <w:rFonts w:ascii="Calibri" w:hAnsi="Calibri" w:eastAsia="宋体" w:cs="Calibri"/>
                <w:i w:val="0"/>
                <w:iCs w:val="0"/>
                <w:color w:val="000000"/>
                <w:kern w:val="0"/>
                <w:sz w:val="21"/>
                <w:szCs w:val="21"/>
                <w:u w:val="none"/>
                <w:lang w:val="en-US" w:eastAsia="zh-CN" w:bidi="ar"/>
              </w:rPr>
              <w:t>SR0380)</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2C649">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SR0380，10支/盒</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D35BD">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A54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627" w:type="dxa"/>
            <w:vMerge w:val="continue"/>
            <w:tcBorders>
              <w:left w:val="single" w:color="000000" w:sz="4" w:space="0"/>
              <w:right w:val="single" w:color="000000" w:sz="4" w:space="0"/>
            </w:tcBorders>
            <w:shd w:val="clear" w:color="auto" w:fill="auto"/>
            <w:noWrap/>
            <w:vAlign w:val="center"/>
          </w:tcPr>
          <w:p w14:paraId="439FDE3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730E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478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4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6A5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志贺氏菌增菌肉汤</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4748A">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023141，250g/瓶</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CBD53">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DA4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627" w:type="dxa"/>
            <w:vMerge w:val="continue"/>
            <w:tcBorders>
              <w:left w:val="single" w:color="000000" w:sz="4" w:space="0"/>
              <w:right w:val="single" w:color="000000" w:sz="4" w:space="0"/>
            </w:tcBorders>
            <w:shd w:val="clear" w:color="auto" w:fill="auto"/>
            <w:noWrap/>
            <w:vAlign w:val="center"/>
          </w:tcPr>
          <w:p w14:paraId="39EE8EE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B53C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661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4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A9E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亚硒酸盐增菌液</w:t>
            </w:r>
            <w:r>
              <w:rPr>
                <w:rFonts w:ascii="Calibri" w:hAnsi="Calibri" w:eastAsia="宋体" w:cs="Calibri"/>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w:t>
            </w:r>
            <w:r>
              <w:rPr>
                <w:rFonts w:ascii="Calibri" w:hAnsi="Calibri" w:eastAsia="宋体" w:cs="Calibri"/>
                <w:i w:val="0"/>
                <w:iCs w:val="0"/>
                <w:color w:val="000000"/>
                <w:kern w:val="0"/>
                <w:sz w:val="21"/>
                <w:szCs w:val="21"/>
                <w:u w:val="none"/>
                <w:lang w:val="en-US" w:eastAsia="zh-CN" w:bidi="ar"/>
              </w:rPr>
              <w:t>SF</w:t>
            </w:r>
            <w:r>
              <w:rPr>
                <w:rFonts w:hint="eastAsia" w:ascii="宋体" w:hAnsi="宋体" w:eastAsia="宋体" w:cs="宋体"/>
                <w:i w:val="0"/>
                <w:iCs w:val="0"/>
                <w:color w:val="000000"/>
                <w:kern w:val="0"/>
                <w:sz w:val="21"/>
                <w:szCs w:val="21"/>
                <w:u w:val="none"/>
                <w:lang w:val="en-US" w:eastAsia="zh-CN" w:bidi="ar"/>
              </w:rPr>
              <w:t>）</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49F12">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023041，100g/瓶</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BF9C7">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FC6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627" w:type="dxa"/>
            <w:vMerge w:val="continue"/>
            <w:tcBorders>
              <w:left w:val="single" w:color="000000" w:sz="4" w:space="0"/>
              <w:right w:val="single" w:color="000000" w:sz="4" w:space="0"/>
            </w:tcBorders>
            <w:shd w:val="clear" w:color="auto" w:fill="auto"/>
            <w:noWrap/>
            <w:vAlign w:val="center"/>
          </w:tcPr>
          <w:p w14:paraId="551E77E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7CAC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F4F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4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A19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肠道菌增菌肉汤</w:t>
            </w:r>
            <w:r>
              <w:rPr>
                <w:rFonts w:ascii="Calibri" w:hAnsi="Calibri" w:eastAsia="宋体" w:cs="Calibri"/>
                <w:i w:val="0"/>
                <w:iCs w:val="0"/>
                <w:color w:val="000000"/>
                <w:kern w:val="0"/>
                <w:sz w:val="21"/>
                <w:szCs w:val="21"/>
                <w:u w:val="none"/>
                <w:lang w:val="en-US" w:eastAsia="zh-CN" w:bidi="ar"/>
              </w:rPr>
              <w:t>EE</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7F7FD">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EE022160，250g/瓶</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0F122">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732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627" w:type="dxa"/>
            <w:vMerge w:val="continue"/>
            <w:tcBorders>
              <w:left w:val="single" w:color="000000" w:sz="4" w:space="0"/>
              <w:bottom w:val="single" w:color="000000" w:sz="4" w:space="0"/>
              <w:right w:val="single" w:color="000000" w:sz="4" w:space="0"/>
            </w:tcBorders>
            <w:shd w:val="clear" w:color="auto" w:fill="auto"/>
            <w:noWrap/>
            <w:vAlign w:val="center"/>
          </w:tcPr>
          <w:p w14:paraId="5C26B21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23D6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E42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4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CD3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卵黄琼脂培养基基础</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A2AA1">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027160，250g/瓶</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0359A">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E4F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627" w:type="dxa"/>
            <w:vMerge w:val="restart"/>
            <w:tcBorders>
              <w:top w:val="single" w:color="000000" w:sz="4" w:space="0"/>
              <w:left w:val="single" w:color="000000" w:sz="4" w:space="0"/>
              <w:right w:val="single" w:color="000000" w:sz="4" w:space="0"/>
            </w:tcBorders>
            <w:shd w:val="clear" w:color="auto" w:fill="auto"/>
            <w:noWrap/>
            <w:vAlign w:val="center"/>
          </w:tcPr>
          <w:p w14:paraId="251CB8C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注明生产厂家</w:t>
            </w:r>
          </w:p>
        </w:tc>
      </w:tr>
      <w:tr w14:paraId="76442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9C5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4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1AF61">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ascii="Calibri" w:hAnsi="Calibri" w:eastAsia="宋体" w:cs="Calibri"/>
                <w:i w:val="0"/>
                <w:iCs w:val="0"/>
                <w:color w:val="000000"/>
                <w:kern w:val="0"/>
                <w:sz w:val="21"/>
                <w:szCs w:val="21"/>
                <w:u w:val="none"/>
                <w:lang w:val="en-US" w:eastAsia="zh-CN" w:bidi="ar"/>
              </w:rPr>
              <w:t xml:space="preserve">SCDLP </w:t>
            </w:r>
            <w:r>
              <w:rPr>
                <w:rFonts w:hint="eastAsia" w:ascii="宋体" w:hAnsi="宋体" w:eastAsia="宋体" w:cs="宋体"/>
                <w:i w:val="0"/>
                <w:iCs w:val="0"/>
                <w:color w:val="000000"/>
                <w:kern w:val="0"/>
                <w:sz w:val="21"/>
                <w:szCs w:val="21"/>
                <w:u w:val="none"/>
                <w:lang w:val="en-US" w:eastAsia="zh-CN" w:bidi="ar"/>
              </w:rPr>
              <w:t>液体培养基</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79124">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027010，250g</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C716E">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51A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627" w:type="dxa"/>
            <w:vMerge w:val="continue"/>
            <w:tcBorders>
              <w:left w:val="single" w:color="000000" w:sz="4" w:space="0"/>
              <w:right w:val="single" w:color="000000" w:sz="4" w:space="0"/>
            </w:tcBorders>
            <w:shd w:val="clear" w:color="auto" w:fill="auto"/>
            <w:noWrap/>
            <w:vAlign w:val="center"/>
          </w:tcPr>
          <w:p w14:paraId="10D9536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4376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8F4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4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567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四号琼脂</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97FA2">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025030，250g/瓶</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59BC5">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39F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627" w:type="dxa"/>
            <w:vMerge w:val="continue"/>
            <w:tcBorders>
              <w:left w:val="single" w:color="000000" w:sz="4" w:space="0"/>
              <w:right w:val="single" w:color="000000" w:sz="4" w:space="0"/>
            </w:tcBorders>
            <w:shd w:val="clear" w:color="auto" w:fill="auto"/>
            <w:noWrap/>
            <w:vAlign w:val="center"/>
          </w:tcPr>
          <w:p w14:paraId="2DC8141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B318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6CB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4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5BF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改良克氏双糖培养基</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E9BAD">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029917，250g</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01DA1">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0FA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627" w:type="dxa"/>
            <w:vMerge w:val="continue"/>
            <w:tcBorders>
              <w:left w:val="single" w:color="000000" w:sz="4" w:space="0"/>
              <w:right w:val="single" w:color="000000" w:sz="4" w:space="0"/>
            </w:tcBorders>
            <w:shd w:val="clear" w:color="auto" w:fill="auto"/>
            <w:noWrap/>
            <w:vAlign w:val="center"/>
          </w:tcPr>
          <w:p w14:paraId="3DAF488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6282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CC1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4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B54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生理盐水</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D7204">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C0004G3，10ml*20支/盒</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971A0">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15</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819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627" w:type="dxa"/>
            <w:vMerge w:val="continue"/>
            <w:tcBorders>
              <w:left w:val="single" w:color="000000" w:sz="4" w:space="0"/>
              <w:right w:val="single" w:color="000000" w:sz="4" w:space="0"/>
            </w:tcBorders>
            <w:shd w:val="clear" w:color="auto" w:fill="auto"/>
            <w:noWrap/>
            <w:vAlign w:val="center"/>
          </w:tcPr>
          <w:p w14:paraId="0D7CB52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1B26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A86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4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EEF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巧克力平板培养基（普通）</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B62C8">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029032，20个/盒</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DB89B">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E3B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627" w:type="dxa"/>
            <w:vMerge w:val="continue"/>
            <w:tcBorders>
              <w:left w:val="single" w:color="000000" w:sz="4" w:space="0"/>
              <w:right w:val="single" w:color="000000" w:sz="4" w:space="0"/>
            </w:tcBorders>
            <w:shd w:val="clear" w:color="auto" w:fill="auto"/>
            <w:noWrap/>
            <w:vAlign w:val="center"/>
          </w:tcPr>
          <w:p w14:paraId="0007A73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6720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5FF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4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842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哥伦比亚血平板</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9D9AB">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CP0160，90mm×20个/盒</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D48DD">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0FD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627" w:type="dxa"/>
            <w:vMerge w:val="continue"/>
            <w:tcBorders>
              <w:left w:val="single" w:color="000000" w:sz="4" w:space="0"/>
              <w:right w:val="single" w:color="000000" w:sz="4" w:space="0"/>
            </w:tcBorders>
            <w:shd w:val="clear" w:color="auto" w:fill="auto"/>
            <w:noWrap/>
            <w:vAlign w:val="center"/>
          </w:tcPr>
          <w:p w14:paraId="014DC8A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377E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170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4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E840A">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ascii="Calibri" w:hAnsi="Calibri" w:eastAsia="宋体" w:cs="Calibri"/>
                <w:i w:val="0"/>
                <w:iCs w:val="0"/>
                <w:color w:val="000000"/>
                <w:kern w:val="0"/>
                <w:sz w:val="21"/>
                <w:szCs w:val="21"/>
                <w:u w:val="none"/>
                <w:lang w:val="en-US" w:eastAsia="zh-CN" w:bidi="ar"/>
              </w:rPr>
              <w:t>GVPC</w:t>
            </w:r>
            <w:r>
              <w:rPr>
                <w:rFonts w:hint="eastAsia" w:ascii="宋体" w:hAnsi="宋体" w:eastAsia="宋体" w:cs="宋体"/>
                <w:i w:val="0"/>
                <w:iCs w:val="0"/>
                <w:color w:val="000000"/>
                <w:kern w:val="0"/>
                <w:sz w:val="21"/>
                <w:szCs w:val="21"/>
                <w:u w:val="none"/>
                <w:lang w:val="en-US" w:eastAsia="zh-CN" w:bidi="ar"/>
              </w:rPr>
              <w:t>平板</w:t>
            </w:r>
            <w:r>
              <w:rPr>
                <w:rFonts w:ascii="Calibri" w:hAnsi="Calibri" w:eastAsia="宋体" w:cs="Calibri"/>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军团菌选择性平板</w:t>
            </w:r>
            <w:r>
              <w:rPr>
                <w:rFonts w:ascii="Calibri" w:hAnsi="Calibri" w:eastAsia="宋体" w:cs="Calibri"/>
                <w:i w:val="0"/>
                <w:iCs w:val="0"/>
                <w:color w:val="000000"/>
                <w:kern w:val="0"/>
                <w:sz w:val="21"/>
                <w:szCs w:val="21"/>
                <w:u w:val="none"/>
                <w:lang w:val="en-US" w:eastAsia="zh-CN" w:bidi="ar"/>
              </w:rPr>
              <w:t>)</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8D104">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CP0040，90mm×20个/盒</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85CDB">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6</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E15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627" w:type="dxa"/>
            <w:vMerge w:val="continue"/>
            <w:tcBorders>
              <w:left w:val="single" w:color="000000" w:sz="4" w:space="0"/>
              <w:right w:val="single" w:color="000000" w:sz="4" w:space="0"/>
            </w:tcBorders>
            <w:shd w:val="clear" w:color="auto" w:fill="auto"/>
            <w:noWrap/>
            <w:vAlign w:val="center"/>
          </w:tcPr>
          <w:p w14:paraId="26331C7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1B5B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750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4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FC7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伊红美蓝琼脂培养基</w:t>
            </w:r>
            <w:r>
              <w:rPr>
                <w:rFonts w:ascii="Calibri" w:hAnsi="Calibri" w:eastAsia="宋体" w:cs="Calibri"/>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平板</w:t>
            </w:r>
            <w:r>
              <w:rPr>
                <w:rFonts w:ascii="Calibri" w:hAnsi="Calibri" w:eastAsia="宋体" w:cs="Calibri"/>
                <w:i w:val="0"/>
                <w:iCs w:val="0"/>
                <w:color w:val="000000"/>
                <w:kern w:val="0"/>
                <w:sz w:val="21"/>
                <w:szCs w:val="21"/>
                <w:u w:val="none"/>
                <w:lang w:val="en-US" w:eastAsia="zh-CN" w:bidi="ar"/>
              </w:rPr>
              <w:t>)</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8E1E2">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024087，90mm×20个/盒</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D63FF">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4</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FBC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627" w:type="dxa"/>
            <w:vMerge w:val="continue"/>
            <w:tcBorders>
              <w:left w:val="single" w:color="000000" w:sz="4" w:space="0"/>
              <w:right w:val="single" w:color="000000" w:sz="4" w:space="0"/>
            </w:tcBorders>
            <w:shd w:val="clear" w:color="auto" w:fill="auto"/>
            <w:noWrap/>
            <w:vAlign w:val="center"/>
          </w:tcPr>
          <w:p w14:paraId="0FF7626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735F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97A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4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A04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血平板</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40535">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024070，90mmX20个</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1198B">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B68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627" w:type="dxa"/>
            <w:vMerge w:val="continue"/>
            <w:tcBorders>
              <w:left w:val="single" w:color="000000" w:sz="4" w:space="0"/>
              <w:right w:val="single" w:color="000000" w:sz="4" w:space="0"/>
            </w:tcBorders>
            <w:shd w:val="clear" w:color="auto" w:fill="auto"/>
            <w:noWrap/>
            <w:vAlign w:val="center"/>
          </w:tcPr>
          <w:p w14:paraId="2D4CAFE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5B98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255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4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AA7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营养琼脂培养基</w:t>
            </w:r>
            <w:r>
              <w:rPr>
                <w:rFonts w:ascii="Calibri" w:hAnsi="Calibri" w:eastAsia="宋体" w:cs="Calibri"/>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平板</w:t>
            </w:r>
            <w:r>
              <w:rPr>
                <w:rFonts w:ascii="Calibri" w:hAnsi="Calibri" w:eastAsia="宋体" w:cs="Calibri"/>
                <w:i w:val="0"/>
                <w:iCs w:val="0"/>
                <w:color w:val="000000"/>
                <w:kern w:val="0"/>
                <w:sz w:val="21"/>
                <w:szCs w:val="21"/>
                <w:u w:val="none"/>
                <w:lang w:val="en-US" w:eastAsia="zh-CN" w:bidi="ar"/>
              </w:rPr>
              <w:t>)</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D6960">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024089，90mmX20个</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12F26">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40</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C2D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627" w:type="dxa"/>
            <w:vMerge w:val="continue"/>
            <w:tcBorders>
              <w:left w:val="single" w:color="000000" w:sz="4" w:space="0"/>
              <w:right w:val="single" w:color="000000" w:sz="4" w:space="0"/>
            </w:tcBorders>
            <w:shd w:val="clear" w:color="auto" w:fill="auto"/>
            <w:noWrap/>
            <w:vAlign w:val="center"/>
          </w:tcPr>
          <w:p w14:paraId="5CDC718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AA2F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552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4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41B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单料乳糖蛋白胨培养液</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D1F55">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C22200G1，10mL*20支</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068DE">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7F8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627" w:type="dxa"/>
            <w:vMerge w:val="continue"/>
            <w:tcBorders>
              <w:left w:val="single" w:color="000000" w:sz="4" w:space="0"/>
              <w:right w:val="single" w:color="000000" w:sz="4" w:space="0"/>
            </w:tcBorders>
            <w:shd w:val="clear" w:color="auto" w:fill="auto"/>
            <w:noWrap/>
            <w:vAlign w:val="center"/>
          </w:tcPr>
          <w:p w14:paraId="61488A1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A13C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E36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4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A2E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乳糖胆盐发酵培养基</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9B3DD">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CP0310D，10mL*20支</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3F866">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C87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627" w:type="dxa"/>
            <w:vMerge w:val="continue"/>
            <w:tcBorders>
              <w:left w:val="single" w:color="000000" w:sz="4" w:space="0"/>
              <w:right w:val="single" w:color="000000" w:sz="4" w:space="0"/>
            </w:tcBorders>
            <w:shd w:val="clear" w:color="auto" w:fill="auto"/>
            <w:noWrap/>
            <w:vAlign w:val="center"/>
          </w:tcPr>
          <w:p w14:paraId="3E50B4C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FDA1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4CC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4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E8D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双料乳糖蛋白胨培养液</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84DCC">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C22200G2，10mL*20支</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F0BE9">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30</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23A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627" w:type="dxa"/>
            <w:vMerge w:val="continue"/>
            <w:tcBorders>
              <w:left w:val="single" w:color="000000" w:sz="4" w:space="0"/>
              <w:right w:val="single" w:color="000000" w:sz="4" w:space="0"/>
            </w:tcBorders>
            <w:shd w:val="clear" w:color="auto" w:fill="auto"/>
            <w:noWrap/>
            <w:vAlign w:val="center"/>
          </w:tcPr>
          <w:p w14:paraId="0D4A233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2425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87C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4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705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双料乳糖胆盐发酵培养基</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D7814">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CP0311A，10mL*20支</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7DA36">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685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627" w:type="dxa"/>
            <w:vMerge w:val="continue"/>
            <w:tcBorders>
              <w:left w:val="single" w:color="000000" w:sz="4" w:space="0"/>
              <w:right w:val="single" w:color="000000" w:sz="4" w:space="0"/>
            </w:tcBorders>
            <w:shd w:val="clear" w:color="auto" w:fill="auto"/>
            <w:noWrap/>
            <w:vAlign w:val="center"/>
          </w:tcPr>
          <w:p w14:paraId="6B1B79A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3C9D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724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4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B70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乙型流感病毒</w:t>
            </w:r>
            <w:r>
              <w:rPr>
                <w:rFonts w:ascii="Calibri" w:hAnsi="Calibri" w:eastAsia="宋体" w:cs="Calibri"/>
                <w:i w:val="0"/>
                <w:iCs w:val="0"/>
                <w:color w:val="000000"/>
                <w:kern w:val="0"/>
                <w:sz w:val="21"/>
                <w:szCs w:val="21"/>
                <w:u w:val="none"/>
                <w:lang w:val="en-US" w:eastAsia="zh-CN" w:bidi="ar"/>
              </w:rPr>
              <w:t>Yamagata/Victoria</w:t>
            </w:r>
            <w:r>
              <w:rPr>
                <w:rFonts w:hint="eastAsia" w:ascii="宋体" w:hAnsi="宋体" w:eastAsia="宋体" w:cs="宋体"/>
                <w:i w:val="0"/>
                <w:iCs w:val="0"/>
                <w:color w:val="000000"/>
                <w:kern w:val="0"/>
                <w:sz w:val="21"/>
                <w:szCs w:val="21"/>
                <w:u w:val="none"/>
                <w:lang w:val="en-US" w:eastAsia="zh-CN" w:bidi="ar"/>
              </w:rPr>
              <w:t xml:space="preserve">系核酸检测试剂盒 </w:t>
            </w:r>
            <w:r>
              <w:rPr>
                <w:rFonts w:ascii="Calibri" w:hAnsi="Calibri" w:eastAsia="宋体" w:cs="Calibri"/>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双重荧光</w:t>
            </w:r>
            <w:r>
              <w:rPr>
                <w:rFonts w:ascii="Calibri" w:hAnsi="Calibri" w:eastAsia="宋体" w:cs="Calibri"/>
                <w:i w:val="0"/>
                <w:iCs w:val="0"/>
                <w:color w:val="000000"/>
                <w:kern w:val="0"/>
                <w:sz w:val="21"/>
                <w:szCs w:val="21"/>
                <w:u w:val="none"/>
                <w:lang w:val="en-US" w:eastAsia="zh-CN" w:bidi="ar"/>
              </w:rPr>
              <w:t>PCR</w:t>
            </w:r>
            <w:r>
              <w:rPr>
                <w:rFonts w:hint="eastAsia" w:ascii="宋体" w:hAnsi="宋体" w:eastAsia="宋体" w:cs="宋体"/>
                <w:i w:val="0"/>
                <w:iCs w:val="0"/>
                <w:color w:val="000000"/>
                <w:kern w:val="0"/>
                <w:sz w:val="21"/>
                <w:szCs w:val="21"/>
                <w:u w:val="none"/>
                <w:lang w:val="en-US" w:eastAsia="zh-CN" w:bidi="ar"/>
              </w:rPr>
              <w:t>法</w:t>
            </w:r>
            <w:r>
              <w:rPr>
                <w:rFonts w:ascii="Calibri" w:hAnsi="Calibri" w:eastAsia="宋体" w:cs="Calibri"/>
                <w:i w:val="0"/>
                <w:iCs w:val="0"/>
                <w:color w:val="000000"/>
                <w:kern w:val="0"/>
                <w:sz w:val="21"/>
                <w:szCs w:val="21"/>
                <w:u w:val="none"/>
                <w:lang w:val="en-US" w:eastAsia="zh-CN" w:bidi="ar"/>
              </w:rPr>
              <w:t>)</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6F49C">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SJ-LG-202-2，50人份/盒</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0183D">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FCC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627" w:type="dxa"/>
            <w:vMerge w:val="continue"/>
            <w:tcBorders>
              <w:left w:val="single" w:color="000000" w:sz="4" w:space="0"/>
              <w:right w:val="single" w:color="000000" w:sz="4" w:space="0"/>
            </w:tcBorders>
            <w:shd w:val="clear" w:color="auto" w:fill="auto"/>
            <w:noWrap/>
            <w:vAlign w:val="center"/>
          </w:tcPr>
          <w:p w14:paraId="4F5B7EC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BF2F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A70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4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731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柯萨奇病毒</w:t>
            </w:r>
            <w:r>
              <w:rPr>
                <w:rFonts w:ascii="Calibri" w:hAnsi="Calibri" w:eastAsia="宋体" w:cs="Calibri"/>
                <w:i w:val="0"/>
                <w:iCs w:val="0"/>
                <w:color w:val="000000"/>
                <w:kern w:val="0"/>
                <w:sz w:val="21"/>
                <w:szCs w:val="21"/>
                <w:u w:val="none"/>
                <w:lang w:val="en-US" w:eastAsia="zh-CN" w:bidi="ar"/>
              </w:rPr>
              <w:t>A6</w:t>
            </w:r>
            <w:r>
              <w:rPr>
                <w:rFonts w:hint="eastAsia" w:ascii="宋体" w:hAnsi="宋体" w:eastAsia="宋体" w:cs="宋体"/>
                <w:i w:val="0"/>
                <w:iCs w:val="0"/>
                <w:color w:val="000000"/>
                <w:kern w:val="0"/>
                <w:sz w:val="21"/>
                <w:szCs w:val="21"/>
                <w:u w:val="none"/>
                <w:lang w:val="en-US" w:eastAsia="zh-CN" w:bidi="ar"/>
              </w:rPr>
              <w:t>型</w:t>
            </w:r>
            <w:r>
              <w:rPr>
                <w:rFonts w:ascii="Calibri" w:hAnsi="Calibri" w:eastAsia="宋体" w:cs="Calibri"/>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柯萨奇病毒</w:t>
            </w:r>
            <w:r>
              <w:rPr>
                <w:rFonts w:ascii="Calibri" w:hAnsi="Calibri" w:eastAsia="宋体" w:cs="Calibri"/>
                <w:i w:val="0"/>
                <w:iCs w:val="0"/>
                <w:color w:val="000000"/>
                <w:kern w:val="0"/>
                <w:sz w:val="21"/>
                <w:szCs w:val="21"/>
                <w:u w:val="none"/>
                <w:lang w:val="en-US" w:eastAsia="zh-CN" w:bidi="ar"/>
              </w:rPr>
              <w:t>A10</w:t>
            </w:r>
            <w:r>
              <w:rPr>
                <w:rFonts w:hint="eastAsia" w:ascii="宋体" w:hAnsi="宋体" w:eastAsia="宋体" w:cs="宋体"/>
                <w:i w:val="0"/>
                <w:iCs w:val="0"/>
                <w:color w:val="000000"/>
                <w:kern w:val="0"/>
                <w:sz w:val="21"/>
                <w:szCs w:val="21"/>
                <w:u w:val="none"/>
                <w:lang w:val="en-US" w:eastAsia="zh-CN" w:bidi="ar"/>
              </w:rPr>
              <w:t xml:space="preserve">型核酸检测试剂盒 </w:t>
            </w:r>
            <w:r>
              <w:rPr>
                <w:rFonts w:ascii="Calibri" w:hAnsi="Calibri" w:eastAsia="宋体" w:cs="Calibri"/>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双重荧光</w:t>
            </w:r>
            <w:r>
              <w:rPr>
                <w:rFonts w:ascii="Calibri" w:hAnsi="Calibri" w:eastAsia="宋体" w:cs="Calibri"/>
                <w:i w:val="0"/>
                <w:iCs w:val="0"/>
                <w:color w:val="000000"/>
                <w:kern w:val="0"/>
                <w:sz w:val="21"/>
                <w:szCs w:val="21"/>
                <w:u w:val="none"/>
                <w:lang w:val="en-US" w:eastAsia="zh-CN" w:bidi="ar"/>
              </w:rPr>
              <w:t>PCR</w:t>
            </w:r>
            <w:r>
              <w:rPr>
                <w:rFonts w:hint="eastAsia" w:ascii="宋体" w:hAnsi="宋体" w:eastAsia="宋体" w:cs="宋体"/>
                <w:i w:val="0"/>
                <w:iCs w:val="0"/>
                <w:color w:val="000000"/>
                <w:kern w:val="0"/>
                <w:sz w:val="21"/>
                <w:szCs w:val="21"/>
                <w:u w:val="none"/>
                <w:lang w:val="en-US" w:eastAsia="zh-CN" w:bidi="ar"/>
              </w:rPr>
              <w:t>法</w:t>
            </w:r>
            <w:r>
              <w:rPr>
                <w:rFonts w:ascii="Calibri" w:hAnsi="Calibri" w:eastAsia="宋体" w:cs="Calibri"/>
                <w:i w:val="0"/>
                <w:iCs w:val="0"/>
                <w:color w:val="000000"/>
                <w:kern w:val="0"/>
                <w:sz w:val="21"/>
                <w:szCs w:val="21"/>
                <w:u w:val="none"/>
                <w:lang w:val="en-US" w:eastAsia="zh-CN" w:bidi="ar"/>
              </w:rPr>
              <w:t>)</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A4BC3">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SJ-SZ-202-2，50人份/盒</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5F4A9">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59C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627" w:type="dxa"/>
            <w:vMerge w:val="continue"/>
            <w:tcBorders>
              <w:left w:val="single" w:color="000000" w:sz="4" w:space="0"/>
              <w:right w:val="single" w:color="000000" w:sz="4" w:space="0"/>
            </w:tcBorders>
            <w:shd w:val="clear" w:color="auto" w:fill="auto"/>
            <w:noWrap/>
            <w:vAlign w:val="center"/>
          </w:tcPr>
          <w:p w14:paraId="4B036C4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AE0C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BF3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4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FA3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诺如病毒</w:t>
            </w:r>
            <w:r>
              <w:rPr>
                <w:rFonts w:ascii="Calibri" w:hAnsi="Calibri" w:eastAsia="宋体" w:cs="Calibri"/>
                <w:i w:val="0"/>
                <w:iCs w:val="0"/>
                <w:color w:val="000000"/>
                <w:kern w:val="0"/>
                <w:sz w:val="21"/>
                <w:szCs w:val="21"/>
                <w:u w:val="none"/>
                <w:lang w:val="en-US" w:eastAsia="zh-CN" w:bidi="ar"/>
              </w:rPr>
              <w:t>GI/GII</w:t>
            </w:r>
            <w:r>
              <w:rPr>
                <w:rFonts w:hint="eastAsia" w:ascii="宋体" w:hAnsi="宋体" w:eastAsia="宋体" w:cs="宋体"/>
                <w:i w:val="0"/>
                <w:iCs w:val="0"/>
                <w:color w:val="000000"/>
                <w:kern w:val="0"/>
                <w:sz w:val="21"/>
                <w:szCs w:val="21"/>
                <w:u w:val="none"/>
                <w:lang w:val="en-US" w:eastAsia="zh-CN" w:bidi="ar"/>
              </w:rPr>
              <w:t>型（国标版）核酸检测试剂盒（荧光</w:t>
            </w:r>
            <w:r>
              <w:rPr>
                <w:rFonts w:ascii="Calibri" w:hAnsi="Calibri" w:eastAsia="宋体" w:cs="Calibri"/>
                <w:i w:val="0"/>
                <w:iCs w:val="0"/>
                <w:color w:val="000000"/>
                <w:kern w:val="0"/>
                <w:sz w:val="21"/>
                <w:szCs w:val="21"/>
                <w:u w:val="none"/>
                <w:lang w:val="en-US" w:eastAsia="zh-CN" w:bidi="ar"/>
              </w:rPr>
              <w:t>PCR</w:t>
            </w:r>
            <w:r>
              <w:rPr>
                <w:rFonts w:hint="eastAsia" w:ascii="宋体" w:hAnsi="宋体" w:eastAsia="宋体" w:cs="宋体"/>
                <w:i w:val="0"/>
                <w:iCs w:val="0"/>
                <w:color w:val="000000"/>
                <w:kern w:val="0"/>
                <w:sz w:val="21"/>
                <w:szCs w:val="21"/>
                <w:u w:val="none"/>
                <w:lang w:val="en-US" w:eastAsia="zh-CN" w:bidi="ar"/>
              </w:rPr>
              <w:t>法）</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D201A">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YJC50201N-GB，50T</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4BDE2">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1EF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627" w:type="dxa"/>
            <w:vMerge w:val="continue"/>
            <w:tcBorders>
              <w:left w:val="single" w:color="000000" w:sz="4" w:space="0"/>
              <w:right w:val="single" w:color="000000" w:sz="4" w:space="0"/>
            </w:tcBorders>
            <w:shd w:val="clear" w:color="auto" w:fill="auto"/>
            <w:noWrap/>
            <w:vAlign w:val="center"/>
          </w:tcPr>
          <w:p w14:paraId="42283C6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0FC3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359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4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0B6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咽拭子采样管（非灭活管）</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69F07">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V10-3.5-50，1000支/箱</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1FD5B">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8DF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箱</w:t>
            </w:r>
          </w:p>
        </w:tc>
        <w:tc>
          <w:tcPr>
            <w:tcW w:w="627" w:type="dxa"/>
            <w:vMerge w:val="continue"/>
            <w:tcBorders>
              <w:left w:val="single" w:color="000000" w:sz="4" w:space="0"/>
              <w:right w:val="single" w:color="000000" w:sz="4" w:space="0"/>
            </w:tcBorders>
            <w:shd w:val="clear" w:color="auto" w:fill="auto"/>
            <w:noWrap/>
            <w:vAlign w:val="center"/>
          </w:tcPr>
          <w:p w14:paraId="6654609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22E2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00F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4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B3A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碱性蛋白胨水</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196AB">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ascii="Calibri" w:hAnsi="Calibri" w:eastAsia="宋体" w:cs="Calibri"/>
                <w:i w:val="0"/>
                <w:iCs w:val="0"/>
                <w:color w:val="000000"/>
                <w:kern w:val="0"/>
                <w:sz w:val="21"/>
                <w:szCs w:val="21"/>
                <w:u w:val="none"/>
                <w:lang w:val="en-US" w:eastAsia="zh-CN" w:bidi="ar"/>
              </w:rPr>
              <w:t>CP0200B</w:t>
            </w:r>
            <w:r>
              <w:rPr>
                <w:rFonts w:hint="eastAsia" w:ascii="宋体" w:hAnsi="宋体" w:eastAsia="宋体" w:cs="宋体"/>
                <w:i w:val="0"/>
                <w:iCs w:val="0"/>
                <w:color w:val="000000"/>
                <w:kern w:val="0"/>
                <w:sz w:val="21"/>
                <w:szCs w:val="21"/>
                <w:u w:val="none"/>
                <w:lang w:val="en-US" w:eastAsia="zh-CN" w:bidi="ar"/>
              </w:rPr>
              <w:t>，</w:t>
            </w:r>
            <w:r>
              <w:rPr>
                <w:rFonts w:ascii="Calibri" w:hAnsi="Calibri" w:eastAsia="宋体" w:cs="Calibri"/>
                <w:i w:val="0"/>
                <w:iCs w:val="0"/>
                <w:color w:val="000000"/>
                <w:kern w:val="0"/>
                <w:sz w:val="21"/>
                <w:szCs w:val="21"/>
                <w:u w:val="none"/>
                <w:lang w:val="en-US" w:eastAsia="zh-CN" w:bidi="ar"/>
              </w:rPr>
              <w:t>10ml*20</w:t>
            </w:r>
            <w:r>
              <w:rPr>
                <w:rFonts w:hint="eastAsia" w:ascii="宋体" w:hAnsi="宋体" w:eastAsia="宋体" w:cs="宋体"/>
                <w:i w:val="0"/>
                <w:iCs w:val="0"/>
                <w:color w:val="000000"/>
                <w:kern w:val="0"/>
                <w:sz w:val="21"/>
                <w:szCs w:val="21"/>
                <w:u w:val="none"/>
                <w:lang w:val="en-US" w:eastAsia="zh-CN" w:bidi="ar"/>
              </w:rPr>
              <w:t>支</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BFA30">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4</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343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627" w:type="dxa"/>
            <w:vMerge w:val="continue"/>
            <w:tcBorders>
              <w:left w:val="single" w:color="000000" w:sz="4" w:space="0"/>
              <w:right w:val="single" w:color="000000" w:sz="4" w:space="0"/>
            </w:tcBorders>
            <w:shd w:val="clear" w:color="auto" w:fill="auto"/>
            <w:noWrap/>
            <w:vAlign w:val="center"/>
          </w:tcPr>
          <w:p w14:paraId="24899B3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1629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419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4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A652F">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亚硒酸盐胱氨酸增菌液（SC增菌液）</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182B1">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CP0050，10ml*20 管/盒</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6F77A">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F7B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627" w:type="dxa"/>
            <w:vMerge w:val="continue"/>
            <w:tcBorders>
              <w:left w:val="single" w:color="000000" w:sz="4" w:space="0"/>
              <w:right w:val="single" w:color="000000" w:sz="4" w:space="0"/>
            </w:tcBorders>
            <w:shd w:val="clear" w:color="auto" w:fill="auto"/>
            <w:noWrap/>
            <w:vAlign w:val="center"/>
          </w:tcPr>
          <w:p w14:paraId="3DFC979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CC96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E2E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4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177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麦康凯琼脂平板</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AD72C">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024076，90mm*20个</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420E5">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E7E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627" w:type="dxa"/>
            <w:vMerge w:val="continue"/>
            <w:tcBorders>
              <w:left w:val="single" w:color="000000" w:sz="4" w:space="0"/>
              <w:right w:val="single" w:color="000000" w:sz="4" w:space="0"/>
            </w:tcBorders>
            <w:shd w:val="clear" w:color="auto" w:fill="auto"/>
            <w:noWrap/>
            <w:vAlign w:val="center"/>
          </w:tcPr>
          <w:p w14:paraId="11884DB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F319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66E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4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2F433">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HE琼脂培养基平板</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152E4">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CP0110，90mm*20个</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3DD73">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8AF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627" w:type="dxa"/>
            <w:vMerge w:val="continue"/>
            <w:tcBorders>
              <w:left w:val="single" w:color="000000" w:sz="4" w:space="0"/>
              <w:right w:val="single" w:color="000000" w:sz="4" w:space="0"/>
            </w:tcBorders>
            <w:shd w:val="clear" w:color="auto" w:fill="auto"/>
            <w:noWrap/>
            <w:vAlign w:val="center"/>
          </w:tcPr>
          <w:p w14:paraId="0271E6E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5BDD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006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4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F71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弧菌显色培平板</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DD7AB">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VB910P-90，20个</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E63E5">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18F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627" w:type="dxa"/>
            <w:vMerge w:val="continue"/>
            <w:tcBorders>
              <w:left w:val="single" w:color="000000" w:sz="4" w:space="0"/>
              <w:right w:val="single" w:color="000000" w:sz="4" w:space="0"/>
            </w:tcBorders>
            <w:shd w:val="clear" w:color="auto" w:fill="auto"/>
            <w:noWrap/>
            <w:vAlign w:val="center"/>
          </w:tcPr>
          <w:p w14:paraId="7E194E0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7E27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CFA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4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E1A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沙门显色培平板</w:t>
            </w:r>
          </w:p>
        </w:tc>
        <w:tc>
          <w:tcPr>
            <w:tcW w:w="2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16A6A">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SA130P--0，20个</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94169">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B18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627" w:type="dxa"/>
            <w:vMerge w:val="continue"/>
            <w:tcBorders>
              <w:left w:val="single" w:color="000000" w:sz="4" w:space="0"/>
              <w:bottom w:val="single" w:color="000000" w:sz="4" w:space="0"/>
              <w:right w:val="single" w:color="000000" w:sz="4" w:space="0"/>
            </w:tcBorders>
            <w:shd w:val="clear" w:color="auto" w:fill="auto"/>
            <w:noWrap/>
            <w:vAlign w:val="center"/>
          </w:tcPr>
          <w:p w14:paraId="2E87C98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bl>
    <w:p w14:paraId="3831052B">
      <w:pPr>
        <w:spacing w:line="360" w:lineRule="auto"/>
        <w:jc w:val="left"/>
        <w:rPr>
          <w:rFonts w:ascii="宋体" w:hAnsi="宋体"/>
          <w:sz w:val="24"/>
        </w:rPr>
      </w:pPr>
    </w:p>
    <w:p w14:paraId="122AA842">
      <w:pPr>
        <w:pStyle w:val="3"/>
        <w:rPr>
          <w:rFonts w:hint="eastAsia"/>
        </w:rPr>
      </w:pPr>
    </w:p>
    <w:p w14:paraId="6B939CDF">
      <w:pPr>
        <w:pStyle w:val="3"/>
      </w:pPr>
      <w:r>
        <w:rPr>
          <w:rFonts w:hint="eastAsia"/>
        </w:rPr>
        <w:t>二、商务要求：</w:t>
      </w:r>
    </w:p>
    <w:p w14:paraId="2897D985">
      <w:pPr>
        <w:numPr>
          <w:ilvl w:val="0"/>
          <w:numId w:val="1"/>
        </w:numPr>
        <w:spacing w:line="360" w:lineRule="auto"/>
        <w:ind w:firstLine="480" w:firstLineChars="200"/>
        <w:jc w:val="left"/>
        <w:rPr>
          <w:rFonts w:ascii="宋体" w:hAnsi="宋体"/>
          <w:sz w:val="24"/>
        </w:rPr>
      </w:pPr>
      <w:r>
        <w:rPr>
          <w:rFonts w:hint="eastAsia" w:ascii="宋体" w:hAnsi="宋体"/>
          <w:sz w:val="24"/>
        </w:rPr>
        <w:t>项目预算金额：</w:t>
      </w:r>
      <w:r>
        <w:rPr>
          <w:rFonts w:hint="eastAsia" w:ascii="宋体" w:hAnsi="宋体"/>
          <w:sz w:val="24"/>
          <w:lang w:val="en-US" w:eastAsia="zh-CN"/>
        </w:rPr>
        <w:t>贰拾柒万</w:t>
      </w:r>
      <w:r>
        <w:rPr>
          <w:rFonts w:hint="eastAsia" w:ascii="宋体" w:hAnsi="宋体"/>
          <w:sz w:val="24"/>
        </w:rPr>
        <w:t>元（¥</w:t>
      </w:r>
      <w:r>
        <w:rPr>
          <w:rFonts w:hint="eastAsia" w:ascii="宋体" w:hAnsi="宋体"/>
          <w:sz w:val="24"/>
          <w:lang w:val="en-US" w:eastAsia="zh-CN"/>
        </w:rPr>
        <w:t>270000</w:t>
      </w:r>
      <w:r>
        <w:rPr>
          <w:rFonts w:hint="eastAsia" w:ascii="宋体" w:hAnsi="宋体"/>
          <w:sz w:val="24"/>
        </w:rPr>
        <w:t>.00）元。</w:t>
      </w:r>
    </w:p>
    <w:p w14:paraId="162269FC">
      <w:pPr>
        <w:numPr>
          <w:ilvl w:val="0"/>
          <w:numId w:val="1"/>
        </w:numPr>
        <w:spacing w:line="360" w:lineRule="auto"/>
        <w:ind w:firstLine="480"/>
        <w:jc w:val="left"/>
        <w:rPr>
          <w:rFonts w:ascii="宋体" w:hAnsi="宋体"/>
          <w:sz w:val="24"/>
        </w:rPr>
      </w:pPr>
      <w:r>
        <w:rPr>
          <w:rFonts w:hint="eastAsia" w:ascii="宋体" w:hAnsi="宋体"/>
          <w:sz w:val="24"/>
        </w:rPr>
        <w:t>报价要求：</w:t>
      </w:r>
    </w:p>
    <w:p w14:paraId="7D92B923">
      <w:pPr>
        <w:spacing w:line="360" w:lineRule="auto"/>
        <w:ind w:firstLine="480" w:firstLineChars="200"/>
        <w:jc w:val="left"/>
        <w:rPr>
          <w:rFonts w:ascii="宋体" w:hAnsi="宋体"/>
          <w:sz w:val="24"/>
        </w:rPr>
      </w:pPr>
      <w:r>
        <w:rPr>
          <w:rFonts w:hint="eastAsia" w:ascii="宋体" w:hAnsi="宋体"/>
          <w:sz w:val="24"/>
        </w:rPr>
        <w:t>（1）本项目预算控制金额及最高投标限价为人民币</w:t>
      </w:r>
      <w:r>
        <w:rPr>
          <w:rFonts w:hint="eastAsia" w:ascii="宋体" w:hAnsi="宋体"/>
          <w:sz w:val="24"/>
          <w:lang w:val="en-US" w:eastAsia="zh-CN"/>
        </w:rPr>
        <w:t>270000</w:t>
      </w:r>
      <w:r>
        <w:rPr>
          <w:rFonts w:ascii="宋体" w:hAnsi="宋体"/>
          <w:sz w:val="24"/>
        </w:rPr>
        <w:t>.00</w:t>
      </w:r>
      <w:r>
        <w:rPr>
          <w:rFonts w:hint="eastAsia" w:ascii="宋体" w:hAnsi="宋体"/>
          <w:sz w:val="24"/>
        </w:rPr>
        <w:t>元。超出此预算控制金额或最高投标限价的作无效投标处理；</w:t>
      </w:r>
    </w:p>
    <w:p w14:paraId="10B8B3A1">
      <w:pPr>
        <w:spacing w:line="360" w:lineRule="auto"/>
        <w:ind w:firstLine="480" w:firstLineChars="200"/>
        <w:jc w:val="left"/>
        <w:rPr>
          <w:rFonts w:ascii="宋体" w:hAnsi="宋体"/>
          <w:sz w:val="24"/>
        </w:rPr>
      </w:pPr>
      <w:r>
        <w:rPr>
          <w:rFonts w:hint="eastAsia" w:ascii="宋体" w:hAnsi="宋体"/>
          <w:sz w:val="24"/>
        </w:rPr>
        <w:t>（2）本次采购报价币种为人民币，单位为元；</w:t>
      </w:r>
    </w:p>
    <w:p w14:paraId="2D5E9F12">
      <w:pPr>
        <w:spacing w:line="360" w:lineRule="auto"/>
        <w:ind w:firstLine="480" w:firstLineChars="200"/>
        <w:jc w:val="left"/>
        <w:rPr>
          <w:rFonts w:ascii="宋体" w:hAnsi="宋体"/>
          <w:sz w:val="24"/>
        </w:rPr>
      </w:pPr>
      <w:r>
        <w:rPr>
          <w:rFonts w:hint="eastAsia" w:ascii="宋体" w:hAnsi="宋体"/>
          <w:sz w:val="24"/>
        </w:rPr>
        <w:t>（3）本项目服务费用采用包干制，包括但不限于人工费、设备费等服务成本、管理费用、法定税费和利润等一切费用。投标人应自行承担未来时期人工工资上调、劳动合同补偿和物价上涨等因素对服务价格造成的影响及风险；</w:t>
      </w:r>
    </w:p>
    <w:p w14:paraId="778FFB86">
      <w:pPr>
        <w:spacing w:line="360" w:lineRule="auto"/>
        <w:ind w:firstLine="480" w:firstLineChars="200"/>
        <w:jc w:val="left"/>
        <w:rPr>
          <w:rFonts w:ascii="宋体" w:hAnsi="宋体"/>
          <w:sz w:val="24"/>
        </w:rPr>
      </w:pPr>
      <w:r>
        <w:rPr>
          <w:rFonts w:hint="eastAsia" w:ascii="宋体" w:hAnsi="宋体"/>
          <w:sz w:val="24"/>
        </w:rPr>
        <w:t>（4）投标人应根据本企业的成本自行决定报价。评标委员会认为投标人的报价明显低于其他通过符合性审查投标人的报价，有可能影响服务质量或不能诚信履约的，将会要求该投标人在评标现场合理的时间内提供书面说明，必要时提交相关证明材料。投标人不能证明其报价合理性的，评标委员会应将其作为无效投标处理。</w:t>
      </w:r>
    </w:p>
    <w:p w14:paraId="7C1D99AF">
      <w:pPr>
        <w:numPr>
          <w:ilvl w:val="0"/>
          <w:numId w:val="1"/>
        </w:numPr>
        <w:spacing w:line="360" w:lineRule="auto"/>
        <w:ind w:firstLine="480" w:firstLineChars="200"/>
        <w:jc w:val="left"/>
        <w:rPr>
          <w:rFonts w:ascii="宋体" w:hAnsi="宋体"/>
          <w:sz w:val="24"/>
        </w:rPr>
      </w:pPr>
      <w:r>
        <w:rPr>
          <w:rFonts w:hint="eastAsia" w:ascii="宋体" w:hAnsi="宋体"/>
          <w:sz w:val="24"/>
        </w:rPr>
        <w:t>交货时间：自合同签订之日起10个工作日内完成供货，具体以采购单位实际需求为准。</w:t>
      </w:r>
    </w:p>
    <w:p w14:paraId="039170BC">
      <w:pPr>
        <w:numPr>
          <w:ilvl w:val="0"/>
          <w:numId w:val="1"/>
        </w:numPr>
        <w:spacing w:line="360" w:lineRule="auto"/>
        <w:ind w:firstLine="480"/>
        <w:jc w:val="left"/>
        <w:rPr>
          <w:rFonts w:ascii="宋体" w:hAnsi="宋体"/>
          <w:sz w:val="24"/>
        </w:rPr>
      </w:pPr>
      <w:r>
        <w:rPr>
          <w:rFonts w:hint="eastAsia" w:ascii="宋体" w:hAnsi="宋体"/>
          <w:sz w:val="24"/>
        </w:rPr>
        <w:t>交货地点：采购单位指定地点。</w:t>
      </w:r>
    </w:p>
    <w:p w14:paraId="7B4E747C">
      <w:pPr>
        <w:numPr>
          <w:ilvl w:val="0"/>
          <w:numId w:val="1"/>
        </w:numPr>
        <w:spacing w:line="360" w:lineRule="auto"/>
        <w:ind w:firstLine="480"/>
        <w:jc w:val="left"/>
        <w:rPr>
          <w:rFonts w:ascii="宋体" w:hAnsi="宋体"/>
          <w:sz w:val="24"/>
        </w:rPr>
      </w:pPr>
      <w:r>
        <w:rPr>
          <w:rFonts w:hint="eastAsia" w:ascii="宋体" w:hAnsi="宋体"/>
          <w:sz w:val="24"/>
        </w:rPr>
        <w:t>付款方式：</w:t>
      </w:r>
    </w:p>
    <w:p w14:paraId="22E79CAA">
      <w:pPr>
        <w:spacing w:line="360" w:lineRule="auto"/>
        <w:ind w:firstLine="480" w:firstLineChars="200"/>
        <w:rPr>
          <w:rFonts w:ascii="宋体" w:hAnsi="宋体"/>
          <w:bCs/>
          <w:color w:val="000000"/>
          <w:sz w:val="24"/>
        </w:rPr>
      </w:pPr>
      <w:r>
        <w:rPr>
          <w:rFonts w:hint="eastAsia" w:ascii="宋体" w:hAnsi="宋体"/>
          <w:bCs/>
          <w:color w:val="000000"/>
          <w:sz w:val="24"/>
        </w:rPr>
        <w:t>（</w:t>
      </w:r>
      <w:r>
        <w:rPr>
          <w:rFonts w:ascii="宋体" w:hAnsi="宋体"/>
          <w:bCs/>
          <w:color w:val="000000"/>
          <w:sz w:val="24"/>
        </w:rPr>
        <w:t>1</w:t>
      </w:r>
      <w:r>
        <w:rPr>
          <w:rFonts w:hint="eastAsia" w:ascii="宋体" w:hAnsi="宋体"/>
          <w:bCs/>
          <w:color w:val="000000"/>
          <w:sz w:val="24"/>
        </w:rPr>
        <w:t>）中标人供货完成后，采购人向中标人支付合同总价</w:t>
      </w:r>
      <w:r>
        <w:rPr>
          <w:rFonts w:ascii="宋体" w:hAnsi="宋体"/>
          <w:bCs/>
          <w:color w:val="000000"/>
          <w:sz w:val="24"/>
        </w:rPr>
        <w:t>100</w:t>
      </w:r>
      <w:r>
        <w:rPr>
          <w:rFonts w:hint="eastAsia" w:ascii="宋体" w:hAnsi="宋体"/>
          <w:bCs/>
          <w:color w:val="000000"/>
          <w:sz w:val="24"/>
        </w:rPr>
        <w:t>%的款项；</w:t>
      </w:r>
    </w:p>
    <w:p w14:paraId="7443D29F">
      <w:pPr>
        <w:spacing w:line="360" w:lineRule="auto"/>
        <w:ind w:firstLine="480" w:firstLineChars="200"/>
        <w:rPr>
          <w:rFonts w:ascii="宋体" w:hAnsi="宋体"/>
          <w:bCs/>
          <w:color w:val="000000"/>
          <w:sz w:val="24"/>
        </w:rPr>
      </w:pPr>
      <w:r>
        <w:rPr>
          <w:rFonts w:hint="eastAsia" w:ascii="宋体" w:hAnsi="宋体"/>
          <w:bCs/>
          <w:color w:val="000000"/>
          <w:sz w:val="24"/>
        </w:rPr>
        <w:t>（</w:t>
      </w:r>
      <w:r>
        <w:rPr>
          <w:rFonts w:ascii="宋体" w:hAnsi="宋体"/>
          <w:bCs/>
          <w:color w:val="000000"/>
          <w:sz w:val="24"/>
        </w:rPr>
        <w:t>2</w:t>
      </w:r>
      <w:r>
        <w:rPr>
          <w:rFonts w:hint="eastAsia" w:ascii="宋体" w:hAnsi="宋体"/>
          <w:bCs/>
          <w:color w:val="000000"/>
          <w:sz w:val="24"/>
        </w:rPr>
        <w:t>）中标人需向采购人提供相应金额的有效增值税发票，采购人在收到发票后15个工作日内支付；</w:t>
      </w:r>
    </w:p>
    <w:p w14:paraId="2C40F8F9">
      <w:pPr>
        <w:numPr>
          <w:ilvl w:val="0"/>
          <w:numId w:val="1"/>
        </w:numPr>
        <w:spacing w:line="360" w:lineRule="auto"/>
        <w:ind w:firstLine="480" w:firstLineChars="200"/>
        <w:jc w:val="left"/>
        <w:rPr>
          <w:rFonts w:ascii="宋体" w:hAnsi="宋体"/>
          <w:sz w:val="24"/>
        </w:rPr>
      </w:pPr>
      <w:r>
        <w:rPr>
          <w:rFonts w:hint="eastAsia" w:ascii="宋体" w:hAnsi="宋体"/>
          <w:sz w:val="24"/>
        </w:rPr>
        <w:t>验收方式：</w:t>
      </w:r>
    </w:p>
    <w:p w14:paraId="4B90D9D4">
      <w:pPr>
        <w:spacing w:line="360" w:lineRule="auto"/>
        <w:ind w:firstLine="480" w:firstLineChars="200"/>
        <w:rPr>
          <w:rFonts w:ascii="宋体" w:hAnsi="宋体"/>
          <w:bCs/>
          <w:color w:val="000000"/>
          <w:sz w:val="24"/>
        </w:rPr>
      </w:pPr>
      <w:r>
        <w:rPr>
          <w:rFonts w:hint="eastAsia" w:ascii="宋体" w:hAnsi="宋体"/>
          <w:bCs/>
          <w:color w:val="000000"/>
          <w:sz w:val="24"/>
        </w:rPr>
        <w:t>（</w:t>
      </w:r>
      <w:r>
        <w:rPr>
          <w:rFonts w:ascii="宋体" w:hAnsi="宋体"/>
          <w:bCs/>
          <w:color w:val="000000"/>
          <w:sz w:val="24"/>
        </w:rPr>
        <w:t>1</w:t>
      </w:r>
      <w:r>
        <w:rPr>
          <w:rFonts w:hint="eastAsia" w:ascii="宋体" w:hAnsi="宋体"/>
          <w:bCs/>
          <w:color w:val="000000"/>
          <w:sz w:val="24"/>
        </w:rPr>
        <w:t>）提供的货物必须为全新、经检验合格的产品；</w:t>
      </w:r>
    </w:p>
    <w:p w14:paraId="550440A1">
      <w:pPr>
        <w:spacing w:line="360" w:lineRule="auto"/>
        <w:ind w:firstLine="480" w:firstLineChars="200"/>
        <w:rPr>
          <w:rFonts w:ascii="宋体" w:hAnsi="宋体"/>
          <w:bCs/>
          <w:color w:val="000000"/>
          <w:sz w:val="24"/>
        </w:rPr>
      </w:pPr>
      <w:r>
        <w:rPr>
          <w:rFonts w:hint="eastAsia" w:ascii="宋体" w:hAnsi="宋体"/>
          <w:bCs/>
          <w:color w:val="000000"/>
          <w:sz w:val="24"/>
        </w:rPr>
        <w:t>（</w:t>
      </w:r>
      <w:r>
        <w:rPr>
          <w:rFonts w:ascii="宋体" w:hAnsi="宋体"/>
          <w:bCs/>
          <w:color w:val="000000"/>
          <w:sz w:val="24"/>
        </w:rPr>
        <w:t>2</w:t>
      </w:r>
      <w:r>
        <w:rPr>
          <w:rFonts w:hint="eastAsia" w:ascii="宋体" w:hAnsi="宋体"/>
          <w:bCs/>
          <w:color w:val="000000"/>
          <w:sz w:val="24"/>
        </w:rPr>
        <w:t>）投标人负责将货物安全无损运抵采购人指定地点,并承担设备的包装、运输、保险、装卸、安装调试、商检及计量检测、增值税等费用；</w:t>
      </w:r>
    </w:p>
    <w:p w14:paraId="04AA0A10">
      <w:pPr>
        <w:spacing w:line="360" w:lineRule="auto"/>
        <w:ind w:firstLine="480" w:firstLineChars="200"/>
        <w:rPr>
          <w:rFonts w:ascii="宋体" w:hAnsi="宋体"/>
          <w:bCs/>
          <w:color w:val="000000"/>
          <w:sz w:val="24"/>
        </w:rPr>
      </w:pPr>
      <w:r>
        <w:rPr>
          <w:rFonts w:hint="eastAsia" w:ascii="宋体" w:hAnsi="宋体"/>
          <w:bCs/>
          <w:color w:val="000000"/>
          <w:sz w:val="24"/>
        </w:rPr>
        <w:t>（</w:t>
      </w:r>
      <w:r>
        <w:rPr>
          <w:rFonts w:ascii="宋体" w:hAnsi="宋体"/>
          <w:bCs/>
          <w:color w:val="000000"/>
          <w:sz w:val="24"/>
        </w:rPr>
        <w:t>3</w:t>
      </w:r>
      <w:r>
        <w:rPr>
          <w:rFonts w:hint="eastAsia" w:ascii="宋体" w:hAnsi="宋体"/>
          <w:bCs/>
          <w:color w:val="000000"/>
          <w:sz w:val="24"/>
        </w:rPr>
        <w:t>）采购人有权检验或测试货物，以确认货物是否符合合同规格的要求，并且不承担额外的费用。如果发现所交货物与投标文件中所承诺的不符或存在质量、技术缺陷等,采购人可以拒绝接收该货物,投标人应在30日内采取补足、更换或退货等措施,以满足规格的要求，由此发生的一切损失和费用由投标人承担；</w:t>
      </w:r>
    </w:p>
    <w:p w14:paraId="5C111C9F">
      <w:pPr>
        <w:spacing w:line="360" w:lineRule="auto"/>
        <w:ind w:firstLine="480" w:firstLineChars="200"/>
        <w:rPr>
          <w:rFonts w:ascii="宋体" w:hAnsi="宋体"/>
          <w:bCs/>
          <w:color w:val="000000"/>
          <w:sz w:val="24"/>
        </w:rPr>
      </w:pPr>
      <w:r>
        <w:rPr>
          <w:rFonts w:hint="eastAsia" w:ascii="宋体" w:hAnsi="宋体"/>
          <w:bCs/>
          <w:color w:val="000000"/>
          <w:sz w:val="24"/>
        </w:rPr>
        <w:t>（4）当满足以下条件时，采购人才向中标人签发验收报告；</w:t>
      </w:r>
    </w:p>
    <w:p w14:paraId="272F4AC9">
      <w:pPr>
        <w:spacing w:line="360" w:lineRule="auto"/>
        <w:ind w:firstLine="480" w:firstLineChars="200"/>
        <w:rPr>
          <w:rFonts w:ascii="宋体" w:hAnsi="宋体"/>
          <w:bCs/>
          <w:color w:val="000000"/>
          <w:sz w:val="24"/>
        </w:rPr>
      </w:pPr>
      <w:r>
        <w:rPr>
          <w:rFonts w:hint="eastAsia" w:ascii="宋体" w:hAnsi="宋体"/>
          <w:bCs/>
          <w:color w:val="000000"/>
          <w:sz w:val="24"/>
        </w:rPr>
        <w:t>4.1货物符合招标文件技术规格书的要求，性能满足要求；</w:t>
      </w:r>
    </w:p>
    <w:p w14:paraId="24B0CF07">
      <w:pPr>
        <w:spacing w:line="360" w:lineRule="auto"/>
        <w:ind w:firstLine="480" w:firstLineChars="200"/>
        <w:rPr>
          <w:rFonts w:ascii="宋体" w:hAnsi="宋体"/>
          <w:bCs/>
          <w:color w:val="000000"/>
          <w:sz w:val="24"/>
        </w:rPr>
      </w:pPr>
      <w:r>
        <w:rPr>
          <w:rFonts w:hint="eastAsia" w:ascii="宋体" w:hAnsi="宋体"/>
          <w:bCs/>
          <w:color w:val="000000"/>
          <w:sz w:val="24"/>
        </w:rPr>
        <w:t>4.2货物具备产品合格证；</w:t>
      </w:r>
    </w:p>
    <w:p w14:paraId="1A6A63B3">
      <w:pPr>
        <w:spacing w:line="360" w:lineRule="auto"/>
        <w:ind w:firstLine="480" w:firstLineChars="200"/>
        <w:rPr>
          <w:rFonts w:ascii="宋体" w:hAnsi="宋体"/>
          <w:bCs/>
          <w:color w:val="000000"/>
          <w:sz w:val="24"/>
        </w:rPr>
      </w:pPr>
      <w:r>
        <w:rPr>
          <w:rFonts w:hint="eastAsia" w:ascii="宋体" w:hAnsi="宋体"/>
          <w:bCs/>
          <w:color w:val="000000"/>
          <w:sz w:val="24"/>
        </w:rPr>
        <w:t>4</w:t>
      </w:r>
      <w:r>
        <w:rPr>
          <w:rFonts w:ascii="宋体" w:hAnsi="宋体"/>
          <w:bCs/>
          <w:color w:val="000000"/>
          <w:sz w:val="24"/>
        </w:rPr>
        <w:t>.3</w:t>
      </w:r>
      <w:r>
        <w:rPr>
          <w:rFonts w:hint="eastAsia" w:ascii="宋体" w:hAnsi="宋体"/>
          <w:bCs/>
          <w:color w:val="000000"/>
          <w:sz w:val="24"/>
        </w:rPr>
        <w:t>所交付货物保质期不少于1</w:t>
      </w:r>
      <w:r>
        <w:rPr>
          <w:rFonts w:ascii="宋体" w:hAnsi="宋体"/>
          <w:bCs/>
          <w:color w:val="000000"/>
          <w:sz w:val="24"/>
        </w:rPr>
        <w:t>80</w:t>
      </w:r>
      <w:r>
        <w:rPr>
          <w:rFonts w:hint="eastAsia" w:ascii="宋体" w:hAnsi="宋体"/>
          <w:bCs/>
          <w:color w:val="000000"/>
          <w:sz w:val="24"/>
        </w:rPr>
        <w:t>个日历日，以签收时间为准。</w:t>
      </w:r>
    </w:p>
    <w:p w14:paraId="558905BE">
      <w:pPr>
        <w:numPr>
          <w:ilvl w:val="0"/>
          <w:numId w:val="1"/>
        </w:numPr>
        <w:spacing w:line="360" w:lineRule="auto"/>
        <w:ind w:firstLine="480" w:firstLineChars="200"/>
        <w:jc w:val="left"/>
        <w:rPr>
          <w:rFonts w:ascii="宋体" w:hAnsi="宋体"/>
          <w:sz w:val="24"/>
        </w:rPr>
      </w:pPr>
      <w:r>
        <w:rPr>
          <w:rFonts w:hint="eastAsia" w:ascii="宋体" w:hAnsi="宋体"/>
          <w:sz w:val="24"/>
        </w:rPr>
        <w:t>违约要求：</w:t>
      </w:r>
    </w:p>
    <w:p w14:paraId="4976DB77">
      <w:pPr>
        <w:spacing w:line="360" w:lineRule="auto"/>
        <w:ind w:firstLine="480" w:firstLineChars="200"/>
        <w:jc w:val="left"/>
        <w:rPr>
          <w:rFonts w:ascii="宋体" w:hAnsi="宋体"/>
          <w:sz w:val="24"/>
        </w:rPr>
      </w:pPr>
      <w:r>
        <w:rPr>
          <w:rFonts w:hint="eastAsia" w:ascii="宋体" w:hAnsi="宋体"/>
          <w:sz w:val="24"/>
        </w:rPr>
        <w:t>（1）如投标人未按照投标文件中承诺的时间交货或提供服务，投标人应承担延期交货和延期服务的违约责任，并赔偿采购人因此造成的实际经济损失。实际经济损失超出履约保证金额，采购人有权终止合同；</w:t>
      </w:r>
    </w:p>
    <w:p w14:paraId="551C1AF8">
      <w:pPr>
        <w:spacing w:line="360" w:lineRule="auto"/>
        <w:ind w:firstLine="480" w:firstLineChars="200"/>
        <w:jc w:val="left"/>
        <w:rPr>
          <w:rFonts w:ascii="宋体" w:hAnsi="宋体"/>
          <w:sz w:val="24"/>
        </w:rPr>
      </w:pPr>
      <w:r>
        <w:rPr>
          <w:rFonts w:hint="eastAsia" w:ascii="宋体" w:hAnsi="宋体"/>
          <w:sz w:val="24"/>
        </w:rPr>
        <w:t>（2）投标人所交设备的品种、型号、规格、质量、功能、技术参数等方面不能实质性满足招标文件要约的，采购人有权拒绝收货，投标人向采购人偿付项目采购金额千分之十的违约金；造成严重后果的，根据《深圳经济特区政府采购条例》第五十七条第（二）款规定，由主管部门对中标人进行处罚；</w:t>
      </w:r>
    </w:p>
    <w:p w14:paraId="4BECC150">
      <w:pPr>
        <w:spacing w:line="360" w:lineRule="auto"/>
        <w:ind w:firstLine="480" w:firstLineChars="200"/>
        <w:jc w:val="left"/>
        <w:rPr>
          <w:rFonts w:ascii="宋体" w:hAnsi="宋体"/>
          <w:sz w:val="24"/>
        </w:rPr>
      </w:pPr>
      <w:r>
        <w:rPr>
          <w:rFonts w:hint="eastAsia" w:ascii="宋体" w:hAnsi="宋体"/>
          <w:sz w:val="24"/>
        </w:rPr>
        <w:t>（3）投标人不能交付设备的，投标人向采购人偿付项目采购金额千分之十的违约金；造成严重后果的，根据《深圳经济特区政府采购条例》第五十七条第（二）款规定，由主管部门对中标人进行处罚；</w:t>
      </w:r>
    </w:p>
    <w:p w14:paraId="015C71E4">
      <w:pPr>
        <w:spacing w:line="360" w:lineRule="auto"/>
        <w:ind w:firstLine="480" w:firstLineChars="200"/>
        <w:jc w:val="left"/>
        <w:rPr>
          <w:rFonts w:ascii="宋体" w:hAnsi="宋体"/>
          <w:sz w:val="24"/>
        </w:rPr>
      </w:pPr>
      <w:r>
        <w:rPr>
          <w:rFonts w:hint="eastAsia" w:ascii="宋体" w:hAnsi="宋体"/>
          <w:sz w:val="24"/>
        </w:rPr>
        <w:t>（4）投标人逾期未交设备的，投标人向采购人每日偿付设备款千分之十的违约金。投标人超过交货期限30日仍未交货，采购人有权解除合同。</w:t>
      </w:r>
    </w:p>
    <w:p w14:paraId="42CF4938">
      <w:pPr>
        <w:numPr>
          <w:ilvl w:val="0"/>
          <w:numId w:val="1"/>
        </w:numPr>
        <w:spacing w:line="360" w:lineRule="auto"/>
        <w:ind w:firstLine="480" w:firstLineChars="200"/>
        <w:jc w:val="left"/>
      </w:pPr>
      <w:r>
        <w:rPr>
          <w:rFonts w:hint="eastAsia" w:ascii="宋体" w:hAnsi="宋体"/>
          <w:sz w:val="24"/>
        </w:rPr>
        <w:t>其他要求：中标人需配合采购单位信息管理系统，供货产品需有最小包装且将信息生成识别码贴于产品最小包包装外封面用于实时追踪产品信息。</w:t>
      </w:r>
    </w:p>
    <w:p w14:paraId="3441236B">
      <w:pPr>
        <w:spacing w:line="360" w:lineRule="auto"/>
        <w:ind w:firstLine="480" w:firstLineChars="200"/>
        <w:jc w:val="left"/>
        <w:rPr>
          <w:rFonts w:ascii="宋体" w:hAnsi="宋体"/>
          <w:sz w:val="24"/>
        </w:rPr>
        <w:sectPr>
          <w:pgSz w:w="11906" w:h="16838"/>
          <w:pgMar w:top="1418" w:right="1474" w:bottom="1418" w:left="1474" w:header="851" w:footer="992" w:gutter="0"/>
          <w:cols w:space="425" w:num="1"/>
          <w:docGrid w:type="lines" w:linePitch="312" w:charSpace="0"/>
        </w:sectPr>
      </w:pPr>
    </w:p>
    <w:bookmarkEnd w:id="9"/>
    <w:bookmarkEnd w:id="10"/>
    <w:p w14:paraId="38E41DA7">
      <w:pPr>
        <w:pStyle w:val="2"/>
      </w:pPr>
      <w:bookmarkStart w:id="11" w:name="_Toc61539110"/>
      <w:bookmarkStart w:id="12" w:name="_Toc61880306"/>
      <w:r>
        <w:rPr>
          <w:rFonts w:hint="eastAsia"/>
        </w:rPr>
        <w:t>第三章  投标人须知</w:t>
      </w:r>
      <w:bookmarkEnd w:id="11"/>
      <w:bookmarkEnd w:id="12"/>
    </w:p>
    <w:p w14:paraId="4F04929E">
      <w:pPr>
        <w:pStyle w:val="5"/>
        <w:ind w:firstLine="482"/>
      </w:pPr>
      <w:bookmarkStart w:id="13" w:name="_Toc55548492"/>
      <w:r>
        <w:t>一、说明</w:t>
      </w:r>
      <w:bookmarkEnd w:id="13"/>
    </w:p>
    <w:p w14:paraId="31367706">
      <w:pPr>
        <w:pStyle w:val="4"/>
        <w:spacing w:line="360" w:lineRule="auto"/>
        <w:ind w:firstLine="482"/>
      </w:pPr>
      <w:bookmarkStart w:id="14" w:name="_Toc55548493"/>
      <w:bookmarkStart w:id="15" w:name="_Toc18091"/>
      <w:r>
        <w:t>招标人及资金来源</w:t>
      </w:r>
      <w:bookmarkEnd w:id="14"/>
      <w:bookmarkEnd w:id="15"/>
    </w:p>
    <w:p w14:paraId="3787679F">
      <w:pPr>
        <w:spacing w:line="360" w:lineRule="auto"/>
        <w:ind w:firstLine="420" w:firstLineChars="200"/>
        <w:rPr>
          <w:rFonts w:asciiTheme="minorEastAsia" w:hAnsiTheme="minorEastAsia"/>
          <w:szCs w:val="21"/>
        </w:rPr>
      </w:pPr>
      <w:bookmarkStart w:id="16" w:name="_Ref179620507"/>
      <w:r>
        <w:rPr>
          <w:rFonts w:asciiTheme="minorEastAsia" w:hAnsiTheme="minorEastAsia"/>
          <w:szCs w:val="21"/>
        </w:rPr>
        <w:t>招标人已拥有一笔资金/</w:t>
      </w:r>
      <w:r>
        <w:rPr>
          <w:rFonts w:hint="eastAsia" w:asciiTheme="minorEastAsia" w:hAnsiTheme="minorEastAsia"/>
          <w:szCs w:val="21"/>
        </w:rPr>
        <w:t>货</w:t>
      </w:r>
      <w:r>
        <w:rPr>
          <w:rFonts w:asciiTheme="minorEastAsia" w:hAnsiTheme="minorEastAsia"/>
          <w:szCs w:val="21"/>
        </w:rPr>
        <w:t>款。招标人计划将一部分资金/贷款用于支付本次招标后所签订合同项下的款项，资金来源</w:t>
      </w:r>
      <w:r>
        <w:rPr>
          <w:rFonts w:hint="eastAsia" w:asciiTheme="minorEastAsia" w:hAnsiTheme="minorEastAsia"/>
          <w:szCs w:val="21"/>
        </w:rPr>
        <w:t>为：</w:t>
      </w:r>
      <w:r>
        <w:rPr>
          <w:rFonts w:asciiTheme="minorEastAsia" w:hAnsiTheme="minorEastAsia"/>
          <w:szCs w:val="21"/>
        </w:rPr>
        <w:t>财政资金。</w:t>
      </w:r>
      <w:bookmarkEnd w:id="16"/>
    </w:p>
    <w:p w14:paraId="234442F0">
      <w:pPr>
        <w:pStyle w:val="4"/>
        <w:spacing w:line="360" w:lineRule="auto"/>
        <w:ind w:firstLine="482"/>
      </w:pPr>
      <w:bookmarkStart w:id="17" w:name="_Toc29370"/>
      <w:bookmarkStart w:id="18" w:name="_Toc55548494"/>
      <w:r>
        <w:t>合格的投标人</w:t>
      </w:r>
      <w:bookmarkEnd w:id="17"/>
      <w:bookmarkEnd w:id="18"/>
    </w:p>
    <w:p w14:paraId="5A8E12BB">
      <w:pPr>
        <w:spacing w:line="360" w:lineRule="auto"/>
        <w:ind w:firstLine="420" w:firstLineChars="200"/>
        <w:rPr>
          <w:rFonts w:asciiTheme="minorEastAsia" w:hAnsiTheme="minorEastAsia"/>
          <w:szCs w:val="21"/>
        </w:rPr>
      </w:pPr>
      <w:bookmarkStart w:id="19" w:name="_Ref179620057"/>
      <w:r>
        <w:rPr>
          <w:rFonts w:asciiTheme="minorEastAsia" w:hAnsiTheme="minorEastAsia"/>
          <w:szCs w:val="21"/>
        </w:rPr>
        <w:t>合格的投标人</w:t>
      </w:r>
      <w:bookmarkEnd w:id="19"/>
    </w:p>
    <w:p w14:paraId="463FE8BF">
      <w:pPr>
        <w:spacing w:line="360" w:lineRule="auto"/>
        <w:ind w:firstLine="420" w:firstLineChars="200"/>
        <w:rPr>
          <w:rFonts w:asciiTheme="minorEastAsia" w:hAnsiTheme="minorEastAsia"/>
          <w:szCs w:val="21"/>
        </w:rPr>
      </w:pPr>
      <w:r>
        <w:rPr>
          <w:rFonts w:asciiTheme="minorEastAsia" w:hAnsiTheme="minorEastAsia"/>
          <w:szCs w:val="21"/>
        </w:rPr>
        <w:t>除非下文另有规定，凡是在中华人民共和国境内注册且为人民币流通区域内的供货人均可投标。</w:t>
      </w:r>
    </w:p>
    <w:p w14:paraId="6EA2AFAA">
      <w:pPr>
        <w:spacing w:line="360" w:lineRule="auto"/>
        <w:ind w:firstLine="420" w:firstLineChars="200"/>
        <w:rPr>
          <w:rFonts w:asciiTheme="minorEastAsia" w:hAnsiTheme="minorEastAsia"/>
          <w:szCs w:val="21"/>
        </w:rPr>
      </w:pPr>
      <w:r>
        <w:rPr>
          <w:rFonts w:asciiTheme="minorEastAsia" w:hAnsiTheme="minorEastAsia"/>
          <w:szCs w:val="21"/>
        </w:rPr>
        <w:t>只有在法律上和财务上独立、合法运作并独立于招标人的供货人才能参加投标。</w:t>
      </w:r>
    </w:p>
    <w:p w14:paraId="77ABD3C9">
      <w:pPr>
        <w:spacing w:line="360" w:lineRule="auto"/>
        <w:ind w:firstLine="420" w:firstLineChars="200"/>
        <w:rPr>
          <w:rFonts w:asciiTheme="minorEastAsia" w:hAnsiTheme="minorEastAsia"/>
          <w:szCs w:val="21"/>
        </w:rPr>
      </w:pPr>
      <w:r>
        <w:rPr>
          <w:rFonts w:asciiTheme="minorEastAsia" w:hAnsiTheme="minorEastAsia"/>
          <w:szCs w:val="21"/>
        </w:rPr>
        <w:t>投标人不得直接或间接地与招标人为采购本次招标的货物进行设计、编制规范和其他文件所委托的咨询公司或其附属机构有任何关联。</w:t>
      </w:r>
    </w:p>
    <w:p w14:paraId="29AA69A9">
      <w:pPr>
        <w:pStyle w:val="4"/>
        <w:spacing w:line="360" w:lineRule="auto"/>
        <w:ind w:firstLine="482"/>
      </w:pPr>
      <w:bookmarkStart w:id="20" w:name="_Toc55548495"/>
      <w:bookmarkStart w:id="21" w:name="_Toc12412"/>
      <w:r>
        <w:t>合格的货物和服务</w:t>
      </w:r>
      <w:bookmarkEnd w:id="20"/>
      <w:bookmarkEnd w:id="21"/>
    </w:p>
    <w:p w14:paraId="129F2A51">
      <w:pPr>
        <w:spacing w:line="360" w:lineRule="auto"/>
        <w:ind w:firstLine="420" w:firstLineChars="200"/>
        <w:rPr>
          <w:rFonts w:asciiTheme="minorEastAsia" w:hAnsiTheme="minorEastAsia"/>
          <w:szCs w:val="21"/>
        </w:rPr>
      </w:pPr>
      <w:r>
        <w:rPr>
          <w:rFonts w:asciiTheme="minorEastAsia" w:hAnsiTheme="minorEastAsia"/>
          <w:szCs w:val="21"/>
        </w:rPr>
        <w:t>必须是全新的货物，如安装或配置了软件的，须为正版软件。</w:t>
      </w:r>
    </w:p>
    <w:p w14:paraId="2DBA14FC">
      <w:pPr>
        <w:spacing w:line="360" w:lineRule="auto"/>
        <w:ind w:firstLine="420" w:firstLineChars="200"/>
        <w:rPr>
          <w:rFonts w:asciiTheme="minorEastAsia" w:hAnsiTheme="minorEastAsia"/>
          <w:szCs w:val="21"/>
        </w:rPr>
      </w:pPr>
      <w:r>
        <w:rPr>
          <w:rFonts w:asciiTheme="minorEastAsia" w:hAnsiTheme="minorEastAsia"/>
          <w:szCs w:val="21"/>
        </w:rPr>
        <w:t>产品及相关的服务必须符合中华人民共和国的设计和制造生产或行业标准。</w:t>
      </w:r>
    </w:p>
    <w:p w14:paraId="5B2FF5D7">
      <w:pPr>
        <w:spacing w:line="360" w:lineRule="auto"/>
        <w:ind w:firstLine="420" w:firstLineChars="200"/>
        <w:rPr>
          <w:rFonts w:asciiTheme="minorEastAsia" w:hAnsiTheme="minorEastAsia"/>
          <w:szCs w:val="21"/>
        </w:rPr>
      </w:pPr>
      <w:r>
        <w:rPr>
          <w:rFonts w:asciiTheme="minorEastAsia" w:hAnsiTheme="minorEastAsia"/>
          <w:szCs w:val="21"/>
        </w:rPr>
        <w:t>进口的货物必须是具有合法的进口手续和途径并通过了中华人民共和国商检部门检验。</w:t>
      </w:r>
    </w:p>
    <w:p w14:paraId="00E9CCDA">
      <w:pPr>
        <w:spacing w:line="360" w:lineRule="auto"/>
        <w:ind w:firstLine="420" w:firstLineChars="200"/>
        <w:rPr>
          <w:rFonts w:asciiTheme="minorEastAsia" w:hAnsiTheme="minorEastAsia"/>
          <w:szCs w:val="21"/>
        </w:rPr>
      </w:pPr>
      <w:r>
        <w:rPr>
          <w:rFonts w:asciiTheme="minorEastAsia" w:hAnsiTheme="minorEastAsia"/>
          <w:szCs w:val="21"/>
        </w:rPr>
        <w:t>投标人应保证，采购人在中华人民共和国使用该产品的任何一部分时，免受第三方提出的包括但不限于侵犯其专利权、商标权或工业设计权等知识产权和抵押权在内的担保物权的起诉。</w:t>
      </w:r>
    </w:p>
    <w:p w14:paraId="1C0A75ED">
      <w:pPr>
        <w:spacing w:line="360" w:lineRule="auto"/>
        <w:ind w:firstLine="420" w:firstLineChars="200"/>
        <w:rPr>
          <w:rFonts w:asciiTheme="minorEastAsia" w:hAnsiTheme="minorEastAsia"/>
          <w:szCs w:val="21"/>
        </w:rPr>
      </w:pPr>
      <w:r>
        <w:rPr>
          <w:rFonts w:asciiTheme="minorEastAsia" w:hAnsiTheme="minorEastAsia"/>
          <w:szCs w:val="21"/>
        </w:rPr>
        <w:t>投标人应保证，其所提供的货物应具有行政主管部门颁发的资质证书或国家质量监督部门的产品《检验报告》。设备到货验收时，还必须提供设备的产品合格证、质量保证文件。若中标后，除非另有约定，必须按合同规定完成设备的安装，并达到验收标准。</w:t>
      </w:r>
    </w:p>
    <w:p w14:paraId="3D25837E">
      <w:pPr>
        <w:pStyle w:val="4"/>
        <w:spacing w:line="360" w:lineRule="auto"/>
        <w:ind w:firstLine="482"/>
      </w:pPr>
      <w:bookmarkStart w:id="22" w:name="_Toc55548496"/>
      <w:bookmarkStart w:id="23" w:name="_Toc25686"/>
      <w:r>
        <w:t>投标费用</w:t>
      </w:r>
      <w:bookmarkEnd w:id="22"/>
      <w:bookmarkEnd w:id="23"/>
    </w:p>
    <w:p w14:paraId="703B9CF6">
      <w:pPr>
        <w:spacing w:line="360" w:lineRule="auto"/>
        <w:ind w:firstLine="420" w:firstLineChars="200"/>
        <w:rPr>
          <w:rFonts w:asciiTheme="minorEastAsia" w:hAnsiTheme="minorEastAsia"/>
          <w:szCs w:val="21"/>
        </w:rPr>
      </w:pPr>
      <w:r>
        <w:rPr>
          <w:rFonts w:asciiTheme="minorEastAsia" w:hAnsiTheme="minorEastAsia"/>
          <w:szCs w:val="21"/>
        </w:rPr>
        <w:t>投标人应承担所有与准备和参加投标有关的费用。不论投标的结果如何，招标人均无义务和责任承担这些费用。</w:t>
      </w:r>
    </w:p>
    <w:p w14:paraId="0893EA32">
      <w:pPr>
        <w:pStyle w:val="4"/>
        <w:spacing w:line="360" w:lineRule="auto"/>
        <w:ind w:firstLine="482"/>
      </w:pPr>
      <w:bookmarkStart w:id="24" w:name="_Toc55548497"/>
      <w:bookmarkStart w:id="25" w:name="_Toc10390"/>
      <w:r>
        <w:t>踏勘现场</w:t>
      </w:r>
      <w:bookmarkEnd w:id="24"/>
      <w:bookmarkEnd w:id="25"/>
    </w:p>
    <w:p w14:paraId="3CFF8099">
      <w:pPr>
        <w:spacing w:line="360" w:lineRule="auto"/>
        <w:ind w:firstLine="420" w:firstLineChars="200"/>
        <w:rPr>
          <w:rFonts w:asciiTheme="minorEastAsia" w:hAnsiTheme="minorEastAsia"/>
          <w:szCs w:val="21"/>
        </w:rPr>
      </w:pPr>
      <w:bookmarkStart w:id="26" w:name="_Ref179620557"/>
      <w:r>
        <w:rPr>
          <w:rFonts w:asciiTheme="minorEastAsia" w:hAnsiTheme="minorEastAsia"/>
          <w:szCs w:val="21"/>
        </w:rPr>
        <w:t>如有必要，</w:t>
      </w:r>
      <w:r>
        <w:rPr>
          <w:rFonts w:hint="eastAsia" w:asciiTheme="minorEastAsia" w:hAnsiTheme="minorEastAsia"/>
          <w:szCs w:val="21"/>
        </w:rPr>
        <w:t>本中心</w:t>
      </w:r>
      <w:r>
        <w:rPr>
          <w:rFonts w:asciiTheme="minorEastAsia" w:hAnsiTheme="minorEastAsia"/>
          <w:szCs w:val="21"/>
        </w:rPr>
        <w:t>将组织投标人对项目现场及周围环境进行踏勘，以便投标人获取须自己负责的有关编制投标文件和签署合同所需的所有资料。踏勘现场所发生的费用由投标人自己承担。</w:t>
      </w:r>
      <w:bookmarkEnd w:id="26"/>
    </w:p>
    <w:p w14:paraId="3804655B">
      <w:pPr>
        <w:spacing w:line="360" w:lineRule="auto"/>
        <w:ind w:firstLine="420" w:firstLineChars="200"/>
        <w:rPr>
          <w:rFonts w:asciiTheme="minorEastAsia" w:hAnsiTheme="minorEastAsia"/>
          <w:szCs w:val="21"/>
        </w:rPr>
      </w:pPr>
      <w:r>
        <w:rPr>
          <w:rFonts w:asciiTheme="minorEastAsia" w:hAnsiTheme="minorEastAsia"/>
          <w:szCs w:val="21"/>
        </w:rPr>
        <w:t>招标人向投标人提供的有关现场的资料和数据，是招标人现有的能使投标人利用的资料。招标人对投标人由此而做出的推论、理解和结论概不负责。</w:t>
      </w:r>
    </w:p>
    <w:p w14:paraId="4F98EF45">
      <w:pPr>
        <w:spacing w:line="360" w:lineRule="auto"/>
        <w:ind w:firstLine="420" w:firstLineChars="200"/>
        <w:rPr>
          <w:rFonts w:asciiTheme="minorEastAsia" w:hAnsiTheme="minorEastAsia"/>
          <w:szCs w:val="21"/>
        </w:rPr>
      </w:pPr>
      <w:r>
        <w:rPr>
          <w:rFonts w:asciiTheme="minorEastAsia" w:hAnsiTheme="minorEastAsia"/>
          <w:szCs w:val="21"/>
        </w:rPr>
        <w:t>投标人及其人员经过招标人的允许，可为踏勘目的进入招标人的工程现场，但投标人及其人员不得因此使招标人及其人员承担有关的责任和蒙受损失。投标人并应对由此次踏勘现场而造成的死亡、人身伤害、财产损失、损害以及任何其它损失、损害和引起的费用和开支承担责任。</w:t>
      </w:r>
    </w:p>
    <w:p w14:paraId="71E9CEF5">
      <w:pPr>
        <w:spacing w:line="360" w:lineRule="auto"/>
        <w:ind w:firstLine="420" w:firstLineChars="200"/>
        <w:rPr>
          <w:rFonts w:asciiTheme="minorEastAsia" w:hAnsiTheme="minorEastAsia"/>
          <w:szCs w:val="21"/>
        </w:rPr>
      </w:pPr>
      <w:r>
        <w:rPr>
          <w:rFonts w:asciiTheme="minorEastAsia" w:hAnsiTheme="minorEastAsia"/>
          <w:szCs w:val="21"/>
        </w:rPr>
        <w:t>如果投标人认为需要再次进行现场踏勘，招标人将予以支持，费用自理。</w:t>
      </w:r>
    </w:p>
    <w:p w14:paraId="5BDF5F9C">
      <w:pPr>
        <w:pStyle w:val="5"/>
        <w:ind w:firstLine="482"/>
      </w:pPr>
      <w:bookmarkStart w:id="27" w:name="_Toc1751"/>
      <w:bookmarkStart w:id="28" w:name="_Toc6043"/>
      <w:bookmarkStart w:id="29" w:name="_Toc55548498"/>
      <w:r>
        <w:t>二、招标文件</w:t>
      </w:r>
      <w:bookmarkEnd w:id="27"/>
      <w:bookmarkEnd w:id="28"/>
      <w:bookmarkEnd w:id="29"/>
    </w:p>
    <w:p w14:paraId="776EDB93">
      <w:pPr>
        <w:pStyle w:val="4"/>
        <w:spacing w:line="360" w:lineRule="auto"/>
        <w:ind w:firstLine="482"/>
      </w:pPr>
      <w:bookmarkStart w:id="30" w:name="_Toc19397"/>
      <w:bookmarkStart w:id="31" w:name="_Toc55548499"/>
      <w:r>
        <w:t>招标文件的构成</w:t>
      </w:r>
      <w:bookmarkEnd w:id="30"/>
      <w:bookmarkEnd w:id="31"/>
    </w:p>
    <w:p w14:paraId="1FA675C2">
      <w:pPr>
        <w:spacing w:line="360" w:lineRule="auto"/>
        <w:ind w:firstLine="420" w:firstLineChars="200"/>
        <w:rPr>
          <w:rFonts w:asciiTheme="minorEastAsia" w:hAnsiTheme="minorEastAsia"/>
          <w:szCs w:val="21"/>
        </w:rPr>
      </w:pPr>
      <w:r>
        <w:rPr>
          <w:rFonts w:asciiTheme="minorEastAsia" w:hAnsiTheme="minorEastAsia"/>
          <w:szCs w:val="21"/>
        </w:rPr>
        <w:t>第</w:t>
      </w:r>
      <w:r>
        <w:rPr>
          <w:rFonts w:hint="eastAsia" w:asciiTheme="minorEastAsia" w:hAnsiTheme="minorEastAsia"/>
          <w:szCs w:val="21"/>
        </w:rPr>
        <w:t>一</w:t>
      </w:r>
      <w:r>
        <w:rPr>
          <w:rFonts w:asciiTheme="minorEastAsia" w:hAnsiTheme="minorEastAsia"/>
          <w:szCs w:val="21"/>
        </w:rPr>
        <w:t xml:space="preserve">章 </w:t>
      </w:r>
      <w:r>
        <w:rPr>
          <w:rFonts w:hint="eastAsia" w:asciiTheme="minorEastAsia" w:hAnsiTheme="minorEastAsia"/>
          <w:szCs w:val="21"/>
        </w:rPr>
        <w:t>招标公告</w:t>
      </w:r>
    </w:p>
    <w:p w14:paraId="19108E8E">
      <w:pPr>
        <w:spacing w:line="360" w:lineRule="auto"/>
        <w:ind w:firstLine="420" w:firstLineChars="200"/>
        <w:rPr>
          <w:rFonts w:asciiTheme="minorEastAsia" w:hAnsiTheme="minorEastAsia"/>
          <w:szCs w:val="21"/>
        </w:rPr>
      </w:pPr>
      <w:r>
        <w:rPr>
          <w:rFonts w:asciiTheme="minorEastAsia" w:hAnsiTheme="minorEastAsia"/>
          <w:szCs w:val="21"/>
        </w:rPr>
        <w:t>第</w:t>
      </w:r>
      <w:r>
        <w:rPr>
          <w:rFonts w:hint="eastAsia" w:asciiTheme="minorEastAsia" w:hAnsiTheme="minorEastAsia"/>
          <w:szCs w:val="21"/>
        </w:rPr>
        <w:t>二</w:t>
      </w:r>
      <w:r>
        <w:rPr>
          <w:rFonts w:asciiTheme="minorEastAsia" w:hAnsiTheme="minorEastAsia"/>
          <w:szCs w:val="21"/>
        </w:rPr>
        <w:t>章 用户需求书</w:t>
      </w:r>
    </w:p>
    <w:p w14:paraId="1E499C65">
      <w:pPr>
        <w:spacing w:line="360" w:lineRule="auto"/>
        <w:ind w:firstLine="420" w:firstLineChars="200"/>
        <w:rPr>
          <w:rFonts w:asciiTheme="minorEastAsia" w:hAnsiTheme="minorEastAsia"/>
          <w:szCs w:val="21"/>
        </w:rPr>
      </w:pPr>
      <w:r>
        <w:rPr>
          <w:rFonts w:hint="eastAsia" w:asciiTheme="minorEastAsia" w:hAnsiTheme="minorEastAsia"/>
          <w:szCs w:val="21"/>
        </w:rPr>
        <w:t>第三章 投标人须知</w:t>
      </w:r>
    </w:p>
    <w:p w14:paraId="4B590FAD">
      <w:pPr>
        <w:spacing w:line="360" w:lineRule="auto"/>
        <w:ind w:firstLine="420" w:firstLineChars="200"/>
        <w:rPr>
          <w:rFonts w:asciiTheme="minorEastAsia" w:hAnsiTheme="minorEastAsia"/>
          <w:szCs w:val="21"/>
        </w:rPr>
      </w:pPr>
      <w:r>
        <w:rPr>
          <w:rFonts w:hint="eastAsia" w:asciiTheme="minorEastAsia" w:hAnsiTheme="minorEastAsia"/>
          <w:szCs w:val="21"/>
        </w:rPr>
        <w:t>第四章 附件-</w:t>
      </w:r>
      <w:r>
        <w:rPr>
          <w:rFonts w:asciiTheme="minorEastAsia" w:hAnsiTheme="minorEastAsia"/>
          <w:szCs w:val="21"/>
        </w:rPr>
        <w:t>投标文件格式</w:t>
      </w:r>
    </w:p>
    <w:p w14:paraId="2CD8DFFB">
      <w:pPr>
        <w:spacing w:line="360" w:lineRule="auto"/>
        <w:ind w:firstLine="420" w:firstLineChars="200"/>
        <w:rPr>
          <w:rFonts w:asciiTheme="minorEastAsia" w:hAnsiTheme="minorEastAsia"/>
          <w:szCs w:val="21"/>
        </w:rPr>
      </w:pPr>
      <w:r>
        <w:rPr>
          <w:rFonts w:asciiTheme="minorEastAsia" w:hAnsiTheme="minorEastAsia"/>
          <w:szCs w:val="21"/>
        </w:rPr>
        <w:t>投标人应认真阅读招标文件中所有的事项、格式、条款和技术规格等。投标人没有按照招标文件要求提交全部资料，或者投标没有对招标文件在各方面都作出实质性响应是投标人的风险，并可能导致其投标被拒绝。</w:t>
      </w:r>
    </w:p>
    <w:p w14:paraId="6993B9F4">
      <w:pPr>
        <w:pStyle w:val="4"/>
        <w:spacing w:line="360" w:lineRule="auto"/>
        <w:ind w:firstLine="482"/>
      </w:pPr>
      <w:bookmarkStart w:id="32" w:name="_Toc31711"/>
      <w:bookmarkStart w:id="33" w:name="_Toc55548500"/>
      <w:r>
        <w:t>招标文件的澄清</w:t>
      </w:r>
      <w:bookmarkEnd w:id="32"/>
      <w:bookmarkEnd w:id="33"/>
    </w:p>
    <w:p w14:paraId="7D5FA6E5">
      <w:pPr>
        <w:spacing w:line="360" w:lineRule="auto"/>
        <w:ind w:firstLine="420" w:firstLineChars="200"/>
        <w:rPr>
          <w:rFonts w:asciiTheme="minorEastAsia" w:hAnsiTheme="minorEastAsia"/>
          <w:szCs w:val="21"/>
        </w:rPr>
      </w:pPr>
      <w:r>
        <w:rPr>
          <w:rFonts w:asciiTheme="minorEastAsia" w:hAnsiTheme="minorEastAsia"/>
          <w:szCs w:val="21"/>
        </w:rPr>
        <w:t>任何要求对招标文件进行澄清的潜在投标人，均应以书面形式通知招标人。</w:t>
      </w:r>
      <w:r>
        <w:rPr>
          <w:rFonts w:hint="eastAsia" w:asciiTheme="minorEastAsia" w:hAnsiTheme="minorEastAsia"/>
          <w:szCs w:val="21"/>
        </w:rPr>
        <w:t>本中心</w:t>
      </w:r>
      <w:r>
        <w:rPr>
          <w:rFonts w:asciiTheme="minorEastAsia" w:hAnsiTheme="minorEastAsia"/>
          <w:szCs w:val="21"/>
        </w:rPr>
        <w:t>对其在投标截止期五日以前收到的对招标文件的澄清要求均以书面形式予以答复，同时将书面答复方式发给每个购买招标文件的潜在投标人(答复中不包括问题的来源)。</w:t>
      </w:r>
    </w:p>
    <w:p w14:paraId="3EA76CAB">
      <w:pPr>
        <w:pStyle w:val="4"/>
        <w:spacing w:line="360" w:lineRule="auto"/>
        <w:ind w:firstLine="482"/>
      </w:pPr>
      <w:bookmarkStart w:id="34" w:name="_Toc21781"/>
      <w:bookmarkStart w:id="35" w:name="_Ref179619612"/>
      <w:bookmarkStart w:id="36" w:name="_Toc55548501"/>
      <w:r>
        <w:t>招标文件的修改</w:t>
      </w:r>
      <w:bookmarkEnd w:id="34"/>
      <w:bookmarkEnd w:id="35"/>
      <w:bookmarkEnd w:id="36"/>
    </w:p>
    <w:p w14:paraId="09FFEAC6">
      <w:pPr>
        <w:spacing w:line="360" w:lineRule="auto"/>
        <w:ind w:firstLine="420" w:firstLineChars="200"/>
        <w:rPr>
          <w:rFonts w:asciiTheme="minorEastAsia" w:hAnsiTheme="minorEastAsia"/>
          <w:szCs w:val="21"/>
        </w:rPr>
      </w:pPr>
      <w:r>
        <w:rPr>
          <w:rFonts w:asciiTheme="minorEastAsia" w:hAnsiTheme="minorEastAsia"/>
          <w:szCs w:val="21"/>
        </w:rPr>
        <w:t>在投标截止时间三日前，招标人可主动地或在解答潜在投标人提出的澄清问题时对招标文件进行修改。澄清或修改时间不足三日的，</w:t>
      </w:r>
      <w:r>
        <w:rPr>
          <w:rFonts w:hint="eastAsia" w:asciiTheme="minorEastAsia" w:hAnsiTheme="minorEastAsia"/>
          <w:szCs w:val="21"/>
        </w:rPr>
        <w:t>本中心</w:t>
      </w:r>
      <w:r>
        <w:rPr>
          <w:rFonts w:asciiTheme="minorEastAsia" w:hAnsiTheme="minorEastAsia"/>
          <w:szCs w:val="21"/>
        </w:rPr>
        <w:t>在征得已获取招标文件的供应商同意并书面确认后，可不改变投标截至时间。</w:t>
      </w:r>
    </w:p>
    <w:p w14:paraId="51C3E332">
      <w:pPr>
        <w:spacing w:line="360" w:lineRule="auto"/>
        <w:ind w:firstLine="420" w:firstLineChars="200"/>
        <w:rPr>
          <w:rFonts w:asciiTheme="minorEastAsia" w:hAnsiTheme="minorEastAsia"/>
          <w:szCs w:val="21"/>
        </w:rPr>
      </w:pPr>
      <w:bookmarkStart w:id="37" w:name="_Ref179619147"/>
      <w:r>
        <w:rPr>
          <w:rFonts w:asciiTheme="minorEastAsia" w:hAnsiTheme="minorEastAsia"/>
          <w:szCs w:val="21"/>
        </w:rPr>
        <w:t>招标文件的修改是招标文件的组成部分，招标文件的修改均在</w:t>
      </w:r>
      <w:r>
        <w:rPr>
          <w:rFonts w:hint="eastAsia" w:asciiTheme="minorEastAsia" w:hAnsiTheme="minorEastAsia"/>
          <w:kern w:val="0"/>
          <w:szCs w:val="21"/>
        </w:rPr>
        <w:t>(深圳市宝安区疾病预防控制中心官网)</w:t>
      </w:r>
      <w:r>
        <w:rPr>
          <w:rFonts w:asciiTheme="minorEastAsia" w:hAnsiTheme="minorEastAsia"/>
          <w:szCs w:val="21"/>
        </w:rPr>
        <w:t>以网上公告形式发布，并对投标人具有约束力，招标期间，投标人有义务上网查看，公告一经上网发布，即视为送达。</w:t>
      </w:r>
      <w:bookmarkEnd w:id="37"/>
    </w:p>
    <w:p w14:paraId="7F3CB7A2">
      <w:pPr>
        <w:spacing w:line="360" w:lineRule="auto"/>
        <w:ind w:firstLine="420" w:firstLineChars="200"/>
        <w:rPr>
          <w:rFonts w:asciiTheme="minorEastAsia" w:hAnsiTheme="minorEastAsia"/>
          <w:szCs w:val="21"/>
        </w:rPr>
      </w:pPr>
      <w:r>
        <w:rPr>
          <w:rFonts w:asciiTheme="minorEastAsia" w:hAnsiTheme="minorEastAsia"/>
          <w:szCs w:val="21"/>
        </w:rPr>
        <w:t>为使投标人准备投标时有充分时间对招标文件的修改部分进行研究，招标人可适当推迟投标截止期。</w:t>
      </w:r>
    </w:p>
    <w:p w14:paraId="11D4584F">
      <w:pPr>
        <w:pStyle w:val="5"/>
        <w:ind w:firstLine="482"/>
      </w:pPr>
      <w:bookmarkStart w:id="38" w:name="_Toc20164"/>
      <w:bookmarkStart w:id="39" w:name="_Toc55548502"/>
      <w:bookmarkStart w:id="40" w:name="_Toc6740"/>
      <w:r>
        <w:t>三、投标文件的编制</w:t>
      </w:r>
      <w:bookmarkEnd w:id="38"/>
      <w:bookmarkEnd w:id="39"/>
      <w:bookmarkEnd w:id="40"/>
    </w:p>
    <w:p w14:paraId="6A2278E6">
      <w:pPr>
        <w:pStyle w:val="4"/>
        <w:spacing w:line="360" w:lineRule="auto"/>
        <w:ind w:firstLine="482"/>
      </w:pPr>
      <w:bookmarkStart w:id="41" w:name="_Toc55548503"/>
      <w:bookmarkStart w:id="42" w:name="_Toc28578"/>
      <w:r>
        <w:t>投标的语言</w:t>
      </w:r>
      <w:bookmarkEnd w:id="41"/>
      <w:bookmarkEnd w:id="42"/>
    </w:p>
    <w:p w14:paraId="11ACD2DD">
      <w:pPr>
        <w:spacing w:line="360" w:lineRule="auto"/>
        <w:ind w:firstLine="420" w:firstLineChars="200"/>
        <w:rPr>
          <w:rFonts w:asciiTheme="minorEastAsia" w:hAnsiTheme="minorEastAsia"/>
          <w:szCs w:val="21"/>
        </w:rPr>
      </w:pPr>
      <w:bookmarkStart w:id="43" w:name="_Ref179620571"/>
      <w:r>
        <w:rPr>
          <w:rFonts w:asciiTheme="minorEastAsia" w:hAnsiTheme="minorEastAsia"/>
          <w:szCs w:val="21"/>
        </w:rPr>
        <w:t>投标人提交的投标文件以及投标人与招标人就有关投标的所有来往函电均应使用</w:t>
      </w:r>
      <w:r>
        <w:rPr>
          <w:rFonts w:hint="eastAsia" w:asciiTheme="minorEastAsia" w:hAnsiTheme="minorEastAsia"/>
          <w:b/>
          <w:szCs w:val="21"/>
        </w:rPr>
        <w:t>中文</w:t>
      </w:r>
      <w:r>
        <w:rPr>
          <w:rFonts w:asciiTheme="minorEastAsia" w:hAnsiTheme="minorEastAsia"/>
          <w:szCs w:val="21"/>
        </w:rPr>
        <w:t>书写。投标人提交的支持资料和已印刷的文献可以用另一种语言，但相应内容应附有</w:t>
      </w:r>
      <w:r>
        <w:rPr>
          <w:rFonts w:hint="eastAsia" w:asciiTheme="minorEastAsia" w:hAnsiTheme="minorEastAsia"/>
          <w:b/>
          <w:szCs w:val="21"/>
        </w:rPr>
        <w:t>中文</w:t>
      </w:r>
      <w:r>
        <w:rPr>
          <w:rFonts w:asciiTheme="minorEastAsia" w:hAnsiTheme="minorEastAsia"/>
          <w:szCs w:val="21"/>
        </w:rPr>
        <w:t>的翻译本，在解释投标文件时以翻译本为准。</w:t>
      </w:r>
      <w:bookmarkEnd w:id="43"/>
    </w:p>
    <w:p w14:paraId="2AE8796F">
      <w:pPr>
        <w:pStyle w:val="4"/>
        <w:spacing w:line="360" w:lineRule="auto"/>
        <w:ind w:firstLine="482"/>
      </w:pPr>
      <w:bookmarkStart w:id="44" w:name="_Toc55548504"/>
      <w:bookmarkStart w:id="45" w:name="_Toc31114"/>
      <w:r>
        <w:t>投标范围及投标文件中计量单位的使用</w:t>
      </w:r>
      <w:bookmarkEnd w:id="44"/>
      <w:bookmarkEnd w:id="45"/>
    </w:p>
    <w:p w14:paraId="7F41EDA4">
      <w:pPr>
        <w:spacing w:line="360" w:lineRule="auto"/>
        <w:ind w:firstLine="420" w:firstLineChars="200"/>
        <w:rPr>
          <w:rFonts w:asciiTheme="minorEastAsia" w:hAnsiTheme="minorEastAsia"/>
          <w:szCs w:val="21"/>
        </w:rPr>
      </w:pPr>
      <w:r>
        <w:rPr>
          <w:rFonts w:asciiTheme="minorEastAsia" w:hAnsiTheme="minorEastAsia"/>
          <w:szCs w:val="21"/>
        </w:rPr>
        <w:t>投标人可对招标文件中“用户需求书”中所述的所有货物</w:t>
      </w:r>
      <w:r>
        <w:rPr>
          <w:rFonts w:hint="eastAsia" w:asciiTheme="minorEastAsia" w:hAnsiTheme="minorEastAsia"/>
          <w:szCs w:val="21"/>
        </w:rPr>
        <w:t>或者</w:t>
      </w:r>
      <w:r>
        <w:rPr>
          <w:rFonts w:asciiTheme="minorEastAsia" w:hAnsiTheme="minorEastAsia"/>
          <w:szCs w:val="21"/>
        </w:rPr>
        <w:t>服务进行投标，也可以只对其中一包或几包货物进行投标，但不得将一包中的内容拆开投标。</w:t>
      </w:r>
    </w:p>
    <w:p w14:paraId="59E736F5">
      <w:pPr>
        <w:spacing w:line="360" w:lineRule="auto"/>
        <w:ind w:firstLine="420" w:firstLineChars="200"/>
        <w:rPr>
          <w:rFonts w:asciiTheme="minorEastAsia" w:hAnsiTheme="minorEastAsia"/>
          <w:szCs w:val="21"/>
        </w:rPr>
      </w:pPr>
      <w:r>
        <w:rPr>
          <w:rFonts w:asciiTheme="minorEastAsia" w:hAnsiTheme="minorEastAsia"/>
          <w:szCs w:val="21"/>
        </w:rPr>
        <w:t>投标文件中所使用的计量单位，除招标文件中有特殊要求外，应采用中华人民共和国法定计量单位。</w:t>
      </w:r>
    </w:p>
    <w:p w14:paraId="439A47C0">
      <w:pPr>
        <w:spacing w:line="360" w:lineRule="auto"/>
        <w:ind w:firstLine="420" w:firstLineChars="200"/>
        <w:rPr>
          <w:rFonts w:asciiTheme="minorEastAsia" w:hAnsiTheme="minorEastAsia"/>
          <w:szCs w:val="21"/>
        </w:rPr>
      </w:pPr>
      <w:r>
        <w:rPr>
          <w:rFonts w:asciiTheme="minorEastAsia" w:hAnsiTheme="minorEastAsia"/>
          <w:szCs w:val="21"/>
        </w:rPr>
        <w:t>除非另有说明，本招标文件中所称“日”均指日历日，投标文件中需以日历日对招标文件作出响应。评审时，对投标中出现的“工作日”按五个工作日折合七个日历日计算，且评标委员会可能会就有关日期作出对该投标人不利的折算或量化，投标人不得对此提出异议，否则其投标将被拒绝。</w:t>
      </w:r>
    </w:p>
    <w:p w14:paraId="387F25D0">
      <w:pPr>
        <w:pStyle w:val="4"/>
        <w:spacing w:line="360" w:lineRule="auto"/>
        <w:ind w:firstLine="482"/>
      </w:pPr>
      <w:bookmarkStart w:id="46" w:name="_Toc4999"/>
      <w:bookmarkStart w:id="47" w:name="_Toc55548505"/>
      <w:r>
        <w:t>投标文件的构成</w:t>
      </w:r>
      <w:bookmarkEnd w:id="46"/>
      <w:bookmarkEnd w:id="47"/>
    </w:p>
    <w:p w14:paraId="3EEC42B1">
      <w:pPr>
        <w:spacing w:line="360" w:lineRule="auto"/>
        <w:ind w:firstLine="420" w:firstLineChars="200"/>
        <w:rPr>
          <w:rFonts w:asciiTheme="minorEastAsia" w:hAnsiTheme="minorEastAsia"/>
          <w:szCs w:val="21"/>
        </w:rPr>
      </w:pPr>
      <w:r>
        <w:rPr>
          <w:rFonts w:asciiTheme="minorEastAsia" w:hAnsiTheme="minorEastAsia"/>
          <w:szCs w:val="21"/>
        </w:rPr>
        <w:t>投标人应完整地按招标文件提供的投标文件格式制作投标文件。</w:t>
      </w:r>
    </w:p>
    <w:p w14:paraId="18671161">
      <w:pPr>
        <w:pStyle w:val="4"/>
        <w:spacing w:line="360" w:lineRule="auto"/>
        <w:ind w:firstLine="482"/>
      </w:pPr>
      <w:bookmarkStart w:id="48" w:name="_Toc24290"/>
      <w:bookmarkStart w:id="49" w:name="_Toc55548506"/>
      <w:r>
        <w:t>投标文件电子文档</w:t>
      </w:r>
      <w:bookmarkEnd w:id="48"/>
      <w:bookmarkEnd w:id="49"/>
    </w:p>
    <w:p w14:paraId="145B3DEE">
      <w:pPr>
        <w:spacing w:line="360" w:lineRule="auto"/>
        <w:ind w:firstLine="420" w:firstLineChars="200"/>
        <w:rPr>
          <w:rFonts w:asciiTheme="minorEastAsia" w:hAnsiTheme="minorEastAsia"/>
          <w:szCs w:val="21"/>
        </w:rPr>
      </w:pPr>
      <w:r>
        <w:rPr>
          <w:rFonts w:asciiTheme="minorEastAsia" w:hAnsiTheme="minorEastAsia"/>
          <w:szCs w:val="21"/>
          <w:highlight w:val="yellow"/>
        </w:rPr>
        <w:t>投标人在提交书面投标文件的同时，</w:t>
      </w:r>
      <w:r>
        <w:fldChar w:fldCharType="begin"/>
      </w:r>
      <w:r>
        <w:instrText xml:space="preserve"> HYPERLINK "mailto:应提交该投标文件的电子文档（格式为盖章版扫描件）于指定时间发送至568711397@qq.com" </w:instrText>
      </w:r>
      <w:r>
        <w:fldChar w:fldCharType="separate"/>
      </w:r>
      <w:r>
        <w:rPr>
          <w:rStyle w:val="19"/>
          <w:rFonts w:asciiTheme="minorEastAsia" w:hAnsiTheme="minorEastAsia"/>
          <w:szCs w:val="21"/>
          <w:highlight w:val="yellow"/>
        </w:rPr>
        <w:t>应提交该投标文件的电子文档于指定时间发送至</w:t>
      </w:r>
      <w:r>
        <w:rPr>
          <w:rStyle w:val="19"/>
          <w:rFonts w:hint="eastAsia" w:eastAsia="宋体" w:cs="Times New Roman" w:asciiTheme="minorEastAsia" w:hAnsiTheme="minorEastAsia"/>
          <w:szCs w:val="21"/>
          <w:highlight w:val="yellow"/>
        </w:rPr>
        <w:t>bacdcxxk@baoan.gov.cn</w:t>
      </w:r>
      <w:r>
        <w:rPr>
          <w:rStyle w:val="19"/>
          <w:rFonts w:hint="eastAsia" w:eastAsia="宋体" w:cs="Times New Roman" w:asciiTheme="minorEastAsia" w:hAnsiTheme="minorEastAsia"/>
          <w:szCs w:val="21"/>
          <w:highlight w:val="yellow"/>
        </w:rPr>
        <w:fldChar w:fldCharType="end"/>
      </w:r>
      <w:r>
        <w:rPr>
          <w:rFonts w:hint="eastAsia" w:asciiTheme="minorEastAsia" w:hAnsiTheme="minorEastAsia"/>
          <w:szCs w:val="21"/>
          <w:highlight w:val="yellow"/>
        </w:rPr>
        <w:t>邮箱</w:t>
      </w:r>
      <w:r>
        <w:rPr>
          <w:rFonts w:asciiTheme="minorEastAsia" w:hAnsiTheme="minorEastAsia"/>
          <w:szCs w:val="21"/>
          <w:highlight w:val="yellow"/>
        </w:rPr>
        <w:t>。</w:t>
      </w:r>
    </w:p>
    <w:p w14:paraId="2623EC98">
      <w:pPr>
        <w:spacing w:line="360" w:lineRule="auto"/>
        <w:ind w:firstLine="420" w:firstLineChars="200"/>
        <w:rPr>
          <w:rFonts w:asciiTheme="minorEastAsia" w:hAnsiTheme="minorEastAsia"/>
          <w:szCs w:val="21"/>
        </w:rPr>
      </w:pPr>
      <w:r>
        <w:rPr>
          <w:rFonts w:asciiTheme="minorEastAsia" w:hAnsiTheme="minorEastAsia"/>
          <w:szCs w:val="21"/>
        </w:rPr>
        <w:t>电子文档的格式要求：投标文件电子文档应统一</w:t>
      </w:r>
      <w:r>
        <w:rPr>
          <w:rFonts w:hint="eastAsia" w:asciiTheme="minorEastAsia" w:hAnsiTheme="minorEastAsia"/>
          <w:szCs w:val="21"/>
        </w:rPr>
        <w:t>为投标文件盖章后扫描件</w:t>
      </w:r>
      <w:r>
        <w:rPr>
          <w:rFonts w:asciiTheme="minorEastAsia" w:hAnsiTheme="minorEastAsia"/>
          <w:szCs w:val="21"/>
        </w:rPr>
        <w:t>。</w:t>
      </w:r>
    </w:p>
    <w:p w14:paraId="45E806E5">
      <w:pPr>
        <w:spacing w:line="360" w:lineRule="auto"/>
        <w:ind w:firstLine="420" w:firstLineChars="200"/>
        <w:rPr>
          <w:rFonts w:asciiTheme="minorEastAsia" w:hAnsiTheme="minorEastAsia"/>
          <w:szCs w:val="21"/>
        </w:rPr>
      </w:pPr>
      <w:r>
        <w:rPr>
          <w:rFonts w:asciiTheme="minorEastAsia" w:hAnsiTheme="minorEastAsia"/>
          <w:szCs w:val="21"/>
        </w:rPr>
        <w:t>投标人提交的书面投标文件的实质内容应与提交的电子文档的实质内容完全一致。如果评标委员会发现两者的实质内容不一致，将按不利于投标人的原则予以处置。因此产生的一切责任均由投标人承担。</w:t>
      </w:r>
    </w:p>
    <w:p w14:paraId="0DACE8CE">
      <w:pPr>
        <w:pStyle w:val="4"/>
        <w:spacing w:line="360" w:lineRule="auto"/>
        <w:ind w:firstLine="482"/>
      </w:pPr>
      <w:bookmarkStart w:id="50" w:name="_Toc12177"/>
      <w:bookmarkStart w:id="51" w:name="_Toc55548507"/>
      <w:r>
        <w:t>投标文件的编写</w:t>
      </w:r>
      <w:bookmarkEnd w:id="50"/>
      <w:bookmarkEnd w:id="51"/>
    </w:p>
    <w:p w14:paraId="56323769">
      <w:pPr>
        <w:spacing w:line="360" w:lineRule="auto"/>
        <w:ind w:firstLine="420" w:firstLineChars="200"/>
        <w:rPr>
          <w:rFonts w:asciiTheme="minorEastAsia" w:hAnsiTheme="minorEastAsia"/>
          <w:szCs w:val="21"/>
        </w:rPr>
      </w:pPr>
      <w:r>
        <w:rPr>
          <w:rFonts w:asciiTheme="minorEastAsia" w:hAnsiTheme="minorEastAsia"/>
          <w:szCs w:val="21"/>
        </w:rPr>
        <w:t>投标人应按招标文件的规定，及附件要求的内容和格式完整地填写和提供资料，并保证所提供的全部资料的真实性。</w:t>
      </w:r>
    </w:p>
    <w:p w14:paraId="46B0D6F5">
      <w:pPr>
        <w:pStyle w:val="4"/>
        <w:spacing w:line="360" w:lineRule="auto"/>
        <w:ind w:firstLine="482"/>
      </w:pPr>
      <w:bookmarkStart w:id="52" w:name="_Toc26930"/>
      <w:bookmarkStart w:id="53" w:name="_Toc55548508"/>
      <w:r>
        <w:t>投标报价</w:t>
      </w:r>
      <w:bookmarkEnd w:id="52"/>
      <w:bookmarkEnd w:id="53"/>
    </w:p>
    <w:p w14:paraId="0C9B5D62">
      <w:pPr>
        <w:spacing w:line="360" w:lineRule="auto"/>
        <w:ind w:firstLine="420" w:firstLineChars="200"/>
        <w:rPr>
          <w:rFonts w:asciiTheme="minorEastAsia" w:hAnsiTheme="minorEastAsia"/>
          <w:szCs w:val="21"/>
        </w:rPr>
      </w:pPr>
      <w:r>
        <w:rPr>
          <w:rFonts w:asciiTheme="minorEastAsia" w:hAnsiTheme="minorEastAsia"/>
          <w:szCs w:val="21"/>
        </w:rPr>
        <w:t>所有投标均以人民币报价。投标人的投标报价应符合《中华人民共和国价格法》的有关规定。</w:t>
      </w:r>
    </w:p>
    <w:p w14:paraId="6BE628E3">
      <w:pPr>
        <w:spacing w:line="360" w:lineRule="auto"/>
        <w:ind w:firstLine="420" w:firstLineChars="200"/>
        <w:rPr>
          <w:rFonts w:asciiTheme="minorEastAsia" w:hAnsiTheme="minorEastAsia"/>
          <w:szCs w:val="21"/>
        </w:rPr>
      </w:pPr>
      <w:bookmarkStart w:id="54" w:name="_Ref179619251"/>
      <w:r>
        <w:rPr>
          <w:rFonts w:asciiTheme="minorEastAsia" w:hAnsiTheme="minorEastAsia"/>
          <w:szCs w:val="21"/>
        </w:rPr>
        <w:t>投标人应在投标分项报价表上标明投标货物及相关服务的单价(如适用)和总价，并由法定代表人或其授权代表签署。投标总价中不得包含招标文件要求以外的内容，否则，在评标时不予核减。</w:t>
      </w:r>
      <w:bookmarkEnd w:id="54"/>
    </w:p>
    <w:p w14:paraId="59D57023">
      <w:pPr>
        <w:spacing w:line="360" w:lineRule="auto"/>
        <w:ind w:firstLine="420" w:firstLineChars="200"/>
        <w:rPr>
          <w:rFonts w:asciiTheme="minorEastAsia" w:hAnsiTheme="minorEastAsia"/>
          <w:szCs w:val="21"/>
        </w:rPr>
      </w:pPr>
      <w:bookmarkStart w:id="55" w:name="_Ref179620595"/>
      <w:r>
        <w:rPr>
          <w:rFonts w:asciiTheme="minorEastAsia" w:hAnsiTheme="minorEastAsia"/>
          <w:szCs w:val="21"/>
        </w:rPr>
        <w:t>投标人的投标报价，应完整的包含所有采购内容，且不得以任何理由重复，每一项目只允许有一个报价，任何有选择的报价将不予接受。</w:t>
      </w:r>
      <w:bookmarkEnd w:id="55"/>
    </w:p>
    <w:p w14:paraId="45900059">
      <w:pPr>
        <w:spacing w:line="360" w:lineRule="auto"/>
        <w:ind w:firstLine="420" w:firstLineChars="200"/>
        <w:rPr>
          <w:rFonts w:asciiTheme="minorEastAsia" w:hAnsiTheme="minorEastAsia"/>
          <w:szCs w:val="21"/>
        </w:rPr>
      </w:pPr>
      <w:r>
        <w:rPr>
          <w:rFonts w:asciiTheme="minorEastAsia" w:hAnsiTheme="minorEastAsia"/>
          <w:szCs w:val="21"/>
        </w:rPr>
        <w:t>投标分项报价上的价格应按下列方式填写：</w:t>
      </w:r>
    </w:p>
    <w:p w14:paraId="0E1D5F5E">
      <w:pPr>
        <w:spacing w:line="360" w:lineRule="auto"/>
        <w:ind w:firstLine="420" w:firstLineChars="200"/>
        <w:rPr>
          <w:rFonts w:asciiTheme="minorEastAsia" w:hAnsiTheme="minorEastAsia"/>
          <w:szCs w:val="21"/>
        </w:rPr>
      </w:pPr>
      <w:r>
        <w:rPr>
          <w:rFonts w:asciiTheme="minorEastAsia" w:hAnsiTheme="minorEastAsia"/>
          <w:szCs w:val="21"/>
        </w:rPr>
        <w:t>投标货物</w:t>
      </w:r>
      <w:r>
        <w:rPr>
          <w:rFonts w:hint="eastAsia" w:asciiTheme="minorEastAsia" w:hAnsiTheme="minorEastAsia"/>
          <w:szCs w:val="21"/>
        </w:rPr>
        <w:t>或</w:t>
      </w:r>
      <w:r>
        <w:rPr>
          <w:rFonts w:asciiTheme="minorEastAsia" w:hAnsiTheme="minorEastAsia"/>
          <w:szCs w:val="21"/>
        </w:rPr>
        <w:t>服务包括标准附件、备品备件、专用工具等的出厂价(包括已在中国国内的进口货物完税后的仓库交货价、展室交货价或货架交货价)，投标货物安装、调试、检验、技术服务和培训等费用；</w:t>
      </w:r>
    </w:p>
    <w:p w14:paraId="1B57D206">
      <w:pPr>
        <w:spacing w:line="360" w:lineRule="auto"/>
        <w:ind w:firstLine="420" w:firstLineChars="200"/>
        <w:rPr>
          <w:rFonts w:asciiTheme="minorEastAsia" w:hAnsiTheme="minorEastAsia"/>
          <w:szCs w:val="21"/>
        </w:rPr>
      </w:pPr>
      <w:r>
        <w:rPr>
          <w:rFonts w:asciiTheme="minorEastAsia" w:hAnsiTheme="minorEastAsia"/>
          <w:szCs w:val="21"/>
        </w:rPr>
        <w:t>货物运至最终目的地并安装调试完毕的运输费和保险费用和伴随货物交运的有关费用；</w:t>
      </w:r>
    </w:p>
    <w:p w14:paraId="6CF80BC4">
      <w:pPr>
        <w:spacing w:line="360" w:lineRule="auto"/>
        <w:ind w:firstLine="420" w:firstLineChars="200"/>
        <w:rPr>
          <w:rFonts w:asciiTheme="minorEastAsia" w:hAnsiTheme="minorEastAsia"/>
          <w:szCs w:val="21"/>
        </w:rPr>
      </w:pPr>
      <w:bookmarkStart w:id="56" w:name="_Ref179620755"/>
      <w:r>
        <w:rPr>
          <w:rFonts w:asciiTheme="minorEastAsia" w:hAnsiTheme="minorEastAsia"/>
          <w:szCs w:val="21"/>
        </w:rPr>
        <w:t>其他伴随服务的费用(如有)。</w:t>
      </w:r>
      <w:bookmarkEnd w:id="56"/>
    </w:p>
    <w:p w14:paraId="525C2370">
      <w:pPr>
        <w:spacing w:line="360" w:lineRule="auto"/>
        <w:ind w:firstLine="420" w:firstLineChars="200"/>
        <w:rPr>
          <w:rFonts w:asciiTheme="minorEastAsia" w:hAnsiTheme="minorEastAsia"/>
          <w:szCs w:val="21"/>
        </w:rPr>
      </w:pPr>
      <w:r>
        <w:rPr>
          <w:rFonts w:asciiTheme="minorEastAsia" w:hAnsiTheme="minorEastAsia"/>
          <w:szCs w:val="21"/>
        </w:rPr>
        <w:t xml:space="preserve">投标人根据本须知的规定将投标价分成几部分，只是为了方便招标人对投标文件进行比较，并不限制招标人以上述任何条件订立合同的权力。 </w:t>
      </w:r>
    </w:p>
    <w:p w14:paraId="070003BC">
      <w:pPr>
        <w:spacing w:line="360" w:lineRule="auto"/>
        <w:ind w:firstLine="420" w:firstLineChars="200"/>
        <w:rPr>
          <w:rFonts w:asciiTheme="minorEastAsia" w:hAnsiTheme="minorEastAsia"/>
          <w:szCs w:val="21"/>
        </w:rPr>
      </w:pPr>
      <w:r>
        <w:rPr>
          <w:rFonts w:asciiTheme="minorEastAsia" w:hAnsiTheme="minorEastAsia"/>
          <w:szCs w:val="21"/>
        </w:rPr>
        <w:t>投标人所报的投标价在合同执行过程中是固定不变的，不得以任何理由予以变更。任何包含价格调整要求的投标，被认为是非实质性响应投标而予以拒绝。</w:t>
      </w:r>
    </w:p>
    <w:p w14:paraId="022459EA">
      <w:pPr>
        <w:pStyle w:val="4"/>
        <w:spacing w:line="360" w:lineRule="auto"/>
        <w:ind w:firstLine="482"/>
      </w:pPr>
      <w:bookmarkStart w:id="57" w:name="_Toc11635"/>
      <w:bookmarkStart w:id="58" w:name="_Toc55548509"/>
      <w:r>
        <w:t>证明投标人合格和资格的文件</w:t>
      </w:r>
      <w:bookmarkEnd w:id="57"/>
      <w:bookmarkEnd w:id="58"/>
      <w:r>
        <w:t xml:space="preserve"> </w:t>
      </w:r>
    </w:p>
    <w:p w14:paraId="2D12E1F0">
      <w:pPr>
        <w:spacing w:line="360" w:lineRule="auto"/>
        <w:ind w:firstLine="420" w:firstLineChars="200"/>
        <w:rPr>
          <w:rFonts w:asciiTheme="minorEastAsia" w:hAnsiTheme="minorEastAsia"/>
          <w:szCs w:val="21"/>
        </w:rPr>
      </w:pPr>
      <w:r>
        <w:rPr>
          <w:rFonts w:asciiTheme="minorEastAsia" w:hAnsiTheme="minorEastAsia"/>
          <w:szCs w:val="21"/>
        </w:rPr>
        <w:t>投标人应提交证明其有资格参加投标和中标后有能力履行合同的文件。</w:t>
      </w:r>
    </w:p>
    <w:p w14:paraId="1807A2A9">
      <w:pPr>
        <w:spacing w:line="360" w:lineRule="auto"/>
        <w:ind w:firstLine="420" w:firstLineChars="200"/>
        <w:rPr>
          <w:rFonts w:asciiTheme="minorEastAsia" w:hAnsiTheme="minorEastAsia"/>
          <w:szCs w:val="21"/>
        </w:rPr>
      </w:pPr>
      <w:r>
        <w:rPr>
          <w:rFonts w:asciiTheme="minorEastAsia" w:hAnsiTheme="minorEastAsia"/>
          <w:szCs w:val="21"/>
        </w:rPr>
        <w:t>招标文件允许联合体投标时，投标人始得组建联合体。联合体投标时，应提交各方的资格证明文件、联合体协议并注明主办人；联合体各方签订共同投标协议后，不得再以自己的名义单独在同一项目中投标，也不得组成新的联合体参加同一项目投标。违反上述规定的联合体投标将导致其投标被拒绝。</w:t>
      </w:r>
    </w:p>
    <w:p w14:paraId="2FCF63CA">
      <w:pPr>
        <w:spacing w:line="360" w:lineRule="auto"/>
        <w:ind w:firstLine="420" w:firstLineChars="200"/>
        <w:rPr>
          <w:rFonts w:asciiTheme="minorEastAsia" w:hAnsiTheme="minorEastAsia"/>
          <w:szCs w:val="21"/>
        </w:rPr>
      </w:pPr>
      <w:r>
        <w:rPr>
          <w:rFonts w:asciiTheme="minorEastAsia" w:hAnsiTheme="minorEastAsia"/>
          <w:szCs w:val="21"/>
        </w:rPr>
        <w:t xml:space="preserve">投标人提交的证明其中标后能履行合同的资格证明文件应包括下列文件： </w:t>
      </w:r>
    </w:p>
    <w:p w14:paraId="09AD9E82">
      <w:pPr>
        <w:spacing w:line="360" w:lineRule="auto"/>
        <w:ind w:firstLine="420" w:firstLineChars="200"/>
        <w:rPr>
          <w:rFonts w:asciiTheme="minorEastAsia" w:hAnsiTheme="minorEastAsia"/>
          <w:szCs w:val="21"/>
        </w:rPr>
      </w:pPr>
      <w:r>
        <w:rPr>
          <w:rFonts w:asciiTheme="minorEastAsia" w:hAnsiTheme="minorEastAsia"/>
          <w:szCs w:val="21"/>
        </w:rPr>
        <w:t>证明投标人销售资格的证明文件：制造商参加投标时，需在投标文件中注明其制造商身份；代理商参加投标时则须提交相应授权文件，授权文件包括制造商或上级代理商授权（上级代理商授权文件应可追溯至制造商授权文件，并有完整的证明资料）；招标文件对授权文件有特殊要求的，从其规定；</w:t>
      </w:r>
    </w:p>
    <w:p w14:paraId="0F4027D4">
      <w:pPr>
        <w:spacing w:line="360" w:lineRule="auto"/>
        <w:ind w:firstLine="420" w:firstLineChars="200"/>
        <w:rPr>
          <w:rFonts w:asciiTheme="minorEastAsia" w:hAnsiTheme="minorEastAsia"/>
          <w:szCs w:val="21"/>
        </w:rPr>
      </w:pPr>
      <w:r>
        <w:rPr>
          <w:rFonts w:asciiTheme="minorEastAsia" w:hAnsiTheme="minorEastAsia"/>
          <w:szCs w:val="21"/>
        </w:rPr>
        <w:t xml:space="preserve">证明投标人已具备履行合同所需的财务、技术和生产能力的文件； </w:t>
      </w:r>
    </w:p>
    <w:p w14:paraId="2F0683BC">
      <w:pPr>
        <w:spacing w:line="360" w:lineRule="auto"/>
        <w:ind w:firstLine="420" w:firstLineChars="200"/>
        <w:rPr>
          <w:rFonts w:asciiTheme="minorEastAsia" w:hAnsiTheme="minorEastAsia"/>
          <w:szCs w:val="21"/>
        </w:rPr>
      </w:pPr>
      <w:r>
        <w:rPr>
          <w:rFonts w:asciiTheme="minorEastAsia" w:hAnsiTheme="minorEastAsia"/>
          <w:szCs w:val="21"/>
        </w:rPr>
        <w:t>证明投标人满足招标文件业绩要求的文件；</w:t>
      </w:r>
    </w:p>
    <w:p w14:paraId="0E51FB5A">
      <w:pPr>
        <w:spacing w:line="360" w:lineRule="auto"/>
        <w:ind w:firstLine="420" w:firstLineChars="200"/>
        <w:rPr>
          <w:rFonts w:asciiTheme="minorEastAsia" w:hAnsiTheme="minorEastAsia"/>
          <w:szCs w:val="21"/>
        </w:rPr>
      </w:pPr>
      <w:bookmarkStart w:id="59" w:name="_Ref179620846"/>
      <w:r>
        <w:rPr>
          <w:rFonts w:asciiTheme="minorEastAsia" w:hAnsiTheme="minorEastAsia"/>
          <w:szCs w:val="21"/>
        </w:rPr>
        <w:t>投标资料表要求的其它资格证明文件。</w:t>
      </w:r>
      <w:bookmarkEnd w:id="59"/>
    </w:p>
    <w:p w14:paraId="7A33CFD6">
      <w:pPr>
        <w:pStyle w:val="4"/>
        <w:spacing w:line="360" w:lineRule="auto"/>
        <w:ind w:firstLine="482"/>
      </w:pPr>
      <w:bookmarkStart w:id="60" w:name="_Toc55548510"/>
      <w:bookmarkStart w:id="61" w:name="_Toc28857"/>
      <w:r>
        <w:t>证明货物的合格性和符合招标文件规定的文件</w:t>
      </w:r>
      <w:bookmarkEnd w:id="60"/>
      <w:bookmarkEnd w:id="61"/>
    </w:p>
    <w:p w14:paraId="7B108F5F">
      <w:pPr>
        <w:spacing w:line="360" w:lineRule="auto"/>
        <w:ind w:firstLine="420" w:firstLineChars="200"/>
        <w:rPr>
          <w:rFonts w:asciiTheme="minorEastAsia" w:hAnsiTheme="minorEastAsia"/>
          <w:szCs w:val="21"/>
        </w:rPr>
      </w:pPr>
      <w:r>
        <w:rPr>
          <w:rFonts w:asciiTheme="minorEastAsia" w:hAnsiTheme="minorEastAsia"/>
          <w:szCs w:val="21"/>
        </w:rPr>
        <w:t>投标人应提交证明文件，证明其拟供的合同项下的货物和服务的合格性符合招标文件规定。该证明文件作为投标文件的一部分。</w:t>
      </w:r>
    </w:p>
    <w:p w14:paraId="42A91C1D">
      <w:pPr>
        <w:spacing w:line="360" w:lineRule="auto"/>
        <w:ind w:firstLine="420" w:firstLineChars="200"/>
        <w:rPr>
          <w:rFonts w:asciiTheme="minorEastAsia" w:hAnsiTheme="minorEastAsia"/>
          <w:szCs w:val="21"/>
        </w:rPr>
      </w:pPr>
      <w:r>
        <w:rPr>
          <w:rFonts w:asciiTheme="minorEastAsia" w:hAnsiTheme="minorEastAsia"/>
          <w:szCs w:val="21"/>
        </w:rPr>
        <w:t>上述所述的证明文件，可以是文字资料、图纸和数据，它包括：</w:t>
      </w:r>
    </w:p>
    <w:p w14:paraId="19820C77">
      <w:pPr>
        <w:spacing w:line="360" w:lineRule="auto"/>
        <w:ind w:firstLine="420" w:firstLineChars="200"/>
        <w:rPr>
          <w:rFonts w:asciiTheme="minorEastAsia" w:hAnsiTheme="minorEastAsia"/>
          <w:szCs w:val="21"/>
        </w:rPr>
      </w:pPr>
      <w:r>
        <w:rPr>
          <w:rFonts w:asciiTheme="minorEastAsia" w:hAnsiTheme="minorEastAsia"/>
          <w:szCs w:val="21"/>
        </w:rPr>
        <w:t>货物主要技术指标和性能的详细说明；</w:t>
      </w:r>
    </w:p>
    <w:p w14:paraId="2613B8C9">
      <w:pPr>
        <w:spacing w:line="360" w:lineRule="auto"/>
        <w:ind w:firstLine="420" w:firstLineChars="200"/>
        <w:rPr>
          <w:rFonts w:asciiTheme="minorEastAsia" w:hAnsiTheme="minorEastAsia"/>
          <w:szCs w:val="21"/>
        </w:rPr>
      </w:pPr>
      <w:r>
        <w:rPr>
          <w:rFonts w:asciiTheme="minorEastAsia" w:hAnsiTheme="minorEastAsia"/>
          <w:szCs w:val="21"/>
        </w:rPr>
        <w:t>货物从招标人验收后开始使用至招标文件规定的保质期内正常、连续地使用所必须的备件和专用工具清单，包括备件和专用工具的货源及现行价格；</w:t>
      </w:r>
    </w:p>
    <w:p w14:paraId="442DBCCE">
      <w:pPr>
        <w:spacing w:line="360" w:lineRule="auto"/>
        <w:ind w:firstLine="420" w:firstLineChars="200"/>
        <w:rPr>
          <w:rFonts w:asciiTheme="minorEastAsia" w:hAnsiTheme="minorEastAsia"/>
          <w:szCs w:val="21"/>
        </w:rPr>
      </w:pPr>
      <w:r>
        <w:rPr>
          <w:rFonts w:asciiTheme="minorEastAsia" w:hAnsiTheme="minorEastAsia"/>
          <w:szCs w:val="21"/>
        </w:rPr>
        <w:t>对照招标文件技术规格，逐条说明所提供货物和服务已对招标文件的技术规格做出了实质性的响应，并申明与技术规格条文的偏差和例外。特别对有具体参数要求的指标，投标人必须提供所投设备的具体参数值。</w:t>
      </w:r>
    </w:p>
    <w:p w14:paraId="702E926F">
      <w:pPr>
        <w:spacing w:line="360" w:lineRule="auto"/>
        <w:ind w:firstLine="420" w:firstLineChars="200"/>
        <w:rPr>
          <w:rFonts w:asciiTheme="minorEastAsia" w:hAnsiTheme="minorEastAsia"/>
          <w:szCs w:val="21"/>
        </w:rPr>
      </w:pPr>
      <w:r>
        <w:rPr>
          <w:rFonts w:asciiTheme="minorEastAsia" w:hAnsiTheme="minorEastAsia"/>
          <w:szCs w:val="21"/>
        </w:rPr>
        <w:t>投标人应注意招标文件的技术规格中指出的工艺、材料和设备的标准以及参照的品牌或型号仅起说明作用，并没有任何限制性。投标人在投标中可以选用替代标准、品牌或型号，但这些替代要实质上满足或超过招标文件的要求。</w:t>
      </w:r>
    </w:p>
    <w:p w14:paraId="05253BF3">
      <w:pPr>
        <w:pStyle w:val="4"/>
        <w:spacing w:line="360" w:lineRule="auto"/>
        <w:ind w:firstLine="482"/>
      </w:pPr>
      <w:bookmarkStart w:id="62" w:name="_Toc55548511"/>
      <w:bookmarkStart w:id="63" w:name="_Toc1901"/>
      <w:r>
        <w:t>投标有效期</w:t>
      </w:r>
      <w:bookmarkEnd w:id="62"/>
      <w:bookmarkEnd w:id="63"/>
    </w:p>
    <w:p w14:paraId="2FA842E1">
      <w:pPr>
        <w:spacing w:line="360" w:lineRule="auto"/>
        <w:ind w:firstLine="420" w:firstLineChars="200"/>
        <w:rPr>
          <w:rFonts w:asciiTheme="minorEastAsia" w:hAnsiTheme="minorEastAsia"/>
          <w:szCs w:val="21"/>
        </w:rPr>
      </w:pPr>
      <w:bookmarkStart w:id="64" w:name="_Ref179620893"/>
      <w:r>
        <w:rPr>
          <w:rFonts w:asciiTheme="minorEastAsia" w:hAnsiTheme="minorEastAsia"/>
          <w:szCs w:val="21"/>
        </w:rPr>
        <w:t>投标有效期不足的投标将被视为非实质性响应，并予以拒绝。</w:t>
      </w:r>
      <w:bookmarkEnd w:id="64"/>
    </w:p>
    <w:p w14:paraId="0BDE098B">
      <w:pPr>
        <w:spacing w:line="360" w:lineRule="auto"/>
        <w:ind w:firstLine="420" w:firstLineChars="200"/>
        <w:rPr>
          <w:rFonts w:asciiTheme="minorEastAsia" w:hAnsiTheme="minorEastAsia"/>
          <w:szCs w:val="21"/>
        </w:rPr>
      </w:pPr>
      <w:r>
        <w:rPr>
          <w:rFonts w:asciiTheme="minorEastAsia" w:hAnsiTheme="minorEastAsia"/>
          <w:szCs w:val="21"/>
        </w:rPr>
        <w:t>特殊情况下，在原投标有效期截止之前，招标</w:t>
      </w:r>
      <w:r>
        <w:rPr>
          <w:rFonts w:hint="eastAsia" w:asciiTheme="minorEastAsia" w:hAnsiTheme="minorEastAsia"/>
          <w:szCs w:val="21"/>
        </w:rPr>
        <w:t>人</w:t>
      </w:r>
      <w:r>
        <w:rPr>
          <w:rFonts w:asciiTheme="minorEastAsia" w:hAnsiTheme="minorEastAsia"/>
          <w:szCs w:val="21"/>
        </w:rPr>
        <w:t>可要求投标人延长投标有效期。该要求与答复均应以书面形式提交。投标人可拒绝</w:t>
      </w:r>
      <w:r>
        <w:rPr>
          <w:rFonts w:hint="eastAsia" w:asciiTheme="minorEastAsia" w:hAnsiTheme="minorEastAsia"/>
          <w:szCs w:val="21"/>
        </w:rPr>
        <w:t>招标人</w:t>
      </w:r>
      <w:r>
        <w:rPr>
          <w:rFonts w:asciiTheme="minorEastAsia" w:hAnsiTheme="minorEastAsia"/>
          <w:szCs w:val="21"/>
        </w:rPr>
        <w:t>的这种要求，其投标保证金将不会被没收，但其投标在原投标有效期期满后将不再有效。同意延长投标有效期的投标人将不会被要求和允许修正其投标，而只会被要求相应地延长其投标保证金的有效期。且本须知有关投标保证金要求将在延长了的有效期内继续有效。</w:t>
      </w:r>
    </w:p>
    <w:p w14:paraId="23195359">
      <w:pPr>
        <w:pStyle w:val="4"/>
        <w:spacing w:line="360" w:lineRule="auto"/>
        <w:ind w:firstLine="482"/>
      </w:pPr>
      <w:bookmarkStart w:id="65" w:name="_Toc55548512"/>
      <w:bookmarkStart w:id="66" w:name="_Toc28446"/>
      <w:r>
        <w:t>投标文件的式样和签署</w:t>
      </w:r>
      <w:bookmarkEnd w:id="65"/>
      <w:bookmarkEnd w:id="66"/>
    </w:p>
    <w:p w14:paraId="1A14888E">
      <w:pPr>
        <w:spacing w:line="360" w:lineRule="auto"/>
        <w:ind w:firstLine="420" w:firstLineChars="200"/>
        <w:rPr>
          <w:rFonts w:asciiTheme="minorEastAsia" w:hAnsiTheme="minorEastAsia"/>
          <w:szCs w:val="21"/>
          <w:highlight w:val="yellow"/>
        </w:rPr>
      </w:pPr>
      <w:bookmarkStart w:id="67" w:name="_Ref179620912"/>
      <w:r>
        <w:rPr>
          <w:rFonts w:asciiTheme="minorEastAsia" w:hAnsiTheme="minorEastAsia"/>
          <w:szCs w:val="21"/>
          <w:highlight w:val="yellow"/>
        </w:rPr>
        <w:t>投标人应准备</w:t>
      </w:r>
      <w:r>
        <w:rPr>
          <w:rFonts w:asciiTheme="minorEastAsia" w:hAnsiTheme="minorEastAsia"/>
          <w:b/>
          <w:szCs w:val="21"/>
          <w:highlight w:val="yellow"/>
        </w:rPr>
        <w:t>一份</w:t>
      </w:r>
      <w:r>
        <w:rPr>
          <w:rFonts w:asciiTheme="minorEastAsia" w:hAnsiTheme="minorEastAsia"/>
          <w:szCs w:val="21"/>
          <w:highlight w:val="yellow"/>
        </w:rPr>
        <w:t>投标文件正本和</w:t>
      </w:r>
      <w:r>
        <w:rPr>
          <w:rFonts w:hint="eastAsia" w:asciiTheme="minorEastAsia" w:hAnsiTheme="minorEastAsia"/>
          <w:b/>
          <w:szCs w:val="21"/>
          <w:highlight w:val="yellow"/>
        </w:rPr>
        <w:t>两份</w:t>
      </w:r>
      <w:r>
        <w:rPr>
          <w:rFonts w:asciiTheme="minorEastAsia" w:hAnsiTheme="minorEastAsia"/>
          <w:szCs w:val="21"/>
          <w:highlight w:val="yellow"/>
        </w:rPr>
        <w:t>副本，每套投标文件须清楚地标明“正本”或“副本”。若副本与正本不符，以正本为准。</w:t>
      </w:r>
      <w:bookmarkEnd w:id="67"/>
    </w:p>
    <w:p w14:paraId="203C7AB1">
      <w:pPr>
        <w:spacing w:line="360" w:lineRule="auto"/>
        <w:ind w:firstLine="420" w:firstLineChars="200"/>
        <w:rPr>
          <w:rFonts w:asciiTheme="minorEastAsia" w:hAnsiTheme="minorEastAsia"/>
          <w:szCs w:val="21"/>
          <w:highlight w:val="yellow"/>
        </w:rPr>
      </w:pPr>
      <w:r>
        <w:rPr>
          <w:rFonts w:asciiTheme="minorEastAsia" w:hAnsiTheme="minorEastAsia"/>
          <w:szCs w:val="21"/>
          <w:highlight w:val="yellow"/>
        </w:rPr>
        <w:t>投标文件的正本需打印或用不褪色墨水书写，并由法定代表人或经其正式授权的代表签字并加盖单位印章。授权代表须持有书面的《法定代表人授权书》，并将其附在投标文件中。投标文件的副本可采用正本的复印件。</w:t>
      </w:r>
    </w:p>
    <w:p w14:paraId="478225DE">
      <w:pPr>
        <w:spacing w:line="360" w:lineRule="auto"/>
        <w:ind w:firstLine="420" w:firstLineChars="200"/>
        <w:rPr>
          <w:rFonts w:asciiTheme="minorEastAsia" w:hAnsiTheme="minorEastAsia"/>
          <w:szCs w:val="21"/>
        </w:rPr>
      </w:pPr>
      <w:r>
        <w:rPr>
          <w:rFonts w:asciiTheme="minorEastAsia" w:hAnsiTheme="minorEastAsia"/>
          <w:szCs w:val="21"/>
          <w:highlight w:val="yellow"/>
        </w:rPr>
        <w:t>任何行间插字、涂改和增删，必须由投标文件签字人用姓或首字母在旁边签字或由投标单位加盖公章才有效。</w:t>
      </w:r>
    </w:p>
    <w:p w14:paraId="76BA778A">
      <w:pPr>
        <w:pStyle w:val="4"/>
        <w:spacing w:line="360" w:lineRule="auto"/>
        <w:ind w:firstLine="482"/>
      </w:pPr>
      <w:bookmarkStart w:id="68" w:name="_Toc55548513"/>
      <w:bookmarkStart w:id="69" w:name="_Toc9436"/>
      <w:bookmarkStart w:id="70" w:name="_Toc26845"/>
      <w:r>
        <w:t>四、投标文件的递交</w:t>
      </w:r>
      <w:bookmarkEnd w:id="68"/>
      <w:bookmarkEnd w:id="69"/>
      <w:bookmarkEnd w:id="70"/>
    </w:p>
    <w:p w14:paraId="3145064B">
      <w:pPr>
        <w:pStyle w:val="4"/>
        <w:spacing w:line="360" w:lineRule="auto"/>
        <w:ind w:firstLine="482"/>
      </w:pPr>
      <w:bookmarkStart w:id="71" w:name="_Toc55548514"/>
      <w:bookmarkStart w:id="72" w:name="_Toc6626"/>
      <w:r>
        <w:t>投标文件的密封和标记</w:t>
      </w:r>
      <w:bookmarkEnd w:id="71"/>
      <w:bookmarkEnd w:id="72"/>
    </w:p>
    <w:p w14:paraId="2EE8B38F">
      <w:pPr>
        <w:spacing w:line="360" w:lineRule="auto"/>
        <w:ind w:firstLine="420" w:firstLineChars="200"/>
        <w:rPr>
          <w:rFonts w:asciiTheme="minorEastAsia" w:hAnsiTheme="minorEastAsia"/>
          <w:szCs w:val="21"/>
          <w:highlight w:val="yellow"/>
        </w:rPr>
      </w:pPr>
      <w:bookmarkStart w:id="73" w:name="_Ref179620969"/>
      <w:r>
        <w:rPr>
          <w:rFonts w:asciiTheme="minorEastAsia" w:hAnsiTheme="minorEastAsia"/>
          <w:szCs w:val="21"/>
          <w:highlight w:val="yellow"/>
        </w:rPr>
        <w:t>投标人应将投标文件正本和所有的副本封装在一个信封中</w:t>
      </w:r>
      <w:r>
        <w:rPr>
          <w:rFonts w:hint="eastAsia" w:asciiTheme="minorEastAsia" w:hAnsiTheme="minorEastAsia"/>
          <w:szCs w:val="21"/>
          <w:highlight w:val="yellow"/>
        </w:rPr>
        <w:t>，</w:t>
      </w:r>
      <w:r>
        <w:rPr>
          <w:rFonts w:asciiTheme="minorEastAsia" w:hAnsiTheme="minorEastAsia"/>
          <w:szCs w:val="21"/>
          <w:highlight w:val="yellow"/>
        </w:rPr>
        <w:t>信封均应：</w:t>
      </w:r>
      <w:bookmarkEnd w:id="73"/>
      <w:r>
        <w:rPr>
          <w:rFonts w:asciiTheme="minorEastAsia" w:hAnsiTheme="minorEastAsia"/>
          <w:szCs w:val="21"/>
          <w:highlight w:val="yellow"/>
        </w:rPr>
        <w:t xml:space="preserve"> </w:t>
      </w:r>
    </w:p>
    <w:p w14:paraId="585675B7">
      <w:pPr>
        <w:spacing w:line="360" w:lineRule="auto"/>
        <w:ind w:firstLine="420" w:firstLineChars="200"/>
        <w:rPr>
          <w:rFonts w:asciiTheme="minorEastAsia" w:hAnsiTheme="minorEastAsia"/>
          <w:szCs w:val="21"/>
          <w:highlight w:val="yellow"/>
        </w:rPr>
      </w:pPr>
      <w:r>
        <w:rPr>
          <w:rFonts w:asciiTheme="minorEastAsia" w:hAnsiTheme="minorEastAsia"/>
          <w:szCs w:val="21"/>
          <w:highlight w:val="yellow"/>
        </w:rPr>
        <w:t>1) 清楚标明递交至</w:t>
      </w:r>
      <w:r>
        <w:rPr>
          <w:rFonts w:hint="eastAsia" w:asciiTheme="minorEastAsia" w:hAnsiTheme="minorEastAsia"/>
          <w:b/>
          <w:szCs w:val="21"/>
          <w:highlight w:val="yellow"/>
        </w:rPr>
        <w:t>招标公告</w:t>
      </w:r>
      <w:r>
        <w:rPr>
          <w:rFonts w:asciiTheme="minorEastAsia" w:hAnsiTheme="minorEastAsia"/>
          <w:szCs w:val="21"/>
          <w:highlight w:val="yellow"/>
        </w:rPr>
        <w:t>指明的地址。</w:t>
      </w:r>
    </w:p>
    <w:p w14:paraId="61B0BE2A">
      <w:pPr>
        <w:spacing w:line="360" w:lineRule="auto"/>
        <w:ind w:firstLine="420" w:firstLineChars="200"/>
        <w:rPr>
          <w:rFonts w:asciiTheme="minorEastAsia" w:hAnsiTheme="minorEastAsia"/>
          <w:szCs w:val="21"/>
          <w:highlight w:val="yellow"/>
        </w:rPr>
      </w:pPr>
      <w:r>
        <w:rPr>
          <w:rFonts w:asciiTheme="minorEastAsia" w:hAnsiTheme="minorEastAsia"/>
          <w:szCs w:val="21"/>
          <w:highlight w:val="yellow"/>
        </w:rPr>
        <w:t>2) 清楚标明</w:t>
      </w:r>
      <w:r>
        <w:rPr>
          <w:rFonts w:hint="eastAsia" w:asciiTheme="minorEastAsia" w:hAnsiTheme="minorEastAsia"/>
          <w:b/>
          <w:szCs w:val="21"/>
          <w:highlight w:val="yellow"/>
        </w:rPr>
        <w:t>招标公告</w:t>
      </w:r>
      <w:r>
        <w:rPr>
          <w:rFonts w:asciiTheme="minorEastAsia" w:hAnsiTheme="minorEastAsia"/>
          <w:szCs w:val="21"/>
          <w:highlight w:val="yellow"/>
        </w:rPr>
        <w:t>中指明的项目名称、包号（如果分包的话）、招标编号和“在</w:t>
      </w:r>
      <w:r>
        <w:rPr>
          <w:rFonts w:asciiTheme="minorEastAsia" w:hAnsiTheme="minorEastAsia"/>
          <w:i/>
          <w:szCs w:val="21"/>
          <w:highlight w:val="yellow"/>
          <w:u w:val="single"/>
        </w:rPr>
        <w:t>(开标日期、时间)</w:t>
      </w:r>
      <w:r>
        <w:rPr>
          <w:rFonts w:asciiTheme="minorEastAsia" w:hAnsiTheme="minorEastAsia"/>
          <w:szCs w:val="21"/>
          <w:highlight w:val="yellow"/>
        </w:rPr>
        <w:t>之前不得启封”的字样，并填入</w:t>
      </w:r>
      <w:r>
        <w:rPr>
          <w:rFonts w:hint="eastAsia" w:asciiTheme="minorEastAsia" w:hAnsiTheme="minorEastAsia"/>
          <w:b/>
          <w:szCs w:val="21"/>
          <w:highlight w:val="yellow"/>
        </w:rPr>
        <w:t>招标公告</w:t>
      </w:r>
      <w:r>
        <w:rPr>
          <w:rFonts w:asciiTheme="minorEastAsia" w:hAnsiTheme="minorEastAsia"/>
          <w:szCs w:val="21"/>
          <w:highlight w:val="yellow"/>
        </w:rPr>
        <w:t>中规定的开标日期和时间。</w:t>
      </w:r>
    </w:p>
    <w:p w14:paraId="20D43801">
      <w:pPr>
        <w:spacing w:line="360" w:lineRule="auto"/>
        <w:ind w:firstLine="420" w:firstLineChars="200"/>
        <w:rPr>
          <w:rFonts w:asciiTheme="minorEastAsia" w:hAnsiTheme="minorEastAsia"/>
          <w:szCs w:val="21"/>
          <w:highlight w:val="yellow"/>
        </w:rPr>
      </w:pPr>
      <w:r>
        <w:rPr>
          <w:rFonts w:asciiTheme="minorEastAsia" w:hAnsiTheme="minorEastAsia"/>
          <w:szCs w:val="21"/>
          <w:highlight w:val="yellow"/>
        </w:rPr>
        <w:t>3) 清楚标明投标单位名称并在信封的封装处加盖投标人公章。</w:t>
      </w:r>
    </w:p>
    <w:p w14:paraId="3CBCF552">
      <w:pPr>
        <w:spacing w:line="360" w:lineRule="auto"/>
        <w:ind w:firstLine="420" w:firstLineChars="200"/>
        <w:rPr>
          <w:rFonts w:asciiTheme="minorEastAsia" w:hAnsiTheme="minorEastAsia"/>
          <w:szCs w:val="21"/>
        </w:rPr>
      </w:pPr>
      <w:r>
        <w:rPr>
          <w:rFonts w:asciiTheme="minorEastAsia" w:hAnsiTheme="minorEastAsia"/>
          <w:szCs w:val="21"/>
          <w:highlight w:val="yellow"/>
        </w:rPr>
        <w:t>内层信封应写明投标人名称和地址，以便将迟交的投标文件能原封退回。</w:t>
      </w:r>
    </w:p>
    <w:p w14:paraId="080BD6AB">
      <w:pPr>
        <w:spacing w:line="360" w:lineRule="auto"/>
        <w:ind w:firstLine="420" w:firstLineChars="200"/>
        <w:rPr>
          <w:rFonts w:asciiTheme="minorEastAsia" w:hAnsiTheme="minorEastAsia"/>
          <w:szCs w:val="21"/>
        </w:rPr>
      </w:pPr>
      <w:r>
        <w:rPr>
          <w:rFonts w:asciiTheme="minorEastAsia" w:hAnsiTheme="minorEastAsia"/>
          <w:szCs w:val="21"/>
        </w:rPr>
        <w:t>如果投标人未按本须知要求加写标记和密封，招标</w:t>
      </w:r>
      <w:r>
        <w:rPr>
          <w:rFonts w:hint="eastAsia" w:asciiTheme="minorEastAsia" w:hAnsiTheme="minorEastAsia"/>
          <w:szCs w:val="21"/>
        </w:rPr>
        <w:t>人</w:t>
      </w:r>
      <w:r>
        <w:rPr>
          <w:rFonts w:asciiTheme="minorEastAsia" w:hAnsiTheme="minorEastAsia"/>
          <w:szCs w:val="21"/>
        </w:rPr>
        <w:t>对投标文件的误投或提前启封概不负责。</w:t>
      </w:r>
    </w:p>
    <w:p w14:paraId="5968FF57">
      <w:pPr>
        <w:spacing w:line="360" w:lineRule="auto"/>
        <w:ind w:firstLine="420" w:firstLineChars="200"/>
        <w:rPr>
          <w:rFonts w:asciiTheme="minorEastAsia" w:hAnsiTheme="minorEastAsia"/>
          <w:szCs w:val="21"/>
        </w:rPr>
      </w:pPr>
      <w:r>
        <w:rPr>
          <w:rFonts w:asciiTheme="minorEastAsia" w:hAnsiTheme="minorEastAsia"/>
          <w:szCs w:val="21"/>
        </w:rPr>
        <w:t>投标人同时参加几个包投标时必须按招标文件要求按包号分别制作投标文件，分别密封递交。</w:t>
      </w:r>
    </w:p>
    <w:p w14:paraId="30D2A2B7">
      <w:pPr>
        <w:pStyle w:val="4"/>
        <w:spacing w:line="360" w:lineRule="auto"/>
        <w:ind w:firstLine="482"/>
      </w:pPr>
      <w:bookmarkStart w:id="74" w:name="_Toc55548515"/>
      <w:bookmarkStart w:id="75" w:name="_Toc8701"/>
      <w:r>
        <w:t>投标样品</w:t>
      </w:r>
      <w:bookmarkEnd w:id="74"/>
      <w:bookmarkEnd w:id="75"/>
    </w:p>
    <w:p w14:paraId="065E3659">
      <w:pPr>
        <w:spacing w:line="360" w:lineRule="auto"/>
        <w:ind w:firstLine="420" w:firstLineChars="200"/>
        <w:rPr>
          <w:rFonts w:asciiTheme="minorEastAsia" w:hAnsiTheme="minorEastAsia"/>
          <w:szCs w:val="21"/>
        </w:rPr>
      </w:pPr>
      <w:r>
        <w:rPr>
          <w:rFonts w:asciiTheme="minorEastAsia" w:hAnsiTheme="minorEastAsia"/>
          <w:szCs w:val="21"/>
        </w:rPr>
        <w:t>如有必要，招标</w:t>
      </w:r>
      <w:r>
        <w:rPr>
          <w:rFonts w:hint="eastAsia" w:asciiTheme="minorEastAsia" w:hAnsiTheme="minorEastAsia"/>
          <w:szCs w:val="21"/>
        </w:rPr>
        <w:t>人</w:t>
      </w:r>
      <w:r>
        <w:rPr>
          <w:rFonts w:asciiTheme="minorEastAsia" w:hAnsiTheme="minorEastAsia"/>
          <w:szCs w:val="21"/>
        </w:rPr>
        <w:t>可以要求投标人提供能反映货物材质或关键部分的极少部分的尺寸、价值不大的样品，投标人在投标时应提交《样品清单》。</w:t>
      </w:r>
    </w:p>
    <w:p w14:paraId="58062B83">
      <w:pPr>
        <w:spacing w:line="360" w:lineRule="auto"/>
        <w:ind w:firstLine="420" w:firstLineChars="200"/>
        <w:rPr>
          <w:rFonts w:asciiTheme="minorEastAsia" w:hAnsiTheme="minorEastAsia"/>
          <w:szCs w:val="21"/>
        </w:rPr>
      </w:pPr>
      <w:r>
        <w:rPr>
          <w:rFonts w:asciiTheme="minorEastAsia" w:hAnsiTheme="minorEastAsia"/>
          <w:szCs w:val="21"/>
        </w:rPr>
        <w:t>为方便评标，投标人在提供样品时，应使用透明的外包装或尽量少用外包装，但必须在所提供的样品表面显著位置标注投标人的名称、包号、样品名称、招标文件规定的货物编号。</w:t>
      </w:r>
    </w:p>
    <w:p w14:paraId="6AAE22CB">
      <w:pPr>
        <w:spacing w:line="360" w:lineRule="auto"/>
        <w:ind w:firstLine="420" w:firstLineChars="200"/>
        <w:rPr>
          <w:rFonts w:asciiTheme="minorEastAsia" w:hAnsiTheme="minorEastAsia"/>
          <w:szCs w:val="21"/>
        </w:rPr>
      </w:pPr>
      <w:r>
        <w:rPr>
          <w:rFonts w:asciiTheme="minorEastAsia" w:hAnsiTheme="minorEastAsia"/>
          <w:szCs w:val="21"/>
        </w:rPr>
        <w:t>样品作为投标文件的一部分，除非另有说明，中标单位的样品不再退还，未中标单位须在中标公告发布后五个工作日内，前往</w:t>
      </w:r>
      <w:r>
        <w:rPr>
          <w:rFonts w:hint="eastAsia" w:asciiTheme="minorEastAsia" w:hAnsiTheme="minorEastAsia"/>
          <w:szCs w:val="21"/>
        </w:rPr>
        <w:t>本中心</w:t>
      </w:r>
      <w:r>
        <w:rPr>
          <w:rFonts w:asciiTheme="minorEastAsia" w:hAnsiTheme="minorEastAsia"/>
          <w:szCs w:val="21"/>
        </w:rPr>
        <w:t>领取投标样品，逾期不领，</w:t>
      </w:r>
      <w:r>
        <w:rPr>
          <w:rFonts w:hint="eastAsia" w:asciiTheme="minorEastAsia" w:hAnsiTheme="minorEastAsia"/>
          <w:szCs w:val="21"/>
        </w:rPr>
        <w:t>本中心</w:t>
      </w:r>
      <w:r>
        <w:rPr>
          <w:rFonts w:asciiTheme="minorEastAsia" w:hAnsiTheme="minorEastAsia"/>
          <w:szCs w:val="21"/>
        </w:rPr>
        <w:t>将不承担样品的保管责任，由此引发的样品丢失、毁损，招标</w:t>
      </w:r>
      <w:r>
        <w:rPr>
          <w:rFonts w:hint="eastAsia" w:asciiTheme="minorEastAsia" w:hAnsiTheme="minorEastAsia"/>
          <w:szCs w:val="21"/>
        </w:rPr>
        <w:t>人</w:t>
      </w:r>
      <w:r>
        <w:rPr>
          <w:rFonts w:asciiTheme="minorEastAsia" w:hAnsiTheme="minorEastAsia"/>
          <w:szCs w:val="21"/>
        </w:rPr>
        <w:t>不予负责。</w:t>
      </w:r>
    </w:p>
    <w:p w14:paraId="4F401A2C">
      <w:pPr>
        <w:pStyle w:val="4"/>
        <w:spacing w:line="360" w:lineRule="auto"/>
        <w:ind w:firstLine="482"/>
      </w:pPr>
      <w:bookmarkStart w:id="76" w:name="_Ref179619638"/>
      <w:bookmarkStart w:id="77" w:name="_Toc5724"/>
      <w:bookmarkStart w:id="78" w:name="_Toc55548516"/>
      <w:r>
        <w:t>投标截止期</w:t>
      </w:r>
      <w:bookmarkEnd w:id="76"/>
      <w:bookmarkEnd w:id="77"/>
      <w:bookmarkEnd w:id="78"/>
    </w:p>
    <w:p w14:paraId="10D242EB">
      <w:pPr>
        <w:spacing w:line="360" w:lineRule="auto"/>
        <w:ind w:firstLine="420" w:firstLineChars="200"/>
        <w:rPr>
          <w:rFonts w:asciiTheme="minorEastAsia" w:hAnsiTheme="minorEastAsia"/>
          <w:szCs w:val="21"/>
        </w:rPr>
      </w:pPr>
      <w:bookmarkStart w:id="79" w:name="_Ref179621022"/>
      <w:r>
        <w:rPr>
          <w:rFonts w:asciiTheme="minorEastAsia" w:hAnsiTheme="minorEastAsia"/>
          <w:szCs w:val="21"/>
        </w:rPr>
        <w:t>投标人应在不迟于</w:t>
      </w:r>
      <w:r>
        <w:rPr>
          <w:rFonts w:hint="eastAsia" w:asciiTheme="minorEastAsia" w:hAnsiTheme="minorEastAsia"/>
          <w:b/>
          <w:szCs w:val="21"/>
        </w:rPr>
        <w:t>招标公告</w:t>
      </w:r>
      <w:r>
        <w:rPr>
          <w:rFonts w:asciiTheme="minorEastAsia" w:hAnsiTheme="minorEastAsia"/>
          <w:szCs w:val="21"/>
        </w:rPr>
        <w:t>中规定的截止日期和时间将投标文件递交至</w:t>
      </w:r>
      <w:r>
        <w:rPr>
          <w:rFonts w:hint="eastAsia" w:asciiTheme="minorEastAsia" w:hAnsiTheme="minorEastAsia"/>
          <w:szCs w:val="21"/>
        </w:rPr>
        <w:t>本中心</w:t>
      </w:r>
      <w:r>
        <w:rPr>
          <w:rFonts w:asciiTheme="minorEastAsia" w:hAnsiTheme="minorEastAsia"/>
          <w:szCs w:val="21"/>
        </w:rPr>
        <w:t>，递交地点应是</w:t>
      </w:r>
      <w:r>
        <w:rPr>
          <w:rFonts w:hint="eastAsia" w:asciiTheme="minorEastAsia" w:hAnsiTheme="minorEastAsia"/>
          <w:b/>
          <w:szCs w:val="21"/>
        </w:rPr>
        <w:t>招标公告</w:t>
      </w:r>
      <w:r>
        <w:rPr>
          <w:rFonts w:asciiTheme="minorEastAsia" w:hAnsiTheme="minorEastAsia"/>
          <w:szCs w:val="21"/>
        </w:rPr>
        <w:t>中指明的地址。</w:t>
      </w:r>
      <w:bookmarkEnd w:id="79"/>
    </w:p>
    <w:p w14:paraId="30D090F6">
      <w:pPr>
        <w:spacing w:line="360" w:lineRule="auto"/>
        <w:ind w:firstLine="420" w:firstLineChars="200"/>
        <w:rPr>
          <w:rFonts w:asciiTheme="minorEastAsia" w:hAnsiTheme="minorEastAsia"/>
          <w:szCs w:val="21"/>
        </w:rPr>
      </w:pPr>
      <w:r>
        <w:rPr>
          <w:rFonts w:hint="eastAsia" w:asciiTheme="minorEastAsia" w:hAnsiTheme="minorEastAsia"/>
          <w:szCs w:val="21"/>
        </w:rPr>
        <w:t>本中心</w:t>
      </w:r>
      <w:r>
        <w:rPr>
          <w:rFonts w:asciiTheme="minorEastAsia" w:hAnsiTheme="minorEastAsia"/>
          <w:szCs w:val="21"/>
        </w:rPr>
        <w:t xml:space="preserve">可以通过修改招标文件自行决定酌情推迟投标截止期。在此情况下，招标人和投标人受投标截止期制约的所有权利和义务均应延长至新的截止期。 </w:t>
      </w:r>
    </w:p>
    <w:p w14:paraId="5F01FF06">
      <w:pPr>
        <w:pStyle w:val="4"/>
        <w:spacing w:line="360" w:lineRule="auto"/>
        <w:ind w:firstLine="482"/>
      </w:pPr>
      <w:bookmarkStart w:id="80" w:name="_Toc3231"/>
      <w:bookmarkStart w:id="81" w:name="_Ref179619679"/>
      <w:bookmarkStart w:id="82" w:name="_Toc55548517"/>
      <w:r>
        <w:t>迟交的投标文件</w:t>
      </w:r>
      <w:bookmarkEnd w:id="80"/>
      <w:bookmarkEnd w:id="81"/>
      <w:bookmarkEnd w:id="82"/>
    </w:p>
    <w:p w14:paraId="54F26FC7">
      <w:pPr>
        <w:spacing w:line="360" w:lineRule="auto"/>
        <w:ind w:firstLine="420" w:firstLineChars="200"/>
        <w:rPr>
          <w:rFonts w:asciiTheme="minorEastAsia" w:hAnsiTheme="minorEastAsia"/>
          <w:szCs w:val="21"/>
        </w:rPr>
      </w:pPr>
      <w:r>
        <w:rPr>
          <w:rFonts w:hint="eastAsia" w:asciiTheme="minorEastAsia" w:hAnsiTheme="minorEastAsia"/>
          <w:szCs w:val="21"/>
        </w:rPr>
        <w:t>本中心</w:t>
      </w:r>
      <w:r>
        <w:rPr>
          <w:rFonts w:asciiTheme="minorEastAsia" w:hAnsiTheme="minorEastAsia"/>
          <w:szCs w:val="21"/>
        </w:rPr>
        <w:t>将拒绝并原封退回在</w:t>
      </w:r>
      <w:r>
        <w:rPr>
          <w:rFonts w:hint="eastAsia" w:asciiTheme="minorEastAsia" w:hAnsiTheme="minorEastAsia"/>
          <w:szCs w:val="21"/>
        </w:rPr>
        <w:t>招标公告</w:t>
      </w:r>
      <w:r>
        <w:rPr>
          <w:rFonts w:asciiTheme="minorEastAsia" w:hAnsiTheme="minorEastAsia"/>
          <w:szCs w:val="21"/>
        </w:rPr>
        <w:t>的截止期后收到的任何投标文件。</w:t>
      </w:r>
    </w:p>
    <w:p w14:paraId="774CC11D">
      <w:pPr>
        <w:pStyle w:val="4"/>
        <w:spacing w:line="360" w:lineRule="auto"/>
        <w:ind w:firstLine="482"/>
      </w:pPr>
      <w:bookmarkStart w:id="83" w:name="_Toc55548518"/>
      <w:bookmarkStart w:id="84" w:name="_Toc865"/>
      <w:bookmarkStart w:id="85" w:name="_Ref179619013"/>
      <w:r>
        <w:t>投标文件的修改与撤回</w:t>
      </w:r>
      <w:bookmarkEnd w:id="83"/>
      <w:bookmarkEnd w:id="84"/>
      <w:bookmarkEnd w:id="85"/>
    </w:p>
    <w:p w14:paraId="0817E485">
      <w:pPr>
        <w:spacing w:line="360" w:lineRule="auto"/>
        <w:ind w:firstLine="420" w:firstLineChars="200"/>
        <w:rPr>
          <w:rFonts w:asciiTheme="minorEastAsia" w:hAnsiTheme="minorEastAsia"/>
          <w:szCs w:val="21"/>
        </w:rPr>
      </w:pPr>
      <w:r>
        <w:rPr>
          <w:rFonts w:asciiTheme="minorEastAsia" w:hAnsiTheme="minorEastAsia"/>
          <w:szCs w:val="21"/>
        </w:rPr>
        <w:t>投标人在递交投标文件后，可以修改或撤回其投标，但投标人必须在规定的投标截止期之前将修改或撤回的书面通知递交到</w:t>
      </w:r>
      <w:r>
        <w:rPr>
          <w:rFonts w:hint="eastAsia" w:asciiTheme="minorEastAsia" w:hAnsiTheme="minorEastAsia"/>
          <w:szCs w:val="21"/>
        </w:rPr>
        <w:t>本中心</w:t>
      </w:r>
      <w:r>
        <w:rPr>
          <w:rFonts w:asciiTheme="minorEastAsia" w:hAnsiTheme="minorEastAsia"/>
          <w:szCs w:val="21"/>
        </w:rPr>
        <w:t>。</w:t>
      </w:r>
    </w:p>
    <w:p w14:paraId="1654E996">
      <w:pPr>
        <w:spacing w:line="360" w:lineRule="auto"/>
        <w:ind w:firstLine="420" w:firstLineChars="200"/>
        <w:rPr>
          <w:rFonts w:asciiTheme="minorEastAsia" w:hAnsiTheme="minorEastAsia"/>
          <w:szCs w:val="21"/>
        </w:rPr>
      </w:pPr>
      <w:r>
        <w:rPr>
          <w:rFonts w:asciiTheme="minorEastAsia" w:hAnsiTheme="minorEastAsia"/>
          <w:szCs w:val="21"/>
        </w:rPr>
        <w:t>投标人的修改或撤回通知应按本须知规定编制、密封、标记和递交。</w:t>
      </w:r>
    </w:p>
    <w:p w14:paraId="33A495E3">
      <w:pPr>
        <w:spacing w:line="360" w:lineRule="auto"/>
        <w:ind w:firstLine="420" w:firstLineChars="200"/>
        <w:rPr>
          <w:rFonts w:asciiTheme="minorEastAsia" w:hAnsiTheme="minorEastAsia"/>
          <w:szCs w:val="21"/>
        </w:rPr>
      </w:pPr>
      <w:r>
        <w:rPr>
          <w:rFonts w:asciiTheme="minorEastAsia" w:hAnsiTheme="minorEastAsia"/>
          <w:szCs w:val="21"/>
        </w:rPr>
        <w:t>在投标截止期之后，投标人不得对其投标做任何修改。</w:t>
      </w:r>
    </w:p>
    <w:p w14:paraId="530BE2FA">
      <w:pPr>
        <w:spacing w:line="360" w:lineRule="auto"/>
        <w:ind w:firstLine="420" w:firstLineChars="200"/>
        <w:rPr>
          <w:rFonts w:asciiTheme="minorEastAsia" w:hAnsiTheme="minorEastAsia"/>
          <w:szCs w:val="21"/>
        </w:rPr>
      </w:pPr>
      <w:r>
        <w:rPr>
          <w:rFonts w:asciiTheme="minorEastAsia" w:hAnsiTheme="minorEastAsia"/>
          <w:szCs w:val="21"/>
        </w:rPr>
        <w:t>从投标截止期至投标人在投标书中确定的投标有效期期满的这段时间内，投标人不得撤回其投标，否则其投标保证金将按照本须知的规定被没收。</w:t>
      </w:r>
    </w:p>
    <w:p w14:paraId="415F8CFD">
      <w:pPr>
        <w:pStyle w:val="4"/>
        <w:spacing w:line="360" w:lineRule="auto"/>
        <w:ind w:firstLine="482"/>
      </w:pPr>
      <w:bookmarkStart w:id="86" w:name="_Toc22375"/>
      <w:bookmarkStart w:id="87" w:name="_Toc55548519"/>
      <w:r>
        <w:t>投标文件的退还</w:t>
      </w:r>
      <w:bookmarkEnd w:id="86"/>
      <w:bookmarkEnd w:id="87"/>
    </w:p>
    <w:p w14:paraId="002C2F2A">
      <w:pPr>
        <w:spacing w:line="360" w:lineRule="auto"/>
        <w:ind w:firstLine="420" w:firstLineChars="200"/>
        <w:rPr>
          <w:rFonts w:asciiTheme="minorEastAsia" w:hAnsiTheme="minorEastAsia"/>
          <w:szCs w:val="21"/>
        </w:rPr>
      </w:pPr>
      <w:r>
        <w:rPr>
          <w:rFonts w:asciiTheme="minorEastAsia" w:hAnsiTheme="minorEastAsia"/>
          <w:szCs w:val="21"/>
        </w:rPr>
        <w:t>除非招标文件另有规定或说明，投标文件一律不予退还。</w:t>
      </w:r>
    </w:p>
    <w:p w14:paraId="162F5B8B">
      <w:pPr>
        <w:pStyle w:val="5"/>
        <w:ind w:firstLine="482"/>
      </w:pPr>
      <w:bookmarkStart w:id="88" w:name="_Toc55548520"/>
      <w:bookmarkStart w:id="89" w:name="_Toc27271"/>
      <w:bookmarkStart w:id="90" w:name="_Toc9126"/>
      <w:r>
        <w:t>五、开标与评标</w:t>
      </w:r>
      <w:bookmarkEnd w:id="88"/>
      <w:bookmarkEnd w:id="89"/>
      <w:bookmarkEnd w:id="90"/>
    </w:p>
    <w:p w14:paraId="6F0EF604">
      <w:pPr>
        <w:pStyle w:val="4"/>
        <w:spacing w:line="360" w:lineRule="auto"/>
        <w:ind w:firstLine="482"/>
      </w:pPr>
      <w:bookmarkStart w:id="91" w:name="_Toc55548521"/>
      <w:bookmarkStart w:id="92" w:name="_Toc21095"/>
      <w:r>
        <w:t>开标</w:t>
      </w:r>
      <w:bookmarkEnd w:id="91"/>
      <w:bookmarkEnd w:id="92"/>
    </w:p>
    <w:p w14:paraId="55DF3336">
      <w:pPr>
        <w:spacing w:line="360" w:lineRule="auto"/>
        <w:ind w:firstLine="420" w:firstLineChars="200"/>
        <w:rPr>
          <w:rFonts w:asciiTheme="minorEastAsia" w:hAnsiTheme="minorEastAsia"/>
          <w:szCs w:val="21"/>
        </w:rPr>
      </w:pPr>
      <w:bookmarkStart w:id="93" w:name="_Ref179621054"/>
      <w:r>
        <w:rPr>
          <w:rFonts w:hint="eastAsia" w:asciiTheme="minorEastAsia" w:hAnsiTheme="minorEastAsia"/>
          <w:szCs w:val="21"/>
        </w:rPr>
        <w:t>本中心</w:t>
      </w:r>
      <w:r>
        <w:rPr>
          <w:rFonts w:asciiTheme="minorEastAsia" w:hAnsiTheme="minorEastAsia"/>
          <w:szCs w:val="21"/>
        </w:rPr>
        <w:t>在</w:t>
      </w:r>
      <w:r>
        <w:rPr>
          <w:rFonts w:hint="eastAsia" w:asciiTheme="minorEastAsia" w:hAnsiTheme="minorEastAsia"/>
          <w:b/>
          <w:szCs w:val="21"/>
        </w:rPr>
        <w:t>招标公告</w:t>
      </w:r>
      <w:r>
        <w:rPr>
          <w:rFonts w:asciiTheme="minorEastAsia" w:hAnsiTheme="minorEastAsia"/>
          <w:szCs w:val="21"/>
        </w:rPr>
        <w:t>中规定的日期、时间和地点组织公开开标。投标人代表均须按时参加开标会。参加开标的投标人代表应签名报到以证明其出席。</w:t>
      </w:r>
      <w:bookmarkEnd w:id="93"/>
    </w:p>
    <w:p w14:paraId="1A186C7A">
      <w:pPr>
        <w:spacing w:line="360" w:lineRule="auto"/>
        <w:ind w:firstLine="420" w:firstLineChars="200"/>
        <w:rPr>
          <w:rFonts w:asciiTheme="minorEastAsia" w:hAnsiTheme="minorEastAsia"/>
          <w:szCs w:val="21"/>
        </w:rPr>
      </w:pPr>
      <w:r>
        <w:rPr>
          <w:rFonts w:asciiTheme="minorEastAsia" w:hAnsiTheme="minorEastAsia"/>
          <w:szCs w:val="21"/>
        </w:rPr>
        <w:t>开标时，招标</w:t>
      </w:r>
      <w:r>
        <w:rPr>
          <w:rFonts w:hint="eastAsia" w:asciiTheme="minorEastAsia" w:hAnsiTheme="minorEastAsia"/>
          <w:szCs w:val="21"/>
        </w:rPr>
        <w:t>人</w:t>
      </w:r>
      <w:r>
        <w:rPr>
          <w:rFonts w:asciiTheme="minorEastAsia" w:hAnsiTheme="minorEastAsia"/>
          <w:szCs w:val="21"/>
        </w:rPr>
        <w:t>当众宣读投标人名称、修改和撤回投标的通知、投标价格、是否提交了投标保证金，以及招标</w:t>
      </w:r>
      <w:r>
        <w:rPr>
          <w:rFonts w:hint="eastAsia" w:asciiTheme="minorEastAsia" w:hAnsiTheme="minorEastAsia"/>
          <w:szCs w:val="21"/>
        </w:rPr>
        <w:t>人</w:t>
      </w:r>
      <w:r>
        <w:rPr>
          <w:rFonts w:asciiTheme="minorEastAsia" w:hAnsiTheme="minorEastAsia"/>
          <w:szCs w:val="21"/>
        </w:rPr>
        <w:t>认为合适的其他内容。除了按照本须知的规定原封退回迟到的投标之外，开标时将不得拒绝任何已购买招标文件的投标人的投标。</w:t>
      </w:r>
    </w:p>
    <w:p w14:paraId="5AE18406">
      <w:pPr>
        <w:pStyle w:val="4"/>
        <w:spacing w:line="360" w:lineRule="auto"/>
        <w:ind w:firstLine="482"/>
      </w:pPr>
      <w:bookmarkStart w:id="94" w:name="_Toc55548522"/>
      <w:bookmarkStart w:id="95" w:name="_Toc1622"/>
      <w:r>
        <w:t>资格核查</w:t>
      </w:r>
      <w:bookmarkEnd w:id="94"/>
      <w:bookmarkEnd w:id="95"/>
    </w:p>
    <w:p w14:paraId="1C9AF257">
      <w:pPr>
        <w:spacing w:line="360" w:lineRule="auto"/>
        <w:ind w:firstLine="420" w:firstLineChars="200"/>
        <w:rPr>
          <w:rFonts w:asciiTheme="minorEastAsia" w:hAnsiTheme="minorEastAsia"/>
          <w:szCs w:val="21"/>
        </w:rPr>
      </w:pPr>
      <w:r>
        <w:rPr>
          <w:rFonts w:asciiTheme="minorEastAsia" w:hAnsiTheme="minorEastAsia"/>
          <w:szCs w:val="21"/>
        </w:rPr>
        <w:t>开标后，招标</w:t>
      </w:r>
      <w:r>
        <w:rPr>
          <w:rFonts w:hint="eastAsia" w:asciiTheme="minorEastAsia" w:hAnsiTheme="minorEastAsia"/>
          <w:szCs w:val="21"/>
        </w:rPr>
        <w:t>人</w:t>
      </w:r>
      <w:r>
        <w:rPr>
          <w:rFonts w:asciiTheme="minorEastAsia" w:hAnsiTheme="minorEastAsia"/>
          <w:szCs w:val="21"/>
        </w:rPr>
        <w:t>就投标文件中的资格证明等内容对投标供应商进行资格核查，核查不合格的，认定其投标无效。核查合格的投标文件提交评标委员会进行评审。</w:t>
      </w:r>
    </w:p>
    <w:p w14:paraId="5D70CF71">
      <w:pPr>
        <w:spacing w:line="360" w:lineRule="auto"/>
        <w:ind w:firstLine="422" w:firstLineChars="200"/>
        <w:rPr>
          <w:rFonts w:asciiTheme="minorEastAsia" w:hAnsiTheme="minorEastAsia"/>
          <w:b/>
          <w:szCs w:val="21"/>
        </w:rPr>
      </w:pPr>
      <w:r>
        <w:rPr>
          <w:rFonts w:asciiTheme="minorEastAsia" w:hAnsiTheme="minorEastAsia"/>
          <w:b/>
          <w:szCs w:val="21"/>
        </w:rPr>
        <w:t>1) 资格瑕疵</w:t>
      </w:r>
    </w:p>
    <w:p w14:paraId="6DBA6969">
      <w:pPr>
        <w:spacing w:line="360" w:lineRule="auto"/>
        <w:ind w:firstLine="420" w:firstLineChars="200"/>
        <w:rPr>
          <w:rFonts w:asciiTheme="minorEastAsia" w:hAnsiTheme="minorEastAsia"/>
          <w:szCs w:val="21"/>
        </w:rPr>
      </w:pPr>
      <w:r>
        <w:rPr>
          <w:rFonts w:asciiTheme="minorEastAsia" w:hAnsiTheme="minorEastAsia"/>
          <w:szCs w:val="21"/>
        </w:rPr>
        <w:t>包括但不限于：</w:t>
      </w:r>
      <w:r>
        <w:rPr>
          <w:rFonts w:hint="eastAsia" w:cs="宋体" w:asciiTheme="minorEastAsia" w:hAnsiTheme="minorEastAsia"/>
          <w:szCs w:val="21"/>
        </w:rPr>
        <w:t>①</w:t>
      </w:r>
      <w:r>
        <w:rPr>
          <w:rFonts w:asciiTheme="minorEastAsia" w:hAnsiTheme="minorEastAsia"/>
          <w:szCs w:val="21"/>
        </w:rPr>
        <w:t>资格证明文件未提供或不符合招标文件要求的；</w:t>
      </w:r>
      <w:r>
        <w:rPr>
          <w:rFonts w:hint="eastAsia" w:cs="宋体" w:asciiTheme="minorEastAsia" w:hAnsiTheme="minorEastAsia"/>
          <w:szCs w:val="21"/>
        </w:rPr>
        <w:t>②</w:t>
      </w:r>
      <w:r>
        <w:rPr>
          <w:rFonts w:asciiTheme="minorEastAsia" w:hAnsiTheme="minorEastAsia"/>
          <w:szCs w:val="21"/>
        </w:rPr>
        <w:t>投标人及其制造商与招标人有利害关系的。</w:t>
      </w:r>
    </w:p>
    <w:p w14:paraId="6CC2A1FF">
      <w:pPr>
        <w:pStyle w:val="4"/>
        <w:spacing w:line="360" w:lineRule="auto"/>
        <w:ind w:firstLine="482"/>
      </w:pPr>
      <w:bookmarkStart w:id="96" w:name="_Toc55548523"/>
      <w:bookmarkStart w:id="97" w:name="_Toc31201"/>
      <w:r>
        <w:t>评标委员会和评标方法</w:t>
      </w:r>
      <w:bookmarkEnd w:id="96"/>
      <w:bookmarkEnd w:id="97"/>
    </w:p>
    <w:p w14:paraId="75771317">
      <w:pPr>
        <w:spacing w:line="360" w:lineRule="auto"/>
        <w:ind w:firstLine="420" w:firstLineChars="200"/>
        <w:rPr>
          <w:rFonts w:asciiTheme="minorEastAsia" w:hAnsiTheme="minorEastAsia"/>
          <w:szCs w:val="21"/>
        </w:rPr>
      </w:pPr>
      <w:r>
        <w:rPr>
          <w:rFonts w:asciiTheme="minorEastAsia" w:hAnsiTheme="minorEastAsia"/>
          <w:szCs w:val="21"/>
        </w:rPr>
        <w:t>评标委员会根据招标项目的特点进行组建，并负责评标工作。评标委员会由招标人代表和有关技术、经济等方面的专家组成，成员人数为五人或五人以上单数。其中技术、经济等方面的专家不少于成员总数的三分之二。</w:t>
      </w:r>
    </w:p>
    <w:p w14:paraId="1147D4B1">
      <w:pPr>
        <w:spacing w:line="360" w:lineRule="auto"/>
        <w:ind w:firstLine="420" w:firstLineChars="200"/>
        <w:rPr>
          <w:rFonts w:asciiTheme="minorEastAsia" w:hAnsiTheme="minorEastAsia"/>
          <w:szCs w:val="21"/>
        </w:rPr>
      </w:pPr>
      <w:bookmarkStart w:id="98" w:name="_Ref179621079"/>
      <w:r>
        <w:rPr>
          <w:rFonts w:asciiTheme="minorEastAsia" w:hAnsiTheme="minorEastAsia"/>
          <w:szCs w:val="21"/>
        </w:rPr>
        <w:t>依照有关规定，货物或服务招标采购的评标方法分为最低评标价法、综合评分法和性价比法三种基本方法。评标委员会将按照</w:t>
      </w:r>
      <w:r>
        <w:rPr>
          <w:rFonts w:hint="eastAsia" w:asciiTheme="minorEastAsia" w:hAnsiTheme="minorEastAsia"/>
          <w:b/>
          <w:szCs w:val="21"/>
        </w:rPr>
        <w:t>招标公告</w:t>
      </w:r>
      <w:r>
        <w:rPr>
          <w:rFonts w:asciiTheme="minorEastAsia" w:hAnsiTheme="minorEastAsia"/>
          <w:szCs w:val="21"/>
        </w:rPr>
        <w:t>中所确定的评标方法进行评审。</w:t>
      </w:r>
      <w:bookmarkEnd w:id="98"/>
    </w:p>
    <w:p w14:paraId="0BF3107C">
      <w:pPr>
        <w:spacing w:line="360" w:lineRule="auto"/>
        <w:ind w:firstLine="420" w:firstLineChars="200"/>
        <w:rPr>
          <w:rFonts w:asciiTheme="minorEastAsia" w:hAnsiTheme="minorEastAsia"/>
          <w:szCs w:val="21"/>
        </w:rPr>
      </w:pPr>
      <w:r>
        <w:rPr>
          <w:rFonts w:asciiTheme="minorEastAsia" w:hAnsiTheme="minorEastAsia"/>
          <w:szCs w:val="21"/>
        </w:rPr>
        <w:t>评标委员会对投标文件的评审内容，分为商务评议、技术评议和价格评议/综合评议。评审流程包括资格性检查、符合性检查、澄清问题、比较与评价、推荐中标候选人或确定中标人、编写评标报告等步骤。</w:t>
      </w:r>
    </w:p>
    <w:p w14:paraId="5A61B5BB">
      <w:pPr>
        <w:spacing w:line="360" w:lineRule="auto"/>
        <w:ind w:firstLine="420" w:firstLineChars="200"/>
        <w:rPr>
          <w:rFonts w:asciiTheme="minorEastAsia" w:hAnsiTheme="minorEastAsia"/>
          <w:szCs w:val="21"/>
        </w:rPr>
      </w:pPr>
      <w:bookmarkStart w:id="99" w:name="_Ref179619857"/>
      <w:r>
        <w:rPr>
          <w:rFonts w:asciiTheme="minorEastAsia" w:hAnsiTheme="minorEastAsia"/>
          <w:szCs w:val="21"/>
        </w:rPr>
        <w:t>在评标期间，评标委员会可要求投标人对其投标文件进行澄清，但不得寻求、提供或允许对投标价格等实质性内容做任何更改。有关澄清的要求和答复均应以书面形式提交。</w:t>
      </w:r>
      <w:bookmarkEnd w:id="99"/>
    </w:p>
    <w:p w14:paraId="20F42E82">
      <w:pPr>
        <w:spacing w:line="360" w:lineRule="auto"/>
        <w:ind w:firstLine="420" w:firstLineChars="200"/>
        <w:rPr>
          <w:rFonts w:asciiTheme="minorEastAsia" w:hAnsiTheme="minorEastAsia"/>
          <w:szCs w:val="21"/>
        </w:rPr>
      </w:pPr>
      <w:bookmarkStart w:id="100" w:name="_Toc16749"/>
      <w:bookmarkStart w:id="101" w:name="_Toc27507"/>
      <w:bookmarkStart w:id="102" w:name="_Toc10952"/>
      <w:bookmarkStart w:id="103" w:name="_Toc3712"/>
      <w:r>
        <w:rPr>
          <w:rFonts w:hint="eastAsia" w:asciiTheme="minorEastAsia" w:hAnsiTheme="minorEastAsia"/>
          <w:szCs w:val="21"/>
        </w:rPr>
        <w:t>不同投标人提供相同品牌产品</w:t>
      </w:r>
      <w:bookmarkEnd w:id="100"/>
      <w:bookmarkEnd w:id="101"/>
      <w:bookmarkEnd w:id="102"/>
      <w:bookmarkEnd w:id="103"/>
    </w:p>
    <w:p w14:paraId="74C09FAA">
      <w:pPr>
        <w:spacing w:line="360" w:lineRule="auto"/>
        <w:ind w:firstLine="420" w:firstLineChars="200"/>
        <w:rPr>
          <w:rFonts w:asciiTheme="minorEastAsia" w:hAnsiTheme="minorEastAsia"/>
          <w:szCs w:val="21"/>
        </w:rPr>
      </w:pPr>
      <w:r>
        <w:rPr>
          <w:rFonts w:hint="eastAsia" w:asciiTheme="minorEastAsia" w:hAnsiTheme="minorEastAsia"/>
          <w:szCs w:val="21"/>
        </w:rPr>
        <w:t>采用最低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997DC7B">
      <w:pPr>
        <w:spacing w:line="360" w:lineRule="auto"/>
        <w:ind w:firstLine="420" w:firstLineChars="200"/>
        <w:rPr>
          <w:rFonts w:asciiTheme="minorEastAsia" w:hAnsiTheme="minorEastAsia"/>
          <w:szCs w:val="21"/>
        </w:rPr>
      </w:pPr>
      <w:r>
        <w:rPr>
          <w:rFonts w:hint="eastAsia" w:asciiTheme="minorEastAsia" w:hAnsiTheme="minorEastAsia"/>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2574A82E">
      <w:pPr>
        <w:spacing w:line="360" w:lineRule="auto"/>
        <w:ind w:firstLine="420" w:firstLineChars="200"/>
        <w:rPr>
          <w:rFonts w:asciiTheme="minorEastAsia" w:hAnsiTheme="minorEastAsia"/>
          <w:szCs w:val="21"/>
        </w:rPr>
      </w:pPr>
      <w:r>
        <w:rPr>
          <w:rFonts w:hint="eastAsia" w:asciiTheme="minorEastAsia" w:hAnsiTheme="minorEastAsia"/>
          <w:szCs w:val="21"/>
        </w:rPr>
        <w:t>非单一产品采购项目，采购人应当根据采购项目技术构成、产品价格比重等合理确定核心产品，多家投标人提供的核心产品品牌完全相同的，按本条规定处理。</w:t>
      </w:r>
    </w:p>
    <w:p w14:paraId="57708FBF">
      <w:pPr>
        <w:pStyle w:val="4"/>
        <w:spacing w:line="360" w:lineRule="auto"/>
        <w:ind w:firstLine="482"/>
      </w:pPr>
      <w:bookmarkStart w:id="104" w:name="_Toc21426"/>
      <w:bookmarkStart w:id="105" w:name="_Toc55548524"/>
      <w:r>
        <w:rPr>
          <w:rFonts w:hint="eastAsia"/>
        </w:rPr>
        <w:t>投标文件的初审</w:t>
      </w:r>
      <w:bookmarkEnd w:id="104"/>
      <w:bookmarkEnd w:id="105"/>
    </w:p>
    <w:p w14:paraId="565F4363">
      <w:pPr>
        <w:spacing w:line="360" w:lineRule="auto"/>
        <w:ind w:firstLine="420" w:firstLineChars="200"/>
        <w:rPr>
          <w:rFonts w:asciiTheme="minorEastAsia" w:hAnsiTheme="minorEastAsia"/>
          <w:szCs w:val="21"/>
        </w:rPr>
      </w:pPr>
      <w:r>
        <w:rPr>
          <w:rFonts w:asciiTheme="minorEastAsia" w:hAnsiTheme="minorEastAsia"/>
          <w:szCs w:val="21"/>
        </w:rPr>
        <w:t>评标委员会将审查投标文件是否完整、总体编排是否有序、文件签署是否合格等。</w:t>
      </w:r>
    </w:p>
    <w:p w14:paraId="2A6CB6BF">
      <w:pPr>
        <w:spacing w:line="360" w:lineRule="auto"/>
        <w:ind w:firstLine="420" w:firstLineChars="200"/>
        <w:rPr>
          <w:rFonts w:asciiTheme="minorEastAsia" w:hAnsiTheme="minorEastAsia"/>
          <w:szCs w:val="21"/>
        </w:rPr>
      </w:pPr>
      <w:r>
        <w:rPr>
          <w:rFonts w:asciiTheme="minorEastAsia" w:hAnsiTheme="minorEastAsia"/>
          <w:szCs w:val="21"/>
        </w:rPr>
        <w:t>算术错误将按以下方法更正：若开标一览表中单价和总价相矛盾，以投标单价为准修改总价；若开标一览表内容与投标文件中明细表内容不相符的，以开标一览表为准；若用文字表示的数值与用数字表示的数值不一致，以文字表示的数值为准。如果投标人不接受对其错误的更正，其投标将被拒绝。</w:t>
      </w:r>
    </w:p>
    <w:p w14:paraId="767AE1B7">
      <w:pPr>
        <w:spacing w:line="360" w:lineRule="auto"/>
        <w:ind w:firstLine="420" w:firstLineChars="200"/>
        <w:rPr>
          <w:rFonts w:asciiTheme="minorEastAsia" w:hAnsiTheme="minorEastAsia"/>
          <w:szCs w:val="21"/>
        </w:rPr>
      </w:pPr>
      <w:r>
        <w:rPr>
          <w:rFonts w:asciiTheme="minorEastAsia" w:hAnsiTheme="minorEastAsia"/>
          <w:szCs w:val="21"/>
        </w:rPr>
        <w:t>投标文件中的缺漏项将按以下方法更正：以所有投标报价中该项最高报价核算其缺漏项金额，缺漏项金额大于或等于其投标总价的1%时，视为重大投标漏项，该投标作</w:t>
      </w:r>
      <w:r>
        <w:rPr>
          <w:rFonts w:hint="eastAsia" w:asciiTheme="minorEastAsia" w:hAnsiTheme="minorEastAsia"/>
          <w:szCs w:val="21"/>
        </w:rPr>
        <w:t>投标无效</w:t>
      </w:r>
      <w:r>
        <w:rPr>
          <w:rFonts w:asciiTheme="minorEastAsia" w:hAnsiTheme="minorEastAsia"/>
          <w:szCs w:val="21"/>
        </w:rPr>
        <w:t>处理；缺漏项金额小于其投标总价的1%时，评标委员会将视为其投标总价已包括缺漏项内容，若其中标，有关该内容的合同价格不予调整，但评标时将对该投标作不利的评标价调整或评审分数量化。如果投标人不接受对其错误的更正，其投标将被拒绝。</w:t>
      </w:r>
    </w:p>
    <w:p w14:paraId="0EB6FFA9">
      <w:pPr>
        <w:spacing w:line="360" w:lineRule="auto"/>
        <w:ind w:firstLine="420" w:firstLineChars="200"/>
        <w:rPr>
          <w:rFonts w:asciiTheme="minorEastAsia" w:hAnsiTheme="minorEastAsia"/>
          <w:szCs w:val="21"/>
        </w:rPr>
      </w:pPr>
      <w:r>
        <w:rPr>
          <w:rFonts w:asciiTheme="minorEastAsia" w:hAnsiTheme="minorEastAsia"/>
          <w:szCs w:val="21"/>
        </w:rPr>
        <w:t>对于投标文件中不构成实质性偏差的不正规、不一致或不规则，评标委员会可以接受，但这种接受不能损害或影响任何投标人的相对排序。</w:t>
      </w:r>
    </w:p>
    <w:p w14:paraId="304FAD74">
      <w:pPr>
        <w:spacing w:line="360" w:lineRule="auto"/>
        <w:ind w:firstLine="420" w:firstLineChars="200"/>
        <w:rPr>
          <w:rFonts w:asciiTheme="minorEastAsia" w:hAnsiTheme="minorEastAsia"/>
          <w:szCs w:val="21"/>
        </w:rPr>
      </w:pPr>
      <w:r>
        <w:rPr>
          <w:rFonts w:asciiTheme="minorEastAsia" w:hAnsiTheme="minorEastAsia"/>
          <w:szCs w:val="21"/>
        </w:rPr>
        <w:t>在详细评审之前，评标委员将会审查每份投标文件是否实质上响应了招标文件的要求。实质上响应的投标是与招标文件要求的关键条款、条件和规格相符，没有重大偏离的投标。例如关于投标保证金、投标人资格要求、关键技术指标要求、投标报价要求和评标标准等。评标委员会审查投标的响应性只根据投标文件本身的内容，而不寻求外部的证据。</w:t>
      </w:r>
    </w:p>
    <w:p w14:paraId="03BE7DD1">
      <w:pPr>
        <w:spacing w:line="360" w:lineRule="auto"/>
        <w:ind w:firstLine="420" w:firstLineChars="200"/>
        <w:rPr>
          <w:rFonts w:asciiTheme="minorEastAsia" w:hAnsiTheme="minorEastAsia"/>
          <w:szCs w:val="21"/>
        </w:rPr>
      </w:pPr>
      <w:bookmarkStart w:id="106" w:name="_Ref179619330"/>
      <w:r>
        <w:rPr>
          <w:rFonts w:asciiTheme="minorEastAsia" w:hAnsiTheme="minorEastAsia"/>
          <w:szCs w:val="21"/>
        </w:rPr>
        <w:t>实质上没有响应招标文件要求的投标将被作</w:t>
      </w:r>
      <w:r>
        <w:rPr>
          <w:rFonts w:hint="eastAsia" w:asciiTheme="minorEastAsia" w:hAnsiTheme="minorEastAsia"/>
          <w:szCs w:val="21"/>
        </w:rPr>
        <w:t>投标无效</w:t>
      </w:r>
      <w:r>
        <w:rPr>
          <w:rFonts w:asciiTheme="minorEastAsia" w:hAnsiTheme="minorEastAsia"/>
          <w:szCs w:val="21"/>
        </w:rPr>
        <w:t>处理。投标人不得通过修正或撤销不合要求的偏离或保留从而使其投标成为实质上响应的投标。评标委员会评审中，发现下列情况之一的，其投标将作</w:t>
      </w:r>
      <w:r>
        <w:rPr>
          <w:rFonts w:hint="eastAsia" w:asciiTheme="minorEastAsia" w:hAnsiTheme="minorEastAsia"/>
          <w:szCs w:val="21"/>
        </w:rPr>
        <w:t>投标无效</w:t>
      </w:r>
      <w:r>
        <w:rPr>
          <w:rFonts w:asciiTheme="minorEastAsia" w:hAnsiTheme="minorEastAsia"/>
          <w:szCs w:val="21"/>
        </w:rPr>
        <w:t>处理：</w:t>
      </w:r>
      <w:bookmarkEnd w:id="106"/>
    </w:p>
    <w:p w14:paraId="6AA742B6">
      <w:pPr>
        <w:spacing w:line="360" w:lineRule="auto"/>
        <w:ind w:firstLine="420" w:firstLineChars="200"/>
        <w:rPr>
          <w:rFonts w:asciiTheme="minorEastAsia" w:hAnsiTheme="minorEastAsia"/>
          <w:szCs w:val="21"/>
        </w:rPr>
      </w:pPr>
      <w:bookmarkStart w:id="107" w:name="_Ref179621189"/>
      <w:r>
        <w:rPr>
          <w:rFonts w:asciiTheme="minorEastAsia" w:hAnsiTheme="minorEastAsia"/>
          <w:szCs w:val="21"/>
        </w:rPr>
        <w:t>符合性检查</w:t>
      </w:r>
      <w:bookmarkEnd w:id="107"/>
    </w:p>
    <w:p w14:paraId="0D00C659">
      <w:pPr>
        <w:spacing w:line="360" w:lineRule="auto"/>
        <w:ind w:firstLine="422" w:firstLineChars="200"/>
        <w:rPr>
          <w:rFonts w:asciiTheme="minorEastAsia" w:hAnsiTheme="minorEastAsia"/>
          <w:b/>
          <w:szCs w:val="21"/>
        </w:rPr>
      </w:pPr>
      <w:bookmarkStart w:id="108" w:name="_Toc1347"/>
      <w:bookmarkStart w:id="109" w:name="_Toc2459"/>
      <w:bookmarkStart w:id="110" w:name="_Toc32392"/>
      <w:bookmarkStart w:id="111" w:name="_Toc25993"/>
      <w:bookmarkStart w:id="112" w:name="_Toc5963"/>
      <w:bookmarkStart w:id="113" w:name="_Toc385"/>
      <w:bookmarkStart w:id="114" w:name="_Toc13273"/>
      <w:r>
        <w:rPr>
          <w:rFonts w:asciiTheme="minorEastAsia" w:hAnsiTheme="minorEastAsia"/>
          <w:b/>
          <w:szCs w:val="21"/>
        </w:rPr>
        <w:t>1) 投标文件的有效性、完整性瑕疵</w:t>
      </w:r>
      <w:bookmarkEnd w:id="108"/>
      <w:bookmarkEnd w:id="109"/>
      <w:bookmarkEnd w:id="110"/>
      <w:bookmarkEnd w:id="111"/>
      <w:bookmarkEnd w:id="112"/>
      <w:bookmarkEnd w:id="113"/>
      <w:bookmarkEnd w:id="114"/>
    </w:p>
    <w:p w14:paraId="2182E545">
      <w:pPr>
        <w:spacing w:line="360" w:lineRule="auto"/>
        <w:ind w:firstLine="420" w:firstLineChars="200"/>
        <w:rPr>
          <w:rFonts w:asciiTheme="minorEastAsia" w:hAnsiTheme="minorEastAsia"/>
          <w:szCs w:val="21"/>
        </w:rPr>
      </w:pPr>
      <w:r>
        <w:rPr>
          <w:rFonts w:asciiTheme="minorEastAsia" w:hAnsiTheme="minorEastAsia"/>
          <w:szCs w:val="21"/>
        </w:rPr>
        <w:t>包括但不限于：</w:t>
      </w:r>
      <w:r>
        <w:rPr>
          <w:rFonts w:hint="eastAsia" w:cs="宋体" w:asciiTheme="minorEastAsia" w:hAnsiTheme="minorEastAsia"/>
          <w:szCs w:val="21"/>
        </w:rPr>
        <w:t>①</w:t>
      </w:r>
      <w:r>
        <w:rPr>
          <w:rFonts w:asciiTheme="minorEastAsia" w:hAnsiTheme="minorEastAsia"/>
          <w:szCs w:val="21"/>
        </w:rPr>
        <w:t>投标文件的数量、制作、密封、标记不符合要求；</w:t>
      </w:r>
      <w:r>
        <w:rPr>
          <w:rFonts w:hint="eastAsia" w:cs="宋体" w:asciiTheme="minorEastAsia" w:hAnsiTheme="minorEastAsia"/>
          <w:szCs w:val="21"/>
        </w:rPr>
        <w:t>②</w:t>
      </w:r>
      <w:r>
        <w:rPr>
          <w:rFonts w:asciiTheme="minorEastAsia" w:hAnsiTheme="minorEastAsia"/>
          <w:szCs w:val="21"/>
        </w:rPr>
        <w:t>投标文件无法定代表人或其授权代表签字，或签字人无法定代表人有效授权的；</w:t>
      </w:r>
      <w:r>
        <w:rPr>
          <w:rFonts w:hint="eastAsia" w:cs="宋体" w:asciiTheme="minorEastAsia" w:hAnsiTheme="minorEastAsia"/>
          <w:szCs w:val="21"/>
        </w:rPr>
        <w:t>③</w:t>
      </w:r>
      <w:r>
        <w:rPr>
          <w:rFonts w:asciiTheme="minorEastAsia" w:hAnsiTheme="minorEastAsia"/>
          <w:szCs w:val="21"/>
        </w:rPr>
        <w:t>签字盖章不符合招标文件要求的；</w:t>
      </w:r>
      <w:r>
        <w:rPr>
          <w:rFonts w:hint="eastAsia" w:cs="宋体" w:asciiTheme="minorEastAsia" w:hAnsiTheme="minorEastAsia"/>
          <w:szCs w:val="21"/>
        </w:rPr>
        <w:t>④</w:t>
      </w:r>
      <w:r>
        <w:rPr>
          <w:rFonts w:asciiTheme="minorEastAsia" w:hAnsiTheme="minorEastAsia"/>
          <w:szCs w:val="21"/>
        </w:rPr>
        <w:t>投标文件内容有严重缺漏项的；</w:t>
      </w:r>
      <w:r>
        <w:rPr>
          <w:rFonts w:hint="eastAsia" w:cs="宋体" w:asciiTheme="minorEastAsia" w:hAnsiTheme="minorEastAsia"/>
          <w:szCs w:val="21"/>
        </w:rPr>
        <w:t>⑤</w:t>
      </w:r>
      <w:r>
        <w:rPr>
          <w:rFonts w:asciiTheme="minorEastAsia" w:hAnsiTheme="minorEastAsia"/>
          <w:szCs w:val="21"/>
        </w:rPr>
        <w:t>投标报价有严重缺漏项的；</w:t>
      </w:r>
      <w:r>
        <w:rPr>
          <w:rFonts w:hint="eastAsia" w:cs="宋体" w:asciiTheme="minorEastAsia" w:hAnsiTheme="minorEastAsia"/>
          <w:szCs w:val="21"/>
        </w:rPr>
        <w:t>⑥</w:t>
      </w:r>
      <w:r>
        <w:rPr>
          <w:rFonts w:asciiTheme="minorEastAsia" w:hAnsiTheme="minorEastAsia"/>
          <w:szCs w:val="21"/>
        </w:rPr>
        <w:t>投标文件的关键内容字迹模糊、无法辨认的</w:t>
      </w:r>
      <w:r>
        <w:rPr>
          <w:rFonts w:hint="eastAsia" w:asciiTheme="minorEastAsia" w:hAnsiTheme="minorEastAsia"/>
          <w:szCs w:val="21"/>
        </w:rPr>
        <w:t>；</w:t>
      </w:r>
      <w:r>
        <w:rPr>
          <w:rFonts w:hint="eastAsia" w:cs="宋体" w:asciiTheme="minorEastAsia" w:hAnsiTheme="minorEastAsia"/>
          <w:szCs w:val="21"/>
        </w:rPr>
        <w:t>⑦</w:t>
      </w:r>
      <w:r>
        <w:rPr>
          <w:rFonts w:hint="eastAsia" w:asciiTheme="minorEastAsia" w:hAnsiTheme="minorEastAsia"/>
          <w:szCs w:val="21"/>
        </w:rPr>
        <w:t>未按招标文件要求编制。</w:t>
      </w:r>
    </w:p>
    <w:p w14:paraId="7ABDDDED">
      <w:pPr>
        <w:spacing w:line="360" w:lineRule="auto"/>
        <w:ind w:firstLine="422" w:firstLineChars="200"/>
        <w:rPr>
          <w:rFonts w:asciiTheme="minorEastAsia" w:hAnsiTheme="minorEastAsia"/>
          <w:b/>
          <w:szCs w:val="21"/>
        </w:rPr>
      </w:pPr>
      <w:bookmarkStart w:id="115" w:name="_Toc17493"/>
      <w:bookmarkStart w:id="116" w:name="_Toc24825"/>
      <w:bookmarkStart w:id="117" w:name="_Toc6513"/>
      <w:bookmarkStart w:id="118" w:name="_Toc30904"/>
      <w:bookmarkStart w:id="119" w:name="_Toc29078"/>
      <w:bookmarkStart w:id="120" w:name="_Toc4787"/>
      <w:bookmarkStart w:id="121" w:name="_Toc31066"/>
      <w:r>
        <w:rPr>
          <w:rFonts w:asciiTheme="minorEastAsia" w:hAnsiTheme="minorEastAsia"/>
          <w:b/>
          <w:szCs w:val="21"/>
        </w:rPr>
        <w:t>2) 技术响应瑕疵</w:t>
      </w:r>
      <w:bookmarkEnd w:id="115"/>
      <w:bookmarkEnd w:id="116"/>
      <w:bookmarkEnd w:id="117"/>
      <w:bookmarkEnd w:id="118"/>
      <w:bookmarkEnd w:id="119"/>
      <w:bookmarkEnd w:id="120"/>
      <w:bookmarkEnd w:id="121"/>
    </w:p>
    <w:p w14:paraId="469C9986">
      <w:pPr>
        <w:spacing w:line="360" w:lineRule="auto"/>
        <w:ind w:firstLine="420" w:firstLineChars="200"/>
        <w:rPr>
          <w:rFonts w:asciiTheme="minorEastAsia" w:hAnsiTheme="minorEastAsia"/>
          <w:szCs w:val="21"/>
        </w:rPr>
      </w:pPr>
      <w:r>
        <w:rPr>
          <w:rFonts w:asciiTheme="minorEastAsia" w:hAnsiTheme="minorEastAsia"/>
          <w:szCs w:val="21"/>
        </w:rPr>
        <w:t>包括但不限于：</w:t>
      </w:r>
      <w:r>
        <w:rPr>
          <w:rFonts w:hint="eastAsia" w:cs="宋体" w:asciiTheme="minorEastAsia" w:hAnsiTheme="minorEastAsia"/>
          <w:szCs w:val="21"/>
        </w:rPr>
        <w:t>①</w:t>
      </w:r>
      <w:r>
        <w:rPr>
          <w:rFonts w:asciiTheme="minorEastAsia" w:hAnsiTheme="minorEastAsia"/>
          <w:szCs w:val="21"/>
        </w:rPr>
        <w:t>投标文件不满足招标文件中加注星号（</w:t>
      </w:r>
      <w:r>
        <w:rPr>
          <w:rFonts w:hint="eastAsia" w:cs="宋体" w:asciiTheme="minorEastAsia" w:hAnsiTheme="minorEastAsia"/>
          <w:szCs w:val="21"/>
        </w:rPr>
        <w:t>※</w:t>
      </w:r>
      <w:r>
        <w:rPr>
          <w:rFonts w:asciiTheme="minorEastAsia" w:hAnsiTheme="minorEastAsia"/>
          <w:szCs w:val="21"/>
        </w:rPr>
        <w:t>）的主要参数要求或加注星号的主要参数无技术资料支持的；</w:t>
      </w:r>
      <w:r>
        <w:rPr>
          <w:rFonts w:hint="eastAsia" w:cs="宋体" w:asciiTheme="minorEastAsia" w:hAnsiTheme="minorEastAsia"/>
          <w:szCs w:val="21"/>
        </w:rPr>
        <w:t>②</w:t>
      </w:r>
      <w:r>
        <w:rPr>
          <w:rFonts w:asciiTheme="minorEastAsia" w:hAnsiTheme="minorEastAsia"/>
          <w:szCs w:val="21"/>
        </w:rPr>
        <w:t>一般参数超出允许偏离的最大范围或最高项数的；</w:t>
      </w:r>
      <w:r>
        <w:rPr>
          <w:rFonts w:hint="eastAsia" w:cs="宋体" w:asciiTheme="minorEastAsia" w:hAnsiTheme="minorEastAsia"/>
          <w:szCs w:val="21"/>
        </w:rPr>
        <w:t>③</w:t>
      </w:r>
      <w:r>
        <w:rPr>
          <w:rFonts w:asciiTheme="minorEastAsia" w:hAnsiTheme="minorEastAsia"/>
          <w:szCs w:val="21"/>
        </w:rPr>
        <w:t>投标文件技术响应与事实不符或虚假投标的；</w:t>
      </w:r>
      <w:r>
        <w:rPr>
          <w:rFonts w:hint="eastAsia" w:cs="宋体" w:asciiTheme="minorEastAsia" w:hAnsiTheme="minorEastAsia"/>
          <w:szCs w:val="21"/>
        </w:rPr>
        <w:t>④</w:t>
      </w:r>
      <w:r>
        <w:rPr>
          <w:rFonts w:asciiTheme="minorEastAsia" w:hAnsiTheme="minorEastAsia"/>
          <w:szCs w:val="21"/>
        </w:rPr>
        <w:t>投标人复制招标文件的技术规格相关部分内容作为其投标文件的一部分的；</w:t>
      </w:r>
      <w:r>
        <w:rPr>
          <w:rFonts w:hint="eastAsia" w:cs="宋体" w:asciiTheme="minorEastAsia" w:hAnsiTheme="minorEastAsia"/>
          <w:szCs w:val="21"/>
        </w:rPr>
        <w:t>⑤</w:t>
      </w:r>
      <w:r>
        <w:rPr>
          <w:rFonts w:asciiTheme="minorEastAsia" w:hAnsiTheme="minorEastAsia"/>
          <w:szCs w:val="21"/>
        </w:rPr>
        <w:t>《技术规格偏离表》填写不明或不实的；</w:t>
      </w:r>
      <w:r>
        <w:rPr>
          <w:rFonts w:hint="eastAsia" w:cs="宋体" w:asciiTheme="minorEastAsia" w:hAnsiTheme="minorEastAsia"/>
          <w:szCs w:val="21"/>
        </w:rPr>
        <w:t>⑥</w:t>
      </w:r>
      <w:r>
        <w:rPr>
          <w:rFonts w:asciiTheme="minorEastAsia" w:hAnsiTheme="minorEastAsia"/>
          <w:szCs w:val="21"/>
        </w:rPr>
        <w:t>将一个包中的内容拆开投标的；</w:t>
      </w:r>
      <w:r>
        <w:rPr>
          <w:rFonts w:hint="eastAsia" w:cs="宋体" w:asciiTheme="minorEastAsia" w:hAnsiTheme="minorEastAsia"/>
          <w:szCs w:val="21"/>
        </w:rPr>
        <w:t>⑦</w:t>
      </w:r>
      <w:r>
        <w:rPr>
          <w:rFonts w:asciiTheme="minorEastAsia" w:hAnsiTheme="minorEastAsia"/>
          <w:szCs w:val="21"/>
        </w:rPr>
        <w:t>投标人对同一货物或服务投标时，同时提供两套或两套以上的投标方案的；</w:t>
      </w:r>
      <w:r>
        <w:rPr>
          <w:rFonts w:hint="eastAsia" w:cs="宋体" w:asciiTheme="minorEastAsia" w:hAnsiTheme="minorEastAsia"/>
          <w:szCs w:val="21"/>
        </w:rPr>
        <w:t>⑧</w:t>
      </w:r>
      <w:r>
        <w:rPr>
          <w:rFonts w:asciiTheme="minorEastAsia" w:hAnsiTheme="minorEastAsia"/>
          <w:szCs w:val="21"/>
        </w:rPr>
        <w:t>明显不符合技术规格、技术标准要求的；</w:t>
      </w:r>
      <w:r>
        <w:rPr>
          <w:rFonts w:hint="eastAsia" w:cs="宋体" w:asciiTheme="minorEastAsia" w:hAnsiTheme="minorEastAsia"/>
          <w:szCs w:val="21"/>
        </w:rPr>
        <w:t>⑨</w:t>
      </w:r>
      <w:r>
        <w:rPr>
          <w:rFonts w:asciiTheme="minorEastAsia" w:hAnsiTheme="minorEastAsia"/>
          <w:szCs w:val="21"/>
        </w:rPr>
        <w:t>其他未实质性响应招标文件技术要求的。</w:t>
      </w:r>
    </w:p>
    <w:p w14:paraId="2F84BAC2">
      <w:pPr>
        <w:spacing w:line="360" w:lineRule="auto"/>
        <w:ind w:firstLine="422" w:firstLineChars="200"/>
        <w:rPr>
          <w:rFonts w:asciiTheme="minorEastAsia" w:hAnsiTheme="minorEastAsia"/>
          <w:b/>
          <w:szCs w:val="21"/>
        </w:rPr>
      </w:pPr>
      <w:bookmarkStart w:id="122" w:name="_Toc32692"/>
      <w:bookmarkStart w:id="123" w:name="_Toc13742"/>
      <w:bookmarkStart w:id="124" w:name="_Toc6987"/>
      <w:bookmarkStart w:id="125" w:name="_Toc9317"/>
      <w:bookmarkStart w:id="126" w:name="_Toc19531"/>
      <w:bookmarkStart w:id="127" w:name="_Toc27147"/>
      <w:bookmarkStart w:id="128" w:name="_Toc16856"/>
      <w:r>
        <w:rPr>
          <w:rFonts w:asciiTheme="minorEastAsia" w:hAnsiTheme="minorEastAsia"/>
          <w:b/>
          <w:szCs w:val="21"/>
        </w:rPr>
        <w:t>3) 商务响应瑕疵</w:t>
      </w:r>
      <w:bookmarkEnd w:id="122"/>
      <w:bookmarkEnd w:id="123"/>
      <w:bookmarkEnd w:id="124"/>
      <w:bookmarkEnd w:id="125"/>
      <w:bookmarkEnd w:id="126"/>
      <w:bookmarkEnd w:id="127"/>
      <w:bookmarkEnd w:id="128"/>
    </w:p>
    <w:p w14:paraId="48D4872F">
      <w:pPr>
        <w:spacing w:line="360" w:lineRule="auto"/>
        <w:ind w:firstLine="420" w:firstLineChars="200"/>
        <w:rPr>
          <w:rFonts w:asciiTheme="minorEastAsia" w:hAnsiTheme="minorEastAsia"/>
          <w:szCs w:val="21"/>
        </w:rPr>
      </w:pPr>
      <w:r>
        <w:rPr>
          <w:rFonts w:asciiTheme="minorEastAsia" w:hAnsiTheme="minorEastAsia"/>
          <w:szCs w:val="21"/>
        </w:rPr>
        <w:t>包括但不限于：</w:t>
      </w:r>
      <w:r>
        <w:rPr>
          <w:rFonts w:hint="eastAsia" w:cs="宋体" w:asciiTheme="minorEastAsia" w:hAnsiTheme="minorEastAsia"/>
          <w:szCs w:val="21"/>
        </w:rPr>
        <w:t>①</w:t>
      </w:r>
      <w:r>
        <w:rPr>
          <w:rFonts w:asciiTheme="minorEastAsia" w:hAnsiTheme="minorEastAsia"/>
          <w:szCs w:val="21"/>
        </w:rPr>
        <w:t>招标文件加注星号（</w:t>
      </w:r>
      <w:r>
        <w:rPr>
          <w:rFonts w:hint="eastAsia" w:cs="宋体" w:asciiTheme="minorEastAsia" w:hAnsiTheme="minorEastAsia"/>
          <w:szCs w:val="21"/>
        </w:rPr>
        <w:t>※</w:t>
      </w:r>
      <w:r>
        <w:rPr>
          <w:rFonts w:asciiTheme="minorEastAsia" w:hAnsiTheme="minorEastAsia"/>
          <w:szCs w:val="21"/>
        </w:rPr>
        <w:t>）的商务要求负偏离的；</w:t>
      </w:r>
      <w:r>
        <w:rPr>
          <w:rFonts w:hint="eastAsia" w:cs="宋体" w:asciiTheme="minorEastAsia" w:hAnsiTheme="minorEastAsia"/>
          <w:szCs w:val="21"/>
        </w:rPr>
        <w:t>②</w:t>
      </w:r>
      <w:r>
        <w:rPr>
          <w:rFonts w:asciiTheme="minorEastAsia" w:hAnsiTheme="minorEastAsia"/>
          <w:szCs w:val="21"/>
        </w:rPr>
        <w:t>招标项目完成期未满足招标文件要求的；</w:t>
      </w:r>
      <w:r>
        <w:rPr>
          <w:rFonts w:hint="eastAsia" w:cs="宋体" w:asciiTheme="minorEastAsia" w:hAnsiTheme="minorEastAsia"/>
          <w:szCs w:val="21"/>
        </w:rPr>
        <w:t>③</w:t>
      </w:r>
      <w:r>
        <w:rPr>
          <w:rFonts w:asciiTheme="minorEastAsia" w:hAnsiTheme="minorEastAsia"/>
          <w:szCs w:val="21"/>
        </w:rPr>
        <w:t>投标文件载明的货物包装方式、检验标准和方法不符合招标文件要求的；</w:t>
      </w:r>
      <w:r>
        <w:rPr>
          <w:rFonts w:hint="eastAsia" w:cs="宋体" w:asciiTheme="minorEastAsia" w:hAnsiTheme="minorEastAsia"/>
          <w:szCs w:val="21"/>
        </w:rPr>
        <w:t>④</w:t>
      </w:r>
      <w:r>
        <w:rPr>
          <w:rFonts w:asciiTheme="minorEastAsia" w:hAnsiTheme="minorEastAsia"/>
          <w:szCs w:val="21"/>
        </w:rPr>
        <w:t>《商务条款偏离表》填写不明或不实的；</w:t>
      </w:r>
      <w:r>
        <w:rPr>
          <w:rFonts w:hint="eastAsia" w:cs="宋体" w:asciiTheme="minorEastAsia" w:hAnsiTheme="minorEastAsia"/>
          <w:szCs w:val="21"/>
        </w:rPr>
        <w:t>⑤</w:t>
      </w:r>
      <w:r>
        <w:rPr>
          <w:rFonts w:asciiTheme="minorEastAsia" w:hAnsiTheme="minorEastAsia"/>
          <w:szCs w:val="21"/>
        </w:rPr>
        <w:t>投标文件附有招标人不能接受的条件的；</w:t>
      </w:r>
      <w:r>
        <w:rPr>
          <w:rFonts w:hint="eastAsia" w:cs="宋体" w:asciiTheme="minorEastAsia" w:hAnsiTheme="minorEastAsia"/>
          <w:szCs w:val="21"/>
        </w:rPr>
        <w:t>⑥</w:t>
      </w:r>
      <w:r>
        <w:rPr>
          <w:rFonts w:hint="eastAsia" w:asciiTheme="minorEastAsia" w:hAnsiTheme="minorEastAsia"/>
          <w:szCs w:val="21"/>
        </w:rPr>
        <w:t>投标文件中附有招标人不能接受的条件；</w:t>
      </w:r>
      <w:r>
        <w:rPr>
          <w:rFonts w:hint="eastAsia" w:cs="宋体" w:asciiTheme="minorEastAsia" w:hAnsiTheme="minorEastAsia"/>
          <w:szCs w:val="21"/>
        </w:rPr>
        <w:t>⑦</w:t>
      </w:r>
      <w:r>
        <w:rPr>
          <w:rFonts w:asciiTheme="minorEastAsia" w:hAnsiTheme="minorEastAsia"/>
          <w:szCs w:val="21"/>
        </w:rPr>
        <w:t>其他未实质性响应招标文件商务要求的。</w:t>
      </w:r>
    </w:p>
    <w:p w14:paraId="526FD488">
      <w:pPr>
        <w:spacing w:line="360" w:lineRule="auto"/>
        <w:ind w:firstLine="422" w:firstLineChars="200"/>
        <w:rPr>
          <w:rFonts w:asciiTheme="minorEastAsia" w:hAnsiTheme="minorEastAsia"/>
          <w:b/>
          <w:szCs w:val="21"/>
        </w:rPr>
      </w:pPr>
      <w:r>
        <w:rPr>
          <w:rFonts w:asciiTheme="minorEastAsia" w:hAnsiTheme="minorEastAsia"/>
          <w:b/>
          <w:szCs w:val="21"/>
        </w:rPr>
        <w:t>4）违规行为</w:t>
      </w:r>
    </w:p>
    <w:p w14:paraId="69B0EDEA">
      <w:pPr>
        <w:spacing w:line="360" w:lineRule="auto"/>
        <w:ind w:firstLine="420" w:firstLineChars="200"/>
        <w:rPr>
          <w:rFonts w:asciiTheme="minorEastAsia" w:hAnsiTheme="minorEastAsia"/>
          <w:szCs w:val="21"/>
        </w:rPr>
      </w:pPr>
      <w:r>
        <w:rPr>
          <w:rFonts w:asciiTheme="minorEastAsia" w:hAnsiTheme="minorEastAsia"/>
          <w:szCs w:val="21"/>
        </w:rPr>
        <w:t>包括但不限于：</w:t>
      </w:r>
      <w:r>
        <w:rPr>
          <w:rFonts w:hint="eastAsia" w:cs="宋体" w:asciiTheme="minorEastAsia" w:hAnsiTheme="minorEastAsia"/>
          <w:szCs w:val="21"/>
        </w:rPr>
        <w:t>①</w:t>
      </w:r>
      <w:r>
        <w:rPr>
          <w:rFonts w:asciiTheme="minorEastAsia" w:hAnsiTheme="minorEastAsia"/>
          <w:szCs w:val="21"/>
        </w:rPr>
        <w:t>以他人的名义投标、串通投标、以行贿手段谋取中标或者以其他弄虚作假方式投标的；</w:t>
      </w:r>
      <w:r>
        <w:rPr>
          <w:rFonts w:hint="eastAsia" w:cs="宋体" w:asciiTheme="minorEastAsia" w:hAnsiTheme="minorEastAsia"/>
          <w:szCs w:val="21"/>
        </w:rPr>
        <w:t>②</w:t>
      </w:r>
      <w:r>
        <w:rPr>
          <w:rFonts w:asciiTheme="minorEastAsia" w:hAnsiTheme="minorEastAsia"/>
          <w:szCs w:val="21"/>
        </w:rPr>
        <w:t>拒不按照要求对投标文件进行澄清、说明或者补正的；</w:t>
      </w:r>
      <w:r>
        <w:rPr>
          <w:rFonts w:hint="eastAsia" w:cs="宋体" w:asciiTheme="minorEastAsia" w:hAnsiTheme="minorEastAsia"/>
          <w:szCs w:val="21"/>
        </w:rPr>
        <w:t>③</w:t>
      </w:r>
      <w:r>
        <w:rPr>
          <w:rFonts w:asciiTheme="minorEastAsia" w:hAnsiTheme="minorEastAsia"/>
          <w:szCs w:val="21"/>
        </w:rPr>
        <w:t>扰乱开标、评标秩序，干扰招标工作正常进行的。</w:t>
      </w:r>
    </w:p>
    <w:p w14:paraId="4A5C7CA7">
      <w:pPr>
        <w:spacing w:line="360" w:lineRule="auto"/>
        <w:ind w:firstLine="422" w:firstLineChars="200"/>
        <w:rPr>
          <w:rFonts w:asciiTheme="minorEastAsia" w:hAnsiTheme="minorEastAsia"/>
          <w:b/>
          <w:szCs w:val="21"/>
        </w:rPr>
      </w:pPr>
      <w:r>
        <w:rPr>
          <w:rFonts w:hint="eastAsia" w:asciiTheme="minorEastAsia" w:hAnsiTheme="minorEastAsia"/>
          <w:b/>
          <w:szCs w:val="21"/>
        </w:rPr>
        <w:t>投标报价</w:t>
      </w:r>
    </w:p>
    <w:p w14:paraId="2657A5AB">
      <w:pPr>
        <w:spacing w:line="360" w:lineRule="auto"/>
        <w:ind w:firstLine="420" w:firstLineChars="200"/>
        <w:rPr>
          <w:rFonts w:asciiTheme="minorEastAsia" w:hAnsiTheme="minorEastAsia"/>
          <w:szCs w:val="21"/>
        </w:rPr>
      </w:pPr>
      <w:r>
        <w:rPr>
          <w:rFonts w:hint="eastAsia" w:asciiTheme="minorEastAsia" w:hAnsiTheme="minorEastAsia"/>
          <w:bCs/>
          <w:szCs w:val="21"/>
        </w:rPr>
        <w:t>包括但不限于：</w:t>
      </w:r>
      <w:r>
        <w:rPr>
          <w:rFonts w:hint="eastAsia" w:cs="宋体" w:asciiTheme="minorEastAsia" w:hAnsiTheme="minorEastAsia"/>
          <w:szCs w:val="21"/>
        </w:rPr>
        <w:t>①</w:t>
      </w:r>
      <w:r>
        <w:rPr>
          <w:rFonts w:hint="eastAsia" w:asciiTheme="minorEastAsia" w:hAnsiTheme="minorEastAsia"/>
          <w:szCs w:val="21"/>
        </w:rPr>
        <w:t>投标报价超出预算控制金额上限，或超过招标文件规定的最高投标限价</w:t>
      </w:r>
      <w:r>
        <w:rPr>
          <w:rFonts w:hint="eastAsia" w:cs="宋体" w:asciiTheme="minorEastAsia" w:hAnsiTheme="minorEastAsia"/>
          <w:szCs w:val="21"/>
        </w:rPr>
        <w:t>②</w:t>
      </w:r>
      <w:r>
        <w:rPr>
          <w:rFonts w:hint="eastAsia" w:asciiTheme="minorEastAsia" w:hAnsiTheme="minorEastAsia"/>
          <w:szCs w:val="21"/>
        </w:rPr>
        <w:t>选择性报价或可变动报价</w:t>
      </w:r>
      <w:r>
        <w:rPr>
          <w:rFonts w:hint="eastAsia" w:cs="宋体" w:asciiTheme="minorEastAsia" w:hAnsiTheme="minorEastAsia"/>
          <w:szCs w:val="21"/>
        </w:rPr>
        <w:t>③</w:t>
      </w:r>
      <w:r>
        <w:rPr>
          <w:rFonts w:asciiTheme="minorEastAsia" w:hAnsiTheme="minorEastAsia"/>
          <w:szCs w:val="21"/>
        </w:rPr>
        <w:t>投标人低于成本报价竞标的</w:t>
      </w:r>
    </w:p>
    <w:p w14:paraId="7D267B46">
      <w:pPr>
        <w:spacing w:line="360" w:lineRule="auto"/>
        <w:ind w:firstLine="422" w:firstLineChars="200"/>
        <w:rPr>
          <w:rFonts w:asciiTheme="minorEastAsia" w:hAnsiTheme="minorEastAsia"/>
          <w:b/>
          <w:bCs/>
          <w:szCs w:val="21"/>
        </w:rPr>
      </w:pPr>
      <w:r>
        <w:rPr>
          <w:rFonts w:hint="eastAsia" w:asciiTheme="minorEastAsia" w:hAnsiTheme="minorEastAsia"/>
          <w:b/>
          <w:bCs/>
          <w:szCs w:val="21"/>
        </w:rPr>
        <w:t>6</w:t>
      </w:r>
      <w:r>
        <w:rPr>
          <w:rFonts w:asciiTheme="minorEastAsia" w:hAnsiTheme="minorEastAsia"/>
          <w:b/>
          <w:bCs/>
          <w:szCs w:val="21"/>
        </w:rPr>
        <w:t>）法律法规及招标文件中规定的其它情形。</w:t>
      </w:r>
    </w:p>
    <w:p w14:paraId="672F18C5">
      <w:pPr>
        <w:spacing w:line="360" w:lineRule="auto"/>
        <w:ind w:firstLine="420" w:firstLineChars="200"/>
        <w:rPr>
          <w:rFonts w:asciiTheme="minorEastAsia" w:hAnsiTheme="minorEastAsia"/>
          <w:szCs w:val="21"/>
        </w:rPr>
      </w:pPr>
      <w:r>
        <w:rPr>
          <w:rFonts w:asciiTheme="minorEastAsia" w:hAnsiTheme="minorEastAsia"/>
          <w:szCs w:val="21"/>
        </w:rPr>
        <w:t>根据项目情况，评标委员会有权决定招标文件中“可能导致</w:t>
      </w:r>
      <w:r>
        <w:rPr>
          <w:rFonts w:hint="eastAsia" w:asciiTheme="minorEastAsia" w:hAnsiTheme="minorEastAsia"/>
          <w:szCs w:val="21"/>
        </w:rPr>
        <w:t>投标无效</w:t>
      </w:r>
      <w:r>
        <w:rPr>
          <w:rFonts w:asciiTheme="minorEastAsia" w:hAnsiTheme="minorEastAsia"/>
          <w:szCs w:val="21"/>
        </w:rPr>
        <w:t>”或“可能导致其投标被拒绝”等具体条款是否实施“</w:t>
      </w:r>
      <w:r>
        <w:rPr>
          <w:rFonts w:hint="eastAsia" w:asciiTheme="minorEastAsia" w:hAnsiTheme="minorEastAsia"/>
          <w:szCs w:val="21"/>
        </w:rPr>
        <w:t>投标无效</w:t>
      </w:r>
      <w:r>
        <w:rPr>
          <w:rFonts w:asciiTheme="minorEastAsia" w:hAnsiTheme="minorEastAsia"/>
          <w:szCs w:val="21"/>
        </w:rPr>
        <w:t>”或“投标被拒绝”，但对同一条款的裁决应适用于每个投标人。</w:t>
      </w:r>
    </w:p>
    <w:p w14:paraId="593B03BB">
      <w:pPr>
        <w:pStyle w:val="4"/>
        <w:spacing w:line="360" w:lineRule="auto"/>
        <w:ind w:firstLine="482"/>
      </w:pPr>
      <w:bookmarkStart w:id="129" w:name="_Toc55548525"/>
      <w:bookmarkStart w:id="130" w:name="_Toc7255"/>
      <w:r>
        <w:rPr>
          <w:rFonts w:hint="eastAsia"/>
        </w:rPr>
        <w:t>评标方法和定标原则</w:t>
      </w:r>
      <w:bookmarkEnd w:id="129"/>
      <w:bookmarkEnd w:id="130"/>
    </w:p>
    <w:p w14:paraId="6CD238DB">
      <w:pPr>
        <w:spacing w:line="360" w:lineRule="auto"/>
        <w:ind w:firstLine="420" w:firstLineChars="200"/>
        <w:rPr>
          <w:rFonts w:asciiTheme="minorEastAsia" w:hAnsiTheme="minorEastAsia"/>
          <w:szCs w:val="21"/>
        </w:rPr>
      </w:pPr>
      <w:r>
        <w:rPr>
          <w:rFonts w:asciiTheme="minorEastAsia" w:hAnsiTheme="minorEastAsia"/>
          <w:szCs w:val="21"/>
        </w:rPr>
        <w:t>最低评标价法</w:t>
      </w:r>
    </w:p>
    <w:p w14:paraId="16160DB9">
      <w:pPr>
        <w:spacing w:line="360" w:lineRule="auto"/>
        <w:ind w:firstLine="420" w:firstLineChars="200"/>
        <w:rPr>
          <w:rFonts w:asciiTheme="minorEastAsia" w:hAnsiTheme="minorEastAsia"/>
          <w:szCs w:val="21"/>
        </w:rPr>
      </w:pPr>
      <w:r>
        <w:rPr>
          <w:rFonts w:asciiTheme="minorEastAsia" w:hAnsiTheme="minorEastAsia"/>
          <w:szCs w:val="21"/>
        </w:rPr>
        <w:t>最低评标价法，是指以价格因素确定中标候选人的评标方法，即在满足招标文件实质性要求前提下，以报价最低的投标供应商作为中标候选人或中标人。完全满足招标文件的实质性要求，按照报价由低到高的顺序，依据招标文件中规定的数量或者比例推荐候选中标供应商。</w:t>
      </w:r>
    </w:p>
    <w:p w14:paraId="3D89A152">
      <w:pPr>
        <w:spacing w:line="360" w:lineRule="auto"/>
        <w:ind w:firstLine="420" w:firstLineChars="200"/>
        <w:rPr>
          <w:rFonts w:asciiTheme="minorEastAsia" w:hAnsiTheme="minorEastAsia"/>
          <w:szCs w:val="21"/>
        </w:rPr>
      </w:pPr>
      <w:r>
        <w:rPr>
          <w:rFonts w:asciiTheme="minorEastAsia" w:hAnsiTheme="minorEastAsia"/>
          <w:szCs w:val="21"/>
        </w:rPr>
        <w:t>中标人的投标应当符合招标文件规定的资质、技术要求和标准，但评标委员会无需对投标文件的技术部分进行价格折算。</w:t>
      </w:r>
    </w:p>
    <w:p w14:paraId="389A00D9">
      <w:pPr>
        <w:spacing w:line="360" w:lineRule="auto"/>
        <w:ind w:firstLine="420" w:firstLineChars="200"/>
        <w:rPr>
          <w:rFonts w:asciiTheme="minorEastAsia" w:hAnsiTheme="minorEastAsia"/>
          <w:szCs w:val="21"/>
        </w:rPr>
      </w:pPr>
      <w:r>
        <w:rPr>
          <w:rFonts w:asciiTheme="minorEastAsia" w:hAnsiTheme="minorEastAsia"/>
          <w:szCs w:val="21"/>
        </w:rPr>
        <w:t>评标委员会将依据委托招标金额作为授予合同价格的上限。</w:t>
      </w:r>
    </w:p>
    <w:p w14:paraId="79CDB9C2">
      <w:pPr>
        <w:spacing w:line="360" w:lineRule="auto"/>
        <w:ind w:firstLine="420" w:firstLineChars="200"/>
        <w:rPr>
          <w:rFonts w:asciiTheme="minorEastAsia" w:hAnsiTheme="minorEastAsia"/>
          <w:szCs w:val="21"/>
        </w:rPr>
      </w:pPr>
      <w:r>
        <w:rPr>
          <w:rFonts w:asciiTheme="minorEastAsia" w:hAnsiTheme="minorEastAsia"/>
          <w:szCs w:val="21"/>
        </w:rPr>
        <w:t>评标委员会同时将参照本须知规定，只对确定为实质上响应招标文件要求的投标进行下一步评定。</w:t>
      </w:r>
    </w:p>
    <w:p w14:paraId="7FF0A1AF">
      <w:pPr>
        <w:spacing w:line="360" w:lineRule="auto"/>
        <w:ind w:firstLine="420" w:firstLineChars="200"/>
        <w:rPr>
          <w:rFonts w:asciiTheme="minorEastAsia" w:hAnsiTheme="minorEastAsia"/>
          <w:szCs w:val="21"/>
        </w:rPr>
      </w:pPr>
      <w:r>
        <w:rPr>
          <w:rFonts w:asciiTheme="minorEastAsia" w:hAnsiTheme="minorEastAsia"/>
          <w:szCs w:val="21"/>
        </w:rPr>
        <w:t>定标原则</w:t>
      </w:r>
    </w:p>
    <w:p w14:paraId="6FEB842F">
      <w:pPr>
        <w:spacing w:line="360" w:lineRule="auto"/>
        <w:ind w:firstLine="420" w:firstLineChars="200"/>
        <w:rPr>
          <w:rFonts w:asciiTheme="minorEastAsia" w:hAnsiTheme="minorEastAsia"/>
          <w:szCs w:val="21"/>
        </w:rPr>
      </w:pPr>
      <w:r>
        <w:rPr>
          <w:rFonts w:asciiTheme="minorEastAsia" w:hAnsiTheme="minorEastAsia"/>
          <w:szCs w:val="21"/>
        </w:rPr>
        <w:t>通过资格性检查和符合性审查且报价不超过预算控制金额并同时具备以下条件的投标人应当确定为中标候选供应商或中标供应商：</w:t>
      </w:r>
    </w:p>
    <w:p w14:paraId="2232724E">
      <w:pPr>
        <w:spacing w:line="360" w:lineRule="auto"/>
        <w:ind w:firstLine="420" w:firstLineChars="200"/>
        <w:rPr>
          <w:rFonts w:asciiTheme="minorEastAsia" w:hAnsiTheme="minorEastAsia"/>
          <w:szCs w:val="21"/>
        </w:rPr>
      </w:pPr>
      <w:r>
        <w:rPr>
          <w:rFonts w:asciiTheme="minorEastAsia" w:hAnsiTheme="minorEastAsia"/>
          <w:szCs w:val="21"/>
        </w:rPr>
        <w:t>（一）满足招标文件实质性要求；</w:t>
      </w:r>
    </w:p>
    <w:p w14:paraId="52007068">
      <w:pPr>
        <w:spacing w:line="360" w:lineRule="auto"/>
        <w:ind w:firstLine="420" w:firstLineChars="200"/>
        <w:rPr>
          <w:rFonts w:asciiTheme="minorEastAsia" w:hAnsiTheme="minorEastAsia"/>
          <w:szCs w:val="21"/>
        </w:rPr>
      </w:pPr>
      <w:r>
        <w:rPr>
          <w:rFonts w:asciiTheme="minorEastAsia" w:hAnsiTheme="minorEastAsia"/>
          <w:szCs w:val="21"/>
        </w:rPr>
        <w:t>（二）投标的价格最低。</w:t>
      </w:r>
    </w:p>
    <w:p w14:paraId="639D4225">
      <w:pPr>
        <w:spacing w:line="360" w:lineRule="auto"/>
        <w:ind w:firstLine="420" w:firstLineChars="200"/>
        <w:rPr>
          <w:rFonts w:asciiTheme="minorEastAsia" w:hAnsiTheme="minorEastAsia"/>
          <w:szCs w:val="21"/>
        </w:rPr>
      </w:pPr>
      <w:r>
        <w:rPr>
          <w:rFonts w:asciiTheme="minorEastAsia" w:hAnsiTheme="minorEastAsia"/>
          <w:szCs w:val="21"/>
        </w:rPr>
        <w:t>按投标报价由低到高顺序排列。投标报价相同的，按技术指标优劣顺序排列。评标委员会认为，排在前面的供应商的最低投标报价或者某些分项报价明显不合理或者低于成本，有可能影响商品质量和不能诚信履约的，评标委员会应当要求其在规定的期限内提供书面文件予以解释说明，并提交相关证明材料；否则，评标委员会可以取消该投标供应商的中标资格，按顺序由排在后面的供应商递补，以此类推。</w:t>
      </w:r>
    </w:p>
    <w:p w14:paraId="3A18EDE9">
      <w:pPr>
        <w:spacing w:line="360" w:lineRule="auto"/>
        <w:ind w:firstLine="420" w:firstLineChars="200"/>
        <w:rPr>
          <w:rFonts w:asciiTheme="minorEastAsia" w:hAnsiTheme="minorEastAsia"/>
          <w:szCs w:val="21"/>
        </w:rPr>
      </w:pPr>
      <w:r>
        <w:rPr>
          <w:rFonts w:asciiTheme="minorEastAsia" w:hAnsiTheme="minorEastAsia"/>
          <w:szCs w:val="21"/>
        </w:rPr>
        <w:t>综合评分法</w:t>
      </w:r>
    </w:p>
    <w:p w14:paraId="571B2529">
      <w:pPr>
        <w:spacing w:line="360" w:lineRule="auto"/>
        <w:ind w:firstLine="420" w:firstLineChars="200"/>
        <w:rPr>
          <w:rFonts w:asciiTheme="minorEastAsia" w:hAnsiTheme="minorEastAsia"/>
          <w:szCs w:val="21"/>
        </w:rPr>
      </w:pPr>
      <w:r>
        <w:rPr>
          <w:rFonts w:asciiTheme="minorEastAsia" w:hAnsiTheme="minorEastAsia"/>
          <w:szCs w:val="21"/>
        </w:rPr>
        <w:t>综合评分法是指在最大限度满足招标文件实质性要求前提下，按照招标文件规定的各项评价因素进行量化打分，每个投标供应商的总得分应以全体评委评分加权汇总后的算术平均值确定，以评标总得分最高的投标供应商作为中标候选供应商或中标供应商的评标方法。除另有规定外，评标委员会在评标报告中，按照“N+2”的数量推荐中标候选供应商，其中N为需要的中标供应商数量。当有效供应商少于“N+2”时，全部推荐。</w:t>
      </w:r>
    </w:p>
    <w:p w14:paraId="330BF9C9">
      <w:pPr>
        <w:spacing w:line="360" w:lineRule="auto"/>
        <w:ind w:firstLine="420" w:firstLineChars="200"/>
        <w:rPr>
          <w:rFonts w:asciiTheme="minorEastAsia" w:hAnsiTheme="minorEastAsia"/>
          <w:szCs w:val="21"/>
        </w:rPr>
      </w:pPr>
      <w:r>
        <w:rPr>
          <w:rFonts w:asciiTheme="minorEastAsia" w:hAnsiTheme="minorEastAsia"/>
          <w:szCs w:val="21"/>
        </w:rPr>
        <w:t>评标委员会将依据委托招标金额作为授予合同价格的上限。</w:t>
      </w:r>
    </w:p>
    <w:p w14:paraId="49982A19">
      <w:pPr>
        <w:spacing w:line="360" w:lineRule="auto"/>
        <w:ind w:firstLine="420" w:firstLineChars="200"/>
        <w:rPr>
          <w:rFonts w:asciiTheme="minorEastAsia" w:hAnsiTheme="minorEastAsia"/>
          <w:szCs w:val="21"/>
        </w:rPr>
      </w:pPr>
      <w:r>
        <w:rPr>
          <w:rFonts w:asciiTheme="minorEastAsia" w:hAnsiTheme="minorEastAsia"/>
          <w:szCs w:val="21"/>
        </w:rPr>
        <w:t>评标委员会同时将参照本须知规定，只对确定为实质上响应招标文件要求的投标进行下一步评定。</w:t>
      </w:r>
    </w:p>
    <w:p w14:paraId="04B8A5A6">
      <w:pPr>
        <w:spacing w:line="360" w:lineRule="auto"/>
        <w:ind w:firstLine="420" w:firstLineChars="200"/>
        <w:rPr>
          <w:rFonts w:asciiTheme="minorEastAsia" w:hAnsiTheme="minorEastAsia"/>
          <w:szCs w:val="21"/>
        </w:rPr>
      </w:pPr>
      <w:bookmarkStart w:id="131" w:name="_Ref179621304"/>
      <w:r>
        <w:rPr>
          <w:rFonts w:asciiTheme="minorEastAsia" w:hAnsiTheme="minorEastAsia"/>
          <w:szCs w:val="21"/>
        </w:rPr>
        <w:t>综合评审：评标委员会按照下述公式对每个通过资格性检查和符合性检查且报价不超过预算控制金额的投标供应商进行评审、打分，然后汇总每个投标供应商每项评分因素的得分。综合评分的各项因素主要包括技术、价格和商务等内容，根据招标项目要求的不同，本项目的评分因素和权重分值见招标文件。</w:t>
      </w:r>
      <w:bookmarkEnd w:id="131"/>
    </w:p>
    <w:p w14:paraId="78F17213">
      <w:pPr>
        <w:spacing w:line="360" w:lineRule="auto"/>
        <w:ind w:firstLine="420" w:firstLineChars="200"/>
        <w:rPr>
          <w:rFonts w:asciiTheme="minorEastAsia" w:hAnsiTheme="minorEastAsia"/>
          <w:szCs w:val="21"/>
        </w:rPr>
      </w:pPr>
      <w:r>
        <w:rPr>
          <w:rFonts w:asciiTheme="minorEastAsia" w:hAnsiTheme="minorEastAsia"/>
          <w:szCs w:val="21"/>
        </w:rPr>
        <w:t>评标总得分＝（A1×J+A2×S+…An×X）；</w:t>
      </w:r>
    </w:p>
    <w:p w14:paraId="6C01CF00">
      <w:pPr>
        <w:spacing w:line="360" w:lineRule="auto"/>
        <w:ind w:firstLine="420" w:firstLineChars="200"/>
        <w:rPr>
          <w:rFonts w:asciiTheme="minorEastAsia" w:hAnsiTheme="minorEastAsia"/>
          <w:szCs w:val="21"/>
        </w:rPr>
      </w:pPr>
      <w:r>
        <w:rPr>
          <w:rFonts w:asciiTheme="minorEastAsia" w:hAnsiTheme="minorEastAsia"/>
          <w:szCs w:val="21"/>
        </w:rPr>
        <w:t>J、S、……X分别为各项评分因素，各因素满分均为100分；</w:t>
      </w:r>
    </w:p>
    <w:p w14:paraId="3A5F8E15">
      <w:pPr>
        <w:spacing w:line="360" w:lineRule="auto"/>
        <w:ind w:firstLine="420" w:firstLineChars="200"/>
        <w:rPr>
          <w:rFonts w:asciiTheme="minorEastAsia" w:hAnsiTheme="minorEastAsia"/>
          <w:szCs w:val="21"/>
        </w:rPr>
      </w:pPr>
      <w:r>
        <w:rPr>
          <w:rFonts w:asciiTheme="minorEastAsia" w:hAnsiTheme="minorEastAsia"/>
          <w:szCs w:val="21"/>
        </w:rPr>
        <w:t>A1 、A2、A3、...An分别是各项评分因素所占的权重（A1＋A2＋A3＋…＋An＝1）；</w:t>
      </w:r>
    </w:p>
    <w:p w14:paraId="173E9A36">
      <w:pPr>
        <w:spacing w:line="360" w:lineRule="auto"/>
        <w:ind w:firstLine="420" w:firstLineChars="200"/>
        <w:rPr>
          <w:rFonts w:asciiTheme="minorEastAsia" w:hAnsiTheme="minorEastAsia"/>
          <w:szCs w:val="21"/>
        </w:rPr>
      </w:pPr>
      <w:r>
        <w:rPr>
          <w:rFonts w:asciiTheme="minorEastAsia" w:hAnsiTheme="minorEastAsia"/>
          <w:szCs w:val="21"/>
        </w:rPr>
        <w:t>价格分计算方法：满足招标文件要求且投标价格最低的投标报价为评标基准价，其价格分为满分。其他投标人的价格分统一按照下列公式计算：</w:t>
      </w:r>
    </w:p>
    <w:p w14:paraId="0221683B">
      <w:pPr>
        <w:spacing w:line="360" w:lineRule="auto"/>
        <w:ind w:firstLine="420" w:firstLineChars="200"/>
        <w:rPr>
          <w:rFonts w:asciiTheme="minorEastAsia" w:hAnsiTheme="minorEastAsia"/>
          <w:szCs w:val="21"/>
        </w:rPr>
      </w:pPr>
      <w:r>
        <w:rPr>
          <w:rFonts w:asciiTheme="minorEastAsia" w:hAnsiTheme="minorEastAsia"/>
          <w:szCs w:val="21"/>
        </w:rPr>
        <w:t>投标报价得分=(评标基准价／投标报价)×价格权重×100</w:t>
      </w:r>
    </w:p>
    <w:p w14:paraId="3453B7C6">
      <w:pPr>
        <w:spacing w:line="360" w:lineRule="auto"/>
        <w:ind w:firstLine="420" w:firstLineChars="200"/>
        <w:rPr>
          <w:rFonts w:asciiTheme="minorEastAsia" w:hAnsiTheme="minorEastAsia"/>
          <w:szCs w:val="21"/>
        </w:rPr>
      </w:pPr>
      <w:r>
        <w:rPr>
          <w:rFonts w:asciiTheme="minorEastAsia" w:hAnsiTheme="minorEastAsia"/>
          <w:szCs w:val="21"/>
        </w:rPr>
        <w:t>定标原则：按评审后得分由高到低顺序排序。得分最高的投标供应商作为中标候选供应商或中标供应商。得分相同的，按投标报价由低到高排列。得分且投标报价相同的，按技术指标优劣顺序排列。</w:t>
      </w:r>
    </w:p>
    <w:p w14:paraId="7E8DACC9">
      <w:pPr>
        <w:spacing w:line="360" w:lineRule="auto"/>
        <w:ind w:firstLine="420" w:firstLineChars="200"/>
        <w:rPr>
          <w:rFonts w:asciiTheme="minorEastAsia" w:hAnsiTheme="minorEastAsia"/>
          <w:szCs w:val="21"/>
        </w:rPr>
      </w:pPr>
      <w:r>
        <w:rPr>
          <w:rFonts w:asciiTheme="minorEastAsia" w:hAnsiTheme="minorEastAsia"/>
          <w:szCs w:val="21"/>
        </w:rPr>
        <w:t>性价比法</w:t>
      </w:r>
    </w:p>
    <w:p w14:paraId="53F708B7">
      <w:pPr>
        <w:spacing w:line="360" w:lineRule="auto"/>
        <w:ind w:firstLine="420" w:firstLineChars="200"/>
        <w:rPr>
          <w:rFonts w:asciiTheme="minorEastAsia" w:hAnsiTheme="minorEastAsia"/>
          <w:szCs w:val="21"/>
        </w:rPr>
      </w:pPr>
      <w:r>
        <w:rPr>
          <w:rFonts w:asciiTheme="minorEastAsia" w:hAnsiTheme="minorEastAsia"/>
          <w:szCs w:val="21"/>
        </w:rPr>
        <w:t>性价比法，是指除价格因素外，经对投标文件进行评审，计算出各评分因素的总分，除以投标报价，以商数最高的投标供应商作为中标候选供应商或中标供应商的评标方法。</w:t>
      </w:r>
    </w:p>
    <w:p w14:paraId="76544B8E">
      <w:pPr>
        <w:spacing w:line="360" w:lineRule="auto"/>
        <w:ind w:firstLine="420" w:firstLineChars="200"/>
        <w:rPr>
          <w:rFonts w:asciiTheme="minorEastAsia" w:hAnsiTheme="minorEastAsia"/>
          <w:szCs w:val="21"/>
        </w:rPr>
      </w:pPr>
      <w:r>
        <w:rPr>
          <w:rFonts w:asciiTheme="minorEastAsia" w:hAnsiTheme="minorEastAsia"/>
          <w:szCs w:val="21"/>
        </w:rPr>
        <w:t>评标委员会将依据委托招标金额作为授予合同价格的上限。</w:t>
      </w:r>
    </w:p>
    <w:p w14:paraId="7A917F5B">
      <w:pPr>
        <w:spacing w:line="360" w:lineRule="auto"/>
        <w:ind w:firstLine="420" w:firstLineChars="200"/>
        <w:rPr>
          <w:rFonts w:asciiTheme="minorEastAsia" w:hAnsiTheme="minorEastAsia"/>
          <w:szCs w:val="21"/>
        </w:rPr>
      </w:pPr>
      <w:r>
        <w:rPr>
          <w:rFonts w:asciiTheme="minorEastAsia" w:hAnsiTheme="minorEastAsia"/>
          <w:szCs w:val="21"/>
        </w:rPr>
        <w:t>评标委员会同时将参照本须知第</w:t>
      </w:r>
      <w:r>
        <w:rPr>
          <w:rFonts w:asciiTheme="minorEastAsia" w:hAnsiTheme="minorEastAsia"/>
          <w:szCs w:val="21"/>
        </w:rPr>
        <w:fldChar w:fldCharType="begin"/>
      </w:r>
      <w:r>
        <w:rPr>
          <w:rFonts w:asciiTheme="minorEastAsia" w:hAnsiTheme="minorEastAsia"/>
          <w:szCs w:val="21"/>
        </w:rPr>
        <w:instrText xml:space="preserve"> REF _Ref179619330 \r \h  \* MERGEFORMAT </w:instrText>
      </w:r>
      <w:r>
        <w:rPr>
          <w:rFonts w:asciiTheme="minorEastAsia" w:hAnsiTheme="minorEastAsia"/>
          <w:szCs w:val="21"/>
        </w:rPr>
        <w:fldChar w:fldCharType="separate"/>
      </w:r>
      <w:r>
        <w:rPr>
          <w:rFonts w:asciiTheme="minorEastAsia" w:hAnsiTheme="minorEastAsia"/>
          <w:b/>
          <w:szCs w:val="21"/>
        </w:rPr>
        <w:t>29.6</w:t>
      </w:r>
      <w:r>
        <w:rPr>
          <w:rFonts w:asciiTheme="minorEastAsia" w:hAnsiTheme="minorEastAsia"/>
          <w:szCs w:val="21"/>
        </w:rPr>
        <w:fldChar w:fldCharType="end"/>
      </w:r>
      <w:r>
        <w:rPr>
          <w:rFonts w:asciiTheme="minorEastAsia" w:hAnsiTheme="minorEastAsia"/>
          <w:szCs w:val="21"/>
        </w:rPr>
        <w:t>条规定，只对确定为实质上响应招标文件要求的投标进行下一步评定。</w:t>
      </w:r>
    </w:p>
    <w:p w14:paraId="18412166">
      <w:pPr>
        <w:spacing w:line="360" w:lineRule="auto"/>
        <w:ind w:firstLine="420" w:firstLineChars="200"/>
        <w:rPr>
          <w:rFonts w:asciiTheme="minorEastAsia" w:hAnsiTheme="minorEastAsia"/>
          <w:szCs w:val="21"/>
        </w:rPr>
      </w:pPr>
      <w:bookmarkStart w:id="132" w:name="_Ref179621588"/>
      <w:r>
        <w:rPr>
          <w:rFonts w:asciiTheme="minorEastAsia" w:hAnsiTheme="minorEastAsia"/>
          <w:szCs w:val="21"/>
        </w:rPr>
        <w:t>综合评审：评标委员会对每个通过资格性检查和符合性检查且报价不超过预算控制金额的投标供应商进行评审、打分。综合评分的各项因素主要包括技术和商务等内容，根据招标项目要求的不同，本项目的评分因素和权重分值见招标文件。</w:t>
      </w:r>
      <w:bookmarkEnd w:id="132"/>
    </w:p>
    <w:p w14:paraId="3123427A">
      <w:pPr>
        <w:spacing w:line="360" w:lineRule="auto"/>
        <w:ind w:firstLine="420" w:firstLineChars="200"/>
        <w:rPr>
          <w:rFonts w:asciiTheme="minorEastAsia" w:hAnsiTheme="minorEastAsia"/>
          <w:szCs w:val="21"/>
        </w:rPr>
      </w:pPr>
      <w:r>
        <w:rPr>
          <w:rFonts w:asciiTheme="minorEastAsia" w:hAnsiTheme="minorEastAsia"/>
          <w:szCs w:val="21"/>
        </w:rPr>
        <w:t>计算</w:t>
      </w:r>
    </w:p>
    <w:p w14:paraId="3F5BF606">
      <w:pPr>
        <w:spacing w:line="360" w:lineRule="auto"/>
        <w:ind w:firstLine="420" w:firstLineChars="200"/>
        <w:rPr>
          <w:rFonts w:asciiTheme="minorEastAsia" w:hAnsiTheme="minorEastAsia"/>
          <w:szCs w:val="21"/>
        </w:rPr>
      </w:pPr>
      <w:r>
        <w:rPr>
          <w:rFonts w:asciiTheme="minorEastAsia" w:hAnsiTheme="minorEastAsia"/>
          <w:szCs w:val="21"/>
        </w:rPr>
        <w:t>评标总得分=Bi/Ni</w:t>
      </w:r>
    </w:p>
    <w:p w14:paraId="1E7BD64F">
      <w:pPr>
        <w:spacing w:line="360" w:lineRule="auto"/>
        <w:ind w:firstLine="420" w:firstLineChars="200"/>
        <w:rPr>
          <w:rFonts w:asciiTheme="minorEastAsia" w:hAnsiTheme="minorEastAsia"/>
          <w:szCs w:val="21"/>
        </w:rPr>
      </w:pPr>
      <w:r>
        <w:rPr>
          <w:rFonts w:asciiTheme="minorEastAsia" w:hAnsiTheme="minorEastAsia"/>
          <w:szCs w:val="21"/>
        </w:rPr>
        <w:t>Ni——为投标供应商的投标报价；</w:t>
      </w:r>
    </w:p>
    <w:p w14:paraId="39869F3B">
      <w:pPr>
        <w:spacing w:line="360" w:lineRule="auto"/>
        <w:ind w:firstLine="420" w:firstLineChars="200"/>
        <w:rPr>
          <w:rFonts w:asciiTheme="minorEastAsia" w:hAnsiTheme="minorEastAsia"/>
          <w:szCs w:val="21"/>
        </w:rPr>
      </w:pPr>
      <w:r>
        <w:rPr>
          <w:rFonts w:asciiTheme="minorEastAsia" w:hAnsiTheme="minorEastAsia"/>
          <w:szCs w:val="21"/>
        </w:rPr>
        <w:t>Bi——为投标供应商的综合得分，其中Bi＝（A1×J+A2×C+…+An×F）；</w:t>
      </w:r>
    </w:p>
    <w:p w14:paraId="57B9BD66">
      <w:pPr>
        <w:spacing w:line="360" w:lineRule="auto"/>
        <w:ind w:firstLine="420" w:firstLineChars="200"/>
        <w:rPr>
          <w:rFonts w:asciiTheme="minorEastAsia" w:hAnsiTheme="minorEastAsia"/>
          <w:szCs w:val="21"/>
        </w:rPr>
      </w:pPr>
      <w:r>
        <w:rPr>
          <w:rFonts w:asciiTheme="minorEastAsia" w:hAnsiTheme="minorEastAsia"/>
          <w:szCs w:val="21"/>
        </w:rPr>
        <w:t>J、C、……F分别为各项评分因素（技术、信誉、业绩、服务等因素），投标报价除外；各因素满分均为100分；</w:t>
      </w:r>
    </w:p>
    <w:p w14:paraId="5665D98A">
      <w:pPr>
        <w:spacing w:line="360" w:lineRule="auto"/>
        <w:ind w:firstLine="420" w:firstLineChars="200"/>
        <w:rPr>
          <w:rFonts w:asciiTheme="minorEastAsia" w:hAnsiTheme="minorEastAsia"/>
          <w:szCs w:val="21"/>
        </w:rPr>
      </w:pPr>
      <w:r>
        <w:rPr>
          <w:rFonts w:asciiTheme="minorEastAsia" w:hAnsiTheme="minorEastAsia"/>
          <w:szCs w:val="21"/>
        </w:rPr>
        <w:t>A1 、A2、A3、...An分别是各项评分因素所占的权重（A1＋A2＋A3＋…＋An＝1）；</w:t>
      </w:r>
    </w:p>
    <w:p w14:paraId="4E0CC633">
      <w:pPr>
        <w:spacing w:line="360" w:lineRule="auto"/>
        <w:ind w:firstLine="420" w:firstLineChars="200"/>
        <w:rPr>
          <w:rFonts w:asciiTheme="minorEastAsia" w:hAnsiTheme="minorEastAsia"/>
          <w:szCs w:val="21"/>
        </w:rPr>
      </w:pPr>
      <w:r>
        <w:rPr>
          <w:rFonts w:asciiTheme="minorEastAsia" w:hAnsiTheme="minorEastAsia"/>
          <w:szCs w:val="21"/>
        </w:rPr>
        <w:t>定标原则</w:t>
      </w:r>
    </w:p>
    <w:p w14:paraId="77B31048">
      <w:pPr>
        <w:spacing w:line="360" w:lineRule="auto"/>
        <w:ind w:firstLine="420" w:firstLineChars="200"/>
        <w:rPr>
          <w:rFonts w:asciiTheme="minorEastAsia" w:hAnsiTheme="minorEastAsia"/>
          <w:szCs w:val="21"/>
        </w:rPr>
      </w:pPr>
      <w:r>
        <w:rPr>
          <w:rFonts w:asciiTheme="minorEastAsia" w:hAnsiTheme="minorEastAsia"/>
          <w:szCs w:val="21"/>
        </w:rPr>
        <w:t>按商数得分由高到低顺序排列，以商数最高的投标供应商作为中标侯选供应商或中标供应商。商数得分相同的，按投标报价由低到高顺序排列。商数得分且投标报价相同的，按技术指标优劣顺序排列。</w:t>
      </w:r>
    </w:p>
    <w:p w14:paraId="7677631F">
      <w:pPr>
        <w:pStyle w:val="5"/>
        <w:ind w:firstLine="482"/>
      </w:pPr>
      <w:bookmarkStart w:id="133" w:name="_Toc12447"/>
      <w:bookmarkStart w:id="134" w:name="_Toc31060"/>
      <w:bookmarkStart w:id="135" w:name="_Toc55548528"/>
      <w:r>
        <w:t>六、授予合同</w:t>
      </w:r>
      <w:bookmarkEnd w:id="133"/>
      <w:bookmarkEnd w:id="134"/>
      <w:bookmarkEnd w:id="135"/>
    </w:p>
    <w:p w14:paraId="4F2D64AF">
      <w:pPr>
        <w:pStyle w:val="4"/>
        <w:spacing w:line="360" w:lineRule="auto"/>
        <w:ind w:firstLine="482"/>
      </w:pPr>
      <w:bookmarkStart w:id="136" w:name="_Toc4551"/>
      <w:bookmarkStart w:id="137" w:name="_Toc55548529"/>
      <w:r>
        <w:rPr>
          <w:rFonts w:hint="eastAsia"/>
        </w:rPr>
        <w:t>最终审查</w:t>
      </w:r>
      <w:bookmarkEnd w:id="136"/>
      <w:bookmarkEnd w:id="137"/>
    </w:p>
    <w:p w14:paraId="5F038BC9">
      <w:pPr>
        <w:spacing w:line="360" w:lineRule="auto"/>
        <w:ind w:firstLine="420" w:firstLineChars="200"/>
        <w:rPr>
          <w:rFonts w:asciiTheme="minorEastAsia" w:hAnsiTheme="minorEastAsia"/>
          <w:szCs w:val="21"/>
        </w:rPr>
      </w:pPr>
      <w:r>
        <w:rPr>
          <w:rFonts w:asciiTheme="minorEastAsia" w:hAnsiTheme="minorEastAsia"/>
          <w:szCs w:val="21"/>
        </w:rPr>
        <w:t>评标委员会将根据本须知列出的标准审查第一中标候选人是否有能力圆满地履行合同。</w:t>
      </w:r>
    </w:p>
    <w:p w14:paraId="0375B975">
      <w:pPr>
        <w:spacing w:line="360" w:lineRule="auto"/>
        <w:ind w:firstLine="420" w:firstLineChars="200"/>
        <w:rPr>
          <w:rFonts w:asciiTheme="minorEastAsia" w:hAnsiTheme="minorEastAsia"/>
          <w:szCs w:val="21"/>
        </w:rPr>
      </w:pPr>
      <w:r>
        <w:rPr>
          <w:rFonts w:asciiTheme="minorEastAsia" w:hAnsiTheme="minorEastAsia"/>
          <w:szCs w:val="21"/>
        </w:rPr>
        <w:t>授标决定时还将考虑投标人的财务、技术和生产能力在招标期间是否有实质性变化。其基础是审查投标人按照本须知规定提交的资格证明文件和评标委员会认为必要的、合适的其它资料。</w:t>
      </w:r>
    </w:p>
    <w:p w14:paraId="2A8528E6">
      <w:pPr>
        <w:spacing w:line="360" w:lineRule="auto"/>
        <w:ind w:firstLine="420" w:firstLineChars="200"/>
        <w:rPr>
          <w:rFonts w:asciiTheme="minorEastAsia" w:hAnsiTheme="minorEastAsia"/>
          <w:szCs w:val="21"/>
        </w:rPr>
      </w:pPr>
      <w:r>
        <w:rPr>
          <w:rFonts w:asciiTheme="minorEastAsia" w:hAnsiTheme="minorEastAsia"/>
          <w:szCs w:val="21"/>
        </w:rPr>
        <w:t>如果审查通过，评标委员会将把合同授予该投标人；如果审查没有通过，评标委员会将拒绝其投标，并对下一个中标候选人能否令人满意地履行合同作类似的审查。</w:t>
      </w:r>
    </w:p>
    <w:p w14:paraId="51FAA4DE">
      <w:pPr>
        <w:pStyle w:val="4"/>
        <w:spacing w:line="360" w:lineRule="auto"/>
        <w:ind w:firstLine="482"/>
      </w:pPr>
      <w:bookmarkStart w:id="138" w:name="_Toc9998"/>
      <w:bookmarkStart w:id="139" w:name="_Toc55548530"/>
      <w:r>
        <w:rPr>
          <w:rFonts w:hint="eastAsia"/>
        </w:rPr>
        <w:t>合同授予标准</w:t>
      </w:r>
      <w:bookmarkEnd w:id="138"/>
      <w:bookmarkEnd w:id="139"/>
    </w:p>
    <w:p w14:paraId="1C16ACC0">
      <w:pPr>
        <w:spacing w:line="360" w:lineRule="auto"/>
        <w:ind w:firstLine="420" w:firstLineChars="200"/>
        <w:rPr>
          <w:rFonts w:asciiTheme="minorEastAsia" w:hAnsiTheme="minorEastAsia"/>
          <w:szCs w:val="21"/>
        </w:rPr>
      </w:pPr>
      <w:r>
        <w:rPr>
          <w:rFonts w:asciiTheme="minorEastAsia" w:hAnsiTheme="minorEastAsia"/>
          <w:szCs w:val="21"/>
        </w:rPr>
        <w:t>评标委员会将把合同授予被确定为实质上响应招标文件的要求并有履行合同能力的最低评标价的投标人或综合评价得分最高的投标人或评标总商数最高的投标人。</w:t>
      </w:r>
    </w:p>
    <w:p w14:paraId="409CF9CA">
      <w:pPr>
        <w:pStyle w:val="4"/>
        <w:spacing w:line="360" w:lineRule="auto"/>
        <w:ind w:firstLine="482"/>
      </w:pPr>
      <w:bookmarkStart w:id="140" w:name="_Toc29853"/>
      <w:bookmarkStart w:id="141" w:name="_Toc55548532"/>
      <w:r>
        <w:rPr>
          <w:rFonts w:hint="eastAsia"/>
        </w:rPr>
        <w:t>中标结果公示</w:t>
      </w:r>
      <w:bookmarkEnd w:id="140"/>
      <w:bookmarkEnd w:id="141"/>
    </w:p>
    <w:p w14:paraId="660CC93B">
      <w:pPr>
        <w:spacing w:line="360" w:lineRule="auto"/>
        <w:ind w:firstLine="420" w:firstLineChars="200"/>
        <w:rPr>
          <w:rFonts w:asciiTheme="minorEastAsia" w:hAnsiTheme="minorEastAsia"/>
          <w:szCs w:val="21"/>
        </w:rPr>
      </w:pPr>
      <w:r>
        <w:rPr>
          <w:rFonts w:asciiTheme="minorEastAsia" w:hAnsiTheme="minorEastAsia"/>
          <w:szCs w:val="21"/>
        </w:rPr>
        <w:t>为体现“公开、公平、公正”的原则，评标结束后，将在</w:t>
      </w:r>
      <w:r>
        <w:rPr>
          <w:rFonts w:hint="eastAsia" w:asciiTheme="minorEastAsia" w:hAnsiTheme="minorEastAsia"/>
          <w:szCs w:val="21"/>
        </w:rPr>
        <w:t>https://www.bawjxt.net/baqjbyfkzzx/ (深圳市宝安区疾病预防控制中心官网)</w:t>
      </w:r>
      <w:r>
        <w:rPr>
          <w:rFonts w:asciiTheme="minorEastAsia" w:hAnsiTheme="minorEastAsia"/>
          <w:szCs w:val="21"/>
        </w:rPr>
        <w:t>进行中标结果公示，公示期为三日。投标人如对评标结果有异议，应于公示期内以书面形式提出。若在公示期内未提出异议，则视为无异议或放弃异议权。</w:t>
      </w:r>
    </w:p>
    <w:p w14:paraId="5DC1F72B">
      <w:pPr>
        <w:spacing w:line="360" w:lineRule="auto"/>
        <w:ind w:firstLine="420" w:firstLineChars="200"/>
        <w:rPr>
          <w:rFonts w:asciiTheme="minorEastAsia" w:hAnsiTheme="minorEastAsia"/>
          <w:szCs w:val="21"/>
        </w:rPr>
      </w:pPr>
      <w:r>
        <w:rPr>
          <w:rFonts w:asciiTheme="minorEastAsia" w:hAnsiTheme="minorEastAsia"/>
          <w:szCs w:val="21"/>
        </w:rPr>
        <w:t>提出质疑的投标人应保证提出质疑内容及相应证明材料的真实性及来源的合法性，并承担相应的法律责任。提供虚假情况恶意质疑投诉，情节严重的，将可能导致暂停或取消其投标资格或者投标保证金被罚没。</w:t>
      </w:r>
    </w:p>
    <w:p w14:paraId="1AB23D13">
      <w:pPr>
        <w:pStyle w:val="4"/>
        <w:spacing w:line="360" w:lineRule="auto"/>
        <w:ind w:firstLine="482"/>
      </w:pPr>
      <w:bookmarkStart w:id="142" w:name="_Toc55548533"/>
      <w:bookmarkStart w:id="143" w:name="_Toc5257"/>
      <w:bookmarkStart w:id="144" w:name="_Ref179619923"/>
      <w:r>
        <w:rPr>
          <w:rFonts w:hint="eastAsia"/>
        </w:rPr>
        <w:t>接受和拒绝任何或所有投标的权力</w:t>
      </w:r>
      <w:bookmarkEnd w:id="142"/>
      <w:bookmarkEnd w:id="143"/>
      <w:bookmarkEnd w:id="144"/>
    </w:p>
    <w:p w14:paraId="60BC212E">
      <w:pPr>
        <w:spacing w:line="360" w:lineRule="auto"/>
        <w:ind w:firstLine="420" w:firstLineChars="200"/>
        <w:rPr>
          <w:rFonts w:asciiTheme="minorEastAsia" w:hAnsiTheme="minorEastAsia"/>
          <w:szCs w:val="21"/>
        </w:rPr>
      </w:pPr>
      <w:r>
        <w:rPr>
          <w:rFonts w:asciiTheme="minorEastAsia" w:hAnsiTheme="minorEastAsia"/>
          <w:szCs w:val="21"/>
        </w:rPr>
        <w:t>在特殊情况下，招标人保留在授标之前拒绝任何投标以及宣布招标程序无效或拒绝所有投标的权力，且对受影响的投标人不承担任何责任，也无义务向受影响的投标人解释采取这一行动的理由。</w:t>
      </w:r>
    </w:p>
    <w:p w14:paraId="51B8E0D8">
      <w:pPr>
        <w:pStyle w:val="4"/>
        <w:spacing w:line="360" w:lineRule="auto"/>
        <w:ind w:firstLine="482"/>
      </w:pPr>
      <w:bookmarkStart w:id="145" w:name="_Toc55548534"/>
      <w:bookmarkStart w:id="146" w:name="_Toc1842"/>
      <w:r>
        <w:rPr>
          <w:rFonts w:hint="eastAsia"/>
        </w:rPr>
        <w:t>中标通知书</w:t>
      </w:r>
      <w:bookmarkEnd w:id="145"/>
      <w:bookmarkEnd w:id="146"/>
    </w:p>
    <w:p w14:paraId="344FCA7D">
      <w:pPr>
        <w:spacing w:line="360" w:lineRule="auto"/>
        <w:ind w:firstLine="420" w:firstLineChars="200"/>
        <w:rPr>
          <w:rFonts w:asciiTheme="minorEastAsia" w:hAnsiTheme="minorEastAsia"/>
          <w:szCs w:val="21"/>
        </w:rPr>
      </w:pPr>
      <w:r>
        <w:rPr>
          <w:rFonts w:asciiTheme="minorEastAsia" w:hAnsiTheme="minorEastAsia"/>
          <w:szCs w:val="21"/>
        </w:rPr>
        <w:t>中标人确定后，</w:t>
      </w:r>
      <w:r>
        <w:rPr>
          <w:rFonts w:hint="eastAsia" w:asciiTheme="minorEastAsia" w:hAnsiTheme="minorEastAsia"/>
          <w:szCs w:val="21"/>
        </w:rPr>
        <w:t>本中心</w:t>
      </w:r>
      <w:r>
        <w:rPr>
          <w:rFonts w:asciiTheme="minorEastAsia" w:hAnsiTheme="minorEastAsia"/>
          <w:szCs w:val="21"/>
        </w:rPr>
        <w:t>将向中标人发出《中标通知书》。</w:t>
      </w:r>
    </w:p>
    <w:p w14:paraId="20174E07">
      <w:pPr>
        <w:spacing w:line="360" w:lineRule="auto"/>
        <w:ind w:firstLine="420" w:firstLineChars="200"/>
        <w:rPr>
          <w:rFonts w:asciiTheme="minorEastAsia" w:hAnsiTheme="minorEastAsia"/>
          <w:szCs w:val="21"/>
        </w:rPr>
      </w:pPr>
      <w:r>
        <w:rPr>
          <w:rFonts w:asciiTheme="minorEastAsia" w:hAnsiTheme="minorEastAsia"/>
          <w:szCs w:val="21"/>
        </w:rPr>
        <w:t>《中标通知书》是合同的一个组成部分。</w:t>
      </w:r>
    </w:p>
    <w:p w14:paraId="2EC28CCD">
      <w:pPr>
        <w:pStyle w:val="4"/>
        <w:spacing w:line="360" w:lineRule="auto"/>
        <w:ind w:firstLine="482"/>
      </w:pPr>
      <w:bookmarkStart w:id="147" w:name="_Toc11931"/>
      <w:bookmarkStart w:id="148" w:name="_Ref179619520"/>
      <w:bookmarkStart w:id="149" w:name="_Toc55548535"/>
      <w:r>
        <w:rPr>
          <w:rFonts w:hint="eastAsia"/>
        </w:rPr>
        <w:t>签订合同</w:t>
      </w:r>
      <w:bookmarkEnd w:id="147"/>
      <w:bookmarkEnd w:id="148"/>
      <w:bookmarkEnd w:id="149"/>
    </w:p>
    <w:p w14:paraId="1C4A9406">
      <w:pPr>
        <w:spacing w:line="360" w:lineRule="auto"/>
        <w:ind w:firstLine="420" w:firstLineChars="200"/>
        <w:rPr>
          <w:rFonts w:asciiTheme="minorEastAsia" w:hAnsiTheme="minorEastAsia"/>
          <w:szCs w:val="21"/>
        </w:rPr>
      </w:pPr>
      <w:r>
        <w:rPr>
          <w:rFonts w:asciiTheme="minorEastAsia" w:hAnsiTheme="minorEastAsia"/>
          <w:szCs w:val="21"/>
        </w:rPr>
        <w:t>《中标通知书》发出后10个工作日内，中标人应按照招标文件和中标人的投标文件订立书面合同。中标人不得与招标人再订立背离合同实质性内容的其他协议。</w:t>
      </w:r>
    </w:p>
    <w:p w14:paraId="2F39BD6B">
      <w:pPr>
        <w:spacing w:line="360" w:lineRule="auto"/>
        <w:ind w:firstLine="420" w:firstLineChars="200"/>
        <w:rPr>
          <w:rFonts w:asciiTheme="minorEastAsia" w:hAnsiTheme="minorEastAsia"/>
          <w:szCs w:val="21"/>
        </w:rPr>
      </w:pPr>
      <w:r>
        <w:rPr>
          <w:rFonts w:asciiTheme="minorEastAsia" w:hAnsiTheme="minorEastAsia"/>
          <w:szCs w:val="21"/>
        </w:rPr>
        <w:t>招标文件、中标人的投标文件及其澄清文件等，均为签订合同的依据。</w:t>
      </w:r>
    </w:p>
    <w:p w14:paraId="7F6AB098">
      <w:pPr>
        <w:spacing w:line="360" w:lineRule="auto"/>
        <w:ind w:firstLine="420" w:firstLineChars="200"/>
        <w:rPr>
          <w:rFonts w:asciiTheme="minorEastAsia" w:hAnsiTheme="minorEastAsia"/>
          <w:szCs w:val="21"/>
        </w:rPr>
      </w:pPr>
      <w:r>
        <w:rPr>
          <w:rFonts w:asciiTheme="minorEastAsia" w:hAnsiTheme="minorEastAsia"/>
          <w:szCs w:val="21"/>
        </w:rPr>
        <w:t>合同签订后5个工作日内，中标人须将合同副本(合同复印件加盖中标人公章，原件核验)送</w:t>
      </w:r>
      <w:r>
        <w:rPr>
          <w:rFonts w:hint="eastAsia" w:asciiTheme="minorEastAsia" w:hAnsiTheme="minorEastAsia"/>
          <w:szCs w:val="21"/>
        </w:rPr>
        <w:t>本中心</w:t>
      </w:r>
      <w:r>
        <w:rPr>
          <w:rFonts w:asciiTheme="minorEastAsia" w:hAnsiTheme="minorEastAsia"/>
          <w:szCs w:val="21"/>
        </w:rPr>
        <w:t>存档备案。</w:t>
      </w:r>
    </w:p>
    <w:p w14:paraId="19FB6FC9">
      <w:pPr>
        <w:spacing w:line="360" w:lineRule="auto"/>
        <w:ind w:firstLine="420" w:firstLineChars="200"/>
        <w:sectPr>
          <w:pgSz w:w="11906" w:h="16838"/>
          <w:pgMar w:top="1418" w:right="1474" w:bottom="1418" w:left="1474" w:header="851" w:footer="992" w:gutter="0"/>
          <w:cols w:space="425" w:num="1"/>
          <w:docGrid w:type="lines" w:linePitch="312" w:charSpace="0"/>
        </w:sectPr>
      </w:pPr>
    </w:p>
    <w:p w14:paraId="56D4B065">
      <w:pPr>
        <w:pStyle w:val="2"/>
      </w:pPr>
      <w:bookmarkStart w:id="150" w:name="_Toc61539111"/>
      <w:bookmarkStart w:id="151" w:name="_Toc61880307"/>
      <w:r>
        <w:rPr>
          <w:rFonts w:hint="eastAsia"/>
        </w:rPr>
        <w:t>第四章  附件－投标文件格式</w:t>
      </w:r>
      <w:bookmarkEnd w:id="150"/>
      <w:bookmarkEnd w:id="151"/>
    </w:p>
    <w:p w14:paraId="744592AA">
      <w:pPr>
        <w:spacing w:line="360" w:lineRule="auto"/>
        <w:ind w:firstLine="420" w:firstLineChars="200"/>
        <w:rPr>
          <w:rFonts w:asciiTheme="minorEastAsia" w:hAnsiTheme="minorEastAsia"/>
          <w:szCs w:val="21"/>
        </w:rPr>
      </w:pPr>
      <w:r>
        <w:rPr>
          <w:rFonts w:hint="eastAsia" w:asciiTheme="minorEastAsia" w:hAnsiTheme="minorEastAsia"/>
          <w:szCs w:val="21"/>
        </w:rPr>
        <w:t>附件1：投标函格式</w:t>
      </w:r>
    </w:p>
    <w:p w14:paraId="28F76139">
      <w:pPr>
        <w:keepNext/>
        <w:keepLines/>
        <w:spacing w:before="160" w:after="170"/>
        <w:ind w:firstLine="602" w:firstLineChars="200"/>
        <w:jc w:val="center"/>
        <w:outlineLvl w:val="4"/>
        <w:rPr>
          <w:b/>
          <w:bCs/>
          <w:sz w:val="30"/>
          <w:szCs w:val="28"/>
        </w:rPr>
      </w:pPr>
      <w:bookmarkStart w:id="152" w:name="_Toc55548538"/>
      <w:r>
        <w:rPr>
          <w:rFonts w:hint="eastAsia"/>
          <w:b/>
          <w:bCs/>
          <w:sz w:val="30"/>
          <w:szCs w:val="28"/>
        </w:rPr>
        <w:t>投标函</w:t>
      </w:r>
      <w:bookmarkEnd w:id="152"/>
    </w:p>
    <w:p w14:paraId="5F1BEC47">
      <w:pPr>
        <w:spacing w:line="360" w:lineRule="auto"/>
        <w:ind w:firstLine="420" w:firstLineChars="200"/>
        <w:rPr>
          <w:rFonts w:asciiTheme="minorEastAsia" w:hAnsiTheme="minorEastAsia"/>
          <w:color w:val="000000"/>
          <w:szCs w:val="21"/>
          <w:u w:val="single"/>
        </w:rPr>
      </w:pPr>
      <w:r>
        <w:rPr>
          <w:rFonts w:hint="eastAsia" w:asciiTheme="minorEastAsia" w:hAnsiTheme="minorEastAsia"/>
          <w:color w:val="000000"/>
          <w:szCs w:val="21"/>
        </w:rPr>
        <w:t>致：</w:t>
      </w:r>
      <w:r>
        <w:rPr>
          <w:rFonts w:hint="eastAsia" w:asciiTheme="minorEastAsia" w:hAnsiTheme="minorEastAsia"/>
          <w:szCs w:val="21"/>
          <w:u w:val="single"/>
        </w:rPr>
        <w:t>深圳市宝安区疾病预防控制中心（深圳市宝安区卫生监督所）</w:t>
      </w:r>
    </w:p>
    <w:p w14:paraId="1F65CF80">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我们收到你们组织的</w:t>
      </w:r>
      <w:r>
        <w:rPr>
          <w:rFonts w:hint="eastAsia" w:asciiTheme="minorEastAsia" w:hAnsiTheme="minorEastAsia"/>
          <w:color w:val="000000"/>
          <w:szCs w:val="21"/>
          <w:u w:val="single"/>
        </w:rPr>
        <w:t xml:space="preserve"> （项目名称） </w:t>
      </w:r>
      <w:r>
        <w:rPr>
          <w:rFonts w:hint="eastAsia" w:asciiTheme="minorEastAsia" w:hAnsiTheme="minorEastAsia"/>
          <w:color w:val="000000"/>
          <w:szCs w:val="21"/>
        </w:rPr>
        <w:t xml:space="preserve">招标文件，经详细研究，我们决定参加该项目 </w:t>
      </w:r>
      <w:r>
        <w:rPr>
          <w:rFonts w:hint="eastAsia" w:asciiTheme="minorEastAsia" w:hAnsiTheme="minorEastAsia"/>
          <w:color w:val="000000"/>
          <w:szCs w:val="21"/>
          <w:u w:val="single"/>
        </w:rPr>
        <w:t xml:space="preserve">（项目编号） </w:t>
      </w:r>
      <w:r>
        <w:rPr>
          <w:rFonts w:hint="eastAsia" w:asciiTheme="minorEastAsia" w:hAnsiTheme="minorEastAsia"/>
          <w:color w:val="000000"/>
          <w:szCs w:val="21"/>
        </w:rPr>
        <w:t xml:space="preserve"> 招标的有关活动，并投标。为此，我方谨郑重声明以下诸点，并对之负法律责任。</w:t>
      </w:r>
    </w:p>
    <w:p w14:paraId="2324EEB2">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1、我方愿以《开标一览表》中填写的投标总价并按照招标文件中的一切要求，承担上述项目的全部工作。</w:t>
      </w:r>
    </w:p>
    <w:p w14:paraId="5009749B">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2、我方提交的投标文件为：投标书正本一份，副本二份，电子档文件一份。</w:t>
      </w:r>
    </w:p>
    <w:p w14:paraId="02E7DB5B">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3、如果我们投标书被接受，我们将履行招标文件中规定的每一项要求，按期、按质、按量完成任务。</w:t>
      </w:r>
    </w:p>
    <w:p w14:paraId="722026C2">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4、我们愿意提供招标文件中要求的所有资料，且所递交的投标文件在投标有效期（即90天）内有效，在此期间内我方的投标有可能中标，我方将受此约束。</w:t>
      </w:r>
    </w:p>
    <w:p w14:paraId="7F8EBC7D">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5、我们理解，最低报价不是中标的唯一条件。我们认为你们有选择或拒绝任何投标者中标的权利。</w:t>
      </w:r>
    </w:p>
    <w:p w14:paraId="772EC467">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6、我方愿按《中华人民共和国合同法》履行自己的全部责任。</w:t>
      </w:r>
    </w:p>
    <w:p w14:paraId="7A0FEC26">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7、我们同意招标文件之规定，遵守有关招标的各项规定。</w:t>
      </w:r>
    </w:p>
    <w:p w14:paraId="15E2DA54">
      <w:pPr>
        <w:spacing w:line="360" w:lineRule="auto"/>
        <w:ind w:firstLine="420" w:firstLineChars="200"/>
        <w:rPr>
          <w:rFonts w:asciiTheme="minorEastAsia" w:hAnsiTheme="minorEastAsia"/>
          <w:color w:val="000000"/>
          <w:szCs w:val="21"/>
        </w:rPr>
      </w:pPr>
      <w:r>
        <w:rPr>
          <w:rFonts w:asciiTheme="minorEastAsia" w:hAnsiTheme="minorEastAsia"/>
          <w:color w:val="000000"/>
          <w:szCs w:val="21"/>
        </w:rPr>
        <w:t>8</w:t>
      </w:r>
      <w:r>
        <w:rPr>
          <w:rFonts w:hint="eastAsia" w:asciiTheme="minorEastAsia" w:hAnsiTheme="minorEastAsia"/>
          <w:color w:val="000000"/>
          <w:szCs w:val="21"/>
        </w:rPr>
        <w:t>、所有有关本标书的函电，请按下列地址联系：</w:t>
      </w:r>
    </w:p>
    <w:p w14:paraId="2DE17445">
      <w:pPr>
        <w:spacing w:line="360" w:lineRule="auto"/>
        <w:ind w:firstLine="420" w:firstLineChars="200"/>
        <w:rPr>
          <w:rFonts w:asciiTheme="minorEastAsia" w:hAnsiTheme="minorEastAsia"/>
          <w:color w:val="000000"/>
          <w:szCs w:val="21"/>
        </w:rPr>
      </w:pPr>
    </w:p>
    <w:p w14:paraId="36828BD1">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单    位： （盖章）</w:t>
      </w:r>
    </w:p>
    <w:p w14:paraId="2A1E93C9">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授权代表或法人代表： （签字）</w:t>
      </w:r>
    </w:p>
    <w:p w14:paraId="7F7790DB">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 xml:space="preserve">地    址： </w:t>
      </w:r>
    </w:p>
    <w:p w14:paraId="625379C5">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 xml:space="preserve">电    话：     </w:t>
      </w:r>
    </w:p>
    <w:p w14:paraId="4E0DA85F">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传    真：</w:t>
      </w:r>
    </w:p>
    <w:p w14:paraId="29CF46AB">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邮    编：</w:t>
      </w:r>
    </w:p>
    <w:p w14:paraId="4CB1208D">
      <w:pPr>
        <w:spacing w:line="360" w:lineRule="auto"/>
        <w:ind w:firstLine="420" w:firstLineChars="200"/>
        <w:rPr>
          <w:rFonts w:asciiTheme="minorEastAsia" w:hAnsiTheme="minorEastAsia"/>
          <w:szCs w:val="21"/>
        </w:rPr>
      </w:pPr>
      <w:r>
        <w:rPr>
          <w:rFonts w:asciiTheme="minorEastAsia" w:hAnsiTheme="minorEastAsia"/>
          <w:szCs w:val="21"/>
        </w:rPr>
        <w:br w:type="page"/>
      </w:r>
      <w:r>
        <w:rPr>
          <w:rFonts w:hint="eastAsia" w:asciiTheme="minorEastAsia" w:hAnsiTheme="minorEastAsia"/>
          <w:szCs w:val="21"/>
        </w:rPr>
        <w:t>附件2：政府采购投标及履约承诺函</w:t>
      </w:r>
    </w:p>
    <w:p w14:paraId="074513C9">
      <w:pPr>
        <w:keepNext/>
        <w:keepLines/>
        <w:spacing w:before="160" w:after="170"/>
        <w:ind w:firstLine="602" w:firstLineChars="200"/>
        <w:jc w:val="center"/>
        <w:outlineLvl w:val="4"/>
        <w:rPr>
          <w:b/>
          <w:bCs/>
          <w:sz w:val="30"/>
          <w:szCs w:val="28"/>
        </w:rPr>
      </w:pPr>
      <w:bookmarkStart w:id="153" w:name="_Toc55548539"/>
      <w:bookmarkStart w:id="154" w:name="_Toc30545"/>
      <w:r>
        <w:rPr>
          <w:rFonts w:hint="eastAsia"/>
          <w:b/>
          <w:bCs/>
          <w:sz w:val="30"/>
          <w:szCs w:val="28"/>
        </w:rPr>
        <w:t>政府采购投标及履约承诺函</w:t>
      </w:r>
      <w:bookmarkEnd w:id="153"/>
    </w:p>
    <w:p w14:paraId="53F3C9A8">
      <w:pPr>
        <w:spacing w:line="360" w:lineRule="auto"/>
        <w:ind w:firstLine="420" w:firstLineChars="200"/>
        <w:rPr>
          <w:rFonts w:asciiTheme="minorEastAsia" w:hAnsiTheme="minorEastAsia"/>
          <w:szCs w:val="21"/>
        </w:rPr>
      </w:pPr>
      <w:r>
        <w:rPr>
          <w:rFonts w:hint="eastAsia" w:asciiTheme="minorEastAsia" w:hAnsiTheme="minorEastAsia"/>
          <w:szCs w:val="21"/>
        </w:rPr>
        <w:t>致：</w:t>
      </w:r>
      <w:r>
        <w:rPr>
          <w:rFonts w:hint="eastAsia" w:cs="Courier New" w:asciiTheme="minorEastAsia" w:hAnsiTheme="minorEastAsia"/>
          <w:snapToGrid w:val="0"/>
          <w:szCs w:val="21"/>
        </w:rPr>
        <w:t>深圳市宝安区疾病预防控制中心</w:t>
      </w:r>
      <w:r>
        <w:rPr>
          <w:rFonts w:hint="eastAsia" w:cs="Courier New" w:asciiTheme="minorEastAsia" w:hAnsiTheme="minorEastAsia"/>
          <w:snapToGrid w:val="0"/>
          <w:szCs w:val="21"/>
          <w:lang w:eastAsia="zh-CN"/>
        </w:rPr>
        <w:t>（</w:t>
      </w:r>
      <w:r>
        <w:rPr>
          <w:rFonts w:hint="eastAsia" w:cs="Courier New" w:asciiTheme="minorEastAsia" w:hAnsiTheme="minorEastAsia"/>
          <w:snapToGrid w:val="0"/>
          <w:szCs w:val="21"/>
          <w:lang w:val="en-US" w:eastAsia="zh-CN"/>
        </w:rPr>
        <w:t>深圳市宝安区卫生监督所</w:t>
      </w:r>
      <w:r>
        <w:rPr>
          <w:rFonts w:hint="eastAsia" w:cs="Courier New" w:asciiTheme="minorEastAsia" w:hAnsiTheme="minorEastAsia"/>
          <w:snapToGrid w:val="0"/>
          <w:szCs w:val="21"/>
          <w:lang w:eastAsia="zh-CN"/>
        </w:rPr>
        <w:t>）</w:t>
      </w:r>
    </w:p>
    <w:p w14:paraId="058176CB">
      <w:pPr>
        <w:spacing w:line="360" w:lineRule="auto"/>
        <w:ind w:right="-815" w:firstLine="420" w:firstLineChars="200"/>
        <w:rPr>
          <w:rFonts w:asciiTheme="minorEastAsia" w:hAnsiTheme="minorEastAsia"/>
          <w:szCs w:val="21"/>
        </w:rPr>
      </w:pPr>
      <w:r>
        <w:rPr>
          <w:rFonts w:hint="eastAsia" w:asciiTheme="minorEastAsia" w:hAnsiTheme="minorEastAsia"/>
          <w:szCs w:val="21"/>
        </w:rPr>
        <w:t>我公司承诺：</w:t>
      </w:r>
    </w:p>
    <w:p w14:paraId="3E52E402">
      <w:pPr>
        <w:spacing w:line="360" w:lineRule="auto"/>
        <w:ind w:firstLine="420" w:firstLineChars="200"/>
        <w:rPr>
          <w:rFonts w:asciiTheme="minorEastAsia" w:hAnsiTheme="minorEastAsia"/>
          <w:szCs w:val="21"/>
        </w:rPr>
      </w:pPr>
      <w:r>
        <w:rPr>
          <w:rFonts w:hint="eastAsia" w:asciiTheme="minorEastAsia" w:hAnsiTheme="minorEastAsia"/>
          <w:szCs w:val="21"/>
        </w:rPr>
        <w:t>1.我公司本招标项目所提供的货物或服务未侵犯知识产权。</w:t>
      </w:r>
    </w:p>
    <w:p w14:paraId="2108367F">
      <w:pPr>
        <w:spacing w:line="360" w:lineRule="auto"/>
        <w:ind w:firstLine="420" w:firstLineChars="200"/>
        <w:rPr>
          <w:rFonts w:asciiTheme="minorEastAsia" w:hAnsiTheme="minorEastAsia"/>
          <w:szCs w:val="21"/>
        </w:rPr>
      </w:pPr>
      <w:r>
        <w:rPr>
          <w:rFonts w:hint="eastAsia" w:asciiTheme="minorEastAsia" w:hAnsiTheme="minorEastAsia"/>
          <w:szCs w:val="21"/>
        </w:rPr>
        <w:t>2.我公司近三年内(成立不足三年的从成立之日起算)无行贿犯罪记录。</w:t>
      </w:r>
    </w:p>
    <w:p w14:paraId="7706E2BF">
      <w:pPr>
        <w:spacing w:line="360" w:lineRule="auto"/>
        <w:ind w:firstLine="420" w:firstLineChars="200"/>
        <w:rPr>
          <w:rFonts w:asciiTheme="minorEastAsia" w:hAnsiTheme="minorEastAsia"/>
          <w:szCs w:val="21"/>
        </w:rPr>
      </w:pPr>
      <w:r>
        <w:rPr>
          <w:rFonts w:hint="eastAsia" w:asciiTheme="minorEastAsia" w:hAnsiTheme="minorEastAsia"/>
          <w:szCs w:val="21"/>
        </w:rPr>
        <w:t>3.我公司参与本项目政府采购活动时不存在被有关部门禁止参与政府采购活动且在有效期内的情况。</w:t>
      </w:r>
    </w:p>
    <w:p w14:paraId="7CBBA6EA">
      <w:pPr>
        <w:spacing w:line="360" w:lineRule="auto"/>
        <w:ind w:firstLine="420" w:firstLineChars="200"/>
        <w:rPr>
          <w:rFonts w:asciiTheme="minorEastAsia" w:hAnsiTheme="minorEastAsia"/>
          <w:szCs w:val="21"/>
        </w:rPr>
      </w:pPr>
      <w:r>
        <w:rPr>
          <w:rFonts w:hint="eastAsia" w:asciiTheme="minorEastAsia" w:hAnsiTheme="minorEastAsia"/>
          <w:szCs w:val="21"/>
        </w:rPr>
        <w:t>4.我公司具备《中华人民共和国政府采购法》第二十二条第一款规定的资质。</w:t>
      </w:r>
    </w:p>
    <w:p w14:paraId="2B344CD8">
      <w:pPr>
        <w:spacing w:line="360" w:lineRule="auto"/>
        <w:ind w:firstLine="420" w:firstLineChars="200"/>
        <w:rPr>
          <w:rFonts w:asciiTheme="minorEastAsia" w:hAnsiTheme="minorEastAsia"/>
          <w:szCs w:val="21"/>
        </w:rPr>
      </w:pPr>
      <w:r>
        <w:rPr>
          <w:rFonts w:hint="eastAsia" w:asciiTheme="minorEastAsia" w:hAnsiTheme="minorEastAsia"/>
          <w:szCs w:val="21"/>
        </w:rPr>
        <w:t>5.我公司与其他投标供应商不存在单位负责人为同一人或者存在直接控股、管理关系，未对本次采购项目提供整体设计、规范编制或者项目管理、监理、检测等服务。</w:t>
      </w:r>
    </w:p>
    <w:p w14:paraId="565F5A7E">
      <w:pPr>
        <w:spacing w:line="360" w:lineRule="auto"/>
        <w:ind w:firstLine="420" w:firstLineChars="200"/>
        <w:rPr>
          <w:rFonts w:asciiTheme="minorEastAsia" w:hAnsiTheme="minorEastAsia"/>
          <w:szCs w:val="21"/>
        </w:rPr>
      </w:pPr>
      <w:r>
        <w:rPr>
          <w:rFonts w:hint="eastAsia" w:asciiTheme="minorEastAsia" w:hAnsiTheme="minorEastAsia"/>
          <w:szCs w:val="21"/>
        </w:rPr>
        <w:t>6.我公司未被列入失信被执行人、重大税收违法案件当事人名单、政府采购严重违法失信行为记录名单。</w:t>
      </w:r>
    </w:p>
    <w:p w14:paraId="7B6701D2">
      <w:pPr>
        <w:spacing w:line="360" w:lineRule="auto"/>
        <w:ind w:firstLine="420" w:firstLineChars="200"/>
        <w:rPr>
          <w:rFonts w:asciiTheme="minorEastAsia" w:hAnsiTheme="minorEastAsia"/>
          <w:szCs w:val="21"/>
        </w:rPr>
      </w:pPr>
      <w:r>
        <w:rPr>
          <w:rFonts w:hint="eastAsia" w:asciiTheme="minorEastAsia" w:hAnsiTheme="minorEastAsia"/>
          <w:szCs w:val="21"/>
        </w:rPr>
        <w:t>7.我公司参与该项目投标，严格遵守政府采购相关法律，投标做到诚实，不造假，不围标、串标、陪标。我公司已清楚，如违反上述要求，其投标将作废，被没收投标保证金，被列入不良记录名单并在网上曝光，同时将被提请政府采购监督管理部门给予一定年限内禁止参与政府采购活动或其他处罚。</w:t>
      </w:r>
    </w:p>
    <w:p w14:paraId="28200A0F">
      <w:pPr>
        <w:spacing w:line="360" w:lineRule="auto"/>
        <w:ind w:firstLine="420" w:firstLineChars="200"/>
        <w:rPr>
          <w:rFonts w:asciiTheme="minorEastAsia" w:hAnsiTheme="minorEastAsia"/>
          <w:szCs w:val="21"/>
        </w:rPr>
      </w:pPr>
      <w:r>
        <w:rPr>
          <w:rFonts w:hint="eastAsia" w:asciiTheme="minorEastAsia" w:hAnsiTheme="minorEastAsia"/>
          <w:szCs w:val="21"/>
        </w:rPr>
        <w:t>8.我公司如果中标，做到守信，不偷工减料，依照本项目招标文件需求内容、签署的采购合同及本公司在投标中所作的一切承诺履约。项目验收达到全部指标合格，力争优良。</w:t>
      </w:r>
    </w:p>
    <w:p w14:paraId="18CBD689">
      <w:pPr>
        <w:spacing w:line="360" w:lineRule="auto"/>
        <w:ind w:firstLine="420" w:firstLineChars="200"/>
        <w:rPr>
          <w:rFonts w:asciiTheme="minorEastAsia" w:hAnsiTheme="minorEastAsia"/>
          <w:szCs w:val="21"/>
        </w:rPr>
      </w:pPr>
      <w:r>
        <w:rPr>
          <w:rFonts w:hint="eastAsia" w:asciiTheme="minorEastAsia" w:hAnsiTheme="minorEastAsia"/>
          <w:szCs w:val="21"/>
        </w:rPr>
        <w:t>9.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投标保证金将不被退还，且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14:paraId="6666DA4D">
      <w:pPr>
        <w:spacing w:line="360" w:lineRule="auto"/>
        <w:ind w:firstLine="420" w:firstLineChars="200"/>
        <w:rPr>
          <w:rFonts w:asciiTheme="minorEastAsia" w:hAnsiTheme="minorEastAsia"/>
          <w:szCs w:val="21"/>
        </w:rPr>
      </w:pPr>
      <w:r>
        <w:rPr>
          <w:rFonts w:hint="eastAsia" w:asciiTheme="minorEastAsia" w:hAnsiTheme="minorEastAsia"/>
          <w:szCs w:val="21"/>
        </w:rPr>
        <w:t>10.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14:paraId="2F3DE775">
      <w:pPr>
        <w:spacing w:line="360" w:lineRule="auto"/>
        <w:ind w:firstLine="420" w:firstLineChars="200"/>
        <w:rPr>
          <w:rFonts w:asciiTheme="minorEastAsia" w:hAnsiTheme="minorEastAsia"/>
          <w:szCs w:val="21"/>
        </w:rPr>
      </w:pPr>
      <w:r>
        <w:rPr>
          <w:rFonts w:hint="eastAsia" w:asciiTheme="minorEastAsia" w:hAnsiTheme="minorEastAsia"/>
          <w:szCs w:val="21"/>
        </w:rPr>
        <w:t>11.我公司承诺本项目非联合体投标，不非法转包、分包。</w:t>
      </w:r>
    </w:p>
    <w:p w14:paraId="491C952D">
      <w:pPr>
        <w:spacing w:line="360" w:lineRule="auto"/>
        <w:ind w:firstLine="420" w:firstLineChars="200"/>
        <w:rPr>
          <w:rFonts w:asciiTheme="minorEastAsia" w:hAnsiTheme="minorEastAsia"/>
          <w:szCs w:val="21"/>
        </w:rPr>
      </w:pPr>
      <w:r>
        <w:rPr>
          <w:rFonts w:hint="eastAsia" w:asciiTheme="minorEastAsia" w:hAnsiTheme="minorEastAsia"/>
          <w:szCs w:val="21"/>
        </w:rPr>
        <w:t>以上承诺，如有违反，愿依照国家相关法律处理，并承担由此给采购人带来的损失。</w:t>
      </w:r>
    </w:p>
    <w:p w14:paraId="71566430">
      <w:pPr>
        <w:adjustRightInd w:val="0"/>
        <w:snapToGrid w:val="0"/>
        <w:spacing w:line="360" w:lineRule="auto"/>
        <w:ind w:firstLine="422" w:firstLineChars="200"/>
        <w:rPr>
          <w:rFonts w:asciiTheme="minorEastAsia" w:hAnsiTheme="minorEastAsia"/>
          <w:b/>
          <w:snapToGrid w:val="0"/>
          <w:kern w:val="0"/>
          <w:szCs w:val="21"/>
        </w:rPr>
      </w:pPr>
    </w:p>
    <w:p w14:paraId="7E68EBD0">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投标供应商：</w:t>
      </w:r>
    </w:p>
    <w:p w14:paraId="14A6B605">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法人或授权代表：</w:t>
      </w:r>
    </w:p>
    <w:p w14:paraId="33AF6D03">
      <w:pPr>
        <w:spacing w:line="360" w:lineRule="auto"/>
        <w:ind w:firstLine="420" w:firstLineChars="200"/>
        <w:rPr>
          <w:rFonts w:asciiTheme="minorEastAsia" w:hAnsiTheme="minorEastAsia"/>
          <w:color w:val="000000"/>
          <w:szCs w:val="21"/>
        </w:rPr>
        <w:sectPr>
          <w:pgSz w:w="11906" w:h="16838"/>
          <w:pgMar w:top="1440" w:right="1080" w:bottom="1440" w:left="1080" w:header="851" w:footer="992" w:gutter="0"/>
          <w:cols w:space="720" w:num="1"/>
          <w:titlePg/>
          <w:docGrid w:type="lines" w:linePitch="312" w:charSpace="0"/>
        </w:sectPr>
      </w:pPr>
      <w:r>
        <w:rPr>
          <w:rFonts w:hint="eastAsia" w:asciiTheme="minorEastAsia" w:hAnsiTheme="minorEastAsia"/>
          <w:color w:val="000000"/>
          <w:szCs w:val="21"/>
        </w:rPr>
        <w:t>日期：</w:t>
      </w:r>
    </w:p>
    <w:p w14:paraId="79C8A6A6">
      <w:pPr>
        <w:spacing w:line="360" w:lineRule="auto"/>
        <w:ind w:firstLine="420" w:firstLineChars="200"/>
        <w:rPr>
          <w:rFonts w:asciiTheme="minorEastAsia" w:hAnsiTheme="minorEastAsia"/>
          <w:szCs w:val="21"/>
        </w:rPr>
      </w:pPr>
      <w:r>
        <w:rPr>
          <w:rFonts w:hint="eastAsia" w:asciiTheme="minorEastAsia" w:hAnsiTheme="minorEastAsia"/>
          <w:szCs w:val="21"/>
        </w:rPr>
        <w:t>附件3：诚信承诺函格式</w:t>
      </w:r>
      <w:bookmarkEnd w:id="154"/>
    </w:p>
    <w:p w14:paraId="23388305">
      <w:pPr>
        <w:keepNext/>
        <w:keepLines/>
        <w:spacing w:before="160" w:after="170"/>
        <w:ind w:firstLine="602" w:firstLineChars="200"/>
        <w:jc w:val="center"/>
        <w:outlineLvl w:val="4"/>
        <w:rPr>
          <w:b/>
          <w:bCs/>
          <w:snapToGrid w:val="0"/>
          <w:sz w:val="30"/>
          <w:szCs w:val="28"/>
        </w:rPr>
      </w:pPr>
      <w:bookmarkStart w:id="155" w:name="_Toc55548540"/>
      <w:r>
        <w:rPr>
          <w:rFonts w:hint="eastAsia"/>
          <w:b/>
          <w:bCs/>
          <w:snapToGrid w:val="0"/>
          <w:sz w:val="30"/>
          <w:szCs w:val="28"/>
        </w:rPr>
        <w:t>诚信承诺函</w:t>
      </w:r>
      <w:bookmarkEnd w:id="155"/>
    </w:p>
    <w:p w14:paraId="5933E274">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深圳市宝安区疾病预防控制中心</w:t>
      </w:r>
      <w:r>
        <w:rPr>
          <w:rFonts w:hint="eastAsia" w:cs="Courier New" w:asciiTheme="minorEastAsia" w:hAnsiTheme="minorEastAsia"/>
          <w:snapToGrid w:val="0"/>
          <w:szCs w:val="21"/>
          <w:lang w:eastAsia="zh-CN"/>
        </w:rPr>
        <w:t>（</w:t>
      </w:r>
      <w:r>
        <w:rPr>
          <w:rFonts w:hint="eastAsia" w:cs="Courier New" w:asciiTheme="minorEastAsia" w:hAnsiTheme="minorEastAsia"/>
          <w:snapToGrid w:val="0"/>
          <w:szCs w:val="21"/>
          <w:lang w:val="en-US" w:eastAsia="zh-CN"/>
        </w:rPr>
        <w:t>深圳市宝安区卫生监督所</w:t>
      </w:r>
      <w:r>
        <w:rPr>
          <w:rFonts w:hint="eastAsia" w:cs="Courier New" w:asciiTheme="minorEastAsia" w:hAnsiTheme="minorEastAsia"/>
          <w:snapToGrid w:val="0"/>
          <w:szCs w:val="21"/>
          <w:lang w:eastAsia="zh-CN"/>
        </w:rPr>
        <w:t>）</w:t>
      </w:r>
      <w:r>
        <w:rPr>
          <w:rFonts w:hint="eastAsia" w:cs="Courier New" w:asciiTheme="minorEastAsia" w:hAnsiTheme="minorEastAsia"/>
          <w:snapToGrid w:val="0"/>
          <w:szCs w:val="21"/>
        </w:rPr>
        <w:t>：</w:t>
      </w:r>
    </w:p>
    <w:p w14:paraId="64BA6E05">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我公司承诺，根据《深圳市政府采购供应商诚信管理暂行办法》相关规定，在参与政府采购活动中不存在出现诚信相关问题且在相关主管部门处理措施实施期限内，如若投标文件与事实情况不符，我司自愿承担“隐瞒真实情况，提供虚假资料”以及其他一切不利的法律后果。</w:t>
      </w:r>
    </w:p>
    <w:p w14:paraId="397DBD6A">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我公司承诺，在参加政府采购活动中没有出现下列行为之一：</w:t>
      </w:r>
    </w:p>
    <w:p w14:paraId="083043BE">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（一）投标截止后，无正当理由撤销其投标行为，导致项目无法正常开评标的；</w:t>
      </w:r>
    </w:p>
    <w:p w14:paraId="4054C1D6">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（二）未按《采购条例》规定签订、履行采购合同，严重影响采购人日常工作的；</w:t>
      </w:r>
    </w:p>
    <w:p w14:paraId="336E7692">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（三）在投标文件中未说明且未经采购人同意，将中标项目分包给他人，情节严重的；</w:t>
      </w:r>
    </w:p>
    <w:p w14:paraId="687A75A1">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（四）严重违反合同约定，擅自降低货物质量等次和售后服务，货物、工程或者服务存在严重质量问题的；</w:t>
      </w:r>
    </w:p>
    <w:p w14:paraId="1AC11D13">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（五）严重违反合同约定，未能完成全部货物、服务或工程项目，中途停止配送或者变相增加费用的；</w:t>
      </w:r>
    </w:p>
    <w:p w14:paraId="5626214D">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（六）捏造事实、提供虚假材料进行质疑的；</w:t>
      </w:r>
    </w:p>
    <w:p w14:paraId="421B3728">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（七）假冒他人名义质疑的；</w:t>
      </w:r>
    </w:p>
    <w:p w14:paraId="0E746C2D">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（八）无正当理由拒不配合进行质疑调查的。</w:t>
      </w:r>
    </w:p>
    <w:p w14:paraId="019665A1">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特此承诺。</w:t>
      </w:r>
    </w:p>
    <w:p w14:paraId="5049AE03">
      <w:pPr>
        <w:spacing w:line="360" w:lineRule="auto"/>
        <w:ind w:firstLine="420" w:firstLineChars="200"/>
        <w:rPr>
          <w:rFonts w:asciiTheme="minorEastAsia" w:hAnsiTheme="minorEastAsia"/>
          <w:szCs w:val="21"/>
        </w:rPr>
      </w:pPr>
    </w:p>
    <w:p w14:paraId="09DF85B9">
      <w:pPr>
        <w:spacing w:line="360" w:lineRule="auto"/>
        <w:ind w:firstLine="420" w:firstLineChars="200"/>
        <w:rPr>
          <w:rFonts w:asciiTheme="minorEastAsia" w:hAnsiTheme="minorEastAsia"/>
          <w:szCs w:val="21"/>
        </w:rPr>
      </w:pPr>
    </w:p>
    <w:p w14:paraId="465A1B78">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投标供应商：</w:t>
      </w:r>
    </w:p>
    <w:p w14:paraId="0F39EB24">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法人或授权代表：</w:t>
      </w:r>
    </w:p>
    <w:p w14:paraId="7F002986">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日期：</w:t>
      </w:r>
    </w:p>
    <w:p w14:paraId="68261C7C">
      <w:pPr>
        <w:spacing w:line="360" w:lineRule="auto"/>
        <w:ind w:firstLine="420" w:firstLineChars="200"/>
        <w:rPr>
          <w:rFonts w:asciiTheme="minorEastAsia" w:hAnsiTheme="minorEastAsia"/>
          <w:szCs w:val="21"/>
        </w:rPr>
      </w:pPr>
    </w:p>
    <w:p w14:paraId="1D6160DE">
      <w:pPr>
        <w:spacing w:line="360" w:lineRule="auto"/>
        <w:ind w:firstLine="422" w:firstLineChars="200"/>
        <w:rPr>
          <w:rFonts w:asciiTheme="minorEastAsia" w:hAnsiTheme="minorEastAsia"/>
          <w:b/>
          <w:szCs w:val="21"/>
        </w:rPr>
      </w:pPr>
    </w:p>
    <w:p w14:paraId="18786E18">
      <w:pPr>
        <w:spacing w:line="360" w:lineRule="auto"/>
        <w:ind w:firstLine="420" w:firstLineChars="200"/>
        <w:rPr>
          <w:rFonts w:asciiTheme="minorEastAsia" w:hAnsiTheme="minorEastAsia"/>
          <w:szCs w:val="21"/>
        </w:rPr>
      </w:pPr>
      <w:r>
        <w:rPr>
          <w:rFonts w:asciiTheme="minorEastAsia" w:hAnsiTheme="minorEastAsia"/>
          <w:szCs w:val="21"/>
        </w:rPr>
        <w:br w:type="page"/>
      </w:r>
      <w:bookmarkStart w:id="156" w:name="_Toc6706"/>
      <w:r>
        <w:rPr>
          <w:rFonts w:hint="eastAsia" w:asciiTheme="minorEastAsia" w:hAnsiTheme="minorEastAsia"/>
          <w:szCs w:val="21"/>
        </w:rPr>
        <w:t>附件</w:t>
      </w:r>
      <w:r>
        <w:rPr>
          <w:rFonts w:asciiTheme="minorEastAsia" w:hAnsiTheme="minorEastAsia"/>
          <w:szCs w:val="21"/>
        </w:rPr>
        <w:t>4</w:t>
      </w:r>
      <w:r>
        <w:rPr>
          <w:rFonts w:hint="eastAsia" w:asciiTheme="minorEastAsia" w:hAnsiTheme="minorEastAsia"/>
          <w:szCs w:val="21"/>
        </w:rPr>
        <w:t>：开标一览表格式</w:t>
      </w:r>
      <w:bookmarkEnd w:id="156"/>
    </w:p>
    <w:p w14:paraId="1674C976">
      <w:pPr>
        <w:keepNext/>
        <w:keepLines/>
        <w:spacing w:before="160" w:after="170"/>
        <w:ind w:firstLine="602" w:firstLineChars="200"/>
        <w:jc w:val="center"/>
        <w:outlineLvl w:val="4"/>
        <w:rPr>
          <w:b/>
          <w:bCs/>
          <w:sz w:val="30"/>
          <w:szCs w:val="28"/>
        </w:rPr>
      </w:pPr>
      <w:bookmarkStart w:id="157" w:name="_Toc55548541"/>
      <w:r>
        <w:rPr>
          <w:rFonts w:hint="eastAsia"/>
          <w:b/>
          <w:bCs/>
          <w:sz w:val="30"/>
          <w:szCs w:val="28"/>
        </w:rPr>
        <w:t>开标一览表</w:t>
      </w:r>
      <w:bookmarkEnd w:id="157"/>
    </w:p>
    <w:p w14:paraId="039200AE">
      <w:pPr>
        <w:spacing w:line="360" w:lineRule="auto"/>
        <w:ind w:firstLine="420" w:firstLineChars="200"/>
        <w:rPr>
          <w:rFonts w:asciiTheme="minorEastAsia" w:hAnsiTheme="minorEastAsia"/>
          <w:szCs w:val="21"/>
        </w:rPr>
      </w:pPr>
      <w:r>
        <w:rPr>
          <w:rFonts w:hint="eastAsia" w:asciiTheme="minorEastAsia" w:hAnsiTheme="minorEastAsia"/>
          <w:szCs w:val="21"/>
        </w:rPr>
        <w:t>项目名称：</w:t>
      </w:r>
      <w:r>
        <w:rPr>
          <w:rFonts w:hint="eastAsia" w:asciiTheme="minorEastAsia" w:hAnsiTheme="minorEastAsia"/>
          <w:szCs w:val="21"/>
          <w:u w:val="single"/>
        </w:rPr>
        <w:t xml:space="preserve">                          </w:t>
      </w:r>
      <w:r>
        <w:rPr>
          <w:rFonts w:hint="eastAsia" w:asciiTheme="minorEastAsia" w:hAnsiTheme="minorEastAsia"/>
          <w:szCs w:val="21"/>
        </w:rPr>
        <w:t xml:space="preserve"> </w:t>
      </w:r>
    </w:p>
    <w:p w14:paraId="0635EA9D">
      <w:pPr>
        <w:spacing w:line="360" w:lineRule="auto"/>
        <w:ind w:firstLine="420" w:firstLineChars="200"/>
        <w:rPr>
          <w:rFonts w:asciiTheme="minorEastAsia" w:hAnsiTheme="minorEastAsia"/>
          <w:szCs w:val="21"/>
        </w:rPr>
      </w:pPr>
      <w:r>
        <w:rPr>
          <w:rFonts w:hint="eastAsia" w:asciiTheme="minorEastAsia" w:hAnsiTheme="minorEastAsia"/>
          <w:szCs w:val="21"/>
        </w:rPr>
        <w:t>项目编号：</w:t>
      </w:r>
      <w:r>
        <w:rPr>
          <w:rFonts w:hint="eastAsia" w:asciiTheme="minorEastAsia" w:hAnsiTheme="minorEastAsia"/>
          <w:szCs w:val="21"/>
          <w:u w:val="single"/>
        </w:rPr>
        <w:t xml:space="preserve">          </w:t>
      </w:r>
      <w:r>
        <w:rPr>
          <w:rFonts w:asciiTheme="minorEastAsia" w:hAnsiTheme="minorEastAsia"/>
          <w:szCs w:val="21"/>
          <w:u w:val="single"/>
        </w:rPr>
        <w:t xml:space="preserve">        </w:t>
      </w:r>
      <w:r>
        <w:rPr>
          <w:rFonts w:hint="eastAsia" w:asciiTheme="minorEastAsia" w:hAnsiTheme="minorEastAsia"/>
          <w:szCs w:val="21"/>
          <w:u w:val="single"/>
        </w:rPr>
        <w:t xml:space="preserve">         </w:t>
      </w:r>
      <w:r>
        <w:rPr>
          <w:rFonts w:hint="eastAsia" w:asciiTheme="minorEastAsia" w:hAnsiTheme="minorEastAsia"/>
          <w:szCs w:val="21"/>
        </w:rPr>
        <w:t xml:space="preserve"> </w:t>
      </w:r>
    </w:p>
    <w:tbl>
      <w:tblPr>
        <w:tblStyle w:val="16"/>
        <w:tblW w:w="9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8"/>
        <w:gridCol w:w="2562"/>
        <w:gridCol w:w="2694"/>
        <w:gridCol w:w="1493"/>
      </w:tblGrid>
      <w:tr w14:paraId="3E2A1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jc w:val="center"/>
        </w:trPr>
        <w:tc>
          <w:tcPr>
            <w:tcW w:w="2888" w:type="dxa"/>
            <w:vAlign w:val="bottom"/>
          </w:tcPr>
          <w:p w14:paraId="31B04699">
            <w:pPr>
              <w:spacing w:line="360" w:lineRule="auto"/>
              <w:ind w:firstLine="420" w:firstLineChars="200"/>
              <w:rPr>
                <w:rFonts w:asciiTheme="minorEastAsia" w:hAnsiTheme="minorEastAsia"/>
                <w:szCs w:val="21"/>
              </w:rPr>
            </w:pPr>
            <w:r>
              <w:rPr>
                <w:rFonts w:hint="eastAsia" w:asciiTheme="minorEastAsia" w:hAnsiTheme="minorEastAsia"/>
                <w:szCs w:val="21"/>
              </w:rPr>
              <w:t>项目名称/包号</w:t>
            </w:r>
          </w:p>
        </w:tc>
        <w:tc>
          <w:tcPr>
            <w:tcW w:w="2562" w:type="dxa"/>
            <w:vAlign w:val="bottom"/>
          </w:tcPr>
          <w:p w14:paraId="0DE726C6">
            <w:pPr>
              <w:spacing w:line="360" w:lineRule="auto"/>
              <w:ind w:firstLine="420" w:firstLineChars="200"/>
              <w:rPr>
                <w:rFonts w:asciiTheme="minorEastAsia" w:hAnsiTheme="minorEastAsia"/>
                <w:szCs w:val="21"/>
              </w:rPr>
            </w:pPr>
            <w:r>
              <w:rPr>
                <w:rFonts w:hint="eastAsia" w:asciiTheme="minorEastAsia" w:hAnsiTheme="minorEastAsia"/>
                <w:szCs w:val="21"/>
              </w:rPr>
              <w:t>投标总价</w:t>
            </w:r>
          </w:p>
          <w:p w14:paraId="48B2BCF5">
            <w:pPr>
              <w:spacing w:line="360" w:lineRule="auto"/>
              <w:ind w:firstLine="420" w:firstLineChars="200"/>
              <w:rPr>
                <w:rFonts w:asciiTheme="minorEastAsia" w:hAnsiTheme="minorEastAsia"/>
                <w:szCs w:val="21"/>
              </w:rPr>
            </w:pPr>
            <w:r>
              <w:rPr>
                <w:rFonts w:hint="eastAsia" w:asciiTheme="minorEastAsia" w:hAnsiTheme="minorEastAsia"/>
                <w:szCs w:val="21"/>
              </w:rPr>
              <w:t>（人民币元）</w:t>
            </w:r>
          </w:p>
        </w:tc>
        <w:tc>
          <w:tcPr>
            <w:tcW w:w="2694" w:type="dxa"/>
            <w:vAlign w:val="bottom"/>
          </w:tcPr>
          <w:p w14:paraId="3A362D0F">
            <w:pPr>
              <w:spacing w:line="360" w:lineRule="auto"/>
              <w:ind w:firstLine="420" w:firstLineChars="200"/>
              <w:rPr>
                <w:rFonts w:asciiTheme="minorEastAsia" w:hAnsiTheme="minorEastAsia"/>
                <w:szCs w:val="21"/>
              </w:rPr>
            </w:pPr>
            <w:r>
              <w:rPr>
                <w:rFonts w:hint="eastAsia" w:asciiTheme="minorEastAsia" w:hAnsiTheme="minorEastAsia"/>
                <w:szCs w:val="21"/>
              </w:rPr>
              <w:t>交货期/服务期</w:t>
            </w:r>
          </w:p>
        </w:tc>
        <w:tc>
          <w:tcPr>
            <w:tcW w:w="1493" w:type="dxa"/>
            <w:vAlign w:val="bottom"/>
          </w:tcPr>
          <w:p w14:paraId="08849F9D">
            <w:pPr>
              <w:spacing w:line="360" w:lineRule="auto"/>
              <w:ind w:firstLine="420" w:firstLineChars="200"/>
              <w:rPr>
                <w:rFonts w:asciiTheme="minorEastAsia" w:hAnsiTheme="minorEastAsia"/>
                <w:szCs w:val="21"/>
              </w:rPr>
            </w:pPr>
            <w:r>
              <w:rPr>
                <w:rFonts w:hint="eastAsia" w:asciiTheme="minorEastAsia" w:hAnsiTheme="minorEastAsia"/>
                <w:szCs w:val="21"/>
              </w:rPr>
              <w:t>备注</w:t>
            </w:r>
          </w:p>
        </w:tc>
      </w:tr>
      <w:tr w14:paraId="5D616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9" w:hRule="atLeast"/>
          <w:jc w:val="center"/>
        </w:trPr>
        <w:tc>
          <w:tcPr>
            <w:tcW w:w="2888" w:type="dxa"/>
          </w:tcPr>
          <w:p w14:paraId="2DE483EE">
            <w:pPr>
              <w:spacing w:line="360" w:lineRule="auto"/>
              <w:ind w:firstLine="420" w:firstLineChars="200"/>
              <w:rPr>
                <w:rFonts w:asciiTheme="minorEastAsia" w:hAnsiTheme="minorEastAsia"/>
                <w:szCs w:val="21"/>
              </w:rPr>
            </w:pPr>
          </w:p>
        </w:tc>
        <w:tc>
          <w:tcPr>
            <w:tcW w:w="2562" w:type="dxa"/>
          </w:tcPr>
          <w:p w14:paraId="4FBCAD33">
            <w:pPr>
              <w:spacing w:line="360" w:lineRule="auto"/>
              <w:ind w:firstLine="420" w:firstLineChars="200"/>
              <w:rPr>
                <w:rFonts w:asciiTheme="minorEastAsia" w:hAnsiTheme="minorEastAsia"/>
                <w:szCs w:val="21"/>
              </w:rPr>
            </w:pPr>
          </w:p>
          <w:p w14:paraId="714C88D4">
            <w:pPr>
              <w:spacing w:line="360" w:lineRule="auto"/>
              <w:ind w:firstLine="420" w:firstLineChars="200"/>
              <w:rPr>
                <w:rFonts w:asciiTheme="minorEastAsia" w:hAnsiTheme="minorEastAsia"/>
                <w:szCs w:val="21"/>
              </w:rPr>
            </w:pPr>
            <w:r>
              <w:rPr>
                <w:rFonts w:hint="eastAsia" w:asciiTheme="minorEastAsia" w:hAnsiTheme="minorEastAsia"/>
                <w:szCs w:val="21"/>
              </w:rPr>
              <w:t>大写：</w:t>
            </w:r>
            <w:r>
              <w:rPr>
                <w:rFonts w:hint="eastAsia" w:asciiTheme="minorEastAsia" w:hAnsiTheme="minorEastAsia"/>
                <w:szCs w:val="21"/>
                <w:u w:val="single"/>
              </w:rPr>
              <w:t xml:space="preserve">        </w:t>
            </w:r>
          </w:p>
          <w:p w14:paraId="6F1565D3">
            <w:pPr>
              <w:spacing w:line="360" w:lineRule="auto"/>
              <w:ind w:firstLine="420" w:firstLineChars="200"/>
              <w:rPr>
                <w:rFonts w:asciiTheme="minorEastAsia" w:hAnsiTheme="minorEastAsia"/>
                <w:szCs w:val="21"/>
              </w:rPr>
            </w:pPr>
            <w:r>
              <w:rPr>
                <w:rFonts w:hint="eastAsia" w:asciiTheme="minorEastAsia" w:hAnsiTheme="minorEastAsia"/>
                <w:szCs w:val="21"/>
              </w:rPr>
              <w:t>小写：</w:t>
            </w:r>
            <w:r>
              <w:rPr>
                <w:rFonts w:hint="eastAsia" w:asciiTheme="minorEastAsia" w:hAnsiTheme="minorEastAsia"/>
                <w:szCs w:val="21"/>
                <w:u w:val="single"/>
              </w:rPr>
              <w:t xml:space="preserve">        </w:t>
            </w:r>
          </w:p>
        </w:tc>
        <w:tc>
          <w:tcPr>
            <w:tcW w:w="2694" w:type="dxa"/>
          </w:tcPr>
          <w:p w14:paraId="47DCA5B8">
            <w:pPr>
              <w:spacing w:line="360" w:lineRule="auto"/>
              <w:ind w:firstLine="420" w:firstLineChars="200"/>
              <w:rPr>
                <w:rFonts w:asciiTheme="minorEastAsia" w:hAnsiTheme="minorEastAsia"/>
                <w:szCs w:val="21"/>
              </w:rPr>
            </w:pPr>
          </w:p>
        </w:tc>
        <w:tc>
          <w:tcPr>
            <w:tcW w:w="1493" w:type="dxa"/>
          </w:tcPr>
          <w:p w14:paraId="3110ED68">
            <w:pPr>
              <w:spacing w:line="360" w:lineRule="auto"/>
              <w:ind w:firstLine="420" w:firstLineChars="200"/>
              <w:rPr>
                <w:rFonts w:asciiTheme="minorEastAsia" w:hAnsiTheme="minorEastAsia"/>
                <w:szCs w:val="21"/>
              </w:rPr>
            </w:pPr>
          </w:p>
        </w:tc>
      </w:tr>
    </w:tbl>
    <w:p w14:paraId="1610B8B7">
      <w:pPr>
        <w:spacing w:line="360" w:lineRule="auto"/>
        <w:ind w:firstLine="420" w:firstLineChars="200"/>
        <w:rPr>
          <w:rFonts w:asciiTheme="minorEastAsia" w:hAnsiTheme="minorEastAsia"/>
          <w:szCs w:val="21"/>
        </w:rPr>
      </w:pPr>
    </w:p>
    <w:p w14:paraId="77F2B810">
      <w:pPr>
        <w:spacing w:line="360" w:lineRule="auto"/>
        <w:ind w:firstLine="420" w:firstLineChars="200"/>
        <w:rPr>
          <w:rFonts w:asciiTheme="minorEastAsia" w:hAnsiTheme="minorEastAsia"/>
          <w:szCs w:val="21"/>
        </w:rPr>
      </w:pPr>
    </w:p>
    <w:p w14:paraId="4DC63C29">
      <w:pPr>
        <w:spacing w:line="360" w:lineRule="auto"/>
        <w:ind w:firstLine="420" w:firstLineChars="200"/>
        <w:rPr>
          <w:rFonts w:asciiTheme="minorEastAsia" w:hAnsiTheme="minorEastAsia"/>
          <w:szCs w:val="21"/>
        </w:rPr>
      </w:pPr>
      <w:r>
        <w:rPr>
          <w:rFonts w:hint="eastAsia" w:asciiTheme="minorEastAsia" w:hAnsiTheme="minorEastAsia"/>
          <w:szCs w:val="21"/>
        </w:rPr>
        <w:t>投标供应商：</w:t>
      </w:r>
    </w:p>
    <w:p w14:paraId="4F1605A8">
      <w:pPr>
        <w:spacing w:line="360" w:lineRule="auto"/>
        <w:ind w:firstLine="420" w:firstLineChars="200"/>
        <w:rPr>
          <w:rFonts w:asciiTheme="minorEastAsia" w:hAnsiTheme="minorEastAsia"/>
          <w:szCs w:val="21"/>
        </w:rPr>
      </w:pPr>
      <w:r>
        <w:rPr>
          <w:rFonts w:hint="eastAsia" w:asciiTheme="minorEastAsia" w:hAnsiTheme="minorEastAsia"/>
          <w:szCs w:val="21"/>
        </w:rPr>
        <w:t>法人</w:t>
      </w:r>
      <w:r>
        <w:rPr>
          <w:rFonts w:asciiTheme="minorEastAsia" w:hAnsiTheme="minorEastAsia"/>
          <w:szCs w:val="21"/>
        </w:rPr>
        <w:t>或</w:t>
      </w:r>
      <w:r>
        <w:rPr>
          <w:rFonts w:hint="eastAsia" w:asciiTheme="minorEastAsia" w:hAnsiTheme="minorEastAsia"/>
          <w:szCs w:val="21"/>
        </w:rPr>
        <w:t>授权</w:t>
      </w:r>
      <w:r>
        <w:rPr>
          <w:rFonts w:asciiTheme="minorEastAsia" w:hAnsiTheme="minorEastAsia"/>
          <w:szCs w:val="21"/>
        </w:rPr>
        <w:t>代表：</w:t>
      </w:r>
    </w:p>
    <w:p w14:paraId="64870AB0">
      <w:pPr>
        <w:spacing w:line="360" w:lineRule="auto"/>
        <w:ind w:firstLine="420" w:firstLineChars="200"/>
        <w:rPr>
          <w:rFonts w:asciiTheme="minorEastAsia" w:hAnsiTheme="minorEastAsia"/>
          <w:szCs w:val="21"/>
        </w:rPr>
      </w:pPr>
      <w:r>
        <w:rPr>
          <w:rFonts w:hint="eastAsia" w:asciiTheme="minorEastAsia" w:hAnsiTheme="minorEastAsia"/>
          <w:szCs w:val="21"/>
        </w:rPr>
        <w:t>日期</w:t>
      </w:r>
      <w:r>
        <w:rPr>
          <w:rFonts w:asciiTheme="minorEastAsia" w:hAnsiTheme="minorEastAsia"/>
          <w:szCs w:val="21"/>
        </w:rPr>
        <w:t>：</w:t>
      </w:r>
    </w:p>
    <w:p w14:paraId="5D12C37D">
      <w:pPr>
        <w:spacing w:line="360" w:lineRule="auto"/>
        <w:ind w:firstLine="420" w:firstLineChars="200"/>
        <w:rPr>
          <w:rFonts w:asciiTheme="minorEastAsia" w:hAnsiTheme="minorEastAsia"/>
          <w:szCs w:val="21"/>
        </w:rPr>
      </w:pPr>
    </w:p>
    <w:p w14:paraId="4F48CA20">
      <w:pPr>
        <w:spacing w:line="360" w:lineRule="auto"/>
        <w:ind w:firstLine="420" w:firstLineChars="200"/>
        <w:rPr>
          <w:rFonts w:asciiTheme="minorEastAsia" w:hAnsiTheme="minorEastAsia"/>
          <w:szCs w:val="21"/>
        </w:rPr>
      </w:pPr>
    </w:p>
    <w:p w14:paraId="491BF9B6">
      <w:pPr>
        <w:spacing w:line="360" w:lineRule="auto"/>
        <w:ind w:firstLine="420" w:firstLineChars="200"/>
        <w:rPr>
          <w:rFonts w:asciiTheme="minorEastAsia" w:hAnsiTheme="minorEastAsia"/>
          <w:szCs w:val="21"/>
        </w:rPr>
      </w:pPr>
      <w:r>
        <w:rPr>
          <w:rFonts w:hint="eastAsia" w:asciiTheme="minorEastAsia" w:hAnsiTheme="minorEastAsia"/>
          <w:szCs w:val="21"/>
        </w:rPr>
        <w:t>注：</w:t>
      </w:r>
    </w:p>
    <w:p w14:paraId="07DDA410">
      <w:pPr>
        <w:spacing w:line="360" w:lineRule="auto"/>
        <w:ind w:firstLine="420" w:firstLineChars="200"/>
        <w:rPr>
          <w:rFonts w:asciiTheme="minorEastAsia" w:hAnsiTheme="minorEastAsia"/>
          <w:szCs w:val="21"/>
        </w:rPr>
      </w:pPr>
      <w:r>
        <w:rPr>
          <w:rFonts w:asciiTheme="minorEastAsia" w:hAnsiTheme="minorEastAsia"/>
          <w:szCs w:val="21"/>
        </w:rPr>
        <w:t>1</w:t>
      </w:r>
      <w:r>
        <w:rPr>
          <w:rFonts w:hint="eastAsia" w:asciiTheme="minorEastAsia" w:hAnsiTheme="minorEastAsia"/>
          <w:szCs w:val="21"/>
        </w:rPr>
        <w:t>、本招标文件中所称“交货期/服务期”指所有货物运抵现场安装调试完毕后交付用户验收和</w:t>
      </w:r>
      <w:r>
        <w:rPr>
          <w:rFonts w:asciiTheme="minorEastAsia" w:hAnsiTheme="minorEastAsia"/>
          <w:szCs w:val="21"/>
        </w:rPr>
        <w:t>服务过程</w:t>
      </w:r>
      <w:r>
        <w:rPr>
          <w:rFonts w:hint="eastAsia" w:asciiTheme="minorEastAsia" w:hAnsiTheme="minorEastAsia"/>
          <w:szCs w:val="21"/>
        </w:rPr>
        <w:t>的日期。</w:t>
      </w:r>
    </w:p>
    <w:p w14:paraId="6F053CDC">
      <w:pPr>
        <w:spacing w:line="360" w:lineRule="auto"/>
        <w:ind w:firstLine="420" w:firstLineChars="200"/>
        <w:rPr>
          <w:rFonts w:asciiTheme="minorEastAsia" w:hAnsiTheme="minorEastAsia"/>
          <w:szCs w:val="21"/>
        </w:rPr>
      </w:pPr>
      <w:r>
        <w:rPr>
          <w:rFonts w:asciiTheme="minorEastAsia" w:hAnsiTheme="minorEastAsia"/>
          <w:szCs w:val="21"/>
        </w:rPr>
        <w:t>2</w:t>
      </w:r>
      <w:r>
        <w:rPr>
          <w:rFonts w:hint="eastAsia" w:asciiTheme="minorEastAsia" w:hAnsiTheme="minorEastAsia"/>
          <w:szCs w:val="21"/>
        </w:rPr>
        <w:t>、依据《评标委员会和评标方法暂行规定》第25条规定，“投标文件载明的招标项目完成期限超过招标文件规定的期限”的（即交货期或完工期超过招标文件要求期限），投标文件将作投标无效处理。</w:t>
      </w:r>
    </w:p>
    <w:p w14:paraId="02444238">
      <w:pPr>
        <w:spacing w:line="360" w:lineRule="auto"/>
        <w:ind w:firstLine="420" w:firstLineChars="200"/>
        <w:rPr>
          <w:rFonts w:asciiTheme="minorEastAsia" w:hAnsiTheme="minorEastAsia"/>
          <w:szCs w:val="21"/>
        </w:rPr>
      </w:pPr>
      <w:r>
        <w:rPr>
          <w:rFonts w:asciiTheme="minorEastAsia" w:hAnsiTheme="minorEastAsia"/>
          <w:szCs w:val="21"/>
        </w:rPr>
        <w:br w:type="page"/>
      </w:r>
      <w:bookmarkStart w:id="158" w:name="_Toc16795"/>
      <w:r>
        <w:rPr>
          <w:rFonts w:hint="eastAsia" w:asciiTheme="minorEastAsia" w:hAnsiTheme="minorEastAsia"/>
          <w:szCs w:val="21"/>
        </w:rPr>
        <w:t>附件</w:t>
      </w:r>
      <w:r>
        <w:rPr>
          <w:rFonts w:asciiTheme="minorEastAsia" w:hAnsiTheme="minorEastAsia"/>
          <w:szCs w:val="21"/>
        </w:rPr>
        <w:t>5</w:t>
      </w:r>
      <w:r>
        <w:rPr>
          <w:rFonts w:hint="eastAsia" w:asciiTheme="minorEastAsia" w:hAnsiTheme="minorEastAsia"/>
          <w:szCs w:val="21"/>
        </w:rPr>
        <w:t>：分项报价清单格式</w:t>
      </w:r>
      <w:bookmarkEnd w:id="158"/>
    </w:p>
    <w:p w14:paraId="7E78EEA7">
      <w:pPr>
        <w:keepNext/>
        <w:keepLines/>
        <w:spacing w:before="160" w:after="170"/>
        <w:ind w:firstLine="602" w:firstLineChars="200"/>
        <w:jc w:val="center"/>
        <w:outlineLvl w:val="4"/>
        <w:rPr>
          <w:b/>
          <w:bCs/>
          <w:sz w:val="30"/>
          <w:szCs w:val="28"/>
        </w:rPr>
      </w:pPr>
      <w:bookmarkStart w:id="159" w:name="_Toc55548542"/>
      <w:r>
        <w:rPr>
          <w:rFonts w:hint="eastAsia"/>
          <w:b/>
          <w:bCs/>
          <w:sz w:val="30"/>
          <w:szCs w:val="28"/>
        </w:rPr>
        <w:t>分项报价清单</w:t>
      </w:r>
      <w:bookmarkEnd w:id="159"/>
    </w:p>
    <w:tbl>
      <w:tblPr>
        <w:tblStyle w:val="16"/>
        <w:tblW w:w="9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2902"/>
        <w:gridCol w:w="2357"/>
        <w:gridCol w:w="3148"/>
      </w:tblGrid>
      <w:tr w14:paraId="73782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417" w:type="dxa"/>
            <w:vAlign w:val="center"/>
          </w:tcPr>
          <w:p w14:paraId="0B9017BA">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序号</w:t>
            </w:r>
          </w:p>
        </w:tc>
        <w:tc>
          <w:tcPr>
            <w:tcW w:w="2902" w:type="dxa"/>
            <w:vAlign w:val="center"/>
          </w:tcPr>
          <w:p w14:paraId="61653605">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服务项目或设备名称</w:t>
            </w:r>
          </w:p>
        </w:tc>
        <w:tc>
          <w:tcPr>
            <w:tcW w:w="2357" w:type="dxa"/>
            <w:vAlign w:val="center"/>
          </w:tcPr>
          <w:p w14:paraId="2DE22FC2">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总价</w:t>
            </w:r>
          </w:p>
        </w:tc>
        <w:tc>
          <w:tcPr>
            <w:tcW w:w="3148" w:type="dxa"/>
            <w:vAlign w:val="center"/>
          </w:tcPr>
          <w:p w14:paraId="50AF74D9">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备注</w:t>
            </w:r>
          </w:p>
        </w:tc>
      </w:tr>
      <w:tr w14:paraId="039C9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417" w:type="dxa"/>
            <w:vAlign w:val="center"/>
          </w:tcPr>
          <w:p w14:paraId="37EECC36">
            <w:pPr>
              <w:spacing w:line="360" w:lineRule="auto"/>
              <w:ind w:firstLine="420" w:firstLineChars="200"/>
              <w:rPr>
                <w:rFonts w:asciiTheme="minorEastAsia" w:hAnsiTheme="minorEastAsia"/>
                <w:color w:val="000000"/>
                <w:szCs w:val="21"/>
              </w:rPr>
            </w:pPr>
          </w:p>
        </w:tc>
        <w:tc>
          <w:tcPr>
            <w:tcW w:w="2902" w:type="dxa"/>
            <w:vAlign w:val="center"/>
          </w:tcPr>
          <w:p w14:paraId="2F17AEC1">
            <w:pPr>
              <w:spacing w:line="360" w:lineRule="auto"/>
              <w:ind w:firstLine="420" w:firstLineChars="200"/>
              <w:rPr>
                <w:rFonts w:asciiTheme="minorEastAsia" w:hAnsiTheme="minorEastAsia"/>
                <w:color w:val="000000"/>
                <w:szCs w:val="21"/>
              </w:rPr>
            </w:pPr>
          </w:p>
        </w:tc>
        <w:tc>
          <w:tcPr>
            <w:tcW w:w="2357" w:type="dxa"/>
            <w:vAlign w:val="center"/>
          </w:tcPr>
          <w:p w14:paraId="53F0886B">
            <w:pPr>
              <w:spacing w:line="360" w:lineRule="auto"/>
              <w:ind w:firstLine="420" w:firstLineChars="200"/>
              <w:rPr>
                <w:rFonts w:asciiTheme="minorEastAsia" w:hAnsiTheme="minorEastAsia"/>
                <w:color w:val="000000"/>
                <w:szCs w:val="21"/>
              </w:rPr>
            </w:pPr>
          </w:p>
        </w:tc>
        <w:tc>
          <w:tcPr>
            <w:tcW w:w="3148" w:type="dxa"/>
            <w:vAlign w:val="center"/>
          </w:tcPr>
          <w:p w14:paraId="038FA1F9">
            <w:pPr>
              <w:spacing w:line="360" w:lineRule="auto"/>
              <w:ind w:firstLine="420" w:firstLineChars="200"/>
              <w:rPr>
                <w:rFonts w:asciiTheme="minorEastAsia" w:hAnsiTheme="minorEastAsia"/>
                <w:color w:val="000000"/>
                <w:szCs w:val="21"/>
              </w:rPr>
            </w:pPr>
          </w:p>
        </w:tc>
      </w:tr>
      <w:tr w14:paraId="784DF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417" w:type="dxa"/>
            <w:vAlign w:val="center"/>
          </w:tcPr>
          <w:p w14:paraId="1B1897EB">
            <w:pPr>
              <w:spacing w:line="360" w:lineRule="auto"/>
              <w:ind w:firstLine="420" w:firstLineChars="200"/>
              <w:rPr>
                <w:rFonts w:asciiTheme="minorEastAsia" w:hAnsiTheme="minorEastAsia"/>
                <w:color w:val="000000"/>
                <w:szCs w:val="21"/>
              </w:rPr>
            </w:pPr>
          </w:p>
        </w:tc>
        <w:tc>
          <w:tcPr>
            <w:tcW w:w="2902" w:type="dxa"/>
            <w:vAlign w:val="center"/>
          </w:tcPr>
          <w:p w14:paraId="7DC3FCE9">
            <w:pPr>
              <w:spacing w:line="360" w:lineRule="auto"/>
              <w:ind w:firstLine="420" w:firstLineChars="200"/>
              <w:rPr>
                <w:rFonts w:asciiTheme="minorEastAsia" w:hAnsiTheme="minorEastAsia"/>
                <w:color w:val="000000"/>
                <w:szCs w:val="21"/>
              </w:rPr>
            </w:pPr>
          </w:p>
        </w:tc>
        <w:tc>
          <w:tcPr>
            <w:tcW w:w="2357" w:type="dxa"/>
            <w:vAlign w:val="center"/>
          </w:tcPr>
          <w:p w14:paraId="204AA51D">
            <w:pPr>
              <w:spacing w:line="360" w:lineRule="auto"/>
              <w:ind w:firstLine="420" w:firstLineChars="200"/>
              <w:rPr>
                <w:rFonts w:asciiTheme="minorEastAsia" w:hAnsiTheme="minorEastAsia"/>
                <w:color w:val="000000"/>
                <w:szCs w:val="21"/>
              </w:rPr>
            </w:pPr>
          </w:p>
        </w:tc>
        <w:tc>
          <w:tcPr>
            <w:tcW w:w="3148" w:type="dxa"/>
            <w:vAlign w:val="center"/>
          </w:tcPr>
          <w:p w14:paraId="14C9672F">
            <w:pPr>
              <w:spacing w:line="360" w:lineRule="auto"/>
              <w:ind w:firstLine="420" w:firstLineChars="200"/>
              <w:rPr>
                <w:rFonts w:asciiTheme="minorEastAsia" w:hAnsiTheme="minorEastAsia"/>
                <w:color w:val="000000"/>
                <w:szCs w:val="21"/>
              </w:rPr>
            </w:pPr>
          </w:p>
        </w:tc>
      </w:tr>
      <w:tr w14:paraId="1C9EE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417" w:type="dxa"/>
            <w:vAlign w:val="center"/>
          </w:tcPr>
          <w:p w14:paraId="3AD3B3C9">
            <w:pPr>
              <w:spacing w:line="360" w:lineRule="auto"/>
              <w:ind w:firstLine="420" w:firstLineChars="200"/>
              <w:rPr>
                <w:rFonts w:asciiTheme="minorEastAsia" w:hAnsiTheme="minorEastAsia"/>
                <w:color w:val="000000"/>
                <w:szCs w:val="21"/>
              </w:rPr>
            </w:pPr>
          </w:p>
        </w:tc>
        <w:tc>
          <w:tcPr>
            <w:tcW w:w="2902" w:type="dxa"/>
            <w:vAlign w:val="center"/>
          </w:tcPr>
          <w:p w14:paraId="3EEF998C">
            <w:pPr>
              <w:spacing w:line="360" w:lineRule="auto"/>
              <w:ind w:firstLine="420" w:firstLineChars="200"/>
              <w:rPr>
                <w:rFonts w:asciiTheme="minorEastAsia" w:hAnsiTheme="minorEastAsia"/>
                <w:color w:val="000000"/>
                <w:szCs w:val="21"/>
              </w:rPr>
            </w:pPr>
          </w:p>
        </w:tc>
        <w:tc>
          <w:tcPr>
            <w:tcW w:w="2357" w:type="dxa"/>
            <w:vAlign w:val="center"/>
          </w:tcPr>
          <w:p w14:paraId="41804381">
            <w:pPr>
              <w:spacing w:line="360" w:lineRule="auto"/>
              <w:ind w:firstLine="420" w:firstLineChars="200"/>
              <w:rPr>
                <w:rFonts w:asciiTheme="minorEastAsia" w:hAnsiTheme="minorEastAsia"/>
                <w:color w:val="000000"/>
                <w:szCs w:val="21"/>
              </w:rPr>
            </w:pPr>
          </w:p>
        </w:tc>
        <w:tc>
          <w:tcPr>
            <w:tcW w:w="3148" w:type="dxa"/>
            <w:vAlign w:val="center"/>
          </w:tcPr>
          <w:p w14:paraId="0E177EC1">
            <w:pPr>
              <w:spacing w:line="360" w:lineRule="auto"/>
              <w:ind w:firstLine="420" w:firstLineChars="200"/>
              <w:rPr>
                <w:rFonts w:asciiTheme="minorEastAsia" w:hAnsiTheme="minorEastAsia"/>
                <w:color w:val="000000"/>
                <w:szCs w:val="21"/>
              </w:rPr>
            </w:pPr>
          </w:p>
        </w:tc>
      </w:tr>
      <w:tr w14:paraId="55B44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417" w:type="dxa"/>
            <w:vAlign w:val="center"/>
          </w:tcPr>
          <w:p w14:paraId="6666CAC2">
            <w:pPr>
              <w:spacing w:line="360" w:lineRule="auto"/>
              <w:ind w:firstLine="420" w:firstLineChars="200"/>
              <w:rPr>
                <w:rFonts w:asciiTheme="minorEastAsia" w:hAnsiTheme="minorEastAsia"/>
                <w:color w:val="000000"/>
                <w:szCs w:val="21"/>
              </w:rPr>
            </w:pPr>
          </w:p>
        </w:tc>
        <w:tc>
          <w:tcPr>
            <w:tcW w:w="2902" w:type="dxa"/>
            <w:vAlign w:val="center"/>
          </w:tcPr>
          <w:p w14:paraId="0BBD1A4B">
            <w:pPr>
              <w:spacing w:line="360" w:lineRule="auto"/>
              <w:ind w:firstLine="420" w:firstLineChars="200"/>
              <w:rPr>
                <w:rFonts w:asciiTheme="minorEastAsia" w:hAnsiTheme="minorEastAsia"/>
                <w:color w:val="000000"/>
                <w:szCs w:val="21"/>
              </w:rPr>
            </w:pPr>
          </w:p>
        </w:tc>
        <w:tc>
          <w:tcPr>
            <w:tcW w:w="2357" w:type="dxa"/>
            <w:vAlign w:val="center"/>
          </w:tcPr>
          <w:p w14:paraId="1D4703FE">
            <w:pPr>
              <w:spacing w:line="360" w:lineRule="auto"/>
              <w:ind w:firstLine="420" w:firstLineChars="200"/>
              <w:rPr>
                <w:rFonts w:asciiTheme="minorEastAsia" w:hAnsiTheme="minorEastAsia"/>
                <w:color w:val="000000"/>
                <w:szCs w:val="21"/>
              </w:rPr>
            </w:pPr>
          </w:p>
        </w:tc>
        <w:tc>
          <w:tcPr>
            <w:tcW w:w="3148" w:type="dxa"/>
            <w:vAlign w:val="center"/>
          </w:tcPr>
          <w:p w14:paraId="185FB101">
            <w:pPr>
              <w:spacing w:line="360" w:lineRule="auto"/>
              <w:ind w:firstLine="420" w:firstLineChars="200"/>
              <w:rPr>
                <w:rFonts w:asciiTheme="minorEastAsia" w:hAnsiTheme="minorEastAsia"/>
                <w:color w:val="000000"/>
                <w:szCs w:val="21"/>
              </w:rPr>
            </w:pPr>
          </w:p>
        </w:tc>
      </w:tr>
      <w:tr w14:paraId="01B3D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417" w:type="dxa"/>
            <w:vAlign w:val="center"/>
          </w:tcPr>
          <w:p w14:paraId="771B45CF">
            <w:pPr>
              <w:spacing w:line="360" w:lineRule="auto"/>
              <w:ind w:firstLine="420" w:firstLineChars="200"/>
              <w:rPr>
                <w:rFonts w:asciiTheme="minorEastAsia" w:hAnsiTheme="minorEastAsia"/>
                <w:color w:val="000000"/>
                <w:szCs w:val="21"/>
              </w:rPr>
            </w:pPr>
          </w:p>
        </w:tc>
        <w:tc>
          <w:tcPr>
            <w:tcW w:w="2902" w:type="dxa"/>
            <w:vAlign w:val="center"/>
          </w:tcPr>
          <w:p w14:paraId="5119BF7E">
            <w:pPr>
              <w:spacing w:line="360" w:lineRule="auto"/>
              <w:ind w:firstLine="420" w:firstLineChars="200"/>
              <w:rPr>
                <w:rFonts w:asciiTheme="minorEastAsia" w:hAnsiTheme="minorEastAsia"/>
                <w:color w:val="000000"/>
                <w:szCs w:val="21"/>
              </w:rPr>
            </w:pPr>
          </w:p>
        </w:tc>
        <w:tc>
          <w:tcPr>
            <w:tcW w:w="2357" w:type="dxa"/>
            <w:vAlign w:val="center"/>
          </w:tcPr>
          <w:p w14:paraId="68B31413">
            <w:pPr>
              <w:spacing w:line="360" w:lineRule="auto"/>
              <w:ind w:firstLine="420" w:firstLineChars="200"/>
              <w:rPr>
                <w:rFonts w:asciiTheme="minorEastAsia" w:hAnsiTheme="minorEastAsia"/>
                <w:color w:val="000000"/>
                <w:szCs w:val="21"/>
              </w:rPr>
            </w:pPr>
          </w:p>
        </w:tc>
        <w:tc>
          <w:tcPr>
            <w:tcW w:w="3148" w:type="dxa"/>
            <w:vAlign w:val="center"/>
          </w:tcPr>
          <w:p w14:paraId="4D8689C6">
            <w:pPr>
              <w:spacing w:line="360" w:lineRule="auto"/>
              <w:ind w:firstLine="420" w:firstLineChars="200"/>
              <w:rPr>
                <w:rFonts w:asciiTheme="minorEastAsia" w:hAnsiTheme="minorEastAsia"/>
                <w:color w:val="000000"/>
                <w:szCs w:val="21"/>
              </w:rPr>
            </w:pPr>
          </w:p>
        </w:tc>
      </w:tr>
      <w:tr w14:paraId="26B6E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417" w:type="dxa"/>
            <w:vAlign w:val="center"/>
          </w:tcPr>
          <w:p w14:paraId="6FDBBD0B">
            <w:pPr>
              <w:spacing w:line="360" w:lineRule="auto"/>
              <w:ind w:firstLine="420" w:firstLineChars="200"/>
              <w:rPr>
                <w:rFonts w:asciiTheme="minorEastAsia" w:hAnsiTheme="minorEastAsia"/>
                <w:color w:val="000000"/>
                <w:szCs w:val="21"/>
              </w:rPr>
            </w:pPr>
          </w:p>
        </w:tc>
        <w:tc>
          <w:tcPr>
            <w:tcW w:w="2902" w:type="dxa"/>
            <w:vAlign w:val="center"/>
          </w:tcPr>
          <w:p w14:paraId="646A061F">
            <w:pPr>
              <w:spacing w:line="360" w:lineRule="auto"/>
              <w:ind w:firstLine="420" w:firstLineChars="200"/>
              <w:rPr>
                <w:rFonts w:asciiTheme="minorEastAsia" w:hAnsiTheme="minorEastAsia"/>
                <w:color w:val="000000"/>
                <w:szCs w:val="21"/>
              </w:rPr>
            </w:pPr>
          </w:p>
        </w:tc>
        <w:tc>
          <w:tcPr>
            <w:tcW w:w="2357" w:type="dxa"/>
            <w:vAlign w:val="center"/>
          </w:tcPr>
          <w:p w14:paraId="03D220A0">
            <w:pPr>
              <w:spacing w:line="360" w:lineRule="auto"/>
              <w:ind w:firstLine="420" w:firstLineChars="200"/>
              <w:rPr>
                <w:rFonts w:asciiTheme="minorEastAsia" w:hAnsiTheme="minorEastAsia"/>
                <w:color w:val="000000"/>
                <w:szCs w:val="21"/>
              </w:rPr>
            </w:pPr>
          </w:p>
        </w:tc>
        <w:tc>
          <w:tcPr>
            <w:tcW w:w="3148" w:type="dxa"/>
            <w:vAlign w:val="center"/>
          </w:tcPr>
          <w:p w14:paraId="5F6101BE">
            <w:pPr>
              <w:spacing w:line="360" w:lineRule="auto"/>
              <w:ind w:firstLine="420" w:firstLineChars="200"/>
              <w:rPr>
                <w:rFonts w:asciiTheme="minorEastAsia" w:hAnsiTheme="minorEastAsia"/>
                <w:color w:val="000000"/>
                <w:szCs w:val="21"/>
              </w:rPr>
            </w:pPr>
          </w:p>
        </w:tc>
      </w:tr>
      <w:tr w14:paraId="54D32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4319" w:type="dxa"/>
            <w:gridSpan w:val="2"/>
            <w:vAlign w:val="center"/>
          </w:tcPr>
          <w:p w14:paraId="56AC9E52">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合计</w:t>
            </w:r>
          </w:p>
        </w:tc>
        <w:tc>
          <w:tcPr>
            <w:tcW w:w="5505" w:type="dxa"/>
            <w:gridSpan w:val="2"/>
            <w:vAlign w:val="center"/>
          </w:tcPr>
          <w:p w14:paraId="2C46E8EA">
            <w:pPr>
              <w:spacing w:line="360" w:lineRule="auto"/>
              <w:ind w:firstLine="420" w:firstLineChars="200"/>
              <w:rPr>
                <w:rFonts w:asciiTheme="minorEastAsia" w:hAnsiTheme="minorEastAsia"/>
                <w:color w:val="000000"/>
                <w:szCs w:val="21"/>
              </w:rPr>
            </w:pPr>
          </w:p>
        </w:tc>
      </w:tr>
    </w:tbl>
    <w:p w14:paraId="132D69F2">
      <w:pPr>
        <w:spacing w:line="360" w:lineRule="auto"/>
        <w:ind w:firstLine="420" w:firstLineChars="200"/>
        <w:rPr>
          <w:rFonts w:asciiTheme="minorEastAsia" w:hAnsiTheme="minorEastAsia"/>
          <w:szCs w:val="21"/>
        </w:rPr>
      </w:pPr>
      <w:r>
        <w:rPr>
          <w:rFonts w:hint="eastAsia" w:asciiTheme="minorEastAsia" w:hAnsiTheme="minorEastAsia"/>
          <w:szCs w:val="21"/>
        </w:rPr>
        <w:t>注：</w:t>
      </w:r>
    </w:p>
    <w:p w14:paraId="6D91BA6C">
      <w:pPr>
        <w:spacing w:line="360" w:lineRule="auto"/>
        <w:ind w:firstLine="420" w:firstLineChars="200"/>
        <w:rPr>
          <w:rFonts w:asciiTheme="minorEastAsia" w:hAnsiTheme="minorEastAsia"/>
          <w:szCs w:val="21"/>
        </w:rPr>
      </w:pPr>
      <w:r>
        <w:rPr>
          <w:rFonts w:hint="eastAsia" w:asciiTheme="minorEastAsia" w:hAnsiTheme="minorEastAsia"/>
          <w:szCs w:val="21"/>
        </w:rPr>
        <w:t>1、所有价格应按“采购文件”中规定的货币单位填写；</w:t>
      </w:r>
    </w:p>
    <w:p w14:paraId="64F0B8AF">
      <w:pPr>
        <w:spacing w:line="360" w:lineRule="auto"/>
        <w:ind w:firstLine="420" w:firstLineChars="200"/>
        <w:rPr>
          <w:rFonts w:asciiTheme="minorEastAsia" w:hAnsiTheme="minorEastAsia"/>
          <w:szCs w:val="21"/>
        </w:rPr>
      </w:pPr>
      <w:r>
        <w:rPr>
          <w:rFonts w:asciiTheme="minorEastAsia" w:hAnsiTheme="minorEastAsia"/>
          <w:szCs w:val="21"/>
        </w:rPr>
        <w:t>2</w:t>
      </w:r>
      <w:r>
        <w:rPr>
          <w:rFonts w:hint="eastAsia" w:asciiTheme="minorEastAsia" w:hAnsiTheme="minorEastAsia"/>
          <w:szCs w:val="21"/>
        </w:rPr>
        <w:t>、投标总价应为以上各分项价格之和；</w:t>
      </w:r>
    </w:p>
    <w:p w14:paraId="03449783">
      <w:pPr>
        <w:spacing w:line="360" w:lineRule="auto"/>
        <w:ind w:firstLine="420" w:firstLineChars="200"/>
        <w:rPr>
          <w:rFonts w:asciiTheme="minorEastAsia" w:hAnsiTheme="minorEastAsia"/>
          <w:szCs w:val="21"/>
        </w:rPr>
      </w:pPr>
      <w:r>
        <w:rPr>
          <w:rFonts w:hint="eastAsia" w:asciiTheme="minorEastAsia" w:hAnsiTheme="minorEastAsia"/>
          <w:szCs w:val="21"/>
          <w:highlight w:val="yellow"/>
        </w:rPr>
        <w:t>3、本表格式仅做参考，</w:t>
      </w:r>
      <w:r>
        <w:rPr>
          <w:rFonts w:asciiTheme="minorEastAsia" w:hAnsiTheme="minorEastAsia"/>
          <w:szCs w:val="21"/>
          <w:highlight w:val="yellow"/>
        </w:rPr>
        <w:t>可根据项目</w:t>
      </w:r>
      <w:r>
        <w:rPr>
          <w:rFonts w:hint="eastAsia" w:asciiTheme="minorEastAsia" w:hAnsiTheme="minorEastAsia"/>
          <w:szCs w:val="21"/>
          <w:highlight w:val="yellow"/>
        </w:rPr>
        <w:t>实际</w:t>
      </w:r>
      <w:r>
        <w:rPr>
          <w:rFonts w:asciiTheme="minorEastAsia" w:hAnsiTheme="minorEastAsia"/>
          <w:szCs w:val="21"/>
          <w:highlight w:val="yellow"/>
        </w:rPr>
        <w:t>内容进行调整</w:t>
      </w:r>
      <w:r>
        <w:rPr>
          <w:rFonts w:hint="eastAsia" w:asciiTheme="minorEastAsia" w:hAnsiTheme="minorEastAsia"/>
          <w:szCs w:val="21"/>
          <w:highlight w:val="yellow"/>
        </w:rPr>
        <w:t>；</w:t>
      </w:r>
    </w:p>
    <w:p w14:paraId="42B252FD">
      <w:pPr>
        <w:spacing w:line="360" w:lineRule="auto"/>
        <w:ind w:firstLine="420" w:firstLineChars="200"/>
        <w:rPr>
          <w:rFonts w:asciiTheme="minorEastAsia" w:hAnsiTheme="minorEastAsia"/>
          <w:szCs w:val="21"/>
        </w:rPr>
      </w:pPr>
      <w:r>
        <w:rPr>
          <w:rFonts w:hint="eastAsia" w:asciiTheme="minorEastAsia" w:hAnsiTheme="minorEastAsia"/>
          <w:szCs w:val="21"/>
        </w:rPr>
        <w:t>4、单价、合价和投标总价为包干价，即三者均应包含设备的价款、包装、运输、装卸、安装、调试、技术指导、培训、咨询、服务、保险、税费、检测、验收合格交付使用之前以及技术和售后服务等其他各项有关费用。</w:t>
      </w:r>
    </w:p>
    <w:p w14:paraId="0BA00823">
      <w:pPr>
        <w:spacing w:line="360" w:lineRule="auto"/>
        <w:ind w:firstLine="420" w:firstLineChars="200"/>
        <w:rPr>
          <w:rFonts w:asciiTheme="minorEastAsia" w:hAnsiTheme="minorEastAsia"/>
          <w:szCs w:val="21"/>
        </w:rPr>
      </w:pPr>
      <w:r>
        <w:rPr>
          <w:rFonts w:hint="eastAsia" w:asciiTheme="minorEastAsia" w:hAnsiTheme="minorEastAsia"/>
          <w:szCs w:val="21"/>
        </w:rPr>
        <w:t>5、投标总价和项目报价表中单个采购预算条目报价均不得超过对应的财政预算限额，否则将导致投标无效。</w:t>
      </w:r>
    </w:p>
    <w:p w14:paraId="02543142">
      <w:pPr>
        <w:spacing w:line="360" w:lineRule="auto"/>
        <w:ind w:firstLine="420" w:firstLineChars="200"/>
        <w:rPr>
          <w:rFonts w:asciiTheme="minorEastAsia" w:hAnsiTheme="minorEastAsia"/>
          <w:szCs w:val="21"/>
        </w:rPr>
      </w:pPr>
      <w:r>
        <w:rPr>
          <w:rFonts w:hint="eastAsia" w:asciiTheme="minorEastAsia" w:hAnsiTheme="minorEastAsia"/>
          <w:szCs w:val="21"/>
        </w:rPr>
        <w:t>6、开标一览表的投标总价必须与项目报价表的投标总价一致。</w:t>
      </w:r>
    </w:p>
    <w:p w14:paraId="4D5F6CAD">
      <w:pPr>
        <w:spacing w:line="360" w:lineRule="auto"/>
        <w:ind w:firstLine="420" w:firstLineChars="200"/>
        <w:rPr>
          <w:rFonts w:asciiTheme="minorEastAsia" w:hAnsiTheme="minorEastAsia"/>
          <w:szCs w:val="21"/>
        </w:rPr>
      </w:pPr>
      <w:r>
        <w:rPr>
          <w:rFonts w:hint="eastAsia" w:asciiTheme="minorEastAsia" w:hAnsiTheme="minorEastAsia"/>
          <w:szCs w:val="21"/>
        </w:rPr>
        <w:t>7、“原产地”是指该产品的实际生产加工地，而非品牌总公司所在地。</w:t>
      </w:r>
    </w:p>
    <w:p w14:paraId="2356E7AB">
      <w:pPr>
        <w:spacing w:line="360" w:lineRule="auto"/>
        <w:ind w:firstLine="420" w:firstLineChars="200"/>
      </w:pPr>
    </w:p>
    <w:p w14:paraId="0083C7DE">
      <w:pPr>
        <w:spacing w:line="360" w:lineRule="auto"/>
      </w:pPr>
    </w:p>
    <w:p w14:paraId="1215EF91">
      <w:pPr>
        <w:spacing w:line="360" w:lineRule="auto"/>
        <w:ind w:firstLine="420" w:firstLineChars="200"/>
      </w:pPr>
    </w:p>
    <w:p w14:paraId="47FA09E8">
      <w:pPr>
        <w:spacing w:line="360" w:lineRule="auto"/>
        <w:ind w:firstLine="420" w:firstLineChars="200"/>
        <w:rPr>
          <w:rFonts w:asciiTheme="minorEastAsia" w:hAnsiTheme="minorEastAsia"/>
          <w:szCs w:val="21"/>
        </w:rPr>
        <w:sectPr>
          <w:pgSz w:w="11906" w:h="16838"/>
          <w:pgMar w:top="1440" w:right="1080" w:bottom="1440" w:left="1080" w:header="851" w:footer="992" w:gutter="0"/>
          <w:cols w:space="720" w:num="1"/>
          <w:titlePg/>
          <w:docGrid w:type="lines" w:linePitch="312" w:charSpace="0"/>
        </w:sectPr>
      </w:pPr>
      <w:bookmarkStart w:id="160" w:name="_Toc32280"/>
    </w:p>
    <w:p w14:paraId="1C56B4D5">
      <w:pPr>
        <w:spacing w:line="360" w:lineRule="auto"/>
        <w:ind w:firstLine="420" w:firstLineChars="200"/>
        <w:rPr>
          <w:rFonts w:asciiTheme="minorEastAsia" w:hAnsiTheme="minorEastAsia"/>
          <w:szCs w:val="21"/>
        </w:rPr>
      </w:pPr>
      <w:r>
        <w:rPr>
          <w:rFonts w:hint="eastAsia" w:asciiTheme="minorEastAsia" w:hAnsiTheme="minorEastAsia"/>
          <w:szCs w:val="21"/>
        </w:rPr>
        <w:t>附件</w:t>
      </w:r>
      <w:r>
        <w:rPr>
          <w:rFonts w:asciiTheme="minorEastAsia" w:hAnsiTheme="minorEastAsia"/>
          <w:szCs w:val="21"/>
        </w:rPr>
        <w:t>6</w:t>
      </w:r>
      <w:r>
        <w:rPr>
          <w:rFonts w:hint="eastAsia" w:asciiTheme="minorEastAsia" w:hAnsiTheme="minorEastAsia"/>
          <w:szCs w:val="21"/>
        </w:rPr>
        <w:t>：法定代表人证明书格式</w:t>
      </w:r>
      <w:bookmarkEnd w:id="160"/>
    </w:p>
    <w:p w14:paraId="56917416">
      <w:pPr>
        <w:keepNext/>
        <w:keepLines/>
        <w:spacing w:before="160" w:after="170"/>
        <w:ind w:firstLine="602" w:firstLineChars="200"/>
        <w:jc w:val="center"/>
        <w:outlineLvl w:val="4"/>
        <w:rPr>
          <w:b/>
          <w:bCs/>
          <w:sz w:val="30"/>
          <w:szCs w:val="28"/>
        </w:rPr>
      </w:pPr>
      <w:bookmarkStart w:id="161" w:name="_Toc55548545"/>
      <w:bookmarkStart w:id="162" w:name="_Toc2383"/>
      <w:r>
        <w:rPr>
          <w:rFonts w:hint="eastAsia"/>
          <w:b/>
          <w:bCs/>
          <w:sz w:val="30"/>
          <w:szCs w:val="28"/>
        </w:rPr>
        <w:t>法定代表人证明书</w:t>
      </w:r>
      <w:bookmarkEnd w:id="161"/>
    </w:p>
    <w:p w14:paraId="5018F6AB">
      <w:pPr>
        <w:tabs>
          <w:tab w:val="left" w:pos="900"/>
        </w:tabs>
        <w:spacing w:line="360" w:lineRule="auto"/>
        <w:ind w:firstLine="420" w:firstLineChars="200"/>
        <w:rPr>
          <w:rFonts w:asciiTheme="minorEastAsia" w:hAnsiTheme="minorEastAsia"/>
          <w:szCs w:val="21"/>
        </w:rPr>
      </w:pPr>
      <w:r>
        <w:rPr>
          <w:rFonts w:hint="eastAsia" w:asciiTheme="minorEastAsia" w:hAnsiTheme="minorEastAsia"/>
          <w:szCs w:val="21"/>
        </w:rPr>
        <w:t>______________同志，现任我单位</w:t>
      </w:r>
      <w:r>
        <w:rPr>
          <w:rFonts w:asciiTheme="minorEastAsia" w:hAnsiTheme="minorEastAsia"/>
          <w:szCs w:val="21"/>
          <w:u w:val="single"/>
        </w:rPr>
        <w:t xml:space="preserve">         </w:t>
      </w:r>
      <w:r>
        <w:rPr>
          <w:rFonts w:hint="eastAsia" w:asciiTheme="minorEastAsia" w:hAnsiTheme="minorEastAsia"/>
          <w:szCs w:val="21"/>
        </w:rPr>
        <w:t>职务，为法定代表人，特此证明。</w:t>
      </w:r>
    </w:p>
    <w:p w14:paraId="26B67C70">
      <w:pPr>
        <w:spacing w:line="360" w:lineRule="auto"/>
        <w:ind w:firstLine="420" w:firstLineChars="200"/>
        <w:rPr>
          <w:rFonts w:asciiTheme="minorEastAsia" w:hAnsiTheme="minorEastAsia"/>
          <w:szCs w:val="21"/>
        </w:rPr>
      </w:pPr>
      <w:r>
        <w:rPr>
          <w:rFonts w:hint="eastAsia" w:asciiTheme="minorEastAsia" w:hAnsiTheme="minorEastAsia"/>
          <w:szCs w:val="21"/>
        </w:rPr>
        <w:t>有效日期与本公司投标文件中标注的投标有效期相同。</w:t>
      </w:r>
      <w:r>
        <w:rPr>
          <w:rFonts w:asciiTheme="minorEastAsia" w:hAnsiTheme="minorEastAsia"/>
          <w:szCs w:val="21"/>
        </w:rPr>
        <w:t xml:space="preserve">  </w:t>
      </w:r>
    </w:p>
    <w:p w14:paraId="19892F57">
      <w:pPr>
        <w:spacing w:line="360" w:lineRule="auto"/>
        <w:ind w:firstLine="420" w:firstLineChars="200"/>
        <w:rPr>
          <w:rFonts w:asciiTheme="minorEastAsia" w:hAnsiTheme="minorEastAsia"/>
          <w:szCs w:val="21"/>
        </w:rPr>
      </w:pPr>
      <w:r>
        <w:rPr>
          <w:rFonts w:hint="eastAsia" w:asciiTheme="minorEastAsia" w:hAnsiTheme="minorEastAsia"/>
          <w:szCs w:val="21"/>
        </w:rPr>
        <w:t>签发日期：</w:t>
      </w:r>
      <w:r>
        <w:rPr>
          <w:rFonts w:hint="eastAsia" w:asciiTheme="minorEastAsia" w:hAnsiTheme="minorEastAsia"/>
          <w:szCs w:val="21"/>
          <w:u w:val="single"/>
        </w:rPr>
        <w:t xml:space="preserve">     </w:t>
      </w:r>
      <w:r>
        <w:rPr>
          <w:rFonts w:hint="eastAsia" w:asciiTheme="minorEastAsia" w:hAnsiTheme="minorEastAsia"/>
          <w:szCs w:val="21"/>
        </w:rPr>
        <w:t>年</w:t>
      </w:r>
      <w:r>
        <w:rPr>
          <w:rFonts w:hint="eastAsia" w:asciiTheme="minorEastAsia" w:hAnsiTheme="minorEastAsia"/>
          <w:szCs w:val="21"/>
          <w:u w:val="single"/>
        </w:rPr>
        <w:t xml:space="preserve">   </w:t>
      </w:r>
      <w:r>
        <w:rPr>
          <w:rFonts w:hint="eastAsia" w:asciiTheme="minorEastAsia" w:hAnsiTheme="minorEastAsia"/>
          <w:szCs w:val="21"/>
        </w:rPr>
        <w:t>月</w:t>
      </w:r>
      <w:r>
        <w:rPr>
          <w:rFonts w:hint="eastAsia" w:asciiTheme="minorEastAsia" w:hAnsiTheme="minorEastAsia"/>
          <w:szCs w:val="21"/>
          <w:u w:val="single"/>
        </w:rPr>
        <w:t xml:space="preserve">   </w:t>
      </w:r>
      <w:r>
        <w:rPr>
          <w:rFonts w:hint="eastAsia" w:asciiTheme="minorEastAsia" w:hAnsiTheme="minorEastAsia"/>
          <w:szCs w:val="21"/>
        </w:rPr>
        <w:t>日</w:t>
      </w:r>
      <w:r>
        <w:rPr>
          <w:rFonts w:asciiTheme="minorEastAsia" w:hAnsiTheme="minorEastAsia"/>
          <w:szCs w:val="21"/>
        </w:rPr>
        <w:t xml:space="preserve">             </w:t>
      </w:r>
    </w:p>
    <w:p w14:paraId="6E8C8D7D">
      <w:pPr>
        <w:spacing w:line="360" w:lineRule="auto"/>
        <w:ind w:firstLine="420" w:firstLineChars="200"/>
        <w:rPr>
          <w:rFonts w:asciiTheme="minorEastAsia" w:hAnsiTheme="minorEastAsia"/>
          <w:szCs w:val="21"/>
        </w:rPr>
      </w:pPr>
      <w:r>
        <w:rPr>
          <w:rFonts w:hint="eastAsia" w:asciiTheme="minorEastAsia" w:hAnsiTheme="minorEastAsia"/>
          <w:szCs w:val="21"/>
        </w:rPr>
        <w:t>附：</w:t>
      </w:r>
    </w:p>
    <w:p w14:paraId="368691D3">
      <w:pPr>
        <w:spacing w:line="360" w:lineRule="auto"/>
        <w:ind w:firstLine="420" w:firstLineChars="200"/>
        <w:rPr>
          <w:rFonts w:asciiTheme="minorEastAsia" w:hAnsiTheme="minorEastAsia"/>
          <w:szCs w:val="21"/>
        </w:rPr>
      </w:pPr>
      <w:r>
        <w:rPr>
          <w:rFonts w:hint="eastAsia" w:asciiTheme="minorEastAsia" w:hAnsiTheme="minorEastAsia"/>
          <w:szCs w:val="21"/>
        </w:rPr>
        <w:t xml:space="preserve">营业执照（注册号）：                       </w:t>
      </w:r>
    </w:p>
    <w:p w14:paraId="53EB0DF8">
      <w:pPr>
        <w:spacing w:line="360" w:lineRule="auto"/>
        <w:ind w:firstLine="420" w:firstLineChars="200"/>
        <w:rPr>
          <w:rFonts w:asciiTheme="minorEastAsia" w:hAnsiTheme="minorEastAsia"/>
          <w:szCs w:val="21"/>
        </w:rPr>
      </w:pPr>
      <w:r>
        <w:rPr>
          <w:rFonts w:hint="eastAsia" w:asciiTheme="minorEastAsia" w:hAnsiTheme="minorEastAsia"/>
          <w:szCs w:val="21"/>
        </w:rPr>
        <w:t>经济性质：</w:t>
      </w:r>
    </w:p>
    <w:p w14:paraId="523A1DF7">
      <w:pPr>
        <w:spacing w:line="360" w:lineRule="auto"/>
        <w:ind w:firstLine="420" w:firstLineChars="200"/>
        <w:rPr>
          <w:rFonts w:asciiTheme="minorEastAsia" w:hAnsiTheme="minorEastAsia"/>
          <w:szCs w:val="21"/>
        </w:rPr>
      </w:pPr>
      <w:r>
        <w:rPr>
          <w:rFonts w:hint="eastAsia" w:asciiTheme="minorEastAsia" w:hAnsiTheme="minorEastAsia"/>
          <w:szCs w:val="21"/>
        </w:rPr>
        <w:t>主营（产）：</w:t>
      </w:r>
    </w:p>
    <w:p w14:paraId="3137ABFD">
      <w:pPr>
        <w:spacing w:line="360" w:lineRule="auto"/>
        <w:ind w:firstLine="420" w:firstLineChars="200"/>
        <w:rPr>
          <w:rFonts w:asciiTheme="minorEastAsia" w:hAnsiTheme="minorEastAsia"/>
          <w:szCs w:val="21"/>
        </w:rPr>
      </w:pPr>
      <w:r>
        <w:rPr>
          <w:rFonts w:hint="eastAsia" w:asciiTheme="minorEastAsia" w:hAnsiTheme="minorEastAsia"/>
          <w:szCs w:val="21"/>
        </w:rPr>
        <w:t>兼营（产）：</w:t>
      </w:r>
    </w:p>
    <w:p w14:paraId="112DC3CF">
      <w:pPr>
        <w:spacing w:line="360" w:lineRule="auto"/>
        <w:ind w:firstLine="420" w:firstLineChars="200"/>
        <w:rPr>
          <w:rFonts w:asciiTheme="minorEastAsia" w:hAnsiTheme="minorEastAsia"/>
          <w:szCs w:val="21"/>
        </w:rPr>
      </w:pPr>
    </w:p>
    <w:p w14:paraId="73B36F96">
      <w:pPr>
        <w:spacing w:line="360" w:lineRule="auto"/>
        <w:ind w:firstLine="420" w:firstLineChars="200"/>
        <w:rPr>
          <w:rFonts w:asciiTheme="minorEastAsia" w:hAnsiTheme="minorEastAsia"/>
          <w:b/>
          <w:bCs/>
          <w:szCs w:val="21"/>
        </w:rPr>
      </w:pPr>
      <w:r>
        <mc:AlternateContent>
          <mc:Choice Requires="wps">
            <w:drawing>
              <wp:anchor distT="0" distB="0" distL="114300" distR="114300" simplePos="0" relativeHeight="251660288" behindDoc="0" locked="0" layoutInCell="1" allowOverlap="1">
                <wp:simplePos x="0" y="0"/>
                <wp:positionH relativeFrom="column">
                  <wp:posOffset>2840355</wp:posOffset>
                </wp:positionH>
                <wp:positionV relativeFrom="paragraph">
                  <wp:posOffset>136525</wp:posOffset>
                </wp:positionV>
                <wp:extent cx="2705100" cy="1981200"/>
                <wp:effectExtent l="4445" t="5080" r="14605" b="13970"/>
                <wp:wrapNone/>
                <wp:docPr id="69" name="矩形 69"/>
                <wp:cNvGraphicFramePr/>
                <a:graphic xmlns:a="http://schemas.openxmlformats.org/drawingml/2006/main">
                  <a:graphicData uri="http://schemas.microsoft.com/office/word/2010/wordprocessingShape">
                    <wps:wsp>
                      <wps:cNvSpPr>
                        <a:spLocks noChangeArrowheads="1"/>
                      </wps:cNvSpPr>
                      <wps:spPr bwMode="auto">
                        <a:xfrm>
                          <a:off x="0" y="0"/>
                          <a:ext cx="2705100" cy="1981200"/>
                        </a:xfrm>
                        <a:prstGeom prst="rect">
                          <a:avLst/>
                        </a:prstGeom>
                        <a:solidFill>
                          <a:srgbClr val="FFFFFF"/>
                        </a:solidFill>
                        <a:ln w="9525">
                          <a:solidFill>
                            <a:srgbClr val="000000"/>
                          </a:solidFill>
                          <a:miter lim="800000"/>
                        </a:ln>
                      </wps:spPr>
                      <wps:txbx>
                        <w:txbxContent>
                          <w:p w14:paraId="73ABBC5F">
                            <w:pPr>
                              <w:spacing w:line="360" w:lineRule="auto"/>
                              <w:ind w:firstLine="1680" w:firstLineChars="800"/>
                            </w:pPr>
                          </w:p>
                          <w:p w14:paraId="48A596E3">
                            <w:pPr>
                              <w:spacing w:line="360" w:lineRule="auto"/>
                              <w:ind w:firstLine="1680" w:firstLineChars="800"/>
                            </w:pPr>
                            <w:r>
                              <w:rPr>
                                <w:rFonts w:hint="eastAsia"/>
                              </w:rPr>
                              <w:t>法定代表人</w:t>
                            </w:r>
                          </w:p>
                          <w:p w14:paraId="61B0B585">
                            <w:pPr>
                              <w:spacing w:line="360" w:lineRule="auto"/>
                              <w:ind w:firstLine="1155" w:firstLineChars="550"/>
                            </w:pPr>
                            <w:r>
                              <w:rPr>
                                <w:rFonts w:hint="eastAsia"/>
                              </w:rPr>
                              <w:t>居民身份证复印件粘贴处</w:t>
                            </w:r>
                          </w:p>
                          <w:p w14:paraId="2A491B12">
                            <w:pPr>
                              <w:spacing w:line="360" w:lineRule="auto"/>
                              <w:ind w:firstLine="1785" w:firstLineChars="850"/>
                            </w:pPr>
                            <w:r>
                              <w:rPr>
                                <w:rFonts w:hint="eastAsia"/>
                              </w:rPr>
                              <w:t>（反面）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23.65pt;margin-top:10.75pt;height:156pt;width:213pt;z-index:251660288;mso-width-relative:page;mso-height-relative:page;" fillcolor="#FFFFFF" filled="t" stroked="t" coordsize="21600,21600" o:gfxdata="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PcT0NvZAAAACgEAAA8AAAAAAAAAAQAgAAAAIgAAAGRycy9k&#10;b3ducmV2LnhtbFBLAQIUABQAAAAIAIdO4kCe2XEjOgIAAH0EAAAOAAAAAAAAAAEAIAAAACgBAABk&#10;cnMvZTJvRG9jLnhtbFBLBQYAAAAABgAGAFkBAADUBQAAAAA=&#10;">
                <v:fill on="t" focussize="0,0"/>
                <v:stroke color="#000000" miterlimit="8" joinstyle="miter"/>
                <v:imagedata o:title=""/>
                <o:lock v:ext="edit" aspectratio="f"/>
                <v:textbox>
                  <w:txbxContent>
                    <w:p w14:paraId="73ABBC5F">
                      <w:pPr>
                        <w:spacing w:line="360" w:lineRule="auto"/>
                        <w:ind w:firstLine="1680" w:firstLineChars="800"/>
                      </w:pPr>
                    </w:p>
                    <w:p w14:paraId="48A596E3">
                      <w:pPr>
                        <w:spacing w:line="360" w:lineRule="auto"/>
                        <w:ind w:firstLine="1680" w:firstLineChars="800"/>
                      </w:pPr>
                      <w:r>
                        <w:rPr>
                          <w:rFonts w:hint="eastAsia"/>
                        </w:rPr>
                        <w:t>法定代表人</w:t>
                      </w:r>
                    </w:p>
                    <w:p w14:paraId="61B0B585">
                      <w:pPr>
                        <w:spacing w:line="360" w:lineRule="auto"/>
                        <w:ind w:firstLine="1155" w:firstLineChars="550"/>
                      </w:pPr>
                      <w:r>
                        <w:rPr>
                          <w:rFonts w:hint="eastAsia"/>
                        </w:rPr>
                        <w:t>居民身份证复印件粘贴处</w:t>
                      </w:r>
                    </w:p>
                    <w:p w14:paraId="2A491B12">
                      <w:pPr>
                        <w:spacing w:line="360" w:lineRule="auto"/>
                        <w:ind w:firstLine="1785" w:firstLineChars="850"/>
                      </w:pPr>
                      <w:r>
                        <w:rPr>
                          <w:rFonts w:hint="eastAsia"/>
                        </w:rPr>
                        <w:t>（反面）</w:t>
                      </w:r>
                    </w:p>
                  </w:txbxContent>
                </v:textbox>
              </v:rect>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-112395</wp:posOffset>
                </wp:positionH>
                <wp:positionV relativeFrom="paragraph">
                  <wp:posOffset>136525</wp:posOffset>
                </wp:positionV>
                <wp:extent cx="2705100" cy="1981200"/>
                <wp:effectExtent l="4445" t="5080" r="14605" b="13970"/>
                <wp:wrapNone/>
                <wp:docPr id="68" name="矩形 68"/>
                <wp:cNvGraphicFramePr/>
                <a:graphic xmlns:a="http://schemas.openxmlformats.org/drawingml/2006/main">
                  <a:graphicData uri="http://schemas.microsoft.com/office/word/2010/wordprocessingShape">
                    <wps:wsp>
                      <wps:cNvSpPr>
                        <a:spLocks noChangeArrowheads="1"/>
                      </wps:cNvSpPr>
                      <wps:spPr bwMode="auto">
                        <a:xfrm>
                          <a:off x="0" y="0"/>
                          <a:ext cx="2705100" cy="1981200"/>
                        </a:xfrm>
                        <a:prstGeom prst="rect">
                          <a:avLst/>
                        </a:prstGeom>
                        <a:solidFill>
                          <a:srgbClr val="FFFFFF"/>
                        </a:solidFill>
                        <a:ln w="9525">
                          <a:solidFill>
                            <a:srgbClr val="000000"/>
                          </a:solidFill>
                          <a:miter lim="800000"/>
                        </a:ln>
                      </wps:spPr>
                      <wps:txbx>
                        <w:txbxContent>
                          <w:p w14:paraId="58F07BC4">
                            <w:pPr>
                              <w:spacing w:line="360" w:lineRule="auto"/>
                              <w:jc w:val="center"/>
                            </w:pPr>
                          </w:p>
                          <w:p w14:paraId="6BD81522">
                            <w:pPr>
                              <w:spacing w:line="360" w:lineRule="auto"/>
                              <w:jc w:val="center"/>
                            </w:pPr>
                            <w:r>
                              <w:rPr>
                                <w:rFonts w:hint="eastAsia"/>
                              </w:rPr>
                              <w:t>法定代表人</w:t>
                            </w:r>
                          </w:p>
                          <w:p w14:paraId="06D9463A">
                            <w:pPr>
                              <w:spacing w:line="360" w:lineRule="auto"/>
                              <w:jc w:val="center"/>
                            </w:pPr>
                            <w:r>
                              <w:rPr>
                                <w:rFonts w:hint="eastAsia"/>
                              </w:rPr>
                              <w:t>居民身份证复印件粘贴处</w:t>
                            </w:r>
                          </w:p>
                          <w:p w14:paraId="25166420">
                            <w:pPr>
                              <w:spacing w:line="360" w:lineRule="auto"/>
                              <w:jc w:val="center"/>
                            </w:pPr>
                            <w:r>
                              <w:rPr>
                                <w:rFonts w:hint="eastAsia"/>
                              </w:rPr>
                              <w:t>（正面）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8.85pt;margin-top:10.75pt;height:156pt;width:213pt;z-index:251659264;mso-width-relative:page;mso-height-relative:page;" fillcolor="#FFFFFF" filled="t" stroked="t" coordsize="21600,21600" o:gfxdata="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sTcSu9kAAAAKAQAADwAAAAAAAAABACAAAAAiAAAAZHJzL2Rv&#10;d25yZXYueG1sUEsBAhQAFAAAAAgAh07iQOP/zn45AgAAfQQAAA4AAAAAAAAAAQAgAAAAKAEAAGRy&#10;cy9lMm9Eb2MueG1sUEsFBgAAAAAGAAYAWQEAANMFAAAAAA==&#10;">
                <v:fill on="t" focussize="0,0"/>
                <v:stroke color="#000000" miterlimit="8" joinstyle="miter"/>
                <v:imagedata o:title=""/>
                <o:lock v:ext="edit" aspectratio="f"/>
                <v:textbox>
                  <w:txbxContent>
                    <w:p w14:paraId="58F07BC4">
                      <w:pPr>
                        <w:spacing w:line="360" w:lineRule="auto"/>
                        <w:jc w:val="center"/>
                      </w:pPr>
                    </w:p>
                    <w:p w14:paraId="6BD81522">
                      <w:pPr>
                        <w:spacing w:line="360" w:lineRule="auto"/>
                        <w:jc w:val="center"/>
                      </w:pPr>
                      <w:r>
                        <w:rPr>
                          <w:rFonts w:hint="eastAsia"/>
                        </w:rPr>
                        <w:t>法定代表人</w:t>
                      </w:r>
                    </w:p>
                    <w:p w14:paraId="06D9463A">
                      <w:pPr>
                        <w:spacing w:line="360" w:lineRule="auto"/>
                        <w:jc w:val="center"/>
                      </w:pPr>
                      <w:r>
                        <w:rPr>
                          <w:rFonts w:hint="eastAsia"/>
                        </w:rPr>
                        <w:t>居民身份证复印件粘贴处</w:t>
                      </w:r>
                    </w:p>
                    <w:p w14:paraId="25166420">
                      <w:pPr>
                        <w:spacing w:line="360" w:lineRule="auto"/>
                        <w:jc w:val="center"/>
                      </w:pPr>
                      <w:r>
                        <w:rPr>
                          <w:rFonts w:hint="eastAsia"/>
                        </w:rPr>
                        <w:t>（正面）</w:t>
                      </w:r>
                    </w:p>
                  </w:txbxContent>
                </v:textbox>
              </v:rect>
            </w:pict>
          </mc:Fallback>
        </mc:AlternateContent>
      </w:r>
    </w:p>
    <w:p w14:paraId="5C02B3FD">
      <w:pPr>
        <w:spacing w:line="360" w:lineRule="auto"/>
        <w:ind w:firstLine="422" w:firstLineChars="200"/>
        <w:rPr>
          <w:rFonts w:asciiTheme="minorEastAsia" w:hAnsiTheme="minorEastAsia"/>
          <w:b/>
          <w:bCs/>
          <w:szCs w:val="21"/>
        </w:rPr>
      </w:pPr>
    </w:p>
    <w:p w14:paraId="6DEF020D">
      <w:pPr>
        <w:spacing w:line="360" w:lineRule="auto"/>
        <w:ind w:firstLine="422" w:firstLineChars="200"/>
        <w:rPr>
          <w:rFonts w:asciiTheme="minorEastAsia" w:hAnsiTheme="minorEastAsia"/>
          <w:b/>
          <w:bCs/>
          <w:szCs w:val="21"/>
        </w:rPr>
      </w:pPr>
    </w:p>
    <w:p w14:paraId="4D2EC033">
      <w:pPr>
        <w:spacing w:line="360" w:lineRule="auto"/>
        <w:ind w:firstLine="422" w:firstLineChars="200"/>
        <w:rPr>
          <w:rFonts w:asciiTheme="minorEastAsia" w:hAnsiTheme="minorEastAsia"/>
          <w:b/>
          <w:bCs/>
          <w:szCs w:val="21"/>
        </w:rPr>
      </w:pPr>
    </w:p>
    <w:p w14:paraId="2E95F3FB">
      <w:pPr>
        <w:spacing w:line="360" w:lineRule="auto"/>
        <w:ind w:firstLine="422" w:firstLineChars="200"/>
        <w:rPr>
          <w:rFonts w:asciiTheme="minorEastAsia" w:hAnsiTheme="minorEastAsia"/>
          <w:b/>
          <w:bCs/>
          <w:szCs w:val="21"/>
        </w:rPr>
      </w:pPr>
    </w:p>
    <w:p w14:paraId="26E3D189">
      <w:pPr>
        <w:spacing w:line="360" w:lineRule="auto"/>
        <w:ind w:firstLine="422" w:firstLineChars="200"/>
        <w:rPr>
          <w:rFonts w:asciiTheme="minorEastAsia" w:hAnsiTheme="minorEastAsia"/>
          <w:b/>
          <w:bCs/>
          <w:szCs w:val="21"/>
        </w:rPr>
      </w:pPr>
    </w:p>
    <w:p w14:paraId="45D54CCA">
      <w:pPr>
        <w:spacing w:line="360" w:lineRule="auto"/>
        <w:ind w:firstLine="422" w:firstLineChars="200"/>
        <w:rPr>
          <w:rFonts w:asciiTheme="minorEastAsia" w:hAnsiTheme="minorEastAsia"/>
          <w:b/>
          <w:bCs/>
          <w:szCs w:val="21"/>
        </w:rPr>
      </w:pPr>
      <w:r>
        <w:rPr>
          <w:rFonts w:hint="eastAsia" w:asciiTheme="minorEastAsia" w:hAnsiTheme="minorEastAsia"/>
          <w:b/>
          <w:bCs/>
          <w:szCs w:val="21"/>
        </w:rPr>
        <w:t xml:space="preserve">                         </w:t>
      </w:r>
    </w:p>
    <w:p w14:paraId="77B59B36">
      <w:pPr>
        <w:spacing w:line="360" w:lineRule="auto"/>
        <w:ind w:firstLine="420" w:firstLineChars="200"/>
        <w:rPr>
          <w:rFonts w:asciiTheme="minorEastAsia" w:hAnsiTheme="minorEastAsia"/>
          <w:szCs w:val="21"/>
        </w:rPr>
      </w:pPr>
    </w:p>
    <w:p w14:paraId="1ADA0A58">
      <w:pPr>
        <w:spacing w:line="360" w:lineRule="auto"/>
        <w:ind w:firstLine="420" w:firstLineChars="200"/>
        <w:rPr>
          <w:rFonts w:asciiTheme="minorEastAsia" w:hAnsiTheme="minorEastAsia"/>
          <w:szCs w:val="21"/>
        </w:rPr>
      </w:pPr>
    </w:p>
    <w:p w14:paraId="711BB16F">
      <w:pPr>
        <w:spacing w:line="360" w:lineRule="auto"/>
        <w:ind w:firstLine="420" w:firstLineChars="200"/>
        <w:rPr>
          <w:rFonts w:asciiTheme="minorEastAsia" w:hAnsiTheme="minorEastAsia"/>
          <w:szCs w:val="21"/>
        </w:rPr>
      </w:pPr>
      <w:r>
        <w:rPr>
          <w:rFonts w:hint="eastAsia" w:asciiTheme="minorEastAsia" w:hAnsiTheme="minorEastAsia"/>
          <w:szCs w:val="21"/>
        </w:rPr>
        <w:t>单位名称：（公章）：</w:t>
      </w:r>
      <w:r>
        <w:rPr>
          <w:rFonts w:hint="eastAsia" w:asciiTheme="minorEastAsia" w:hAnsiTheme="minorEastAsia"/>
          <w:szCs w:val="21"/>
          <w:u w:val="single"/>
        </w:rPr>
        <w:t xml:space="preserve">             </w:t>
      </w:r>
    </w:p>
    <w:p w14:paraId="665FE8C5">
      <w:pPr>
        <w:spacing w:line="360" w:lineRule="auto"/>
        <w:ind w:firstLine="420" w:firstLineChars="200"/>
        <w:rPr>
          <w:rFonts w:asciiTheme="minorEastAsia" w:hAnsiTheme="minorEastAsia"/>
          <w:szCs w:val="21"/>
        </w:rPr>
      </w:pPr>
      <w:r>
        <w:rPr>
          <w:rFonts w:hint="eastAsia" w:asciiTheme="minorEastAsia" w:hAnsiTheme="minorEastAsia"/>
          <w:szCs w:val="21"/>
        </w:rPr>
        <w:t>日期：</w:t>
      </w:r>
      <w:r>
        <w:rPr>
          <w:rFonts w:hint="eastAsia" w:asciiTheme="minorEastAsia" w:hAnsiTheme="minorEastAsia"/>
          <w:szCs w:val="21"/>
          <w:u w:val="single"/>
        </w:rPr>
        <w:t xml:space="preserve">         </w:t>
      </w:r>
      <w:r>
        <w:rPr>
          <w:rFonts w:hint="eastAsia" w:asciiTheme="minorEastAsia" w:hAnsiTheme="minorEastAsia"/>
          <w:szCs w:val="21"/>
        </w:rPr>
        <w:t>年</w:t>
      </w:r>
      <w:r>
        <w:rPr>
          <w:rFonts w:hint="eastAsia" w:asciiTheme="minorEastAsia" w:hAnsiTheme="minorEastAsia"/>
          <w:szCs w:val="21"/>
          <w:u w:val="single"/>
        </w:rPr>
        <w:t xml:space="preserve">     </w:t>
      </w:r>
      <w:r>
        <w:rPr>
          <w:rFonts w:hint="eastAsia" w:asciiTheme="minorEastAsia" w:hAnsiTheme="minorEastAsia"/>
          <w:szCs w:val="21"/>
        </w:rPr>
        <w:t xml:space="preserve">月 </w:t>
      </w:r>
      <w:r>
        <w:rPr>
          <w:rFonts w:hint="eastAsia" w:asciiTheme="minorEastAsia" w:hAnsiTheme="minorEastAsia"/>
          <w:szCs w:val="21"/>
          <w:u w:val="single"/>
        </w:rPr>
        <w:t xml:space="preserve">      </w:t>
      </w:r>
      <w:r>
        <w:rPr>
          <w:rFonts w:hint="eastAsia" w:asciiTheme="minorEastAsia" w:hAnsiTheme="minorEastAsia"/>
          <w:szCs w:val="21"/>
        </w:rPr>
        <w:t>日</w:t>
      </w:r>
    </w:p>
    <w:p w14:paraId="033C158B">
      <w:pPr>
        <w:ind w:firstLine="420" w:firstLineChars="200"/>
      </w:pPr>
    </w:p>
    <w:p w14:paraId="6B624079">
      <w:pPr>
        <w:adjustRightInd w:val="0"/>
        <w:snapToGrid w:val="0"/>
        <w:spacing w:line="360" w:lineRule="auto"/>
        <w:ind w:firstLine="422" w:firstLineChars="200"/>
        <w:rPr>
          <w:rFonts w:asciiTheme="minorEastAsia" w:hAnsiTheme="minorEastAsia"/>
          <w:b/>
          <w:snapToGrid w:val="0"/>
          <w:kern w:val="0"/>
          <w:szCs w:val="21"/>
        </w:rPr>
      </w:pPr>
    </w:p>
    <w:p w14:paraId="58F5097A">
      <w:pPr>
        <w:spacing w:line="360" w:lineRule="auto"/>
        <w:ind w:firstLine="420" w:firstLineChars="200"/>
        <w:rPr>
          <w:rFonts w:asciiTheme="minorEastAsia" w:hAnsiTheme="minorEastAsia"/>
          <w:szCs w:val="21"/>
        </w:rPr>
        <w:sectPr>
          <w:pgSz w:w="11906" w:h="16838"/>
          <w:pgMar w:top="1440" w:right="1080" w:bottom="1440" w:left="1080" w:header="851" w:footer="992" w:gutter="0"/>
          <w:cols w:space="720" w:num="1"/>
          <w:titlePg/>
          <w:docGrid w:type="lines" w:linePitch="312" w:charSpace="0"/>
        </w:sectPr>
      </w:pPr>
    </w:p>
    <w:p w14:paraId="305BD04A">
      <w:pPr>
        <w:spacing w:line="360" w:lineRule="auto"/>
        <w:ind w:firstLine="420" w:firstLineChars="200"/>
        <w:rPr>
          <w:rFonts w:asciiTheme="minorEastAsia" w:hAnsiTheme="minorEastAsia"/>
          <w:szCs w:val="21"/>
        </w:rPr>
      </w:pPr>
      <w:r>
        <w:rPr>
          <w:rFonts w:hint="eastAsia" w:asciiTheme="minorEastAsia" w:hAnsiTheme="minorEastAsia"/>
          <w:szCs w:val="21"/>
        </w:rPr>
        <w:t>附件</w:t>
      </w:r>
      <w:r>
        <w:rPr>
          <w:rFonts w:asciiTheme="minorEastAsia" w:hAnsiTheme="minorEastAsia"/>
          <w:szCs w:val="21"/>
        </w:rPr>
        <w:t>7</w:t>
      </w:r>
      <w:r>
        <w:rPr>
          <w:rFonts w:hint="eastAsia" w:asciiTheme="minorEastAsia" w:hAnsiTheme="minorEastAsia"/>
          <w:szCs w:val="21"/>
        </w:rPr>
        <w:t>：</w:t>
      </w:r>
      <w:bookmarkEnd w:id="162"/>
      <w:r>
        <w:rPr>
          <w:rFonts w:hint="eastAsia" w:asciiTheme="minorEastAsia" w:hAnsiTheme="minorEastAsia"/>
          <w:szCs w:val="21"/>
        </w:rPr>
        <w:t>法定代表人授权委托证明书</w:t>
      </w:r>
    </w:p>
    <w:p w14:paraId="12479711">
      <w:pPr>
        <w:keepNext/>
        <w:keepLines/>
        <w:spacing w:before="160" w:after="170"/>
        <w:ind w:firstLine="602" w:firstLineChars="200"/>
        <w:jc w:val="center"/>
        <w:outlineLvl w:val="4"/>
        <w:rPr>
          <w:b/>
          <w:bCs/>
          <w:sz w:val="30"/>
          <w:szCs w:val="28"/>
        </w:rPr>
      </w:pPr>
      <w:bookmarkStart w:id="163" w:name="_Toc55548546"/>
      <w:bookmarkStart w:id="164" w:name="_Toc437"/>
      <w:r>
        <w:rPr>
          <w:rFonts w:hint="eastAsia"/>
          <w:b/>
          <w:bCs/>
          <w:sz w:val="30"/>
          <w:szCs w:val="28"/>
        </w:rPr>
        <w:t>法定代表人授权委托书</w:t>
      </w:r>
      <w:bookmarkEnd w:id="163"/>
    </w:p>
    <w:p w14:paraId="3C5D0693">
      <w:pPr>
        <w:spacing w:line="360" w:lineRule="auto"/>
        <w:ind w:firstLine="420" w:firstLineChars="200"/>
        <w:rPr>
          <w:rFonts w:asciiTheme="minorEastAsia" w:hAnsiTheme="minorEastAsia"/>
          <w:b/>
          <w:bCs/>
          <w:szCs w:val="21"/>
        </w:rPr>
      </w:pPr>
      <w:r>
        <w:rPr>
          <w:rFonts w:hint="eastAsia" w:asciiTheme="minorEastAsia" w:hAnsiTheme="minorEastAsia"/>
          <w:szCs w:val="21"/>
        </w:rPr>
        <w:t>深圳市宝安区疾病预防控制中心（深圳市宝安区卫生监督所）</w:t>
      </w:r>
      <w:r>
        <w:rPr>
          <w:rFonts w:hint="eastAsia" w:asciiTheme="minorEastAsia" w:hAnsiTheme="minorEastAsia"/>
          <w:b/>
          <w:bCs/>
          <w:szCs w:val="21"/>
        </w:rPr>
        <w:t>：</w:t>
      </w:r>
    </w:p>
    <w:p w14:paraId="24A9D1C8">
      <w:pPr>
        <w:adjustRightInd w:val="0"/>
        <w:snapToGrid w:val="0"/>
        <w:spacing w:line="360" w:lineRule="auto"/>
        <w:ind w:firstLine="420" w:firstLineChars="200"/>
        <w:rPr>
          <w:rFonts w:asciiTheme="minorEastAsia" w:hAnsiTheme="minorEastAsia"/>
          <w:szCs w:val="21"/>
        </w:rPr>
      </w:pPr>
      <w:r>
        <w:rPr>
          <w:rFonts w:hint="eastAsia" w:asciiTheme="minorEastAsia" w:hAnsiTheme="minorEastAsia"/>
          <w:szCs w:val="21"/>
        </w:rPr>
        <w:t>现委派</w:t>
      </w:r>
      <w:r>
        <w:rPr>
          <w:rFonts w:hint="eastAsia" w:asciiTheme="minorEastAsia" w:hAnsiTheme="minorEastAsia"/>
          <w:szCs w:val="21"/>
          <w:u w:val="single"/>
        </w:rPr>
        <w:t xml:space="preserve">  （姓名、职务） </w:t>
      </w:r>
      <w:r>
        <w:rPr>
          <w:rFonts w:hint="eastAsia" w:asciiTheme="minorEastAsia" w:hAnsiTheme="minorEastAsia"/>
          <w:szCs w:val="21"/>
        </w:rPr>
        <w:t>参加贵公司组织的</w:t>
      </w:r>
      <w:r>
        <w:rPr>
          <w:rFonts w:hint="eastAsia" w:asciiTheme="minorEastAsia" w:hAnsiTheme="minorEastAsia"/>
          <w:b/>
          <w:bCs/>
          <w:szCs w:val="21"/>
          <w:u w:val="single"/>
        </w:rPr>
        <w:t xml:space="preserve">  </w:t>
      </w:r>
      <w:r>
        <w:rPr>
          <w:rFonts w:hint="eastAsia" w:asciiTheme="minorEastAsia" w:hAnsiTheme="minorEastAsia"/>
          <w:szCs w:val="21"/>
          <w:u w:val="single"/>
        </w:rPr>
        <w:t xml:space="preserve">（招标项目名称、编号） </w:t>
      </w:r>
      <w:r>
        <w:rPr>
          <w:rFonts w:hint="eastAsia" w:asciiTheme="minorEastAsia" w:hAnsiTheme="minorEastAsia"/>
          <w:szCs w:val="21"/>
        </w:rPr>
        <w:t>招标活动，全权代表我单位处理投标的有关事宜。</w:t>
      </w:r>
    </w:p>
    <w:p w14:paraId="4B24B993">
      <w:pPr>
        <w:spacing w:line="360" w:lineRule="auto"/>
        <w:ind w:firstLine="420" w:firstLineChars="200"/>
        <w:rPr>
          <w:rFonts w:asciiTheme="minorEastAsia" w:hAnsiTheme="minorEastAsia"/>
          <w:szCs w:val="21"/>
        </w:rPr>
      </w:pPr>
    </w:p>
    <w:p w14:paraId="57FEFFB6">
      <w:pPr>
        <w:adjustRightInd w:val="0"/>
        <w:snapToGrid w:val="0"/>
        <w:spacing w:line="360" w:lineRule="auto"/>
        <w:ind w:firstLine="422" w:firstLineChars="200"/>
        <w:rPr>
          <w:rFonts w:asciiTheme="minorEastAsia" w:hAnsiTheme="minorEastAsia"/>
          <w:b/>
          <w:bCs/>
          <w:szCs w:val="21"/>
        </w:rPr>
      </w:pPr>
      <w:r>
        <w:rPr>
          <w:rFonts w:hint="eastAsia" w:asciiTheme="minorEastAsia" w:hAnsiTheme="minorEastAsia"/>
          <w:b/>
          <w:bCs/>
          <w:szCs w:val="21"/>
        </w:rPr>
        <w:t>附授权代表情况：</w:t>
      </w:r>
    </w:p>
    <w:p w14:paraId="1A45E938">
      <w:pPr>
        <w:adjustRightInd w:val="0"/>
        <w:snapToGrid w:val="0"/>
        <w:spacing w:line="360" w:lineRule="auto"/>
        <w:ind w:firstLine="420" w:firstLineChars="200"/>
        <w:rPr>
          <w:rFonts w:asciiTheme="minorEastAsia" w:hAnsiTheme="minorEastAsia"/>
          <w:szCs w:val="21"/>
        </w:rPr>
      </w:pPr>
      <w:r>
        <w:rPr>
          <w:rFonts w:hint="eastAsia" w:asciiTheme="minorEastAsia" w:hAnsiTheme="minorEastAsia"/>
          <w:szCs w:val="21"/>
        </w:rPr>
        <w:t>姓名：</w:t>
      </w:r>
      <w:r>
        <w:rPr>
          <w:rFonts w:hint="eastAsia" w:asciiTheme="minorEastAsia" w:hAnsiTheme="minorEastAsia"/>
          <w:b/>
          <w:bCs/>
          <w:szCs w:val="21"/>
        </w:rPr>
        <w:t xml:space="preserve">    </w:t>
      </w:r>
      <w:r>
        <w:rPr>
          <w:rFonts w:hint="eastAsia" w:asciiTheme="minorEastAsia" w:hAnsiTheme="minorEastAsia"/>
          <w:szCs w:val="21"/>
        </w:rPr>
        <w:t xml:space="preserve">            性别：</w:t>
      </w:r>
      <w:r>
        <w:rPr>
          <w:rFonts w:hint="eastAsia" w:asciiTheme="minorEastAsia" w:hAnsiTheme="minorEastAsia"/>
          <w:b/>
          <w:bCs/>
          <w:szCs w:val="21"/>
        </w:rPr>
        <w:t xml:space="preserve"> </w:t>
      </w:r>
    </w:p>
    <w:p w14:paraId="615A7E43">
      <w:pPr>
        <w:adjustRightInd w:val="0"/>
        <w:snapToGrid w:val="0"/>
        <w:spacing w:line="360" w:lineRule="auto"/>
        <w:ind w:firstLine="420" w:firstLineChars="200"/>
        <w:rPr>
          <w:rFonts w:asciiTheme="minorEastAsia" w:hAnsiTheme="minorEastAsia"/>
          <w:b/>
          <w:bCs/>
          <w:szCs w:val="21"/>
        </w:rPr>
      </w:pPr>
      <w:r>
        <w:rPr>
          <w:rFonts w:hint="eastAsia" w:asciiTheme="minorEastAsia" w:hAnsiTheme="minorEastAsia"/>
          <w:szCs w:val="21"/>
        </w:rPr>
        <w:t>年龄：</w:t>
      </w:r>
      <w:r>
        <w:rPr>
          <w:rFonts w:hint="eastAsia" w:asciiTheme="minorEastAsia" w:hAnsiTheme="minorEastAsia"/>
          <w:b/>
          <w:bCs/>
          <w:szCs w:val="21"/>
        </w:rPr>
        <w:t xml:space="preserve"> </w:t>
      </w:r>
      <w:r>
        <w:rPr>
          <w:rFonts w:hint="eastAsia" w:asciiTheme="minorEastAsia" w:hAnsiTheme="minorEastAsia"/>
          <w:szCs w:val="21"/>
        </w:rPr>
        <w:t xml:space="preserve">            </w:t>
      </w:r>
    </w:p>
    <w:p w14:paraId="351F8C89">
      <w:pPr>
        <w:adjustRightInd w:val="0"/>
        <w:snapToGrid w:val="0"/>
        <w:spacing w:line="360" w:lineRule="auto"/>
        <w:ind w:firstLine="420" w:firstLineChars="200"/>
        <w:rPr>
          <w:rFonts w:asciiTheme="minorEastAsia" w:hAnsiTheme="minorEastAsia"/>
          <w:szCs w:val="21"/>
        </w:rPr>
      </w:pPr>
      <w:r>
        <w:rPr>
          <w:rFonts w:hint="eastAsia" w:asciiTheme="minorEastAsia" w:hAnsiTheme="minorEastAsia"/>
          <w:szCs w:val="21"/>
        </w:rPr>
        <w:t>职务：</w:t>
      </w:r>
    </w:p>
    <w:p w14:paraId="652E7691">
      <w:pPr>
        <w:adjustRightInd w:val="0"/>
        <w:snapToGrid w:val="0"/>
        <w:spacing w:line="360" w:lineRule="auto"/>
        <w:ind w:firstLine="420" w:firstLineChars="200"/>
        <w:rPr>
          <w:rFonts w:asciiTheme="minorEastAsia" w:hAnsiTheme="minorEastAsia"/>
          <w:szCs w:val="21"/>
        </w:rPr>
      </w:pPr>
      <w:r>
        <w:rPr>
          <w:rFonts w:hint="eastAsia" w:asciiTheme="minorEastAsia" w:hAnsiTheme="minorEastAsia"/>
          <w:szCs w:val="21"/>
        </w:rPr>
        <w:t>身份证号码：</w:t>
      </w:r>
    </w:p>
    <w:p w14:paraId="60DDA16B">
      <w:pPr>
        <w:adjustRightInd w:val="0"/>
        <w:snapToGrid w:val="0"/>
        <w:spacing w:line="360" w:lineRule="auto"/>
        <w:ind w:firstLine="420" w:firstLineChars="200"/>
        <w:rPr>
          <w:rFonts w:asciiTheme="minorEastAsia" w:hAnsiTheme="minorEastAsia"/>
          <w:b/>
          <w:bCs/>
          <w:szCs w:val="21"/>
        </w:rPr>
      </w:pPr>
      <w:r>
        <w:rPr>
          <w:rFonts w:hint="eastAsia" w:asciiTheme="minorEastAsia" w:hAnsiTheme="minorEastAsia"/>
          <w:szCs w:val="21"/>
        </w:rPr>
        <w:t>邮编：</w:t>
      </w:r>
      <w:r>
        <w:rPr>
          <w:rFonts w:hint="eastAsia" w:asciiTheme="minorEastAsia" w:hAnsiTheme="minorEastAsia"/>
          <w:b/>
          <w:bCs/>
          <w:szCs w:val="21"/>
        </w:rPr>
        <w:t xml:space="preserve"> </w:t>
      </w:r>
    </w:p>
    <w:p w14:paraId="1CF85C57">
      <w:pPr>
        <w:adjustRightInd w:val="0"/>
        <w:snapToGrid w:val="0"/>
        <w:spacing w:line="360" w:lineRule="auto"/>
        <w:ind w:firstLine="420" w:firstLineChars="200"/>
        <w:rPr>
          <w:rFonts w:asciiTheme="minorEastAsia" w:hAnsiTheme="minorEastAsia"/>
          <w:szCs w:val="21"/>
        </w:rPr>
      </w:pPr>
      <w:r>
        <w:rPr>
          <w:rFonts w:hint="eastAsia" w:asciiTheme="minorEastAsia" w:hAnsiTheme="minorEastAsia"/>
          <w:szCs w:val="21"/>
        </w:rPr>
        <w:t>通讯地址：</w:t>
      </w:r>
      <w:r>
        <w:rPr>
          <w:rFonts w:hint="eastAsia" w:asciiTheme="minorEastAsia" w:hAnsiTheme="minorEastAsia"/>
          <w:b/>
          <w:bCs/>
          <w:szCs w:val="21"/>
        </w:rPr>
        <w:t xml:space="preserve"> </w:t>
      </w:r>
    </w:p>
    <w:p w14:paraId="2B1DAC9F">
      <w:pPr>
        <w:adjustRightInd w:val="0"/>
        <w:snapToGrid w:val="0"/>
        <w:spacing w:line="360" w:lineRule="auto"/>
        <w:ind w:firstLine="420" w:firstLineChars="200"/>
        <w:rPr>
          <w:rFonts w:asciiTheme="minorEastAsia" w:hAnsiTheme="minorEastAsia"/>
          <w:szCs w:val="21"/>
        </w:rPr>
      </w:pPr>
      <w:r>
        <w:rPr>
          <w:rFonts w:hint="eastAsia" w:asciiTheme="minorEastAsia" w:hAnsiTheme="minorEastAsia"/>
          <w:szCs w:val="21"/>
        </w:rPr>
        <w:t xml:space="preserve">电话： </w:t>
      </w:r>
    </w:p>
    <w:p w14:paraId="3C20D2E9">
      <w:pPr>
        <w:spacing w:line="360" w:lineRule="auto"/>
        <w:ind w:firstLine="420" w:firstLineChars="200"/>
        <w:rPr>
          <w:rFonts w:asciiTheme="minorEastAsia" w:hAnsiTheme="minorEastAsia"/>
          <w:szCs w:val="21"/>
        </w:rPr>
      </w:pPr>
      <w:r>
        <w:rPr>
          <w:rFonts w:hint="eastAsia" w:asciiTheme="minorEastAsia" w:hAnsiTheme="minorEastAsia"/>
          <w:szCs w:val="21"/>
        </w:rPr>
        <w:t>单位名称：（公章）</w:t>
      </w:r>
    </w:p>
    <w:p w14:paraId="3ED8D7AF">
      <w:pPr>
        <w:spacing w:line="360" w:lineRule="auto"/>
        <w:ind w:firstLine="420" w:firstLineChars="200"/>
        <w:rPr>
          <w:rFonts w:asciiTheme="minorEastAsia" w:hAnsiTheme="minorEastAsia"/>
          <w:szCs w:val="21"/>
        </w:rPr>
      </w:pPr>
    </w:p>
    <w:p w14:paraId="0E5BAC2D">
      <w:pPr>
        <w:spacing w:line="360" w:lineRule="auto"/>
        <w:ind w:firstLine="420" w:firstLineChars="200"/>
        <w:rPr>
          <w:rFonts w:asciiTheme="minorEastAsia" w:hAnsiTheme="minorEastAsia"/>
          <w:szCs w:val="21"/>
        </w:rPr>
      </w:pPr>
      <w:r>
        <w:rPr>
          <w:rFonts w:hint="eastAsia" w:asciiTheme="minorEastAsia" w:hAnsiTheme="minorEastAsia"/>
          <w:szCs w:val="21"/>
        </w:rPr>
        <w:t>法人代表：（签章）</w:t>
      </w:r>
    </w:p>
    <w:p w14:paraId="0E8AB3F4">
      <w:pPr>
        <w:adjustRightInd w:val="0"/>
        <w:snapToGrid w:val="0"/>
        <w:spacing w:line="360" w:lineRule="auto"/>
        <w:ind w:firstLine="420" w:firstLineChars="200"/>
        <w:rPr>
          <w:rFonts w:asciiTheme="minorEastAsia" w:hAnsiTheme="minorEastAsia"/>
          <w:szCs w:val="21"/>
        </w:rPr>
      </w:pPr>
      <w:r>
        <w:rPr>
          <w:rFonts w:hint="eastAsia" w:asciiTheme="minorEastAsia" w:hAnsiTheme="minorEastAsia"/>
          <w:szCs w:val="21"/>
        </w:rPr>
        <w:t>年</w:t>
      </w:r>
      <w:r>
        <w:rPr>
          <w:rFonts w:hint="eastAsia" w:asciiTheme="minorEastAsia" w:hAnsiTheme="minorEastAsia"/>
          <w:b/>
          <w:bCs/>
          <w:szCs w:val="21"/>
        </w:rPr>
        <w:t xml:space="preserve">    </w:t>
      </w:r>
      <w:r>
        <w:rPr>
          <w:rFonts w:hint="eastAsia" w:asciiTheme="minorEastAsia" w:hAnsiTheme="minorEastAsia"/>
          <w:szCs w:val="21"/>
        </w:rPr>
        <w:t>月</w:t>
      </w:r>
      <w:r>
        <w:rPr>
          <w:rFonts w:hint="eastAsia" w:asciiTheme="minorEastAsia" w:hAnsiTheme="minorEastAsia"/>
          <w:b/>
          <w:bCs/>
          <w:szCs w:val="21"/>
        </w:rPr>
        <w:t xml:space="preserve">   </w:t>
      </w:r>
      <w:r>
        <w:rPr>
          <w:rFonts w:hint="eastAsia" w:asciiTheme="minorEastAsia" w:hAnsiTheme="minorEastAsia"/>
          <w:szCs w:val="21"/>
        </w:rPr>
        <w:t>日</w:t>
      </w:r>
    </w:p>
    <w:p w14:paraId="66842860">
      <w:pPr>
        <w:spacing w:line="360" w:lineRule="auto"/>
        <w:ind w:firstLine="420" w:firstLineChars="200"/>
        <w:rPr>
          <w:rFonts w:asciiTheme="minorEastAsia" w:hAnsiTheme="minorEastAsia"/>
          <w:szCs w:val="21"/>
        </w:rPr>
      </w:pPr>
      <w:bookmarkStart w:id="165" w:name="_Toc226217114"/>
      <w:r>
        <mc:AlternateContent>
          <mc:Choice Requires="wps">
            <w:drawing>
              <wp:anchor distT="0" distB="0" distL="114300" distR="114300" simplePos="0" relativeHeight="251661312" behindDoc="0" locked="0" layoutInCell="1" allowOverlap="1">
                <wp:simplePos x="0" y="0"/>
                <wp:positionH relativeFrom="column">
                  <wp:posOffset>-17145</wp:posOffset>
                </wp:positionH>
                <wp:positionV relativeFrom="paragraph">
                  <wp:posOffset>71120</wp:posOffset>
                </wp:positionV>
                <wp:extent cx="2619375" cy="1722755"/>
                <wp:effectExtent l="4445" t="4445" r="5080" b="6350"/>
                <wp:wrapNone/>
                <wp:docPr id="67" name="矩形 67"/>
                <wp:cNvGraphicFramePr/>
                <a:graphic xmlns:a="http://schemas.openxmlformats.org/drawingml/2006/main">
                  <a:graphicData uri="http://schemas.microsoft.com/office/word/2010/wordprocessingShape">
                    <wps:wsp>
                      <wps:cNvSpPr>
                        <a:spLocks noChangeArrowheads="1"/>
                      </wps:cNvSpPr>
                      <wps:spPr bwMode="auto">
                        <a:xfrm>
                          <a:off x="0" y="0"/>
                          <a:ext cx="2619375" cy="1722755"/>
                        </a:xfrm>
                        <a:prstGeom prst="rect">
                          <a:avLst/>
                        </a:prstGeom>
                        <a:solidFill>
                          <a:srgbClr val="FFFFFF"/>
                        </a:solidFill>
                        <a:ln w="9525">
                          <a:solidFill>
                            <a:srgbClr val="000000"/>
                          </a:solidFill>
                          <a:miter lim="800000"/>
                        </a:ln>
                      </wps:spPr>
                      <wps:txbx>
                        <w:txbxContent>
                          <w:p w14:paraId="19660D51">
                            <w:pPr>
                              <w:spacing w:line="360" w:lineRule="auto"/>
                              <w:ind w:firstLine="1260" w:firstLineChars="600"/>
                            </w:pPr>
                          </w:p>
                          <w:p w14:paraId="7303B407">
                            <w:pPr>
                              <w:spacing w:line="360" w:lineRule="auto"/>
                              <w:ind w:firstLine="1260" w:firstLineChars="600"/>
                            </w:pPr>
                            <w:r>
                              <w:rPr>
                                <w:rFonts w:hint="eastAsia"/>
                              </w:rPr>
                              <w:t>被授权人（授权代表）</w:t>
                            </w:r>
                          </w:p>
                          <w:p w14:paraId="4253FF3F">
                            <w:pPr>
                              <w:spacing w:line="360" w:lineRule="auto"/>
                              <w:ind w:firstLine="1050" w:firstLineChars="500"/>
                            </w:pPr>
                            <w:r>
                              <w:rPr>
                                <w:rFonts w:hint="eastAsia"/>
                              </w:rPr>
                              <w:t>居民身份证复印件粘贴处</w:t>
                            </w:r>
                          </w:p>
                          <w:p w14:paraId="441FB384">
                            <w:pPr>
                              <w:spacing w:line="360" w:lineRule="auto"/>
                              <w:jc w:val="center"/>
                            </w:pPr>
                            <w:r>
                              <w:rPr>
                                <w:rFonts w:hint="eastAsia"/>
                              </w:rPr>
                              <w:t>（正面）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35pt;margin-top:5.6pt;height:135.65pt;width:206.25pt;z-index:251661312;mso-width-relative:page;mso-height-relative:page;" fillcolor="#FFFFFF" filled="t" stroked="t" coordsize="21600,21600" o:gfxdata="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HHeQVtcAAAAJAQAADwAAAAAAAAABACAAAAAiAAAAZHJzL2Rv&#10;d25yZXYueG1sUEsBAhQAFAAAAAgAh07iQMp/CnE7AgAAfQQAAA4AAAAAAAAAAQAgAAAAJgEAAGRy&#10;cy9lMm9Eb2MueG1sUEsFBgAAAAAGAAYAWQEAANMFAAAAAA==&#10;">
                <v:fill on="t" focussize="0,0"/>
                <v:stroke color="#000000" miterlimit="8" joinstyle="miter"/>
                <v:imagedata o:title=""/>
                <o:lock v:ext="edit" aspectratio="f"/>
                <v:textbox>
                  <w:txbxContent>
                    <w:p w14:paraId="19660D51">
                      <w:pPr>
                        <w:spacing w:line="360" w:lineRule="auto"/>
                        <w:ind w:firstLine="1260" w:firstLineChars="600"/>
                      </w:pPr>
                    </w:p>
                    <w:p w14:paraId="7303B407">
                      <w:pPr>
                        <w:spacing w:line="360" w:lineRule="auto"/>
                        <w:ind w:firstLine="1260" w:firstLineChars="600"/>
                      </w:pPr>
                      <w:r>
                        <w:rPr>
                          <w:rFonts w:hint="eastAsia"/>
                        </w:rPr>
                        <w:t>被授权人（授权代表）</w:t>
                      </w:r>
                    </w:p>
                    <w:p w14:paraId="4253FF3F">
                      <w:pPr>
                        <w:spacing w:line="360" w:lineRule="auto"/>
                        <w:ind w:firstLine="1050" w:firstLineChars="500"/>
                      </w:pPr>
                      <w:r>
                        <w:rPr>
                          <w:rFonts w:hint="eastAsia"/>
                        </w:rPr>
                        <w:t>居民身份证复印件粘贴处</w:t>
                      </w:r>
                    </w:p>
                    <w:p w14:paraId="441FB384">
                      <w:pPr>
                        <w:spacing w:line="360" w:lineRule="auto"/>
                        <w:jc w:val="center"/>
                      </w:pPr>
                      <w:r>
                        <w:rPr>
                          <w:rFonts w:hint="eastAsia"/>
                        </w:rPr>
                        <w:t>（正面）</w:t>
                      </w:r>
                    </w:p>
                  </w:txbxContent>
                </v:textbox>
              </v:rect>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2821305</wp:posOffset>
                </wp:positionH>
                <wp:positionV relativeFrom="paragraph">
                  <wp:posOffset>71120</wp:posOffset>
                </wp:positionV>
                <wp:extent cx="2533650" cy="1722755"/>
                <wp:effectExtent l="4445" t="4445" r="14605" b="6350"/>
                <wp:wrapNone/>
                <wp:docPr id="66" name="矩形 66"/>
                <wp:cNvGraphicFramePr/>
                <a:graphic xmlns:a="http://schemas.openxmlformats.org/drawingml/2006/main">
                  <a:graphicData uri="http://schemas.microsoft.com/office/word/2010/wordprocessingShape">
                    <wps:wsp>
                      <wps:cNvSpPr>
                        <a:spLocks noChangeArrowheads="1"/>
                      </wps:cNvSpPr>
                      <wps:spPr bwMode="auto">
                        <a:xfrm>
                          <a:off x="0" y="0"/>
                          <a:ext cx="2533650" cy="1722755"/>
                        </a:xfrm>
                        <a:prstGeom prst="rect">
                          <a:avLst/>
                        </a:prstGeom>
                        <a:solidFill>
                          <a:srgbClr val="FFFFFF"/>
                        </a:solidFill>
                        <a:ln w="9525">
                          <a:solidFill>
                            <a:srgbClr val="000000"/>
                          </a:solidFill>
                          <a:miter lim="800000"/>
                        </a:ln>
                      </wps:spPr>
                      <wps:txbx>
                        <w:txbxContent>
                          <w:p w14:paraId="08C88F61">
                            <w:pPr>
                              <w:spacing w:line="360" w:lineRule="auto"/>
                              <w:jc w:val="center"/>
                            </w:pPr>
                          </w:p>
                          <w:p w14:paraId="2CCD8182">
                            <w:pPr>
                              <w:spacing w:line="360" w:lineRule="auto"/>
                              <w:jc w:val="center"/>
                            </w:pPr>
                            <w:r>
                              <w:rPr>
                                <w:rFonts w:hint="eastAsia"/>
                              </w:rPr>
                              <w:t>被授权人（授权代表）</w:t>
                            </w:r>
                          </w:p>
                          <w:p w14:paraId="5E12DBD7">
                            <w:pPr>
                              <w:spacing w:line="360" w:lineRule="auto"/>
                              <w:jc w:val="center"/>
                            </w:pPr>
                            <w:r>
                              <w:rPr>
                                <w:rFonts w:hint="eastAsia"/>
                              </w:rPr>
                              <w:t>居民身份证复印件粘贴处</w:t>
                            </w:r>
                          </w:p>
                          <w:p w14:paraId="62073399">
                            <w:pPr>
                              <w:spacing w:line="360" w:lineRule="auto"/>
                              <w:jc w:val="center"/>
                            </w:pPr>
                            <w:r>
                              <w:rPr>
                                <w:rFonts w:hint="eastAsia"/>
                              </w:rPr>
                              <w:t>（反面）</w:t>
                            </w:r>
                          </w:p>
                          <w:p w14:paraId="177481CE"/>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22.15pt;margin-top:5.6pt;height:135.65pt;width:199.5pt;z-index:251662336;mso-width-relative:page;mso-height-relative:page;" fillcolor="#FFFFFF" filled="t" stroked="t" coordsize="21600,21600" o:gfxdata="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bTsh1NcAAAAKAQAADwAAAAAAAAABACAAAAAiAAAAZHJzL2Rv&#10;d25yZXYueG1sUEsBAhQAFAAAAAgAh07iQEyOoPE7AgAAfQQAAA4AAAAAAAAAAQAgAAAAJgEAAGRy&#10;cy9lMm9Eb2MueG1sUEsFBgAAAAAGAAYAWQEAANMFAAAAAA==&#10;">
                <v:fill on="t" focussize="0,0"/>
                <v:stroke color="#000000" miterlimit="8" joinstyle="miter"/>
                <v:imagedata o:title=""/>
                <o:lock v:ext="edit" aspectratio="f"/>
                <v:textbox>
                  <w:txbxContent>
                    <w:p w14:paraId="08C88F61">
                      <w:pPr>
                        <w:spacing w:line="360" w:lineRule="auto"/>
                        <w:jc w:val="center"/>
                      </w:pPr>
                    </w:p>
                    <w:p w14:paraId="2CCD8182">
                      <w:pPr>
                        <w:spacing w:line="360" w:lineRule="auto"/>
                        <w:jc w:val="center"/>
                      </w:pPr>
                      <w:r>
                        <w:rPr>
                          <w:rFonts w:hint="eastAsia"/>
                        </w:rPr>
                        <w:t>被授权人（授权代表）</w:t>
                      </w:r>
                    </w:p>
                    <w:p w14:paraId="5E12DBD7">
                      <w:pPr>
                        <w:spacing w:line="360" w:lineRule="auto"/>
                        <w:jc w:val="center"/>
                      </w:pPr>
                      <w:r>
                        <w:rPr>
                          <w:rFonts w:hint="eastAsia"/>
                        </w:rPr>
                        <w:t>居民身份证复印件粘贴处</w:t>
                      </w:r>
                    </w:p>
                    <w:p w14:paraId="62073399">
                      <w:pPr>
                        <w:spacing w:line="360" w:lineRule="auto"/>
                        <w:jc w:val="center"/>
                      </w:pPr>
                      <w:r>
                        <w:rPr>
                          <w:rFonts w:hint="eastAsia"/>
                        </w:rPr>
                        <w:t>（反面）</w:t>
                      </w:r>
                    </w:p>
                    <w:p w14:paraId="177481CE"/>
                  </w:txbxContent>
                </v:textbox>
              </v:rect>
            </w:pict>
          </mc:Fallback>
        </mc:AlternateContent>
      </w:r>
      <w:bookmarkEnd w:id="165"/>
    </w:p>
    <w:p w14:paraId="2070441E">
      <w:pPr>
        <w:spacing w:line="360" w:lineRule="auto"/>
        <w:ind w:firstLine="420" w:firstLineChars="200"/>
        <w:rPr>
          <w:rFonts w:asciiTheme="minorEastAsia" w:hAnsiTheme="minorEastAsia"/>
          <w:szCs w:val="21"/>
        </w:rPr>
      </w:pPr>
    </w:p>
    <w:p w14:paraId="100AF954">
      <w:pPr>
        <w:spacing w:line="360" w:lineRule="auto"/>
        <w:ind w:firstLine="420" w:firstLineChars="200"/>
        <w:rPr>
          <w:rFonts w:asciiTheme="minorEastAsia" w:hAnsiTheme="minorEastAsia"/>
          <w:szCs w:val="21"/>
        </w:rPr>
      </w:pPr>
    </w:p>
    <w:p w14:paraId="4DC02F49">
      <w:pPr>
        <w:spacing w:line="360" w:lineRule="auto"/>
        <w:ind w:firstLine="420" w:firstLineChars="200"/>
        <w:rPr>
          <w:rFonts w:asciiTheme="minorEastAsia" w:hAnsiTheme="minorEastAsia"/>
          <w:szCs w:val="21"/>
        </w:rPr>
      </w:pPr>
    </w:p>
    <w:p w14:paraId="7CC73E33">
      <w:pPr>
        <w:spacing w:line="360" w:lineRule="auto"/>
        <w:ind w:firstLine="420" w:firstLineChars="200"/>
        <w:rPr>
          <w:rFonts w:asciiTheme="minorEastAsia" w:hAnsiTheme="minorEastAsia"/>
          <w:szCs w:val="21"/>
        </w:rPr>
      </w:pPr>
    </w:p>
    <w:p w14:paraId="4086A0BA">
      <w:pPr>
        <w:tabs>
          <w:tab w:val="left" w:pos="5115"/>
        </w:tabs>
        <w:spacing w:line="360" w:lineRule="auto"/>
        <w:ind w:firstLine="420" w:firstLineChars="200"/>
        <w:rPr>
          <w:rFonts w:asciiTheme="minorEastAsia" w:hAnsiTheme="minorEastAsia"/>
          <w:szCs w:val="21"/>
        </w:rPr>
      </w:pPr>
      <w:r>
        <w:rPr>
          <w:rFonts w:asciiTheme="minorEastAsia" w:hAnsiTheme="minorEastAsia"/>
          <w:szCs w:val="21"/>
        </w:rPr>
        <w:tab/>
      </w:r>
    </w:p>
    <w:p w14:paraId="67CD6EBB">
      <w:pPr>
        <w:spacing w:line="360" w:lineRule="auto"/>
        <w:ind w:firstLine="420" w:firstLineChars="200"/>
        <w:rPr>
          <w:rFonts w:asciiTheme="minorEastAsia" w:hAnsiTheme="minorEastAsia"/>
          <w:szCs w:val="21"/>
        </w:rPr>
      </w:pPr>
    </w:p>
    <w:p w14:paraId="4F2B5972">
      <w:pPr>
        <w:adjustRightInd w:val="0"/>
        <w:snapToGrid w:val="0"/>
        <w:spacing w:line="360" w:lineRule="auto"/>
        <w:ind w:firstLine="422" w:firstLineChars="200"/>
        <w:rPr>
          <w:rFonts w:asciiTheme="minorEastAsia" w:hAnsiTheme="minorEastAsia"/>
          <w:b/>
          <w:snapToGrid w:val="0"/>
          <w:kern w:val="0"/>
          <w:szCs w:val="21"/>
        </w:rPr>
      </w:pPr>
    </w:p>
    <w:p w14:paraId="47B7F5D3">
      <w:pPr>
        <w:spacing w:line="360" w:lineRule="auto"/>
        <w:ind w:firstLine="420" w:firstLineChars="200"/>
        <w:rPr>
          <w:rFonts w:asciiTheme="minorEastAsia" w:hAnsiTheme="minorEastAsia"/>
          <w:szCs w:val="21"/>
        </w:rPr>
        <w:sectPr>
          <w:pgSz w:w="11906" w:h="16838"/>
          <w:pgMar w:top="1440" w:right="1080" w:bottom="1440" w:left="1080" w:header="851" w:footer="992" w:gutter="0"/>
          <w:cols w:space="720" w:num="1"/>
          <w:titlePg/>
          <w:docGrid w:type="lines" w:linePitch="312" w:charSpace="0"/>
        </w:sectPr>
      </w:pPr>
    </w:p>
    <w:p w14:paraId="21BCEDD0">
      <w:pPr>
        <w:spacing w:line="360" w:lineRule="auto"/>
        <w:ind w:firstLine="420" w:firstLineChars="200"/>
        <w:rPr>
          <w:rFonts w:asciiTheme="minorEastAsia" w:hAnsiTheme="minorEastAsia"/>
          <w:szCs w:val="21"/>
        </w:rPr>
      </w:pPr>
      <w:r>
        <w:rPr>
          <w:rFonts w:hint="eastAsia" w:asciiTheme="minorEastAsia" w:hAnsiTheme="minorEastAsia"/>
          <w:szCs w:val="21"/>
        </w:rPr>
        <w:t>附件</w:t>
      </w:r>
      <w:r>
        <w:rPr>
          <w:rFonts w:asciiTheme="minorEastAsia" w:hAnsiTheme="minorEastAsia"/>
          <w:szCs w:val="21"/>
        </w:rPr>
        <w:t>8</w:t>
      </w:r>
      <w:r>
        <w:rPr>
          <w:rFonts w:hint="eastAsia" w:asciiTheme="minorEastAsia" w:hAnsiTheme="minorEastAsia"/>
          <w:szCs w:val="21"/>
        </w:rPr>
        <w:t>：项目实施方案格式</w:t>
      </w:r>
      <w:bookmarkEnd w:id="164"/>
      <w:r>
        <w:rPr>
          <w:rFonts w:hint="eastAsia" w:asciiTheme="minorEastAsia" w:hAnsiTheme="minorEastAsia"/>
          <w:szCs w:val="21"/>
        </w:rPr>
        <w:t>（如有）</w:t>
      </w:r>
    </w:p>
    <w:p w14:paraId="7893B714">
      <w:pPr>
        <w:keepNext/>
        <w:keepLines/>
        <w:spacing w:before="160" w:after="170"/>
        <w:ind w:firstLine="602" w:firstLineChars="200"/>
        <w:jc w:val="center"/>
        <w:outlineLvl w:val="4"/>
        <w:rPr>
          <w:b/>
          <w:bCs/>
          <w:sz w:val="30"/>
          <w:szCs w:val="28"/>
        </w:rPr>
      </w:pPr>
      <w:bookmarkStart w:id="166" w:name="_Toc55548547"/>
      <w:r>
        <w:rPr>
          <w:rFonts w:hint="eastAsia"/>
          <w:b/>
          <w:bCs/>
          <w:sz w:val="30"/>
          <w:szCs w:val="28"/>
        </w:rPr>
        <w:t>项目实施方案</w:t>
      </w:r>
      <w:bookmarkEnd w:id="166"/>
    </w:p>
    <w:p w14:paraId="7237C43A">
      <w:pPr>
        <w:spacing w:line="360" w:lineRule="auto"/>
        <w:ind w:firstLine="420" w:firstLineChars="200"/>
        <w:rPr>
          <w:rFonts w:asciiTheme="minorEastAsia" w:hAnsiTheme="minorEastAsia"/>
          <w:szCs w:val="21"/>
        </w:rPr>
      </w:pPr>
      <w:r>
        <w:rPr>
          <w:rFonts w:hint="eastAsia" w:asciiTheme="minorEastAsia" w:hAnsiTheme="minorEastAsia"/>
          <w:szCs w:val="21"/>
        </w:rPr>
        <w:t>主要内容应包括(根据项目实际情况适当调整内容)：</w:t>
      </w:r>
    </w:p>
    <w:p w14:paraId="1917A30C">
      <w:pPr>
        <w:spacing w:line="360" w:lineRule="auto"/>
        <w:ind w:firstLine="420" w:firstLineChars="200"/>
        <w:rPr>
          <w:rFonts w:asciiTheme="minorEastAsia" w:hAnsiTheme="minorEastAsia"/>
          <w:szCs w:val="21"/>
        </w:rPr>
      </w:pPr>
      <w:r>
        <w:rPr>
          <w:rFonts w:hint="eastAsia" w:asciiTheme="minorEastAsia" w:hAnsiTheme="minorEastAsia"/>
          <w:szCs w:val="21"/>
        </w:rPr>
        <w:t>1、项目实施方案、实施进度表</w:t>
      </w:r>
    </w:p>
    <w:p w14:paraId="3F53F11F">
      <w:pPr>
        <w:spacing w:line="360" w:lineRule="auto"/>
        <w:ind w:firstLine="420" w:firstLineChars="200"/>
        <w:rPr>
          <w:rFonts w:asciiTheme="minorEastAsia" w:hAnsiTheme="minorEastAsia"/>
          <w:szCs w:val="21"/>
        </w:rPr>
      </w:pPr>
      <w:r>
        <w:rPr>
          <w:rFonts w:hint="eastAsia" w:asciiTheme="minorEastAsia" w:hAnsiTheme="minorEastAsia"/>
          <w:szCs w:val="21"/>
        </w:rPr>
        <w:t>2、相关配套措施</w:t>
      </w:r>
    </w:p>
    <w:p w14:paraId="6C96D26D">
      <w:pPr>
        <w:spacing w:line="360" w:lineRule="auto"/>
        <w:ind w:firstLine="420" w:firstLineChars="200"/>
        <w:rPr>
          <w:rFonts w:asciiTheme="minorEastAsia" w:hAnsiTheme="minorEastAsia"/>
          <w:szCs w:val="21"/>
        </w:rPr>
      </w:pPr>
      <w:r>
        <w:rPr>
          <w:rFonts w:hint="eastAsia" w:asciiTheme="minorEastAsia" w:hAnsiTheme="minorEastAsia"/>
          <w:szCs w:val="21"/>
        </w:rPr>
        <w:t>（备注：该部分须与“技术保障措施”、“施工安全保障措施”、“商务需求”等部分承诺的内容相呼应，不得前后矛盾。）</w:t>
      </w:r>
    </w:p>
    <w:p w14:paraId="30FC17F5">
      <w:pPr>
        <w:spacing w:line="360" w:lineRule="auto"/>
        <w:ind w:firstLine="420" w:firstLineChars="200"/>
        <w:rPr>
          <w:rFonts w:asciiTheme="minorEastAsia" w:hAnsiTheme="minorEastAsia"/>
          <w:szCs w:val="21"/>
        </w:rPr>
      </w:pPr>
      <w:r>
        <w:rPr>
          <w:rFonts w:asciiTheme="minorEastAsia" w:hAnsiTheme="minorEastAsia"/>
          <w:szCs w:val="21"/>
        </w:rPr>
        <w:br w:type="page"/>
      </w:r>
      <w:bookmarkStart w:id="167" w:name="_Toc3861"/>
      <w:r>
        <w:rPr>
          <w:rFonts w:hint="eastAsia" w:asciiTheme="minorEastAsia" w:hAnsiTheme="minorEastAsia"/>
          <w:szCs w:val="21"/>
        </w:rPr>
        <w:t>附件</w:t>
      </w:r>
      <w:r>
        <w:rPr>
          <w:rFonts w:asciiTheme="minorEastAsia" w:hAnsiTheme="minorEastAsia"/>
          <w:szCs w:val="21"/>
        </w:rPr>
        <w:t>9</w:t>
      </w:r>
      <w:r>
        <w:rPr>
          <w:rFonts w:hint="eastAsia" w:asciiTheme="minorEastAsia" w:hAnsiTheme="minorEastAsia"/>
          <w:szCs w:val="21"/>
        </w:rPr>
        <w:t>：售后服务方案格式</w:t>
      </w:r>
      <w:bookmarkEnd w:id="167"/>
      <w:r>
        <w:rPr>
          <w:rFonts w:hint="eastAsia" w:asciiTheme="minorEastAsia" w:hAnsiTheme="minorEastAsia"/>
          <w:szCs w:val="21"/>
        </w:rPr>
        <w:t>（如有）</w:t>
      </w:r>
    </w:p>
    <w:p w14:paraId="5BFCE779">
      <w:pPr>
        <w:keepNext/>
        <w:keepLines/>
        <w:spacing w:before="160" w:after="170"/>
        <w:ind w:firstLine="602" w:firstLineChars="200"/>
        <w:jc w:val="center"/>
        <w:outlineLvl w:val="4"/>
        <w:rPr>
          <w:b/>
          <w:bCs/>
          <w:sz w:val="30"/>
          <w:szCs w:val="28"/>
        </w:rPr>
      </w:pPr>
      <w:bookmarkStart w:id="168" w:name="_Toc55548548"/>
      <w:r>
        <w:rPr>
          <w:rFonts w:hint="eastAsia"/>
          <w:b/>
          <w:bCs/>
          <w:sz w:val="30"/>
          <w:szCs w:val="28"/>
        </w:rPr>
        <w:t>售后服务方案</w:t>
      </w:r>
      <w:bookmarkEnd w:id="168"/>
    </w:p>
    <w:p w14:paraId="4DF3FA76">
      <w:pPr>
        <w:spacing w:line="360" w:lineRule="auto"/>
        <w:ind w:firstLine="420" w:firstLineChars="200"/>
        <w:rPr>
          <w:rFonts w:asciiTheme="minorEastAsia" w:hAnsiTheme="minorEastAsia"/>
          <w:szCs w:val="21"/>
        </w:rPr>
      </w:pPr>
      <w:r>
        <w:rPr>
          <w:rFonts w:hint="eastAsia" w:asciiTheme="minorEastAsia" w:hAnsiTheme="minorEastAsia"/>
          <w:szCs w:val="21"/>
        </w:rPr>
        <w:t>主要内容应包括(根据项目实际情况适当调整内容)：</w:t>
      </w:r>
    </w:p>
    <w:p w14:paraId="37DF631B">
      <w:pPr>
        <w:spacing w:line="360" w:lineRule="auto"/>
        <w:ind w:firstLine="420" w:firstLineChars="200"/>
        <w:rPr>
          <w:rFonts w:asciiTheme="minorEastAsia" w:hAnsiTheme="minorEastAsia"/>
          <w:szCs w:val="21"/>
        </w:rPr>
      </w:pPr>
      <w:r>
        <w:rPr>
          <w:rFonts w:asciiTheme="minorEastAsia" w:hAnsiTheme="minorEastAsia"/>
          <w:szCs w:val="21"/>
        </w:rPr>
        <w:t>1</w:t>
      </w:r>
      <w:r>
        <w:rPr>
          <w:rFonts w:hint="eastAsia" w:asciiTheme="minorEastAsia" w:hAnsiTheme="minorEastAsia"/>
          <w:szCs w:val="21"/>
        </w:rPr>
        <w:t>、免费保修期；</w:t>
      </w:r>
    </w:p>
    <w:p w14:paraId="423AA29D">
      <w:pPr>
        <w:spacing w:line="360" w:lineRule="auto"/>
        <w:ind w:firstLine="420" w:firstLineChars="200"/>
        <w:rPr>
          <w:rFonts w:asciiTheme="minorEastAsia" w:hAnsiTheme="minorEastAsia"/>
          <w:szCs w:val="21"/>
        </w:rPr>
      </w:pPr>
      <w:r>
        <w:rPr>
          <w:rFonts w:asciiTheme="minorEastAsia" w:hAnsiTheme="minorEastAsia"/>
          <w:szCs w:val="21"/>
        </w:rPr>
        <w:t>2</w:t>
      </w:r>
      <w:r>
        <w:rPr>
          <w:rFonts w:hint="eastAsia" w:asciiTheme="minorEastAsia" w:hAnsiTheme="minorEastAsia"/>
          <w:szCs w:val="21"/>
        </w:rPr>
        <w:t>、故障或技术支持响应时间；</w:t>
      </w:r>
    </w:p>
    <w:p w14:paraId="4E70A860">
      <w:pPr>
        <w:spacing w:line="360" w:lineRule="auto"/>
        <w:ind w:firstLine="420" w:firstLineChars="200"/>
        <w:rPr>
          <w:rFonts w:asciiTheme="minorEastAsia" w:hAnsiTheme="minorEastAsia"/>
          <w:szCs w:val="21"/>
        </w:rPr>
      </w:pPr>
      <w:r>
        <w:rPr>
          <w:rFonts w:asciiTheme="minorEastAsia" w:hAnsiTheme="minorEastAsia"/>
          <w:szCs w:val="21"/>
        </w:rPr>
        <w:t>3</w:t>
      </w:r>
      <w:r>
        <w:rPr>
          <w:rFonts w:hint="eastAsia" w:asciiTheme="minorEastAsia" w:hAnsiTheme="minorEastAsia"/>
          <w:szCs w:val="21"/>
        </w:rPr>
        <w:t>、投标人承诺的其他维修维护方案、措施</w:t>
      </w:r>
    </w:p>
    <w:p w14:paraId="056CDBD6">
      <w:pPr>
        <w:spacing w:line="360" w:lineRule="auto"/>
        <w:ind w:firstLine="420" w:firstLineChars="200"/>
        <w:rPr>
          <w:rFonts w:asciiTheme="minorEastAsia" w:hAnsiTheme="minorEastAsia"/>
          <w:szCs w:val="21"/>
        </w:rPr>
      </w:pPr>
      <w:r>
        <w:rPr>
          <w:rFonts w:asciiTheme="minorEastAsia" w:hAnsiTheme="minorEastAsia"/>
          <w:szCs w:val="21"/>
        </w:rPr>
        <w:t>4</w:t>
      </w:r>
      <w:r>
        <w:rPr>
          <w:rFonts w:hint="eastAsia" w:asciiTheme="minorEastAsia" w:hAnsiTheme="minorEastAsia"/>
          <w:szCs w:val="21"/>
        </w:rPr>
        <w:t>、质量保证及违约承诺。</w:t>
      </w:r>
    </w:p>
    <w:p w14:paraId="59924541">
      <w:pPr>
        <w:spacing w:line="360" w:lineRule="auto"/>
        <w:ind w:firstLine="420" w:firstLineChars="200"/>
        <w:rPr>
          <w:rFonts w:asciiTheme="minorEastAsia" w:hAnsiTheme="minorEastAsia"/>
          <w:szCs w:val="21"/>
        </w:rPr>
      </w:pPr>
      <w:r>
        <w:rPr>
          <w:rFonts w:hint="eastAsia" w:asciiTheme="minorEastAsia" w:hAnsiTheme="minorEastAsia"/>
          <w:szCs w:val="21"/>
        </w:rPr>
        <w:t>（备注：该部分须与“商务需求”承诺的内容相呼应，不得前后矛盾。）</w:t>
      </w:r>
    </w:p>
    <w:p w14:paraId="50C9B137">
      <w:pPr>
        <w:spacing w:line="360" w:lineRule="auto"/>
        <w:ind w:firstLine="420" w:firstLineChars="200"/>
        <w:rPr>
          <w:rFonts w:asciiTheme="minorEastAsia" w:hAnsiTheme="minorEastAsia"/>
          <w:szCs w:val="21"/>
        </w:rPr>
      </w:pPr>
      <w:r>
        <w:rPr>
          <w:rFonts w:asciiTheme="minorEastAsia" w:hAnsiTheme="minorEastAsia"/>
          <w:szCs w:val="21"/>
        </w:rPr>
        <w:br w:type="page"/>
      </w:r>
      <w:bookmarkStart w:id="169" w:name="_Toc29995"/>
      <w:r>
        <w:rPr>
          <w:rFonts w:hint="eastAsia" w:asciiTheme="minorEastAsia" w:hAnsiTheme="minorEastAsia"/>
          <w:szCs w:val="21"/>
        </w:rPr>
        <w:t>附件</w:t>
      </w:r>
      <w:r>
        <w:rPr>
          <w:rFonts w:asciiTheme="minorEastAsia" w:hAnsiTheme="minorEastAsia"/>
          <w:szCs w:val="21"/>
        </w:rPr>
        <w:t>10</w:t>
      </w:r>
      <w:r>
        <w:rPr>
          <w:rFonts w:hint="eastAsia" w:asciiTheme="minorEastAsia" w:hAnsiTheme="minorEastAsia"/>
          <w:szCs w:val="21"/>
        </w:rPr>
        <w:t>：中小企业声明函</w:t>
      </w:r>
      <w:bookmarkEnd w:id="169"/>
      <w:r>
        <w:rPr>
          <w:rFonts w:hint="eastAsia" w:asciiTheme="minorEastAsia" w:hAnsiTheme="minorEastAsia"/>
          <w:szCs w:val="21"/>
        </w:rPr>
        <w:t>（如有）</w:t>
      </w:r>
    </w:p>
    <w:p w14:paraId="45B7B09F">
      <w:pPr>
        <w:keepNext/>
        <w:keepLines/>
        <w:spacing w:before="160" w:after="170"/>
        <w:ind w:firstLine="602" w:firstLineChars="200"/>
        <w:jc w:val="center"/>
        <w:outlineLvl w:val="4"/>
        <w:rPr>
          <w:b/>
          <w:bCs/>
          <w:sz w:val="30"/>
          <w:szCs w:val="28"/>
        </w:rPr>
      </w:pPr>
      <w:bookmarkStart w:id="170" w:name="_Toc55548549"/>
      <w:r>
        <w:rPr>
          <w:rFonts w:hint="eastAsia"/>
          <w:b/>
          <w:bCs/>
          <w:sz w:val="30"/>
          <w:szCs w:val="28"/>
        </w:rPr>
        <w:t>中小企业声明函</w:t>
      </w:r>
      <w:bookmarkEnd w:id="170"/>
    </w:p>
    <w:p w14:paraId="112BE93C">
      <w:pPr>
        <w:spacing w:line="360" w:lineRule="auto"/>
        <w:ind w:firstLine="420" w:firstLineChars="200"/>
        <w:rPr>
          <w:rFonts w:asciiTheme="minorEastAsia" w:hAnsiTheme="minorEastAsia"/>
          <w:szCs w:val="21"/>
        </w:rPr>
      </w:pPr>
      <w:r>
        <w:rPr>
          <w:rFonts w:asciiTheme="minorEastAsia" w:hAnsiTheme="minorEastAsia"/>
          <w:szCs w:val="21"/>
        </w:rPr>
        <w:t>本公司郑重声明，根据《政府采购促进中小企业发展暂行办法》（财库[2011]181号）的规定，本公司为______（请填写：中型、小型、微型）企业。即，本公司同时满足以下条件：</w:t>
      </w:r>
    </w:p>
    <w:p w14:paraId="7133F6E9">
      <w:pPr>
        <w:spacing w:line="360" w:lineRule="auto"/>
        <w:ind w:firstLine="420" w:firstLineChars="200"/>
        <w:rPr>
          <w:rFonts w:asciiTheme="minorEastAsia" w:hAnsiTheme="minorEastAsia"/>
          <w:szCs w:val="21"/>
        </w:rPr>
      </w:pPr>
    </w:p>
    <w:p w14:paraId="6AECFD15">
      <w:pPr>
        <w:spacing w:line="360" w:lineRule="auto"/>
        <w:ind w:firstLine="420" w:firstLineChars="200"/>
        <w:rPr>
          <w:rFonts w:asciiTheme="minorEastAsia" w:hAnsiTheme="minorEastAsia"/>
          <w:szCs w:val="21"/>
        </w:rPr>
      </w:pPr>
      <w:r>
        <w:rPr>
          <w:rFonts w:asciiTheme="minorEastAsia" w:hAnsiTheme="minorEastAsia"/>
          <w:szCs w:val="21"/>
        </w:rPr>
        <w:t>1.根据《工业和信息化部、国家统计局、国家发展和改革委员会、财政部关于印发中小企业划型标准规定的通知》（工信部联企业[2011]300号）规定的划分标准，本公司为______（请填写：中型、小型、微型）企业。</w:t>
      </w:r>
    </w:p>
    <w:p w14:paraId="2290CEBD">
      <w:pPr>
        <w:spacing w:line="360" w:lineRule="auto"/>
        <w:ind w:firstLine="420" w:firstLineChars="200"/>
        <w:rPr>
          <w:rFonts w:asciiTheme="minorEastAsia" w:hAnsiTheme="minorEastAsia"/>
          <w:szCs w:val="21"/>
        </w:rPr>
      </w:pPr>
      <w:r>
        <w:rPr>
          <w:rFonts w:asciiTheme="minorEastAsia" w:hAnsiTheme="minorEastAsia"/>
          <w:szCs w:val="21"/>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6D95A7D3">
      <w:pPr>
        <w:spacing w:line="360" w:lineRule="auto"/>
        <w:ind w:firstLine="420" w:firstLineChars="200"/>
        <w:rPr>
          <w:rFonts w:asciiTheme="minorEastAsia" w:hAnsiTheme="minorEastAsia"/>
          <w:szCs w:val="21"/>
        </w:rPr>
      </w:pPr>
      <w:r>
        <w:rPr>
          <w:rFonts w:asciiTheme="minorEastAsia" w:hAnsiTheme="minorEastAsia"/>
          <w:szCs w:val="21"/>
        </w:rPr>
        <w:t>本公司对上述声明的真实性负责。如有虚假，将依法承担相应责任。</w:t>
      </w:r>
    </w:p>
    <w:p w14:paraId="51561B4E">
      <w:pPr>
        <w:spacing w:line="360" w:lineRule="auto"/>
        <w:ind w:firstLine="420" w:firstLineChars="200"/>
        <w:rPr>
          <w:rFonts w:asciiTheme="minorEastAsia" w:hAnsiTheme="minorEastAsia"/>
          <w:szCs w:val="21"/>
        </w:rPr>
      </w:pPr>
    </w:p>
    <w:p w14:paraId="77DD0576">
      <w:pPr>
        <w:spacing w:line="360" w:lineRule="auto"/>
        <w:ind w:firstLine="420" w:firstLineChars="200"/>
        <w:rPr>
          <w:rFonts w:asciiTheme="minorEastAsia" w:hAnsiTheme="minorEastAsia"/>
          <w:szCs w:val="21"/>
        </w:rPr>
      </w:pPr>
    </w:p>
    <w:p w14:paraId="03173C76">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投标供应商：</w:t>
      </w:r>
    </w:p>
    <w:p w14:paraId="7A1823D3">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法人或授权代表：</w:t>
      </w:r>
    </w:p>
    <w:p w14:paraId="7C82BB4A">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日期：</w:t>
      </w:r>
    </w:p>
    <w:p w14:paraId="5D34553C">
      <w:pPr>
        <w:spacing w:line="360" w:lineRule="auto"/>
        <w:ind w:firstLine="420" w:firstLineChars="200"/>
        <w:rPr>
          <w:rFonts w:asciiTheme="minorEastAsia" w:hAnsiTheme="minorEastAsia"/>
          <w:szCs w:val="21"/>
        </w:rPr>
      </w:pPr>
    </w:p>
    <w:p w14:paraId="7573F722">
      <w:pPr>
        <w:spacing w:line="360" w:lineRule="auto"/>
        <w:ind w:firstLine="420" w:firstLineChars="200"/>
        <w:rPr>
          <w:rFonts w:asciiTheme="minorEastAsia" w:hAnsiTheme="minorEastAsia"/>
          <w:szCs w:val="21"/>
        </w:rPr>
      </w:pPr>
      <w:r>
        <w:rPr>
          <w:rFonts w:hint="eastAsia" w:asciiTheme="minorEastAsia" w:hAnsiTheme="minorEastAsia"/>
          <w:szCs w:val="21"/>
        </w:rPr>
        <w:t>备注：填写前请认真阅读《工业和信息化部、国家统计局、国家发展和改革委员会、财政部关于印发中小企业划型标准规定的通知》(工信部联企业〔2011〕300号)和《财政部、工业和信息化部关于印发政府采购促进中小企业发展暂行办法的通知》(财库〔2011〕181号)相关规定。如不符合前述相关规定所确定的小型和微型企业，则不需要在投标文件中提供本《中小企业声明函》；若符合前述相关规定所确定的小型和微型企业，在投标文件中没有提供本《中小企业声明函》，视为在本项目中放弃政府采购政策扶持，不进行价格扣除。</w:t>
      </w:r>
    </w:p>
    <w:p w14:paraId="4BF014BF">
      <w:pPr>
        <w:spacing w:line="360" w:lineRule="auto"/>
        <w:ind w:firstLine="420" w:firstLineChars="200"/>
        <w:rPr>
          <w:rFonts w:asciiTheme="minorEastAsia" w:hAnsiTheme="minorEastAsia"/>
          <w:szCs w:val="21"/>
        </w:rPr>
      </w:pPr>
      <w:r>
        <w:rPr>
          <w:rFonts w:asciiTheme="minorEastAsia" w:hAnsiTheme="minorEastAsia"/>
          <w:szCs w:val="21"/>
        </w:rPr>
        <w:br w:type="page"/>
      </w:r>
      <w:bookmarkStart w:id="171" w:name="_Toc21677"/>
      <w:bookmarkStart w:id="172" w:name="_Toc51255734"/>
      <w:bookmarkStart w:id="173" w:name="_Toc51086642"/>
      <w:bookmarkStart w:id="174" w:name="_Toc51682373"/>
      <w:bookmarkStart w:id="175" w:name="_Toc52129207"/>
      <w:r>
        <w:rPr>
          <w:rFonts w:hint="eastAsia" w:asciiTheme="minorEastAsia" w:hAnsiTheme="minorEastAsia"/>
          <w:szCs w:val="21"/>
        </w:rPr>
        <w:t>附件</w:t>
      </w:r>
      <w:r>
        <w:rPr>
          <w:rFonts w:asciiTheme="minorEastAsia" w:hAnsiTheme="minorEastAsia"/>
          <w:szCs w:val="21"/>
        </w:rPr>
        <w:t>11</w:t>
      </w:r>
      <w:r>
        <w:rPr>
          <w:rFonts w:hint="eastAsia" w:asciiTheme="minorEastAsia" w:hAnsiTheme="minorEastAsia"/>
          <w:szCs w:val="21"/>
        </w:rPr>
        <w:t>：监狱企业证明函</w:t>
      </w:r>
      <w:bookmarkEnd w:id="171"/>
      <w:bookmarkEnd w:id="172"/>
      <w:bookmarkEnd w:id="173"/>
      <w:bookmarkEnd w:id="174"/>
      <w:bookmarkEnd w:id="175"/>
      <w:r>
        <w:rPr>
          <w:rFonts w:hint="eastAsia" w:asciiTheme="minorEastAsia" w:hAnsiTheme="minorEastAsia"/>
          <w:szCs w:val="21"/>
        </w:rPr>
        <w:t>（如有）</w:t>
      </w:r>
    </w:p>
    <w:p w14:paraId="5F037324">
      <w:pPr>
        <w:keepNext/>
        <w:keepLines/>
        <w:spacing w:before="160" w:after="170"/>
        <w:ind w:firstLine="602" w:firstLineChars="200"/>
        <w:jc w:val="center"/>
        <w:outlineLvl w:val="4"/>
        <w:rPr>
          <w:b/>
          <w:bCs/>
          <w:sz w:val="30"/>
          <w:szCs w:val="28"/>
        </w:rPr>
      </w:pPr>
      <w:bookmarkStart w:id="176" w:name="_Toc55548550"/>
      <w:r>
        <w:rPr>
          <w:rFonts w:hint="eastAsia"/>
          <w:b/>
          <w:bCs/>
          <w:sz w:val="30"/>
          <w:szCs w:val="28"/>
        </w:rPr>
        <w:t>监狱企业证明函</w:t>
      </w:r>
      <w:bookmarkEnd w:id="176"/>
    </w:p>
    <w:p w14:paraId="7B52B0C7">
      <w:pPr>
        <w:spacing w:line="360" w:lineRule="auto"/>
        <w:ind w:firstLine="420" w:firstLineChars="200"/>
        <w:rPr>
          <w:rFonts w:asciiTheme="minorEastAsia" w:hAnsiTheme="minorEastAsia"/>
          <w:szCs w:val="21"/>
        </w:rPr>
      </w:pPr>
      <w:r>
        <w:rPr>
          <w:rFonts w:hint="eastAsia" w:asciiTheme="minorEastAsia" w:hAnsiTheme="minorEastAsia"/>
          <w:szCs w:val="21"/>
        </w:rPr>
        <w:t>根据《财政部 司法部关于政府采购支持监狱企业发展有关问题的通知》（财库[2014]68号）的规定，（填写供应商法定全称）为监狱企业。</w:t>
      </w:r>
    </w:p>
    <w:p w14:paraId="066D7352">
      <w:pPr>
        <w:spacing w:line="360" w:lineRule="auto"/>
        <w:ind w:firstLine="420" w:firstLineChars="200"/>
        <w:rPr>
          <w:rFonts w:asciiTheme="minorEastAsia" w:hAnsiTheme="minorEastAsia"/>
          <w:szCs w:val="21"/>
        </w:rPr>
      </w:pPr>
      <w:r>
        <w:rPr>
          <w:rFonts w:hint="eastAsia" w:asciiTheme="minorEastAsia" w:hAnsiTheme="minorEastAsia"/>
          <w:szCs w:val="21"/>
        </w:rPr>
        <w:t>特此证明。</w:t>
      </w:r>
    </w:p>
    <w:p w14:paraId="11DDB63F">
      <w:pPr>
        <w:spacing w:line="360" w:lineRule="auto"/>
        <w:ind w:firstLine="420" w:firstLineChars="200"/>
        <w:rPr>
          <w:rFonts w:asciiTheme="minorEastAsia" w:hAnsiTheme="minorEastAsia"/>
          <w:szCs w:val="21"/>
        </w:rPr>
      </w:pPr>
    </w:p>
    <w:p w14:paraId="6512AED6">
      <w:pPr>
        <w:spacing w:line="360" w:lineRule="auto"/>
        <w:ind w:firstLine="420" w:firstLineChars="200"/>
        <w:rPr>
          <w:rFonts w:asciiTheme="minorEastAsia" w:hAnsiTheme="minorEastAsia"/>
          <w:szCs w:val="21"/>
        </w:rPr>
      </w:pPr>
    </w:p>
    <w:p w14:paraId="2A3045BA">
      <w:pPr>
        <w:spacing w:line="360" w:lineRule="auto"/>
        <w:ind w:firstLine="420" w:firstLineChars="200"/>
        <w:rPr>
          <w:rFonts w:asciiTheme="minorEastAsia" w:hAnsiTheme="minorEastAsia"/>
          <w:b/>
          <w:bCs/>
          <w:szCs w:val="21"/>
        </w:rPr>
      </w:pPr>
      <w:r>
        <w:rPr>
          <w:rFonts w:hint="eastAsia" w:asciiTheme="minorEastAsia" w:hAnsiTheme="minorEastAsia"/>
          <w:szCs w:val="21"/>
        </w:rPr>
        <w:t>省级以上监狱管理局、戒毒管理局（含新疆生产建设兵团）（盖章）：</w:t>
      </w:r>
      <w:r>
        <w:rPr>
          <w:rFonts w:asciiTheme="minorEastAsia" w:hAnsiTheme="minorEastAsia"/>
          <w:b/>
          <w:bCs/>
          <w:szCs w:val="21"/>
        </w:rPr>
        <w:br w:type="page"/>
      </w:r>
    </w:p>
    <w:p w14:paraId="1DA921FA">
      <w:pPr>
        <w:spacing w:line="360" w:lineRule="auto"/>
        <w:ind w:firstLine="420" w:firstLineChars="200"/>
        <w:rPr>
          <w:rFonts w:asciiTheme="minorEastAsia" w:hAnsiTheme="minorEastAsia"/>
          <w:szCs w:val="21"/>
        </w:rPr>
      </w:pPr>
      <w:bookmarkStart w:id="177" w:name="_Toc18139"/>
      <w:bookmarkStart w:id="178" w:name="_Toc51682374"/>
      <w:bookmarkStart w:id="179" w:name="_Toc52129208"/>
      <w:bookmarkStart w:id="180" w:name="_Toc51255735"/>
      <w:bookmarkStart w:id="181" w:name="_Toc51086643"/>
      <w:r>
        <w:rPr>
          <w:rFonts w:hint="eastAsia" w:asciiTheme="minorEastAsia" w:hAnsiTheme="minorEastAsia"/>
          <w:szCs w:val="21"/>
        </w:rPr>
        <w:t>附件</w:t>
      </w:r>
      <w:r>
        <w:rPr>
          <w:rFonts w:asciiTheme="minorEastAsia" w:hAnsiTheme="minorEastAsia"/>
          <w:szCs w:val="21"/>
        </w:rPr>
        <w:t>12</w:t>
      </w:r>
      <w:r>
        <w:rPr>
          <w:rFonts w:hint="eastAsia" w:asciiTheme="minorEastAsia" w:hAnsiTheme="minorEastAsia"/>
          <w:szCs w:val="21"/>
        </w:rPr>
        <w:t>：残疾人福利性单位声明函</w:t>
      </w:r>
      <w:bookmarkEnd w:id="177"/>
      <w:bookmarkEnd w:id="178"/>
      <w:bookmarkEnd w:id="179"/>
      <w:bookmarkEnd w:id="180"/>
      <w:bookmarkEnd w:id="181"/>
      <w:r>
        <w:rPr>
          <w:rFonts w:hint="eastAsia" w:asciiTheme="minorEastAsia" w:hAnsiTheme="minorEastAsia"/>
          <w:szCs w:val="21"/>
        </w:rPr>
        <w:t>（如有）</w:t>
      </w:r>
    </w:p>
    <w:p w14:paraId="62A9B6DE">
      <w:pPr>
        <w:keepNext/>
        <w:keepLines/>
        <w:spacing w:before="160" w:after="170"/>
        <w:ind w:firstLine="602" w:firstLineChars="200"/>
        <w:jc w:val="center"/>
        <w:outlineLvl w:val="4"/>
        <w:rPr>
          <w:b/>
          <w:bCs/>
          <w:sz w:val="30"/>
          <w:szCs w:val="28"/>
        </w:rPr>
      </w:pPr>
      <w:bookmarkStart w:id="182" w:name="_Toc55548551"/>
      <w:r>
        <w:rPr>
          <w:rFonts w:hint="eastAsia"/>
          <w:b/>
          <w:bCs/>
          <w:sz w:val="30"/>
          <w:szCs w:val="28"/>
        </w:rPr>
        <w:t>残疾人福利性单位声明函</w:t>
      </w:r>
      <w:bookmarkEnd w:id="182"/>
    </w:p>
    <w:p w14:paraId="1B6B2D80">
      <w:pPr>
        <w:spacing w:line="360" w:lineRule="auto"/>
        <w:ind w:firstLine="420" w:firstLineChars="200"/>
        <w:rPr>
          <w:rFonts w:asciiTheme="minorEastAsia" w:hAnsiTheme="minorEastAsia"/>
          <w:szCs w:val="21"/>
        </w:rPr>
      </w:pPr>
      <w:r>
        <w:rPr>
          <w:rFonts w:hint="eastAsia" w:asciiTheme="minorEastAsia" w:hAnsiTheme="minorEastAsia"/>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1171A73">
      <w:pPr>
        <w:spacing w:line="360" w:lineRule="auto"/>
        <w:ind w:firstLine="420" w:firstLineChars="200"/>
        <w:rPr>
          <w:rFonts w:asciiTheme="minorEastAsia" w:hAnsiTheme="minorEastAsia"/>
          <w:szCs w:val="21"/>
        </w:rPr>
      </w:pPr>
      <w:r>
        <w:rPr>
          <w:rFonts w:hint="eastAsia" w:asciiTheme="minorEastAsia" w:hAnsiTheme="minorEastAsia"/>
          <w:szCs w:val="21"/>
        </w:rPr>
        <w:t>本单位对上述声明的真实性负责。如有虚假，将依法承担相应责任。</w:t>
      </w:r>
    </w:p>
    <w:p w14:paraId="69A0D1FE">
      <w:pPr>
        <w:spacing w:line="360" w:lineRule="auto"/>
        <w:ind w:firstLine="420" w:firstLineChars="200"/>
        <w:rPr>
          <w:rFonts w:asciiTheme="minorEastAsia" w:hAnsiTheme="minorEastAsia"/>
          <w:szCs w:val="21"/>
        </w:rPr>
      </w:pPr>
    </w:p>
    <w:p w14:paraId="7D7E19FA">
      <w:pPr>
        <w:spacing w:line="360" w:lineRule="auto"/>
        <w:ind w:firstLine="420" w:firstLineChars="200"/>
        <w:rPr>
          <w:rFonts w:asciiTheme="minorEastAsia" w:hAnsiTheme="minorEastAsia"/>
          <w:szCs w:val="21"/>
        </w:rPr>
      </w:pPr>
    </w:p>
    <w:p w14:paraId="29D324C9">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投标供应商：</w:t>
      </w:r>
    </w:p>
    <w:p w14:paraId="7DD0D1FA">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法人或授权代表：</w:t>
      </w:r>
    </w:p>
    <w:p w14:paraId="19E9FDA7">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日期：</w:t>
      </w:r>
    </w:p>
    <w:p w14:paraId="0DFABF3B">
      <w:pPr>
        <w:spacing w:line="360" w:lineRule="auto"/>
        <w:ind w:firstLine="420" w:firstLineChars="200"/>
        <w:rPr>
          <w:rFonts w:asciiTheme="minorEastAsia" w:hAnsiTheme="minorEastAsia"/>
          <w:szCs w:val="21"/>
        </w:rPr>
        <w:sectPr>
          <w:pgSz w:w="11906" w:h="16838"/>
          <w:pgMar w:top="1440" w:right="1080" w:bottom="1440" w:left="1080" w:header="851" w:footer="992" w:gutter="0"/>
          <w:cols w:space="720" w:num="1"/>
          <w:titlePg/>
          <w:docGrid w:type="lines" w:linePitch="312" w:charSpace="0"/>
        </w:sectPr>
      </w:pPr>
    </w:p>
    <w:p w14:paraId="47777A1B">
      <w:pPr>
        <w:spacing w:line="360" w:lineRule="auto"/>
        <w:ind w:firstLine="420" w:firstLineChars="200"/>
        <w:rPr>
          <w:rFonts w:asciiTheme="minorEastAsia" w:hAnsiTheme="minorEastAsia"/>
          <w:szCs w:val="21"/>
        </w:rPr>
      </w:pPr>
      <w:bookmarkStart w:id="183" w:name="_Toc1254"/>
      <w:r>
        <w:rPr>
          <w:rFonts w:hint="eastAsia" w:asciiTheme="minorEastAsia" w:hAnsiTheme="minorEastAsia"/>
          <w:szCs w:val="21"/>
        </w:rPr>
        <w:t>附件</w:t>
      </w:r>
      <w:r>
        <w:rPr>
          <w:rFonts w:asciiTheme="minorEastAsia" w:hAnsiTheme="minorEastAsia"/>
          <w:szCs w:val="21"/>
        </w:rPr>
        <w:t>13</w:t>
      </w:r>
      <w:r>
        <w:rPr>
          <w:rFonts w:hint="eastAsia" w:asciiTheme="minorEastAsia" w:hAnsiTheme="minorEastAsia"/>
          <w:szCs w:val="21"/>
        </w:rPr>
        <w:t>：投标人需要加以说明的其他内容</w:t>
      </w:r>
      <w:bookmarkEnd w:id="183"/>
      <w:r>
        <w:rPr>
          <w:rFonts w:hint="eastAsia" w:asciiTheme="minorEastAsia" w:hAnsiTheme="minorEastAsia"/>
          <w:szCs w:val="21"/>
        </w:rPr>
        <w:t>（如有）</w:t>
      </w:r>
    </w:p>
    <w:p w14:paraId="24749BB5">
      <w:pPr>
        <w:spacing w:line="360" w:lineRule="auto"/>
        <w:ind w:firstLine="420" w:firstLineChars="200"/>
        <w:rPr>
          <w:rFonts w:asciiTheme="minorEastAsia" w:hAnsiTheme="minorEastAsia"/>
          <w:szCs w:val="21"/>
        </w:rPr>
      </w:pPr>
    </w:p>
    <w:p w14:paraId="5E787199">
      <w:pPr>
        <w:spacing w:line="360" w:lineRule="auto"/>
        <w:ind w:firstLine="422" w:firstLineChars="200"/>
        <w:rPr>
          <w:rFonts w:asciiTheme="minorEastAsia" w:hAnsiTheme="minorEastAsia"/>
          <w:b/>
          <w:bCs/>
          <w:szCs w:val="21"/>
        </w:rPr>
      </w:pPr>
      <w:r>
        <w:rPr>
          <w:rFonts w:hint="eastAsia" w:asciiTheme="minorEastAsia" w:hAnsiTheme="minorEastAsia"/>
          <w:b/>
          <w:bCs/>
          <w:szCs w:val="21"/>
        </w:rPr>
        <w:t>投标人认为需要加以说明的其他内容</w:t>
      </w:r>
    </w:p>
    <w:p w14:paraId="7F0AC9DD">
      <w:pPr>
        <w:spacing w:line="360" w:lineRule="auto"/>
        <w:ind w:firstLine="420" w:firstLineChars="200"/>
        <w:rPr>
          <w:rFonts w:asciiTheme="minorEastAsia" w:hAnsiTheme="minorEastAsia"/>
          <w:szCs w:val="21"/>
        </w:rPr>
      </w:pPr>
      <w:r>
        <w:rPr>
          <w:rFonts w:hint="eastAsia" w:asciiTheme="minorEastAsia" w:hAnsiTheme="minorEastAsia"/>
          <w:szCs w:val="21"/>
        </w:rPr>
        <w:t>（格式自定）</w:t>
      </w:r>
    </w:p>
    <w:p w14:paraId="0FF90487">
      <w:pPr>
        <w:spacing w:line="360" w:lineRule="auto"/>
        <w:ind w:firstLine="420" w:firstLineChars="200"/>
      </w:pPr>
    </w:p>
    <w:p w14:paraId="2943998D">
      <w:pPr>
        <w:spacing w:line="360" w:lineRule="auto"/>
        <w:ind w:firstLine="420" w:firstLineChars="200"/>
      </w:pPr>
    </w:p>
    <w:p w14:paraId="672B4CEA">
      <w:pPr>
        <w:spacing w:line="360" w:lineRule="auto"/>
        <w:ind w:firstLine="420" w:firstLineChars="200"/>
      </w:pPr>
    </w:p>
    <w:p w14:paraId="27B7E374">
      <w:pPr>
        <w:spacing w:line="360" w:lineRule="auto"/>
        <w:ind w:firstLine="420" w:firstLineChars="200"/>
      </w:pPr>
    </w:p>
    <w:p w14:paraId="0C2DBAFC">
      <w:pPr>
        <w:spacing w:line="360" w:lineRule="auto"/>
        <w:ind w:firstLine="420" w:firstLineChars="200"/>
      </w:pPr>
    </w:p>
    <w:p w14:paraId="6766FA6B">
      <w:pPr>
        <w:spacing w:line="360" w:lineRule="auto"/>
        <w:ind w:firstLine="420" w:firstLineChars="200"/>
      </w:pPr>
    </w:p>
    <w:p w14:paraId="7F09228C">
      <w:pPr>
        <w:spacing w:line="360" w:lineRule="auto"/>
        <w:ind w:firstLine="420" w:firstLineChars="200"/>
      </w:pPr>
    </w:p>
    <w:p w14:paraId="29CC90A9">
      <w:pPr>
        <w:spacing w:line="360" w:lineRule="auto"/>
        <w:ind w:firstLine="420" w:firstLineChars="200"/>
      </w:pPr>
    </w:p>
    <w:p w14:paraId="463E1AD3">
      <w:pPr>
        <w:spacing w:line="360" w:lineRule="auto"/>
        <w:ind w:firstLine="420" w:firstLineChars="200"/>
        <w:rPr>
          <w:rFonts w:asciiTheme="minorEastAsia" w:hAnsiTheme="minorEastAsia"/>
          <w:szCs w:val="21"/>
        </w:rPr>
      </w:pPr>
      <w:bookmarkStart w:id="186" w:name="_GoBack"/>
      <w:bookmarkEnd w:id="186"/>
    </w:p>
    <w:sectPr>
      <w:pgSz w:w="11906" w:h="16838"/>
      <w:pgMar w:top="1418" w:right="1474" w:bottom="1418"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Segoe UI Symbol">
    <w:panose1 w:val="020B0502040204020203"/>
    <w:charset w:val="00"/>
    <w:family w:val="auto"/>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91686772"/>
    </w:sdtPr>
    <w:sdtContent>
      <w:sdt>
        <w:sdtPr>
          <w:id w:val="1728636285"/>
        </w:sdtPr>
        <w:sdtContent>
          <w:p w14:paraId="77FF6FA4">
            <w:pPr>
              <w:pStyle w:val="11"/>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31</w:t>
            </w:r>
            <w:r>
              <w:rPr>
                <w:b/>
                <w:bCs/>
                <w:sz w:val="24"/>
                <w:szCs w:val="24"/>
              </w:rPr>
              <w:fldChar w:fldCharType="end"/>
            </w:r>
          </w:p>
        </w:sdtContent>
      </w:sdt>
    </w:sdtContent>
  </w:sdt>
  <w:p w14:paraId="5C323089">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AA009">
    <w:pPr>
      <w:pStyle w:val="12"/>
    </w:pPr>
  </w:p>
  <w:p w14:paraId="00A6024C">
    <w:pPr>
      <w:pStyle w:val="12"/>
      <w:jc w:val="right"/>
      <w:rPr>
        <w:sz w:val="21"/>
        <w:szCs w:val="21"/>
      </w:rPr>
    </w:pPr>
    <w:bookmarkStart w:id="184" w:name="_Hlk69568634"/>
    <w:bookmarkStart w:id="185" w:name="_Hlk69568635"/>
    <w:r>
      <w:rPr>
        <w:rFonts w:hint="eastAsia"/>
        <w:sz w:val="21"/>
        <w:szCs w:val="21"/>
      </w:rPr>
      <w:t>深圳市宝安区疾病预防控制中心采购文件</w:t>
    </w:r>
    <w:bookmarkEnd w:id="184"/>
    <w:bookmarkEnd w:id="185"/>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FA2C91"/>
    <w:multiLevelType w:val="singleLevel"/>
    <w:tmpl w:val="3DFA2C9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VjMTRiY2QxYmJlMjllYWNhNjZjMTAzYThmMWJiZjQifQ=="/>
  </w:docVars>
  <w:rsids>
    <w:rsidRoot w:val="00B27035"/>
    <w:rsid w:val="0000394F"/>
    <w:rsid w:val="00007A13"/>
    <w:rsid w:val="0001637F"/>
    <w:rsid w:val="00016C99"/>
    <w:rsid w:val="00016D41"/>
    <w:rsid w:val="00016DCD"/>
    <w:rsid w:val="00020F66"/>
    <w:rsid w:val="000236B7"/>
    <w:rsid w:val="00026541"/>
    <w:rsid w:val="000272A3"/>
    <w:rsid w:val="0003138A"/>
    <w:rsid w:val="0004025C"/>
    <w:rsid w:val="00042723"/>
    <w:rsid w:val="00046F21"/>
    <w:rsid w:val="00050084"/>
    <w:rsid w:val="000530FF"/>
    <w:rsid w:val="00053E10"/>
    <w:rsid w:val="000620DD"/>
    <w:rsid w:val="000627B7"/>
    <w:rsid w:val="00063FB1"/>
    <w:rsid w:val="00073E9D"/>
    <w:rsid w:val="00081A9E"/>
    <w:rsid w:val="00081D87"/>
    <w:rsid w:val="00084CCE"/>
    <w:rsid w:val="0008691A"/>
    <w:rsid w:val="00086C55"/>
    <w:rsid w:val="00086E51"/>
    <w:rsid w:val="00090FD5"/>
    <w:rsid w:val="00092A23"/>
    <w:rsid w:val="000968DD"/>
    <w:rsid w:val="000970E6"/>
    <w:rsid w:val="00097201"/>
    <w:rsid w:val="000974D9"/>
    <w:rsid w:val="000A013F"/>
    <w:rsid w:val="000A0BB6"/>
    <w:rsid w:val="000A4FF3"/>
    <w:rsid w:val="000A599B"/>
    <w:rsid w:val="000B13D0"/>
    <w:rsid w:val="000B2D75"/>
    <w:rsid w:val="000B3923"/>
    <w:rsid w:val="000B59F8"/>
    <w:rsid w:val="000B77F9"/>
    <w:rsid w:val="000B7EE0"/>
    <w:rsid w:val="000C561C"/>
    <w:rsid w:val="000C62B0"/>
    <w:rsid w:val="000C6CE9"/>
    <w:rsid w:val="000D08A9"/>
    <w:rsid w:val="000D2EB8"/>
    <w:rsid w:val="000D2FD9"/>
    <w:rsid w:val="000D476C"/>
    <w:rsid w:val="000D6859"/>
    <w:rsid w:val="000E5888"/>
    <w:rsid w:val="000F0F3D"/>
    <w:rsid w:val="000F101F"/>
    <w:rsid w:val="000F22EF"/>
    <w:rsid w:val="000F2D0A"/>
    <w:rsid w:val="000F6C66"/>
    <w:rsid w:val="0010066B"/>
    <w:rsid w:val="00100950"/>
    <w:rsid w:val="001043DC"/>
    <w:rsid w:val="00105F6E"/>
    <w:rsid w:val="00111B38"/>
    <w:rsid w:val="00112A97"/>
    <w:rsid w:val="00113156"/>
    <w:rsid w:val="00115CD5"/>
    <w:rsid w:val="0011797C"/>
    <w:rsid w:val="00125726"/>
    <w:rsid w:val="00125ACF"/>
    <w:rsid w:val="00125C6A"/>
    <w:rsid w:val="0012743D"/>
    <w:rsid w:val="00127C7B"/>
    <w:rsid w:val="00130814"/>
    <w:rsid w:val="001329BA"/>
    <w:rsid w:val="00132BE3"/>
    <w:rsid w:val="0013335C"/>
    <w:rsid w:val="00136300"/>
    <w:rsid w:val="00136387"/>
    <w:rsid w:val="00137876"/>
    <w:rsid w:val="001465AC"/>
    <w:rsid w:val="0014672D"/>
    <w:rsid w:val="00146F48"/>
    <w:rsid w:val="0015271F"/>
    <w:rsid w:val="001530A4"/>
    <w:rsid w:val="00154141"/>
    <w:rsid w:val="00161418"/>
    <w:rsid w:val="001624BB"/>
    <w:rsid w:val="00162B15"/>
    <w:rsid w:val="00163FBC"/>
    <w:rsid w:val="00165B6A"/>
    <w:rsid w:val="001678F7"/>
    <w:rsid w:val="00170E6B"/>
    <w:rsid w:val="00174DAC"/>
    <w:rsid w:val="001750E4"/>
    <w:rsid w:val="00180C24"/>
    <w:rsid w:val="001810ED"/>
    <w:rsid w:val="001813DD"/>
    <w:rsid w:val="00183CCF"/>
    <w:rsid w:val="00184BFC"/>
    <w:rsid w:val="00186E97"/>
    <w:rsid w:val="00187BC0"/>
    <w:rsid w:val="001905F7"/>
    <w:rsid w:val="00192254"/>
    <w:rsid w:val="001930C9"/>
    <w:rsid w:val="001938DE"/>
    <w:rsid w:val="0019395A"/>
    <w:rsid w:val="00195A48"/>
    <w:rsid w:val="00196D20"/>
    <w:rsid w:val="001A36D0"/>
    <w:rsid w:val="001A4CC2"/>
    <w:rsid w:val="001A5C2B"/>
    <w:rsid w:val="001A7960"/>
    <w:rsid w:val="001B12BF"/>
    <w:rsid w:val="001B287A"/>
    <w:rsid w:val="001B54B5"/>
    <w:rsid w:val="001C421C"/>
    <w:rsid w:val="001C42E8"/>
    <w:rsid w:val="001C7175"/>
    <w:rsid w:val="001C7613"/>
    <w:rsid w:val="001D1989"/>
    <w:rsid w:val="001D283D"/>
    <w:rsid w:val="001D5451"/>
    <w:rsid w:val="001D7F0D"/>
    <w:rsid w:val="001E5120"/>
    <w:rsid w:val="001F5585"/>
    <w:rsid w:val="00202216"/>
    <w:rsid w:val="002023D7"/>
    <w:rsid w:val="00204EC0"/>
    <w:rsid w:val="00205A0F"/>
    <w:rsid w:val="00207D31"/>
    <w:rsid w:val="00216C6D"/>
    <w:rsid w:val="00217F05"/>
    <w:rsid w:val="002219B9"/>
    <w:rsid w:val="002243E9"/>
    <w:rsid w:val="0022497B"/>
    <w:rsid w:val="00227BE1"/>
    <w:rsid w:val="00227CFD"/>
    <w:rsid w:val="0023071D"/>
    <w:rsid w:val="00232ED4"/>
    <w:rsid w:val="00234ACA"/>
    <w:rsid w:val="002350B3"/>
    <w:rsid w:val="00235B08"/>
    <w:rsid w:val="002429FB"/>
    <w:rsid w:val="00245BA9"/>
    <w:rsid w:val="002514E8"/>
    <w:rsid w:val="00253FCC"/>
    <w:rsid w:val="0025405F"/>
    <w:rsid w:val="002549AE"/>
    <w:rsid w:val="00255705"/>
    <w:rsid w:val="002570EC"/>
    <w:rsid w:val="002577FC"/>
    <w:rsid w:val="002607D8"/>
    <w:rsid w:val="00262959"/>
    <w:rsid w:val="00262E3B"/>
    <w:rsid w:val="00264146"/>
    <w:rsid w:val="00265ED8"/>
    <w:rsid w:val="00267B16"/>
    <w:rsid w:val="00270DED"/>
    <w:rsid w:val="00270EE6"/>
    <w:rsid w:val="002732D3"/>
    <w:rsid w:val="00273963"/>
    <w:rsid w:val="00273DD4"/>
    <w:rsid w:val="00274ADF"/>
    <w:rsid w:val="00275639"/>
    <w:rsid w:val="002830A3"/>
    <w:rsid w:val="00283FB4"/>
    <w:rsid w:val="002844D3"/>
    <w:rsid w:val="002849C2"/>
    <w:rsid w:val="00285211"/>
    <w:rsid w:val="00287092"/>
    <w:rsid w:val="0028748D"/>
    <w:rsid w:val="002905B6"/>
    <w:rsid w:val="0029095D"/>
    <w:rsid w:val="00291C54"/>
    <w:rsid w:val="00297795"/>
    <w:rsid w:val="002A4499"/>
    <w:rsid w:val="002A5BFA"/>
    <w:rsid w:val="002B7314"/>
    <w:rsid w:val="002C089E"/>
    <w:rsid w:val="002C0C26"/>
    <w:rsid w:val="002C12DB"/>
    <w:rsid w:val="002C4251"/>
    <w:rsid w:val="002D3543"/>
    <w:rsid w:val="002D5E47"/>
    <w:rsid w:val="002D70BB"/>
    <w:rsid w:val="002E00B6"/>
    <w:rsid w:val="002E0D63"/>
    <w:rsid w:val="002E202E"/>
    <w:rsid w:val="002E3D64"/>
    <w:rsid w:val="002E5E70"/>
    <w:rsid w:val="002F46DB"/>
    <w:rsid w:val="002F4C12"/>
    <w:rsid w:val="002F5862"/>
    <w:rsid w:val="00300139"/>
    <w:rsid w:val="003020A7"/>
    <w:rsid w:val="0030630F"/>
    <w:rsid w:val="00306350"/>
    <w:rsid w:val="00307947"/>
    <w:rsid w:val="00310DF6"/>
    <w:rsid w:val="00312AEB"/>
    <w:rsid w:val="00314147"/>
    <w:rsid w:val="00314D97"/>
    <w:rsid w:val="00320C6D"/>
    <w:rsid w:val="003234C1"/>
    <w:rsid w:val="00323F20"/>
    <w:rsid w:val="003259E0"/>
    <w:rsid w:val="00327B91"/>
    <w:rsid w:val="00331BF3"/>
    <w:rsid w:val="00335D20"/>
    <w:rsid w:val="00337BFB"/>
    <w:rsid w:val="0034222B"/>
    <w:rsid w:val="00342375"/>
    <w:rsid w:val="00343516"/>
    <w:rsid w:val="0034487A"/>
    <w:rsid w:val="00344D4A"/>
    <w:rsid w:val="00347B67"/>
    <w:rsid w:val="003531DE"/>
    <w:rsid w:val="003568C3"/>
    <w:rsid w:val="0035752B"/>
    <w:rsid w:val="00357856"/>
    <w:rsid w:val="00357903"/>
    <w:rsid w:val="00360311"/>
    <w:rsid w:val="00362847"/>
    <w:rsid w:val="00365501"/>
    <w:rsid w:val="00370E38"/>
    <w:rsid w:val="003722DC"/>
    <w:rsid w:val="0037339D"/>
    <w:rsid w:val="003765D8"/>
    <w:rsid w:val="00376712"/>
    <w:rsid w:val="00386497"/>
    <w:rsid w:val="00387FB4"/>
    <w:rsid w:val="003904C8"/>
    <w:rsid w:val="003948C4"/>
    <w:rsid w:val="00395BD5"/>
    <w:rsid w:val="003A2EF2"/>
    <w:rsid w:val="003B2B54"/>
    <w:rsid w:val="003B4C25"/>
    <w:rsid w:val="003B533D"/>
    <w:rsid w:val="003B5F69"/>
    <w:rsid w:val="003B664A"/>
    <w:rsid w:val="003C2BD3"/>
    <w:rsid w:val="003D0F25"/>
    <w:rsid w:val="003D1BFD"/>
    <w:rsid w:val="003D1C8B"/>
    <w:rsid w:val="003D3A10"/>
    <w:rsid w:val="003D3BF6"/>
    <w:rsid w:val="003D3E40"/>
    <w:rsid w:val="003D56EF"/>
    <w:rsid w:val="003E2496"/>
    <w:rsid w:val="003E47FF"/>
    <w:rsid w:val="003F3926"/>
    <w:rsid w:val="003F3E99"/>
    <w:rsid w:val="003F49FA"/>
    <w:rsid w:val="003F4A52"/>
    <w:rsid w:val="003F4C21"/>
    <w:rsid w:val="003F6BD9"/>
    <w:rsid w:val="003F7F46"/>
    <w:rsid w:val="00400BDD"/>
    <w:rsid w:val="0040568B"/>
    <w:rsid w:val="00405B4F"/>
    <w:rsid w:val="00412ADA"/>
    <w:rsid w:val="00415ABB"/>
    <w:rsid w:val="00416CB7"/>
    <w:rsid w:val="00417556"/>
    <w:rsid w:val="004224DA"/>
    <w:rsid w:val="00422C93"/>
    <w:rsid w:val="004240F2"/>
    <w:rsid w:val="004247C2"/>
    <w:rsid w:val="0042484C"/>
    <w:rsid w:val="00425768"/>
    <w:rsid w:val="00430C33"/>
    <w:rsid w:val="00431B05"/>
    <w:rsid w:val="00432BF0"/>
    <w:rsid w:val="004434FC"/>
    <w:rsid w:val="00444B83"/>
    <w:rsid w:val="004478C6"/>
    <w:rsid w:val="00450E1D"/>
    <w:rsid w:val="004512C7"/>
    <w:rsid w:val="004537FB"/>
    <w:rsid w:val="0045391A"/>
    <w:rsid w:val="00457D84"/>
    <w:rsid w:val="00460BB8"/>
    <w:rsid w:val="00461FA3"/>
    <w:rsid w:val="00462785"/>
    <w:rsid w:val="00463221"/>
    <w:rsid w:val="00463FD1"/>
    <w:rsid w:val="00473B47"/>
    <w:rsid w:val="00474DE6"/>
    <w:rsid w:val="00476B74"/>
    <w:rsid w:val="00481776"/>
    <w:rsid w:val="0048183C"/>
    <w:rsid w:val="00483481"/>
    <w:rsid w:val="0048440E"/>
    <w:rsid w:val="00484718"/>
    <w:rsid w:val="004865A3"/>
    <w:rsid w:val="00486D13"/>
    <w:rsid w:val="00487BC8"/>
    <w:rsid w:val="00491DD6"/>
    <w:rsid w:val="00492556"/>
    <w:rsid w:val="00492D8F"/>
    <w:rsid w:val="00494048"/>
    <w:rsid w:val="004970F8"/>
    <w:rsid w:val="00497DBD"/>
    <w:rsid w:val="004A0DAF"/>
    <w:rsid w:val="004A34CF"/>
    <w:rsid w:val="004A46F4"/>
    <w:rsid w:val="004A4795"/>
    <w:rsid w:val="004A4B94"/>
    <w:rsid w:val="004B08D4"/>
    <w:rsid w:val="004B0DCA"/>
    <w:rsid w:val="004B2A93"/>
    <w:rsid w:val="004B4E87"/>
    <w:rsid w:val="004B539D"/>
    <w:rsid w:val="004B6E5B"/>
    <w:rsid w:val="004C08AC"/>
    <w:rsid w:val="004C0B66"/>
    <w:rsid w:val="004C3F49"/>
    <w:rsid w:val="004D1B14"/>
    <w:rsid w:val="004D4DA5"/>
    <w:rsid w:val="004E07C0"/>
    <w:rsid w:val="004E1528"/>
    <w:rsid w:val="004E308C"/>
    <w:rsid w:val="004E46CB"/>
    <w:rsid w:val="004E725F"/>
    <w:rsid w:val="004F0148"/>
    <w:rsid w:val="004F2B76"/>
    <w:rsid w:val="004F3645"/>
    <w:rsid w:val="00500D01"/>
    <w:rsid w:val="00504CFF"/>
    <w:rsid w:val="00506D14"/>
    <w:rsid w:val="0051196C"/>
    <w:rsid w:val="005137DA"/>
    <w:rsid w:val="00513BF2"/>
    <w:rsid w:val="005173A6"/>
    <w:rsid w:val="005214AC"/>
    <w:rsid w:val="00521779"/>
    <w:rsid w:val="00521E40"/>
    <w:rsid w:val="00526344"/>
    <w:rsid w:val="00527EDC"/>
    <w:rsid w:val="00531911"/>
    <w:rsid w:val="00532B33"/>
    <w:rsid w:val="00535144"/>
    <w:rsid w:val="005352E1"/>
    <w:rsid w:val="00535430"/>
    <w:rsid w:val="00536246"/>
    <w:rsid w:val="005472BC"/>
    <w:rsid w:val="0054740D"/>
    <w:rsid w:val="00552059"/>
    <w:rsid w:val="00552C93"/>
    <w:rsid w:val="005561D7"/>
    <w:rsid w:val="00561C21"/>
    <w:rsid w:val="00561D31"/>
    <w:rsid w:val="00563895"/>
    <w:rsid w:val="005645E6"/>
    <w:rsid w:val="0056787E"/>
    <w:rsid w:val="00567D46"/>
    <w:rsid w:val="0057769D"/>
    <w:rsid w:val="0058113E"/>
    <w:rsid w:val="0058285B"/>
    <w:rsid w:val="00583310"/>
    <w:rsid w:val="005846F2"/>
    <w:rsid w:val="005849A9"/>
    <w:rsid w:val="00584F0C"/>
    <w:rsid w:val="005854FB"/>
    <w:rsid w:val="00585A02"/>
    <w:rsid w:val="00586966"/>
    <w:rsid w:val="00591CA5"/>
    <w:rsid w:val="00591D1A"/>
    <w:rsid w:val="00592F00"/>
    <w:rsid w:val="0059488B"/>
    <w:rsid w:val="00594D83"/>
    <w:rsid w:val="005A14F3"/>
    <w:rsid w:val="005A1CC5"/>
    <w:rsid w:val="005A5612"/>
    <w:rsid w:val="005B22A4"/>
    <w:rsid w:val="005B2452"/>
    <w:rsid w:val="005B4C1F"/>
    <w:rsid w:val="005B7C95"/>
    <w:rsid w:val="005C0612"/>
    <w:rsid w:val="005C0DB9"/>
    <w:rsid w:val="005C0FF6"/>
    <w:rsid w:val="005C18B9"/>
    <w:rsid w:val="005C21EE"/>
    <w:rsid w:val="005C376C"/>
    <w:rsid w:val="005C39EA"/>
    <w:rsid w:val="005D2961"/>
    <w:rsid w:val="005D2B9C"/>
    <w:rsid w:val="005D2D8F"/>
    <w:rsid w:val="005D6EF3"/>
    <w:rsid w:val="005D7164"/>
    <w:rsid w:val="005D7190"/>
    <w:rsid w:val="005E0466"/>
    <w:rsid w:val="005E11F0"/>
    <w:rsid w:val="005E12D5"/>
    <w:rsid w:val="005F3217"/>
    <w:rsid w:val="005F34BB"/>
    <w:rsid w:val="005F72F4"/>
    <w:rsid w:val="005F73F0"/>
    <w:rsid w:val="006058BB"/>
    <w:rsid w:val="00606500"/>
    <w:rsid w:val="00606715"/>
    <w:rsid w:val="00611947"/>
    <w:rsid w:val="00617363"/>
    <w:rsid w:val="006224E7"/>
    <w:rsid w:val="00623981"/>
    <w:rsid w:val="00624FEC"/>
    <w:rsid w:val="0062754D"/>
    <w:rsid w:val="006345F3"/>
    <w:rsid w:val="00635A1A"/>
    <w:rsid w:val="006407B7"/>
    <w:rsid w:val="0064183A"/>
    <w:rsid w:val="0065138F"/>
    <w:rsid w:val="00651FD0"/>
    <w:rsid w:val="00653282"/>
    <w:rsid w:val="00655479"/>
    <w:rsid w:val="0065567F"/>
    <w:rsid w:val="006557EE"/>
    <w:rsid w:val="00655894"/>
    <w:rsid w:val="006568AF"/>
    <w:rsid w:val="00660AF8"/>
    <w:rsid w:val="00660BB2"/>
    <w:rsid w:val="006617BD"/>
    <w:rsid w:val="00663633"/>
    <w:rsid w:val="0066471D"/>
    <w:rsid w:val="00664B30"/>
    <w:rsid w:val="00665979"/>
    <w:rsid w:val="00665C9C"/>
    <w:rsid w:val="00666DAC"/>
    <w:rsid w:val="006728BE"/>
    <w:rsid w:val="00673CA0"/>
    <w:rsid w:val="00674B5A"/>
    <w:rsid w:val="00684DAC"/>
    <w:rsid w:val="00685691"/>
    <w:rsid w:val="00687623"/>
    <w:rsid w:val="00690937"/>
    <w:rsid w:val="0069104B"/>
    <w:rsid w:val="006A2C16"/>
    <w:rsid w:val="006B10AC"/>
    <w:rsid w:val="006B15B6"/>
    <w:rsid w:val="006B1DB6"/>
    <w:rsid w:val="006B2D41"/>
    <w:rsid w:val="006B2FC4"/>
    <w:rsid w:val="006B302C"/>
    <w:rsid w:val="006B39F9"/>
    <w:rsid w:val="006B5CA7"/>
    <w:rsid w:val="006C2747"/>
    <w:rsid w:val="006C5653"/>
    <w:rsid w:val="006C60D3"/>
    <w:rsid w:val="006D0495"/>
    <w:rsid w:val="006D0AA6"/>
    <w:rsid w:val="006D36F6"/>
    <w:rsid w:val="006D52B6"/>
    <w:rsid w:val="006D63F9"/>
    <w:rsid w:val="006D67E5"/>
    <w:rsid w:val="006D74CC"/>
    <w:rsid w:val="006E3571"/>
    <w:rsid w:val="006F34C6"/>
    <w:rsid w:val="006F41DA"/>
    <w:rsid w:val="00705BD8"/>
    <w:rsid w:val="007067D3"/>
    <w:rsid w:val="00712BD7"/>
    <w:rsid w:val="00715E57"/>
    <w:rsid w:val="00721170"/>
    <w:rsid w:val="007231EE"/>
    <w:rsid w:val="0072335A"/>
    <w:rsid w:val="00724B87"/>
    <w:rsid w:val="0073452B"/>
    <w:rsid w:val="007459E7"/>
    <w:rsid w:val="007506FD"/>
    <w:rsid w:val="00751A67"/>
    <w:rsid w:val="007549C8"/>
    <w:rsid w:val="007554E3"/>
    <w:rsid w:val="0075689D"/>
    <w:rsid w:val="00762137"/>
    <w:rsid w:val="00766224"/>
    <w:rsid w:val="00766F64"/>
    <w:rsid w:val="00767104"/>
    <w:rsid w:val="00767478"/>
    <w:rsid w:val="007674F3"/>
    <w:rsid w:val="0077138C"/>
    <w:rsid w:val="007754EA"/>
    <w:rsid w:val="007911A0"/>
    <w:rsid w:val="00792052"/>
    <w:rsid w:val="0079207E"/>
    <w:rsid w:val="00793A6A"/>
    <w:rsid w:val="00793E70"/>
    <w:rsid w:val="00795EEA"/>
    <w:rsid w:val="007A2875"/>
    <w:rsid w:val="007A31B9"/>
    <w:rsid w:val="007A5E09"/>
    <w:rsid w:val="007A6077"/>
    <w:rsid w:val="007A7D9F"/>
    <w:rsid w:val="007B0B0E"/>
    <w:rsid w:val="007B1962"/>
    <w:rsid w:val="007B2CF3"/>
    <w:rsid w:val="007B4661"/>
    <w:rsid w:val="007B4C65"/>
    <w:rsid w:val="007B71E6"/>
    <w:rsid w:val="007C65B3"/>
    <w:rsid w:val="007C6D54"/>
    <w:rsid w:val="007D2242"/>
    <w:rsid w:val="007D60DA"/>
    <w:rsid w:val="007E14DB"/>
    <w:rsid w:val="007E1EFD"/>
    <w:rsid w:val="007E21BE"/>
    <w:rsid w:val="007E2F5A"/>
    <w:rsid w:val="007E3C03"/>
    <w:rsid w:val="007E4868"/>
    <w:rsid w:val="007E5008"/>
    <w:rsid w:val="007E639A"/>
    <w:rsid w:val="007E6A9D"/>
    <w:rsid w:val="007F11C6"/>
    <w:rsid w:val="007F482C"/>
    <w:rsid w:val="007F4EB1"/>
    <w:rsid w:val="007F5918"/>
    <w:rsid w:val="00805C93"/>
    <w:rsid w:val="0080742D"/>
    <w:rsid w:val="00817206"/>
    <w:rsid w:val="00820766"/>
    <w:rsid w:val="0082380B"/>
    <w:rsid w:val="008251A1"/>
    <w:rsid w:val="008263E2"/>
    <w:rsid w:val="008263E4"/>
    <w:rsid w:val="0083051C"/>
    <w:rsid w:val="008309A8"/>
    <w:rsid w:val="00833FA9"/>
    <w:rsid w:val="008403CD"/>
    <w:rsid w:val="0084094C"/>
    <w:rsid w:val="008427DA"/>
    <w:rsid w:val="00842966"/>
    <w:rsid w:val="008455C7"/>
    <w:rsid w:val="00850054"/>
    <w:rsid w:val="0085171D"/>
    <w:rsid w:val="00854F19"/>
    <w:rsid w:val="008565A0"/>
    <w:rsid w:val="00857094"/>
    <w:rsid w:val="00861A84"/>
    <w:rsid w:val="00865720"/>
    <w:rsid w:val="00870650"/>
    <w:rsid w:val="00871AB4"/>
    <w:rsid w:val="008737E6"/>
    <w:rsid w:val="008747B2"/>
    <w:rsid w:val="00875B2C"/>
    <w:rsid w:val="0087626E"/>
    <w:rsid w:val="00877379"/>
    <w:rsid w:val="008807FE"/>
    <w:rsid w:val="00881C68"/>
    <w:rsid w:val="0088252F"/>
    <w:rsid w:val="00885641"/>
    <w:rsid w:val="008861D0"/>
    <w:rsid w:val="00886513"/>
    <w:rsid w:val="00887EC0"/>
    <w:rsid w:val="00893BD2"/>
    <w:rsid w:val="008A25D3"/>
    <w:rsid w:val="008A4861"/>
    <w:rsid w:val="008A4CB4"/>
    <w:rsid w:val="008A5E40"/>
    <w:rsid w:val="008A65A3"/>
    <w:rsid w:val="008A6A3B"/>
    <w:rsid w:val="008B1F31"/>
    <w:rsid w:val="008B2E71"/>
    <w:rsid w:val="008B64EF"/>
    <w:rsid w:val="008B7729"/>
    <w:rsid w:val="008C2C7E"/>
    <w:rsid w:val="008C3446"/>
    <w:rsid w:val="008C480B"/>
    <w:rsid w:val="008C7B89"/>
    <w:rsid w:val="008C7C25"/>
    <w:rsid w:val="008D19C5"/>
    <w:rsid w:val="008D1E8F"/>
    <w:rsid w:val="008D26F9"/>
    <w:rsid w:val="008D3CDF"/>
    <w:rsid w:val="008D5116"/>
    <w:rsid w:val="008E0FFC"/>
    <w:rsid w:val="008E2F0D"/>
    <w:rsid w:val="008E4F01"/>
    <w:rsid w:val="008E53DE"/>
    <w:rsid w:val="008E756B"/>
    <w:rsid w:val="008F4FC5"/>
    <w:rsid w:val="008F55F8"/>
    <w:rsid w:val="008F59A9"/>
    <w:rsid w:val="009016ED"/>
    <w:rsid w:val="009023CA"/>
    <w:rsid w:val="009063D1"/>
    <w:rsid w:val="00911F33"/>
    <w:rsid w:val="0091227D"/>
    <w:rsid w:val="00912EFF"/>
    <w:rsid w:val="00913747"/>
    <w:rsid w:val="00913757"/>
    <w:rsid w:val="00916D2F"/>
    <w:rsid w:val="0092132F"/>
    <w:rsid w:val="009240C5"/>
    <w:rsid w:val="00930AE6"/>
    <w:rsid w:val="009316D6"/>
    <w:rsid w:val="0093453E"/>
    <w:rsid w:val="009419C6"/>
    <w:rsid w:val="00945543"/>
    <w:rsid w:val="00945D1E"/>
    <w:rsid w:val="009462F5"/>
    <w:rsid w:val="009509C6"/>
    <w:rsid w:val="00953BDB"/>
    <w:rsid w:val="009550B7"/>
    <w:rsid w:val="009551C2"/>
    <w:rsid w:val="00955F27"/>
    <w:rsid w:val="009577F3"/>
    <w:rsid w:val="00957AAC"/>
    <w:rsid w:val="00963C1D"/>
    <w:rsid w:val="00966013"/>
    <w:rsid w:val="009763C1"/>
    <w:rsid w:val="009817D5"/>
    <w:rsid w:val="009828B2"/>
    <w:rsid w:val="00983F17"/>
    <w:rsid w:val="00986C27"/>
    <w:rsid w:val="009940DA"/>
    <w:rsid w:val="009A14F1"/>
    <w:rsid w:val="009A14FC"/>
    <w:rsid w:val="009A2C14"/>
    <w:rsid w:val="009A2D94"/>
    <w:rsid w:val="009A677E"/>
    <w:rsid w:val="009B027B"/>
    <w:rsid w:val="009B0B06"/>
    <w:rsid w:val="009B215B"/>
    <w:rsid w:val="009B49A7"/>
    <w:rsid w:val="009B511A"/>
    <w:rsid w:val="009B6DBF"/>
    <w:rsid w:val="009B78E0"/>
    <w:rsid w:val="009C136C"/>
    <w:rsid w:val="009C13FB"/>
    <w:rsid w:val="009C3577"/>
    <w:rsid w:val="009D0140"/>
    <w:rsid w:val="009D1ED7"/>
    <w:rsid w:val="009D2EED"/>
    <w:rsid w:val="009D33E5"/>
    <w:rsid w:val="009D69AC"/>
    <w:rsid w:val="009E2191"/>
    <w:rsid w:val="009E2DF6"/>
    <w:rsid w:val="009E33AD"/>
    <w:rsid w:val="009E489A"/>
    <w:rsid w:val="009E5198"/>
    <w:rsid w:val="009E7909"/>
    <w:rsid w:val="009E7AED"/>
    <w:rsid w:val="009F3DD5"/>
    <w:rsid w:val="009F44F1"/>
    <w:rsid w:val="009F51D2"/>
    <w:rsid w:val="009F55D5"/>
    <w:rsid w:val="009F6601"/>
    <w:rsid w:val="009F718C"/>
    <w:rsid w:val="00A027F7"/>
    <w:rsid w:val="00A02C9B"/>
    <w:rsid w:val="00A02E18"/>
    <w:rsid w:val="00A032CD"/>
    <w:rsid w:val="00A069B6"/>
    <w:rsid w:val="00A074EF"/>
    <w:rsid w:val="00A10E96"/>
    <w:rsid w:val="00A142B0"/>
    <w:rsid w:val="00A14D8B"/>
    <w:rsid w:val="00A162F6"/>
    <w:rsid w:val="00A1645C"/>
    <w:rsid w:val="00A1664A"/>
    <w:rsid w:val="00A201D9"/>
    <w:rsid w:val="00A239ED"/>
    <w:rsid w:val="00A24AE0"/>
    <w:rsid w:val="00A310B6"/>
    <w:rsid w:val="00A31944"/>
    <w:rsid w:val="00A374C0"/>
    <w:rsid w:val="00A45F09"/>
    <w:rsid w:val="00A46D3B"/>
    <w:rsid w:val="00A502C8"/>
    <w:rsid w:val="00A5098C"/>
    <w:rsid w:val="00A51C85"/>
    <w:rsid w:val="00A55D91"/>
    <w:rsid w:val="00A56485"/>
    <w:rsid w:val="00A57EBB"/>
    <w:rsid w:val="00A60952"/>
    <w:rsid w:val="00A60D7F"/>
    <w:rsid w:val="00A60D89"/>
    <w:rsid w:val="00A60EC4"/>
    <w:rsid w:val="00A6357A"/>
    <w:rsid w:val="00A63D62"/>
    <w:rsid w:val="00A6426E"/>
    <w:rsid w:val="00A643B5"/>
    <w:rsid w:val="00A649B8"/>
    <w:rsid w:val="00A64B9D"/>
    <w:rsid w:val="00A6519A"/>
    <w:rsid w:val="00A665BF"/>
    <w:rsid w:val="00A66941"/>
    <w:rsid w:val="00A67361"/>
    <w:rsid w:val="00A67450"/>
    <w:rsid w:val="00A757EA"/>
    <w:rsid w:val="00A77684"/>
    <w:rsid w:val="00A804E2"/>
    <w:rsid w:val="00A83284"/>
    <w:rsid w:val="00A83993"/>
    <w:rsid w:val="00A86F04"/>
    <w:rsid w:val="00AA0A7F"/>
    <w:rsid w:val="00AA37F1"/>
    <w:rsid w:val="00AA3988"/>
    <w:rsid w:val="00AA45BA"/>
    <w:rsid w:val="00AA5B34"/>
    <w:rsid w:val="00AA5D8D"/>
    <w:rsid w:val="00AB5CB3"/>
    <w:rsid w:val="00AB5D1D"/>
    <w:rsid w:val="00AC0D8B"/>
    <w:rsid w:val="00AC3837"/>
    <w:rsid w:val="00AC44F0"/>
    <w:rsid w:val="00AC5EF8"/>
    <w:rsid w:val="00AD2111"/>
    <w:rsid w:val="00AD21D5"/>
    <w:rsid w:val="00AD42B4"/>
    <w:rsid w:val="00AD50B7"/>
    <w:rsid w:val="00AD7E8D"/>
    <w:rsid w:val="00AE032D"/>
    <w:rsid w:val="00AE449B"/>
    <w:rsid w:val="00AE72AB"/>
    <w:rsid w:val="00AE78B1"/>
    <w:rsid w:val="00AF2E0D"/>
    <w:rsid w:val="00AF3EA3"/>
    <w:rsid w:val="00AF4405"/>
    <w:rsid w:val="00AF740C"/>
    <w:rsid w:val="00B00ACC"/>
    <w:rsid w:val="00B00C44"/>
    <w:rsid w:val="00B00ED0"/>
    <w:rsid w:val="00B02508"/>
    <w:rsid w:val="00B02C9B"/>
    <w:rsid w:val="00B13AB1"/>
    <w:rsid w:val="00B17A94"/>
    <w:rsid w:val="00B21FB4"/>
    <w:rsid w:val="00B27035"/>
    <w:rsid w:val="00B30B35"/>
    <w:rsid w:val="00B32F32"/>
    <w:rsid w:val="00B331DF"/>
    <w:rsid w:val="00B35B9D"/>
    <w:rsid w:val="00B4196D"/>
    <w:rsid w:val="00B42A58"/>
    <w:rsid w:val="00B4633F"/>
    <w:rsid w:val="00B50DB2"/>
    <w:rsid w:val="00B524CE"/>
    <w:rsid w:val="00B5284E"/>
    <w:rsid w:val="00B533AF"/>
    <w:rsid w:val="00B537DA"/>
    <w:rsid w:val="00B54A3F"/>
    <w:rsid w:val="00B56CB2"/>
    <w:rsid w:val="00B61C61"/>
    <w:rsid w:val="00B63752"/>
    <w:rsid w:val="00B640C8"/>
    <w:rsid w:val="00B64FE8"/>
    <w:rsid w:val="00B70132"/>
    <w:rsid w:val="00B7357C"/>
    <w:rsid w:val="00B736D6"/>
    <w:rsid w:val="00B73E65"/>
    <w:rsid w:val="00B741DD"/>
    <w:rsid w:val="00B75547"/>
    <w:rsid w:val="00B76306"/>
    <w:rsid w:val="00B763EB"/>
    <w:rsid w:val="00B764DF"/>
    <w:rsid w:val="00B77508"/>
    <w:rsid w:val="00B775C9"/>
    <w:rsid w:val="00B77E1B"/>
    <w:rsid w:val="00B80124"/>
    <w:rsid w:val="00B90217"/>
    <w:rsid w:val="00B90430"/>
    <w:rsid w:val="00B938C7"/>
    <w:rsid w:val="00B96CC4"/>
    <w:rsid w:val="00BA1DAD"/>
    <w:rsid w:val="00BA25AD"/>
    <w:rsid w:val="00BA28BD"/>
    <w:rsid w:val="00BA5D8C"/>
    <w:rsid w:val="00BC0516"/>
    <w:rsid w:val="00BC2FED"/>
    <w:rsid w:val="00BC3264"/>
    <w:rsid w:val="00BC3A3D"/>
    <w:rsid w:val="00BC4182"/>
    <w:rsid w:val="00BC4AA0"/>
    <w:rsid w:val="00BC71EC"/>
    <w:rsid w:val="00BD0B8A"/>
    <w:rsid w:val="00BD351E"/>
    <w:rsid w:val="00BD46C4"/>
    <w:rsid w:val="00BD5C35"/>
    <w:rsid w:val="00BD7DAB"/>
    <w:rsid w:val="00BE1D99"/>
    <w:rsid w:val="00BE23B9"/>
    <w:rsid w:val="00BE4657"/>
    <w:rsid w:val="00BF1223"/>
    <w:rsid w:val="00BF3ADD"/>
    <w:rsid w:val="00BF51A1"/>
    <w:rsid w:val="00BF6E77"/>
    <w:rsid w:val="00C00565"/>
    <w:rsid w:val="00C0683B"/>
    <w:rsid w:val="00C11BAF"/>
    <w:rsid w:val="00C17C22"/>
    <w:rsid w:val="00C21F05"/>
    <w:rsid w:val="00C24421"/>
    <w:rsid w:val="00C25B04"/>
    <w:rsid w:val="00C30332"/>
    <w:rsid w:val="00C33FC8"/>
    <w:rsid w:val="00C349AB"/>
    <w:rsid w:val="00C37BAB"/>
    <w:rsid w:val="00C4123C"/>
    <w:rsid w:val="00C4135E"/>
    <w:rsid w:val="00C42C4C"/>
    <w:rsid w:val="00C435EF"/>
    <w:rsid w:val="00C436B7"/>
    <w:rsid w:val="00C43A9E"/>
    <w:rsid w:val="00C445BC"/>
    <w:rsid w:val="00C452E0"/>
    <w:rsid w:val="00C45A07"/>
    <w:rsid w:val="00C461C0"/>
    <w:rsid w:val="00C51038"/>
    <w:rsid w:val="00C53685"/>
    <w:rsid w:val="00C53B8C"/>
    <w:rsid w:val="00C54590"/>
    <w:rsid w:val="00C54C0A"/>
    <w:rsid w:val="00C55B4E"/>
    <w:rsid w:val="00C60169"/>
    <w:rsid w:val="00C609F7"/>
    <w:rsid w:val="00C60C70"/>
    <w:rsid w:val="00C63322"/>
    <w:rsid w:val="00C63DBA"/>
    <w:rsid w:val="00C66F8B"/>
    <w:rsid w:val="00C77418"/>
    <w:rsid w:val="00C87668"/>
    <w:rsid w:val="00C9059A"/>
    <w:rsid w:val="00C912A5"/>
    <w:rsid w:val="00C92E18"/>
    <w:rsid w:val="00C96F99"/>
    <w:rsid w:val="00C97ECB"/>
    <w:rsid w:val="00CA03D2"/>
    <w:rsid w:val="00CA17E0"/>
    <w:rsid w:val="00CA3542"/>
    <w:rsid w:val="00CA64A0"/>
    <w:rsid w:val="00CA6E11"/>
    <w:rsid w:val="00CB53A1"/>
    <w:rsid w:val="00CB682E"/>
    <w:rsid w:val="00CB6C22"/>
    <w:rsid w:val="00CB6EF7"/>
    <w:rsid w:val="00CC0B91"/>
    <w:rsid w:val="00CC2104"/>
    <w:rsid w:val="00CC2DFF"/>
    <w:rsid w:val="00CC3BAE"/>
    <w:rsid w:val="00CC5694"/>
    <w:rsid w:val="00CC6334"/>
    <w:rsid w:val="00CC7092"/>
    <w:rsid w:val="00CC7F32"/>
    <w:rsid w:val="00CD44F8"/>
    <w:rsid w:val="00CD7ED6"/>
    <w:rsid w:val="00CE03C2"/>
    <w:rsid w:val="00CE1C0B"/>
    <w:rsid w:val="00CE4007"/>
    <w:rsid w:val="00CF0718"/>
    <w:rsid w:val="00CF4205"/>
    <w:rsid w:val="00CF442C"/>
    <w:rsid w:val="00D00895"/>
    <w:rsid w:val="00D00C1D"/>
    <w:rsid w:val="00D019D3"/>
    <w:rsid w:val="00D04EFB"/>
    <w:rsid w:val="00D05C96"/>
    <w:rsid w:val="00D07F61"/>
    <w:rsid w:val="00D121F2"/>
    <w:rsid w:val="00D128DB"/>
    <w:rsid w:val="00D16D64"/>
    <w:rsid w:val="00D21978"/>
    <w:rsid w:val="00D21E3F"/>
    <w:rsid w:val="00D246A8"/>
    <w:rsid w:val="00D24885"/>
    <w:rsid w:val="00D26440"/>
    <w:rsid w:val="00D27C91"/>
    <w:rsid w:val="00D319C3"/>
    <w:rsid w:val="00D407CB"/>
    <w:rsid w:val="00D428A8"/>
    <w:rsid w:val="00D4292D"/>
    <w:rsid w:val="00D42B1C"/>
    <w:rsid w:val="00D46AB3"/>
    <w:rsid w:val="00D516E0"/>
    <w:rsid w:val="00D52046"/>
    <w:rsid w:val="00D52471"/>
    <w:rsid w:val="00D53B1B"/>
    <w:rsid w:val="00D54E6C"/>
    <w:rsid w:val="00D54F48"/>
    <w:rsid w:val="00D55DA3"/>
    <w:rsid w:val="00D55FA7"/>
    <w:rsid w:val="00D56956"/>
    <w:rsid w:val="00D57811"/>
    <w:rsid w:val="00D654B1"/>
    <w:rsid w:val="00D65753"/>
    <w:rsid w:val="00D65B12"/>
    <w:rsid w:val="00D672AA"/>
    <w:rsid w:val="00D70E8F"/>
    <w:rsid w:val="00D71D82"/>
    <w:rsid w:val="00D76F49"/>
    <w:rsid w:val="00D77DF6"/>
    <w:rsid w:val="00D80D99"/>
    <w:rsid w:val="00D80DA6"/>
    <w:rsid w:val="00D841FD"/>
    <w:rsid w:val="00D846D8"/>
    <w:rsid w:val="00D914B0"/>
    <w:rsid w:val="00D93093"/>
    <w:rsid w:val="00D942FA"/>
    <w:rsid w:val="00D964CA"/>
    <w:rsid w:val="00D9655A"/>
    <w:rsid w:val="00DA0306"/>
    <w:rsid w:val="00DA0A15"/>
    <w:rsid w:val="00DA0C45"/>
    <w:rsid w:val="00DA3107"/>
    <w:rsid w:val="00DA38D7"/>
    <w:rsid w:val="00DB11B3"/>
    <w:rsid w:val="00DB4C26"/>
    <w:rsid w:val="00DB4DB4"/>
    <w:rsid w:val="00DB4F3C"/>
    <w:rsid w:val="00DB7859"/>
    <w:rsid w:val="00DC161B"/>
    <w:rsid w:val="00DC1AD7"/>
    <w:rsid w:val="00DC21E6"/>
    <w:rsid w:val="00DC664D"/>
    <w:rsid w:val="00DD0AA7"/>
    <w:rsid w:val="00DD2650"/>
    <w:rsid w:val="00DD2DB5"/>
    <w:rsid w:val="00DD3270"/>
    <w:rsid w:val="00DD4C84"/>
    <w:rsid w:val="00DD5591"/>
    <w:rsid w:val="00DD7C57"/>
    <w:rsid w:val="00DE39A2"/>
    <w:rsid w:val="00DE6373"/>
    <w:rsid w:val="00DE63AC"/>
    <w:rsid w:val="00DF0796"/>
    <w:rsid w:val="00DF127E"/>
    <w:rsid w:val="00DF2ECA"/>
    <w:rsid w:val="00DF446C"/>
    <w:rsid w:val="00DF768B"/>
    <w:rsid w:val="00DF77E7"/>
    <w:rsid w:val="00E045A1"/>
    <w:rsid w:val="00E05A31"/>
    <w:rsid w:val="00E07FA0"/>
    <w:rsid w:val="00E17025"/>
    <w:rsid w:val="00E17EA3"/>
    <w:rsid w:val="00E20A7B"/>
    <w:rsid w:val="00E24B4A"/>
    <w:rsid w:val="00E31592"/>
    <w:rsid w:val="00E32D31"/>
    <w:rsid w:val="00E4039F"/>
    <w:rsid w:val="00E419E0"/>
    <w:rsid w:val="00E452D2"/>
    <w:rsid w:val="00E45C42"/>
    <w:rsid w:val="00E477F2"/>
    <w:rsid w:val="00E47A8D"/>
    <w:rsid w:val="00E5125C"/>
    <w:rsid w:val="00E55EFA"/>
    <w:rsid w:val="00E60DCF"/>
    <w:rsid w:val="00E62194"/>
    <w:rsid w:val="00E66D09"/>
    <w:rsid w:val="00E71544"/>
    <w:rsid w:val="00E747E7"/>
    <w:rsid w:val="00E7494D"/>
    <w:rsid w:val="00E774D0"/>
    <w:rsid w:val="00E810BD"/>
    <w:rsid w:val="00E81975"/>
    <w:rsid w:val="00E81F69"/>
    <w:rsid w:val="00E83D09"/>
    <w:rsid w:val="00E85D49"/>
    <w:rsid w:val="00E8649E"/>
    <w:rsid w:val="00E91443"/>
    <w:rsid w:val="00E92A2D"/>
    <w:rsid w:val="00EA0149"/>
    <w:rsid w:val="00EA0AA3"/>
    <w:rsid w:val="00EA4E6D"/>
    <w:rsid w:val="00EB3315"/>
    <w:rsid w:val="00EB3BCA"/>
    <w:rsid w:val="00EB508D"/>
    <w:rsid w:val="00EC38B0"/>
    <w:rsid w:val="00EC43D8"/>
    <w:rsid w:val="00EE06C8"/>
    <w:rsid w:val="00EE0AD9"/>
    <w:rsid w:val="00EE12E6"/>
    <w:rsid w:val="00EE15A4"/>
    <w:rsid w:val="00EE2F50"/>
    <w:rsid w:val="00EF3E9B"/>
    <w:rsid w:val="00EF41F0"/>
    <w:rsid w:val="00EF6855"/>
    <w:rsid w:val="00EF77FA"/>
    <w:rsid w:val="00F02352"/>
    <w:rsid w:val="00F03DAF"/>
    <w:rsid w:val="00F04551"/>
    <w:rsid w:val="00F05A6D"/>
    <w:rsid w:val="00F10924"/>
    <w:rsid w:val="00F109D0"/>
    <w:rsid w:val="00F153E2"/>
    <w:rsid w:val="00F16D96"/>
    <w:rsid w:val="00F172AE"/>
    <w:rsid w:val="00F216C4"/>
    <w:rsid w:val="00F21C53"/>
    <w:rsid w:val="00F22DC0"/>
    <w:rsid w:val="00F277EB"/>
    <w:rsid w:val="00F27C48"/>
    <w:rsid w:val="00F3076C"/>
    <w:rsid w:val="00F32963"/>
    <w:rsid w:val="00F403B2"/>
    <w:rsid w:val="00F414BC"/>
    <w:rsid w:val="00F447B7"/>
    <w:rsid w:val="00F4480E"/>
    <w:rsid w:val="00F51931"/>
    <w:rsid w:val="00F53078"/>
    <w:rsid w:val="00F55E6A"/>
    <w:rsid w:val="00F56248"/>
    <w:rsid w:val="00F56A6E"/>
    <w:rsid w:val="00F57194"/>
    <w:rsid w:val="00F63359"/>
    <w:rsid w:val="00F633E3"/>
    <w:rsid w:val="00F66168"/>
    <w:rsid w:val="00F67E07"/>
    <w:rsid w:val="00F67F01"/>
    <w:rsid w:val="00F703EE"/>
    <w:rsid w:val="00F71631"/>
    <w:rsid w:val="00F71E09"/>
    <w:rsid w:val="00F728FD"/>
    <w:rsid w:val="00F7399A"/>
    <w:rsid w:val="00F74A11"/>
    <w:rsid w:val="00F77BE9"/>
    <w:rsid w:val="00F80E67"/>
    <w:rsid w:val="00F8219C"/>
    <w:rsid w:val="00F835A4"/>
    <w:rsid w:val="00F842A9"/>
    <w:rsid w:val="00F84912"/>
    <w:rsid w:val="00F914A2"/>
    <w:rsid w:val="00F91577"/>
    <w:rsid w:val="00F944AB"/>
    <w:rsid w:val="00F96976"/>
    <w:rsid w:val="00F96D60"/>
    <w:rsid w:val="00FA22E9"/>
    <w:rsid w:val="00FA4902"/>
    <w:rsid w:val="00FB1917"/>
    <w:rsid w:val="00FB6E20"/>
    <w:rsid w:val="00FC097B"/>
    <w:rsid w:val="00FC5177"/>
    <w:rsid w:val="00FD2559"/>
    <w:rsid w:val="00FD2E15"/>
    <w:rsid w:val="00FD3F8A"/>
    <w:rsid w:val="00FD484A"/>
    <w:rsid w:val="00FE305B"/>
    <w:rsid w:val="00FE3355"/>
    <w:rsid w:val="00FE3D27"/>
    <w:rsid w:val="00FE4F9C"/>
    <w:rsid w:val="00FF21D8"/>
    <w:rsid w:val="00FF48FD"/>
    <w:rsid w:val="00FF5757"/>
    <w:rsid w:val="00FF7D0D"/>
    <w:rsid w:val="01CF7782"/>
    <w:rsid w:val="023B6BC5"/>
    <w:rsid w:val="03936CB9"/>
    <w:rsid w:val="039B791C"/>
    <w:rsid w:val="04B95D27"/>
    <w:rsid w:val="05A86160"/>
    <w:rsid w:val="082500FC"/>
    <w:rsid w:val="0A5B7E05"/>
    <w:rsid w:val="0B760B22"/>
    <w:rsid w:val="0D2F096C"/>
    <w:rsid w:val="0EB14497"/>
    <w:rsid w:val="118539B9"/>
    <w:rsid w:val="120A5960"/>
    <w:rsid w:val="12382C51"/>
    <w:rsid w:val="132E255A"/>
    <w:rsid w:val="19457086"/>
    <w:rsid w:val="19C31523"/>
    <w:rsid w:val="1E155F45"/>
    <w:rsid w:val="1E9516DF"/>
    <w:rsid w:val="1F244811"/>
    <w:rsid w:val="213056EF"/>
    <w:rsid w:val="218E68BA"/>
    <w:rsid w:val="24930B4D"/>
    <w:rsid w:val="25090731"/>
    <w:rsid w:val="271B299E"/>
    <w:rsid w:val="2A2B114A"/>
    <w:rsid w:val="2B98280F"/>
    <w:rsid w:val="2C844B41"/>
    <w:rsid w:val="2CF04DB6"/>
    <w:rsid w:val="2DBE22D5"/>
    <w:rsid w:val="2E04418C"/>
    <w:rsid w:val="2F292845"/>
    <w:rsid w:val="31CD6F8B"/>
    <w:rsid w:val="33AF6948"/>
    <w:rsid w:val="349124F1"/>
    <w:rsid w:val="394C2E8B"/>
    <w:rsid w:val="39643CC4"/>
    <w:rsid w:val="3B9D5C20"/>
    <w:rsid w:val="3C1063F2"/>
    <w:rsid w:val="3ECF5007"/>
    <w:rsid w:val="403623E8"/>
    <w:rsid w:val="408D55B4"/>
    <w:rsid w:val="416F3F03"/>
    <w:rsid w:val="46A01EDB"/>
    <w:rsid w:val="46D83FB0"/>
    <w:rsid w:val="4A912D42"/>
    <w:rsid w:val="4B6D116B"/>
    <w:rsid w:val="4B6F7F85"/>
    <w:rsid w:val="4B7D49B2"/>
    <w:rsid w:val="4C0B44E0"/>
    <w:rsid w:val="4EA03605"/>
    <w:rsid w:val="51114346"/>
    <w:rsid w:val="53D02297"/>
    <w:rsid w:val="54D04518"/>
    <w:rsid w:val="57160908"/>
    <w:rsid w:val="5A971D60"/>
    <w:rsid w:val="5B547D34"/>
    <w:rsid w:val="5D900CE9"/>
    <w:rsid w:val="5DA86D0D"/>
    <w:rsid w:val="603E4A2C"/>
    <w:rsid w:val="608E7761"/>
    <w:rsid w:val="64B92463"/>
    <w:rsid w:val="6BBF5D79"/>
    <w:rsid w:val="71E41203"/>
    <w:rsid w:val="72C94904"/>
    <w:rsid w:val="741144D9"/>
    <w:rsid w:val="752244C4"/>
    <w:rsid w:val="76397D18"/>
    <w:rsid w:val="7D3C40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nhideWhenUsed="0" w:uiPriority="0"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qFormat/>
    <w:uiPriority w:val="9"/>
    <w:pPr>
      <w:keepNext/>
      <w:keepLines/>
      <w:spacing w:before="100" w:after="90"/>
      <w:jc w:val="center"/>
      <w:outlineLvl w:val="0"/>
    </w:pPr>
    <w:rPr>
      <w:b/>
      <w:bCs/>
      <w:kern w:val="44"/>
      <w:sz w:val="36"/>
      <w:szCs w:val="44"/>
    </w:rPr>
  </w:style>
  <w:style w:type="paragraph" w:styleId="3">
    <w:name w:val="heading 2"/>
    <w:basedOn w:val="1"/>
    <w:next w:val="1"/>
    <w:link w:val="3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4"/>
    <w:basedOn w:val="1"/>
    <w:next w:val="1"/>
    <w:link w:val="25"/>
    <w:qFormat/>
    <w:uiPriority w:val="0"/>
    <w:pPr>
      <w:keepNext/>
      <w:keepLines/>
      <w:spacing w:before="160" w:after="170"/>
      <w:ind w:firstLine="200" w:firstLineChars="200"/>
      <w:outlineLvl w:val="3"/>
    </w:pPr>
    <w:rPr>
      <w:rFonts w:ascii="Cambria" w:hAnsi="Cambria" w:eastAsia="宋体" w:cs="Times New Roman"/>
      <w:b/>
      <w:bCs/>
      <w:sz w:val="24"/>
      <w:szCs w:val="28"/>
    </w:rPr>
  </w:style>
  <w:style w:type="paragraph" w:styleId="5">
    <w:name w:val="heading 5"/>
    <w:basedOn w:val="1"/>
    <w:next w:val="1"/>
    <w:link w:val="27"/>
    <w:unhideWhenUsed/>
    <w:qFormat/>
    <w:uiPriority w:val="9"/>
    <w:pPr>
      <w:keepNext/>
      <w:keepLines/>
      <w:spacing w:before="160" w:after="170"/>
      <w:ind w:firstLine="200" w:firstLineChars="200"/>
      <w:outlineLvl w:val="4"/>
    </w:pPr>
    <w:rPr>
      <w:b/>
      <w:bCs/>
      <w:sz w:val="24"/>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23"/>
    <w:qFormat/>
    <w:uiPriority w:val="0"/>
    <w:pPr>
      <w:ind w:firstLine="420" w:firstLineChars="200"/>
    </w:pPr>
    <w:rPr>
      <w:rFonts w:ascii="Times New Roman" w:hAnsi="Times New Roman" w:eastAsia="宋体" w:cs="Times New Roman"/>
      <w:szCs w:val="24"/>
    </w:rPr>
  </w:style>
  <w:style w:type="paragraph" w:styleId="7">
    <w:name w:val="annotation text"/>
    <w:basedOn w:val="1"/>
    <w:link w:val="36"/>
    <w:semiHidden/>
    <w:unhideWhenUsed/>
    <w:qFormat/>
    <w:uiPriority w:val="99"/>
    <w:pPr>
      <w:jc w:val="left"/>
    </w:pPr>
  </w:style>
  <w:style w:type="paragraph" w:styleId="8">
    <w:name w:val="Plain Text"/>
    <w:basedOn w:val="1"/>
    <w:link w:val="33"/>
    <w:qFormat/>
    <w:uiPriority w:val="99"/>
    <w:rPr>
      <w:rFonts w:ascii="宋体" w:hAnsi="Courier New" w:eastAsia="宋体" w:cs="Times New Roman"/>
      <w:kern w:val="10"/>
      <w:szCs w:val="21"/>
    </w:rPr>
  </w:style>
  <w:style w:type="paragraph" w:styleId="9">
    <w:name w:val="Date"/>
    <w:basedOn w:val="1"/>
    <w:next w:val="1"/>
    <w:link w:val="38"/>
    <w:semiHidden/>
    <w:unhideWhenUsed/>
    <w:qFormat/>
    <w:uiPriority w:val="99"/>
    <w:pPr>
      <w:ind w:left="100" w:leftChars="2500"/>
    </w:pPr>
  </w:style>
  <w:style w:type="paragraph" w:styleId="10">
    <w:name w:val="Balloon Text"/>
    <w:basedOn w:val="1"/>
    <w:link w:val="29"/>
    <w:semiHidden/>
    <w:unhideWhenUsed/>
    <w:qFormat/>
    <w:uiPriority w:val="99"/>
    <w:rPr>
      <w:sz w:val="18"/>
      <w:szCs w:val="18"/>
    </w:rPr>
  </w:style>
  <w:style w:type="paragraph" w:styleId="11">
    <w:name w:val="footer"/>
    <w:basedOn w:val="1"/>
    <w:link w:val="22"/>
    <w:unhideWhenUsed/>
    <w:qFormat/>
    <w:uiPriority w:val="99"/>
    <w:pPr>
      <w:tabs>
        <w:tab w:val="center" w:pos="4153"/>
        <w:tab w:val="right" w:pos="8306"/>
      </w:tabs>
      <w:snapToGrid w:val="0"/>
      <w:jc w:val="left"/>
    </w:pPr>
    <w:rPr>
      <w:sz w:val="18"/>
      <w:szCs w:val="18"/>
    </w:rPr>
  </w:style>
  <w:style w:type="paragraph" w:styleId="12">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toc 2"/>
    <w:basedOn w:val="1"/>
    <w:next w:val="1"/>
    <w:unhideWhenUsed/>
    <w:qFormat/>
    <w:uiPriority w:val="39"/>
    <w:pPr>
      <w:ind w:left="420" w:leftChars="200"/>
    </w:pPr>
  </w:style>
  <w:style w:type="paragraph" w:styleId="15">
    <w:name w:val="Normal (Web)"/>
    <w:basedOn w:val="1"/>
    <w:unhideWhenUsed/>
    <w:qFormat/>
    <w:uiPriority w:val="0"/>
    <w:pPr>
      <w:spacing w:beforeAutospacing="1" w:afterAutospacing="1"/>
      <w:jc w:val="left"/>
    </w:pPr>
    <w:rPr>
      <w:rFonts w:cs="Times New Roman"/>
      <w:kern w:val="0"/>
      <w:sz w:val="24"/>
    </w:r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qFormat/>
    <w:uiPriority w:val="99"/>
    <w:rPr>
      <w:color w:val="0000FF"/>
      <w:u w:val="single"/>
    </w:rPr>
  </w:style>
  <w:style w:type="character" w:styleId="20">
    <w:name w:val="annotation reference"/>
    <w:basedOn w:val="18"/>
    <w:semiHidden/>
    <w:unhideWhenUsed/>
    <w:qFormat/>
    <w:uiPriority w:val="99"/>
    <w:rPr>
      <w:sz w:val="21"/>
      <w:szCs w:val="21"/>
    </w:rPr>
  </w:style>
  <w:style w:type="character" w:customStyle="1" w:styleId="21">
    <w:name w:val="页眉 字符"/>
    <w:basedOn w:val="18"/>
    <w:link w:val="12"/>
    <w:qFormat/>
    <w:uiPriority w:val="99"/>
    <w:rPr>
      <w:sz w:val="18"/>
      <w:szCs w:val="18"/>
    </w:rPr>
  </w:style>
  <w:style w:type="character" w:customStyle="1" w:styleId="22">
    <w:name w:val="页脚 字符"/>
    <w:basedOn w:val="18"/>
    <w:link w:val="11"/>
    <w:qFormat/>
    <w:uiPriority w:val="99"/>
    <w:rPr>
      <w:sz w:val="18"/>
      <w:szCs w:val="18"/>
    </w:rPr>
  </w:style>
  <w:style w:type="character" w:customStyle="1" w:styleId="23">
    <w:name w:val="正文缩进 字符"/>
    <w:link w:val="6"/>
    <w:qFormat/>
    <w:uiPriority w:val="0"/>
    <w:rPr>
      <w:rFonts w:ascii="Times New Roman" w:hAnsi="Times New Roman" w:eastAsia="宋体" w:cs="Times New Roman"/>
      <w:szCs w:val="24"/>
    </w:rPr>
  </w:style>
  <w:style w:type="table" w:customStyle="1" w:styleId="24">
    <w:name w:val="网格型1"/>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5">
    <w:name w:val="标题 4 字符"/>
    <w:basedOn w:val="18"/>
    <w:link w:val="4"/>
    <w:qFormat/>
    <w:uiPriority w:val="0"/>
    <w:rPr>
      <w:rFonts w:ascii="Cambria" w:hAnsi="Cambria" w:eastAsia="宋体" w:cs="Times New Roman"/>
      <w:b/>
      <w:bCs/>
      <w:sz w:val="24"/>
      <w:szCs w:val="28"/>
    </w:rPr>
  </w:style>
  <w:style w:type="character" w:customStyle="1" w:styleId="26">
    <w:name w:val="标题 1 字符"/>
    <w:basedOn w:val="18"/>
    <w:link w:val="2"/>
    <w:qFormat/>
    <w:uiPriority w:val="9"/>
    <w:rPr>
      <w:b/>
      <w:bCs/>
      <w:kern w:val="44"/>
      <w:sz w:val="36"/>
      <w:szCs w:val="44"/>
    </w:rPr>
  </w:style>
  <w:style w:type="character" w:customStyle="1" w:styleId="27">
    <w:name w:val="标题 5 字符"/>
    <w:basedOn w:val="18"/>
    <w:link w:val="5"/>
    <w:qFormat/>
    <w:uiPriority w:val="9"/>
    <w:rPr>
      <w:b/>
      <w:bCs/>
      <w:sz w:val="24"/>
      <w:szCs w:val="28"/>
    </w:rPr>
  </w:style>
  <w:style w:type="paragraph" w:customStyle="1" w:styleId="28">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 w:type="character" w:customStyle="1" w:styleId="29">
    <w:name w:val="批注框文本 字符"/>
    <w:basedOn w:val="18"/>
    <w:link w:val="10"/>
    <w:semiHidden/>
    <w:qFormat/>
    <w:uiPriority w:val="99"/>
    <w:rPr>
      <w:rFonts w:asciiTheme="minorHAnsi" w:hAnsiTheme="minorHAnsi" w:eastAsiaTheme="minorEastAsia" w:cstheme="minorBidi"/>
      <w:kern w:val="2"/>
      <w:sz w:val="18"/>
      <w:szCs w:val="18"/>
    </w:rPr>
  </w:style>
  <w:style w:type="paragraph" w:styleId="30">
    <w:name w:val="List Paragraph"/>
    <w:basedOn w:val="1"/>
    <w:unhideWhenUsed/>
    <w:qFormat/>
    <w:uiPriority w:val="99"/>
    <w:pPr>
      <w:ind w:firstLine="420" w:firstLineChars="200"/>
    </w:pPr>
  </w:style>
  <w:style w:type="table" w:customStyle="1" w:styleId="31">
    <w:name w:val="网格型2"/>
    <w:basedOn w:val="16"/>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2">
    <w:name w:val="纯文本 字符"/>
    <w:basedOn w:val="18"/>
    <w:qFormat/>
    <w:uiPriority w:val="99"/>
    <w:rPr>
      <w:rFonts w:hAnsi="Courier New" w:cs="Courier New" w:asciiTheme="minorEastAsia" w:eastAsiaTheme="minorEastAsia"/>
      <w:kern w:val="2"/>
      <w:sz w:val="21"/>
      <w:szCs w:val="22"/>
    </w:rPr>
  </w:style>
  <w:style w:type="character" w:customStyle="1" w:styleId="33">
    <w:name w:val="纯文本 字符1"/>
    <w:link w:val="8"/>
    <w:qFormat/>
    <w:uiPriority w:val="0"/>
    <w:rPr>
      <w:rFonts w:ascii="宋体" w:hAnsi="Courier New"/>
      <w:kern w:val="10"/>
      <w:sz w:val="21"/>
      <w:szCs w:val="21"/>
    </w:rPr>
  </w:style>
  <w:style w:type="character" w:customStyle="1" w:styleId="34">
    <w:name w:val="标题 2 字符"/>
    <w:basedOn w:val="18"/>
    <w:link w:val="3"/>
    <w:qFormat/>
    <w:uiPriority w:val="9"/>
    <w:rPr>
      <w:rFonts w:asciiTheme="majorHAnsi" w:hAnsiTheme="majorHAnsi" w:eastAsiaTheme="majorEastAsia" w:cstheme="majorBidi"/>
      <w:b/>
      <w:bCs/>
      <w:kern w:val="2"/>
      <w:sz w:val="32"/>
      <w:szCs w:val="32"/>
    </w:rPr>
  </w:style>
  <w:style w:type="paragraph" w:customStyle="1" w:styleId="3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6">
    <w:name w:val="批注文字 字符"/>
    <w:basedOn w:val="18"/>
    <w:link w:val="7"/>
    <w:semiHidden/>
    <w:qFormat/>
    <w:uiPriority w:val="99"/>
    <w:rPr>
      <w:rFonts w:asciiTheme="minorHAnsi" w:hAnsiTheme="minorHAnsi" w:eastAsiaTheme="minorEastAsia" w:cstheme="minorBidi"/>
      <w:kern w:val="2"/>
      <w:sz w:val="21"/>
      <w:szCs w:val="22"/>
    </w:rPr>
  </w:style>
  <w:style w:type="paragraph" w:customStyle="1" w:styleId="37">
    <w:name w:val="_Style 35"/>
    <w:basedOn w:val="1"/>
    <w:next w:val="30"/>
    <w:qFormat/>
    <w:uiPriority w:val="34"/>
    <w:pPr>
      <w:ind w:firstLine="420" w:firstLineChars="200"/>
    </w:pPr>
    <w:rPr>
      <w:rFonts w:ascii="Calibri" w:hAnsi="Calibri" w:eastAsia="宋体" w:cs="Times New Roman"/>
      <w:szCs w:val="21"/>
    </w:rPr>
  </w:style>
  <w:style w:type="character" w:customStyle="1" w:styleId="38">
    <w:name w:val="日期 字符"/>
    <w:basedOn w:val="18"/>
    <w:link w:val="9"/>
    <w:semiHidden/>
    <w:qFormat/>
    <w:uiPriority w:val="99"/>
    <w:rPr>
      <w:kern w:val="2"/>
      <w:sz w:val="21"/>
      <w:szCs w:val="22"/>
    </w:rPr>
  </w:style>
  <w:style w:type="character" w:customStyle="1" w:styleId="39">
    <w:name w:val="font11"/>
    <w:basedOn w:val="18"/>
    <w:qFormat/>
    <w:uiPriority w:val="0"/>
    <w:rPr>
      <w:rFonts w:hint="eastAsia" w:ascii="宋体" w:hAnsi="宋体" w:eastAsia="宋体" w:cs="宋体"/>
      <w:color w:val="000000"/>
      <w:sz w:val="22"/>
      <w:szCs w:val="22"/>
      <w:u w:val="none"/>
    </w:rPr>
  </w:style>
  <w:style w:type="character" w:customStyle="1" w:styleId="40">
    <w:name w:val="font41"/>
    <w:basedOn w:val="18"/>
    <w:qFormat/>
    <w:uiPriority w:val="0"/>
    <w:rPr>
      <w:rFonts w:ascii="Calibri" w:hAnsi="Calibri" w:cs="Calibri"/>
      <w:color w:val="000000"/>
      <w:sz w:val="22"/>
      <w:szCs w:val="22"/>
      <w:u w:val="none"/>
    </w:rPr>
  </w:style>
  <w:style w:type="character" w:customStyle="1" w:styleId="41">
    <w:name w:val="font51"/>
    <w:basedOn w:val="18"/>
    <w:qFormat/>
    <w:uiPriority w:val="0"/>
    <w:rPr>
      <w:rFonts w:ascii="Segoe UI Symbol" w:hAnsi="Segoe UI Symbol" w:eastAsia="Segoe UI Symbol" w:cs="Segoe UI Symbol"/>
      <w:color w:val="000000"/>
      <w:sz w:val="22"/>
      <w:szCs w:val="22"/>
      <w:u w:val="none"/>
    </w:rPr>
  </w:style>
  <w:style w:type="character" w:customStyle="1" w:styleId="42">
    <w:name w:val="font61"/>
    <w:basedOn w:val="18"/>
    <w:qFormat/>
    <w:uiPriority w:val="0"/>
    <w:rPr>
      <w:rFonts w:hint="default" w:ascii="Calibri" w:hAnsi="Calibri" w:cs="Calibri"/>
      <w:color w:val="000000"/>
      <w:sz w:val="22"/>
      <w:szCs w:val="22"/>
      <w:u w:val="none"/>
    </w:rPr>
  </w:style>
  <w:style w:type="character" w:customStyle="1" w:styleId="43">
    <w:name w:val="font71"/>
    <w:basedOn w:val="18"/>
    <w:qFormat/>
    <w:uiPriority w:val="0"/>
    <w:rPr>
      <w:rFonts w:hint="eastAsia" w:ascii="宋体" w:hAnsi="宋体" w:eastAsia="宋体" w:cs="宋体"/>
      <w:color w:val="000000"/>
      <w:sz w:val="22"/>
      <w:szCs w:val="22"/>
      <w:u w:val="none"/>
    </w:rPr>
  </w:style>
  <w:style w:type="character" w:customStyle="1" w:styleId="44">
    <w:name w:val="font01"/>
    <w:basedOn w:val="18"/>
    <w:qFormat/>
    <w:uiPriority w:val="0"/>
    <w:rPr>
      <w:rFonts w:hint="eastAsia" w:ascii="宋体" w:hAnsi="宋体" w:eastAsia="宋体" w:cs="宋体"/>
      <w:color w:val="000000"/>
      <w:sz w:val="22"/>
      <w:szCs w:val="22"/>
      <w:u w:val="none"/>
    </w:rPr>
  </w:style>
  <w:style w:type="paragraph" w:customStyle="1" w:styleId="45">
    <w:name w:val="null3"/>
    <w:hidden/>
    <w:qFormat/>
    <w:uiPriority w:val="0"/>
    <w:rPr>
      <w:rFonts w:hint="eastAsia" w:asciiTheme="minorHAnsi" w:hAnsiTheme="minorHAnsi" w:eastAsiaTheme="minorEastAsia" w:cstheme="minorBidi"/>
      <w:lang w:val="en-US" w:eastAsia="zh-Hans" w:bidi="ar-SA"/>
    </w:rPr>
  </w:style>
  <w:style w:type="character" w:customStyle="1" w:styleId="46">
    <w:name w:val="font21"/>
    <w:basedOn w:val="18"/>
    <w:qFormat/>
    <w:uiPriority w:val="0"/>
    <w:rPr>
      <w:rFonts w:hint="eastAsia" w:ascii="宋体" w:hAnsi="宋体" w:eastAsia="宋体" w:cs="宋体"/>
      <w:color w:val="000000"/>
      <w:sz w:val="21"/>
      <w:szCs w:val="21"/>
      <w:u w:val="none"/>
    </w:rPr>
  </w:style>
  <w:style w:type="character" w:customStyle="1" w:styleId="47">
    <w:name w:val="font31"/>
    <w:basedOn w:val="18"/>
    <w:qFormat/>
    <w:uiPriority w:val="0"/>
    <w:rPr>
      <w:rFonts w:ascii="Calibri" w:hAnsi="Calibri" w:cs="Calibri"/>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0B3D27-3B60-4239-9D2E-A5549BD77CA1}">
  <ds:schemaRefs/>
</ds:datastoreItem>
</file>

<file path=docProps/app.xml><?xml version="1.0" encoding="utf-8"?>
<Properties xmlns="http://schemas.openxmlformats.org/officeDocument/2006/extended-properties" xmlns:vt="http://schemas.openxmlformats.org/officeDocument/2006/docPropsVTypes">
  <Template>Normal</Template>
  <Pages>35</Pages>
  <Words>818</Words>
  <Characters>956</Characters>
  <Lines>149</Lines>
  <Paragraphs>42</Paragraphs>
  <TotalTime>0</TotalTime>
  <ScaleCrop>false</ScaleCrop>
  <LinksUpToDate>false</LinksUpToDate>
  <CharactersWithSpaces>961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2021-06-06T03:46:00Z</dcterms:created>
  <dc:creator>安安的电脑</dc:creator>
  <cp:lastModifiedBy>J先生</cp:lastModifiedBy>
  <cp:lastPrinted>2025-04-11T02:25:00Z</cp:lastPrinted>
  <dcterms:modified xsi:type="dcterms:W3CDTF">2025-07-09T07:55:16Z</dcterms:modified>
  <cp:revision>501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6A12ADA6F14E4A28A96B6B2819610F1E_13</vt:lpwstr>
  </property>
  <property fmtid="{D5CDD505-2E9C-101B-9397-08002B2CF9AE}" pid="4" name="KSOTemplateDocerSaveRecord">
    <vt:lpwstr>eyJoZGlkIjoiZDYxNzQwMWY4MzNlNjA1OTlmNzkxYjE4MGVmNTM1NDAiLCJ1c2VySWQiOiIyNjEwOTk1MTEifQ==</vt:lpwstr>
  </property>
</Properties>
</file>