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CBA50">
      <w:pPr>
        <w:jc w:val="center"/>
        <w:rPr>
          <w:rFonts w:hint="default" w:ascii="仿宋" w:hAnsi="仿宋" w:eastAsia="仿宋" w:cs="仿宋"/>
          <w:b/>
          <w:sz w:val="24"/>
          <w:lang w:val="en-US"/>
        </w:rPr>
      </w:pPr>
      <w:r>
        <w:rPr>
          <w:rFonts w:hint="eastAsia"/>
          <w:b/>
          <w:bCs/>
          <w:sz w:val="36"/>
          <w:szCs w:val="44"/>
          <w:lang w:val="en-US" w:eastAsia="zh-CN"/>
        </w:rPr>
        <w:t>伦理审查申请类别</w:t>
      </w:r>
    </w:p>
    <w:p w14:paraId="4346F87D">
      <w:pPr>
        <w:keepNext w:val="0"/>
        <w:keepLines w:val="0"/>
        <w:pageBreakBefore w:val="0"/>
        <w:widowControl w:val="0"/>
        <w:numPr>
          <w:ilvl w:val="0"/>
          <w:numId w:val="1"/>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b w:val="0"/>
          <w:bCs w:val="0"/>
          <w:color w:val="auto"/>
          <w:sz w:val="28"/>
          <w:szCs w:val="28"/>
          <w:lang w:val="en-US" w:eastAsia="zh-CN" w:bidi="ar-SA"/>
        </w:rPr>
        <w:t>科研项目</w:t>
      </w:r>
      <w:r>
        <w:rPr>
          <w:rFonts w:hint="eastAsia" w:ascii="仿宋" w:hAnsi="仿宋" w:eastAsia="仿宋" w:cs="仿宋"/>
          <w:color w:val="auto"/>
          <w:sz w:val="28"/>
          <w:szCs w:val="28"/>
          <w:lang w:val="en-US" w:eastAsia="zh-CN" w:bidi="ar-SA"/>
        </w:rPr>
        <w:t>申报前预审查</w:t>
      </w:r>
    </w:p>
    <w:p w14:paraId="40137A4F">
      <w:pPr>
        <w:keepNext w:val="0"/>
        <w:keepLines w:val="0"/>
        <w:pageBreakBefore w:val="0"/>
        <w:widowControl w:val="0"/>
        <w:numPr>
          <w:ilvl w:val="-1"/>
          <w:numId w:val="0"/>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kern w:val="0"/>
          <w:sz w:val="28"/>
          <w:szCs w:val="28"/>
          <w:lang w:val="en-US" w:eastAsia="zh-CN" w:bidi="ar"/>
        </w:rPr>
        <w:t>资助方要求申报时提交伦理审查意见的科研项目，须在申报前提交伦理《科研项目申报前预审查审批表》（</w:t>
      </w:r>
      <w:r>
        <w:rPr>
          <w:rFonts w:hint="eastAsia" w:ascii="仿宋" w:hAnsi="仿宋" w:eastAsia="仿宋" w:cs="仿宋"/>
          <w:color w:val="auto"/>
          <w:sz w:val="28"/>
          <w:szCs w:val="28"/>
          <w:lang w:val="en-US" w:eastAsia="zh-CN" w:bidi="ar-SA"/>
        </w:rPr>
        <w:t>F-LL-01-GZZN-1-1-X</w:t>
      </w:r>
      <w:r>
        <w:rPr>
          <w:rFonts w:hint="eastAsia" w:ascii="仿宋" w:hAnsi="仿宋" w:eastAsia="仿宋" w:cs="仿宋"/>
          <w:color w:val="auto"/>
          <w:kern w:val="0"/>
          <w:sz w:val="28"/>
          <w:szCs w:val="28"/>
          <w:lang w:val="en-US" w:eastAsia="zh-CN" w:bidi="ar"/>
        </w:rPr>
        <w:t xml:space="preserve">），获得批准后方可申报。 </w:t>
      </w:r>
    </w:p>
    <w:p w14:paraId="3906C3EF">
      <w:pPr>
        <w:keepNext w:val="0"/>
        <w:keepLines w:val="0"/>
        <w:pageBreakBefore w:val="0"/>
        <w:widowControl w:val="0"/>
        <w:numPr>
          <w:ilvl w:val="0"/>
          <w:numId w:val="1"/>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初始审查</w:t>
      </w:r>
    </w:p>
    <w:p w14:paraId="1245F858">
      <w:pPr>
        <w:keepNext w:val="0"/>
        <w:keepLines w:val="0"/>
        <w:pageBreakBefore w:val="0"/>
        <w:widowControl w:val="0"/>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研究项目开始实施前提交《初始审查申请》（临床试验）（F-LL-01-GZZN-1-2-X）/</w:t>
      </w:r>
      <w:r>
        <w:rPr>
          <w:rFonts w:hint="eastAsia" w:ascii="仿宋_GB2312" w:hAnsi="宋体" w:eastAsia="仿宋_GB2312" w:cs="宋体"/>
          <w:color w:val="auto"/>
          <w:sz w:val="28"/>
          <w:szCs w:val="28"/>
          <w:highlight w:val="none"/>
          <w:lang w:val="en-US" w:eastAsia="zh-CN" w:bidi="ar-SA"/>
        </w:rPr>
        <w:t>《</w:t>
      </w:r>
      <w:r>
        <w:rPr>
          <w:rFonts w:hint="eastAsia" w:ascii="仿宋" w:hAnsi="仿宋" w:eastAsia="仿宋" w:cs="仿宋"/>
          <w:color w:val="auto"/>
          <w:sz w:val="28"/>
          <w:szCs w:val="28"/>
          <w:lang w:val="en-US" w:eastAsia="zh-CN" w:bidi="ar-SA"/>
        </w:rPr>
        <w:t>初始审查申请》（科研）（F-LL-01-GZZN-1-3-X）/《初始审查申请》（医疗技术临床应用）（F-LL-01-GZZN-1-4-X），经同意后方可实施。</w:t>
      </w:r>
    </w:p>
    <w:p w14:paraId="1868ED2E">
      <w:pPr>
        <w:keepNext w:val="0"/>
        <w:keepLines w:val="0"/>
        <w:pageBreakBefore w:val="0"/>
        <w:widowControl w:val="0"/>
        <w:numPr>
          <w:ilvl w:val="0"/>
          <w:numId w:val="1"/>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跟踪审查</w:t>
      </w:r>
    </w:p>
    <w:p w14:paraId="406C8E79">
      <w:pPr>
        <w:keepNext w:val="0"/>
        <w:keepLines w:val="0"/>
        <w:pageBreakBefore w:val="0"/>
        <w:widowControl w:val="0"/>
        <w:numPr>
          <w:ilvl w:val="0"/>
          <w:numId w:val="2"/>
        </w:numPr>
        <w:kinsoku/>
        <w:overflowPunct/>
        <w:topLinePunct w:val="0"/>
        <w:autoSpaceDE w:val="0"/>
        <w:autoSpaceDN w:val="0"/>
        <w:bidi w:val="0"/>
        <w:adjustRightInd w:val="0"/>
        <w:snapToGrid/>
        <w:spacing w:line="560" w:lineRule="exact"/>
        <w:ind w:firstLineChars="15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修正案审查申请：研究过程中若变更PI，对临床研究方案、ICF、招募材料</w:t>
      </w:r>
      <w:r>
        <w:rPr>
          <w:rFonts w:hint="eastAsia" w:ascii="仿宋" w:hAnsi="仿宋" w:eastAsia="仿宋" w:cs="仿宋"/>
          <w:color w:val="000000"/>
          <w:sz w:val="28"/>
          <w:szCs w:val="28"/>
          <w:lang w:val="en-US" w:eastAsia="zh-CN" w:bidi="ar-SA"/>
        </w:rPr>
        <w:t>、其他提供给受试者的书面材料</w:t>
      </w:r>
      <w:r>
        <w:rPr>
          <w:rFonts w:hint="eastAsia" w:ascii="仿宋" w:hAnsi="仿宋" w:eastAsia="仿宋" w:cs="仿宋"/>
          <w:color w:val="auto"/>
          <w:sz w:val="28"/>
          <w:szCs w:val="28"/>
          <w:lang w:val="en-US" w:eastAsia="zh-CN" w:bidi="ar-SA"/>
        </w:rPr>
        <w:t>等的任何修改，研究者应向伦理委员会提交《修正案审查申请》（F-LL-01-GZZN-1-5-X），经同意后执行。为避免研究对受试者的即刻危险，研究者可在伦理委员会同意前修改研究方案，事后应将修改研究方案的情况及原因，以“修正案审查申请”的方式及时提交伦理委员会审查。</w:t>
      </w:r>
    </w:p>
    <w:p w14:paraId="29F772EA">
      <w:pPr>
        <w:keepNext w:val="0"/>
        <w:keepLines w:val="0"/>
        <w:pageBreakBefore w:val="0"/>
        <w:widowControl w:val="0"/>
        <w:numPr>
          <w:ilvl w:val="0"/>
          <w:numId w:val="2"/>
        </w:numPr>
        <w:kinsoku/>
        <w:overflowPunct/>
        <w:topLinePunct w:val="0"/>
        <w:autoSpaceDE w:val="0"/>
        <w:autoSpaceDN w:val="0"/>
        <w:bidi w:val="0"/>
        <w:adjustRightInd w:val="0"/>
        <w:snapToGrid/>
        <w:spacing w:line="560" w:lineRule="exact"/>
        <w:ind w:firstLineChars="15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年度/定期跟踪审查申请：</w:t>
      </w:r>
    </w:p>
    <w:p w14:paraId="33C42B63">
      <w:pPr>
        <w:keepNext w:val="0"/>
        <w:keepLines w:val="0"/>
        <w:pageBreakBefore w:val="0"/>
        <w:widowControl w:val="0"/>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000000"/>
          <w:sz w:val="28"/>
          <w:szCs w:val="28"/>
          <w:lang w:val="en-US" w:eastAsia="zh-CN" w:bidi="ar-SA"/>
        </w:rPr>
      </w:pPr>
      <w:r>
        <w:rPr>
          <w:rFonts w:hint="eastAsia" w:ascii="仿宋" w:hAnsi="仿宋" w:eastAsia="仿宋" w:cs="仿宋"/>
          <w:color w:val="auto"/>
          <w:sz w:val="28"/>
          <w:szCs w:val="28"/>
          <w:lang w:val="en-US" w:eastAsia="zh-CN" w:bidi="ar-SA"/>
        </w:rPr>
        <w:t>研究过程中出现以下情况，应以</w:t>
      </w:r>
      <w:r>
        <w:rPr>
          <w:rFonts w:hint="eastAsia" w:ascii="仿宋" w:hAnsi="仿宋" w:eastAsia="仿宋" w:cs="仿宋"/>
          <w:color w:val="000000"/>
          <w:sz w:val="28"/>
          <w:szCs w:val="28"/>
          <w:lang w:val="en-US" w:eastAsia="zh-CN" w:bidi="ar-SA"/>
        </w:rPr>
        <w:t>《研究进展报告》</w:t>
      </w:r>
      <w:r>
        <w:rPr>
          <w:rFonts w:hint="eastAsia" w:ascii="仿宋" w:hAnsi="仿宋" w:eastAsia="仿宋" w:cs="仿宋"/>
          <w:color w:val="auto"/>
          <w:sz w:val="28"/>
          <w:szCs w:val="28"/>
          <w:lang w:val="en-US" w:eastAsia="zh-CN" w:bidi="ar-SA"/>
        </w:rPr>
        <w:t>（F-LL-01-GZZN-1-6-X）的方式，</w:t>
      </w:r>
      <w:r>
        <w:rPr>
          <w:rFonts w:hint="eastAsia" w:ascii="仿宋" w:hAnsi="仿宋" w:eastAsia="仿宋" w:cs="仿宋"/>
          <w:color w:val="000000"/>
          <w:sz w:val="28"/>
          <w:szCs w:val="28"/>
          <w:lang w:val="en-US" w:eastAsia="zh-CN" w:bidi="ar-SA"/>
        </w:rPr>
        <w:t>提前1个月</w:t>
      </w:r>
      <w:r>
        <w:rPr>
          <w:rFonts w:hint="eastAsia" w:ascii="仿宋" w:hAnsi="仿宋" w:eastAsia="仿宋" w:cs="仿宋"/>
          <w:color w:val="auto"/>
          <w:sz w:val="28"/>
          <w:szCs w:val="28"/>
          <w:lang w:val="en-US" w:eastAsia="zh-CN" w:bidi="ar-SA"/>
        </w:rPr>
        <w:t>报告伦理委员会：</w:t>
      </w:r>
    </w:p>
    <w:p w14:paraId="1F511417">
      <w:pPr>
        <w:keepNext w:val="0"/>
        <w:keepLines w:val="0"/>
        <w:pageBreakBefore w:val="0"/>
        <w:widowControl w:val="0"/>
        <w:numPr>
          <w:ilvl w:val="0"/>
          <w:numId w:val="3"/>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伦理审查批件/意见规定的年度/定期跟踪审查频率到期前提交审查申请。</w:t>
      </w:r>
    </w:p>
    <w:p w14:paraId="2AAD5EEC">
      <w:pPr>
        <w:keepNext w:val="0"/>
        <w:keepLines w:val="0"/>
        <w:pageBreakBefore w:val="0"/>
        <w:widowControl w:val="0"/>
        <w:numPr>
          <w:ilvl w:val="0"/>
          <w:numId w:val="3"/>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伦理审查批件有效期到期</w:t>
      </w:r>
      <w:r>
        <w:rPr>
          <w:rFonts w:hint="eastAsia" w:ascii="仿宋" w:hAnsi="仿宋" w:eastAsia="仿宋" w:cs="仿宋"/>
          <w:color w:val="000000"/>
          <w:kern w:val="0"/>
          <w:sz w:val="28"/>
          <w:szCs w:val="28"/>
          <w:lang w:val="en-US" w:eastAsia="zh-CN" w:bidi="ar-SA"/>
        </w:rPr>
        <w:t>前</w:t>
      </w:r>
      <w:r>
        <w:rPr>
          <w:rFonts w:hint="eastAsia" w:ascii="仿宋" w:hAnsi="仿宋" w:eastAsia="仿宋" w:cs="仿宋"/>
          <w:color w:val="000000"/>
          <w:sz w:val="28"/>
          <w:szCs w:val="28"/>
          <w:lang w:val="en-US" w:eastAsia="zh-CN" w:bidi="ar-SA"/>
        </w:rPr>
        <w:t>，需要申请延长批件有效期。</w:t>
      </w:r>
    </w:p>
    <w:p w14:paraId="1566AB4A">
      <w:pPr>
        <w:keepNext w:val="0"/>
        <w:keepLines w:val="0"/>
        <w:pageBreakBefore w:val="0"/>
        <w:widowControl w:val="0"/>
        <w:numPr>
          <w:ilvl w:val="0"/>
          <w:numId w:val="2"/>
        </w:numPr>
        <w:kinsoku/>
        <w:overflowPunct/>
        <w:topLinePunct w:val="0"/>
        <w:autoSpaceDE w:val="0"/>
        <w:autoSpaceDN w:val="0"/>
        <w:bidi w:val="0"/>
        <w:adjustRightInd w:val="0"/>
        <w:snapToGrid/>
        <w:spacing w:line="560" w:lineRule="exact"/>
        <w:ind w:firstLineChars="15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安全性信息审查申请：</w:t>
      </w:r>
    </w:p>
    <w:p w14:paraId="3179B356">
      <w:pPr>
        <w:keepNext w:val="0"/>
        <w:keepLines w:val="0"/>
        <w:pageBreakBefore w:val="0"/>
        <w:widowControl w:val="0"/>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000000"/>
          <w:sz w:val="28"/>
          <w:szCs w:val="28"/>
          <w:lang w:val="en-US" w:eastAsia="zh-CN" w:bidi="ar-SA"/>
        </w:rPr>
        <w:t>研究实施过程中发生需要报告的安全性信息，研究者应及时按法规和方案要求向伦理委员会提交《安全性信息报告》</w:t>
      </w:r>
      <w:r>
        <w:rPr>
          <w:rFonts w:hint="eastAsia" w:ascii="仿宋" w:hAnsi="仿宋" w:eastAsia="仿宋" w:cs="仿宋"/>
          <w:color w:val="auto"/>
          <w:sz w:val="28"/>
          <w:szCs w:val="28"/>
          <w:lang w:val="en-US" w:eastAsia="zh-CN" w:bidi="ar-SA"/>
        </w:rPr>
        <w:t>（F-LL-01-GZZN-1-7</w:t>
      </w:r>
    </w:p>
    <w:p w14:paraId="7B838AC8">
      <w:pPr>
        <w:keepNext w:val="0"/>
        <w:keepLines w:val="0"/>
        <w:pageBreakBefore w:val="0"/>
        <w:widowControl w:val="0"/>
        <w:kinsoku/>
        <w:overflowPunct/>
        <w:topLinePunct w:val="0"/>
        <w:autoSpaceDE w:val="0"/>
        <w:autoSpaceDN w:val="0"/>
        <w:bidi w:val="0"/>
        <w:adjustRightInd w:val="0"/>
        <w:snapToGrid/>
        <w:spacing w:line="560" w:lineRule="exact"/>
        <w:jc w:val="both"/>
        <w:textAlignment w:val="auto"/>
        <w:rPr>
          <w:rFonts w:ascii="仿宋" w:hAnsi="仿宋" w:eastAsia="仿宋" w:cs="仿宋"/>
          <w:color w:val="000000"/>
          <w:sz w:val="28"/>
          <w:szCs w:val="28"/>
          <w:lang w:val="en-US" w:eastAsia="zh-CN" w:bidi="ar-SA"/>
        </w:rPr>
      </w:pPr>
      <w:r>
        <w:rPr>
          <w:rFonts w:hint="eastAsia" w:ascii="仿宋" w:hAnsi="仿宋" w:eastAsia="仿宋" w:cs="仿宋"/>
          <w:color w:val="auto"/>
          <w:sz w:val="28"/>
          <w:szCs w:val="28"/>
          <w:lang w:val="en-US" w:eastAsia="zh-CN" w:bidi="ar-SA"/>
        </w:rPr>
        <w:t>-X）</w:t>
      </w:r>
      <w:r>
        <w:rPr>
          <w:rFonts w:hint="eastAsia" w:ascii="仿宋" w:hAnsi="仿宋" w:eastAsia="仿宋" w:cs="仿宋"/>
          <w:color w:val="000000"/>
          <w:sz w:val="28"/>
          <w:szCs w:val="28"/>
          <w:lang w:val="en-US" w:eastAsia="zh-CN" w:bidi="ar-SA"/>
        </w:rPr>
        <w:t>。报告内容如下：</w:t>
      </w:r>
    </w:p>
    <w:p w14:paraId="1DDCAED1">
      <w:pPr>
        <w:keepNext w:val="0"/>
        <w:keepLines w:val="0"/>
        <w:pageBreakBefore w:val="0"/>
        <w:widowControl w:val="0"/>
        <w:numPr>
          <w:ilvl w:val="0"/>
          <w:numId w:val="4"/>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医疗器械临床试验项目：根据《医疗器械临床试验质量管理规范》报告要求如下：</w:t>
      </w:r>
    </w:p>
    <w:p w14:paraId="3DC82343">
      <w:pPr>
        <w:keepNext w:val="0"/>
        <w:keepLines w:val="0"/>
        <w:pageBreakBefore w:val="0"/>
        <w:widowControl w:val="0"/>
        <w:numPr>
          <w:ilvl w:val="0"/>
          <w:numId w:val="5"/>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医疗器械临床试验中发生</w:t>
      </w:r>
      <w:r>
        <w:rPr>
          <w:rFonts w:ascii="仿宋" w:hAnsi="仿宋" w:eastAsia="仿宋" w:cs="仿宋"/>
          <w:color w:val="auto"/>
          <w:sz w:val="28"/>
          <w:szCs w:val="28"/>
          <w:lang w:val="en-US" w:eastAsia="zh-CN" w:bidi="ar-SA"/>
        </w:rPr>
        <w:t>SAE</w:t>
      </w:r>
      <w:r>
        <w:rPr>
          <w:rFonts w:hint="eastAsia" w:ascii="仿宋" w:hAnsi="仿宋" w:eastAsia="仿宋" w:cs="仿宋"/>
          <w:color w:val="auto"/>
          <w:sz w:val="28"/>
          <w:szCs w:val="28"/>
          <w:lang w:val="en-US" w:eastAsia="zh-CN" w:bidi="ar-SA"/>
        </w:rPr>
        <w:t>时，研究者应当立即治疗，在获知</w:t>
      </w:r>
      <w:r>
        <w:rPr>
          <w:rFonts w:ascii="仿宋" w:hAnsi="仿宋" w:eastAsia="仿宋" w:cs="仿宋"/>
          <w:color w:val="auto"/>
          <w:sz w:val="28"/>
          <w:szCs w:val="28"/>
          <w:lang w:val="en-US" w:eastAsia="zh-CN" w:bidi="ar-SA"/>
        </w:rPr>
        <w:t>SAE</w:t>
      </w:r>
      <w:r>
        <w:rPr>
          <w:rFonts w:hint="eastAsia" w:ascii="仿宋" w:hAnsi="仿宋" w:eastAsia="仿宋" w:cs="仿宋"/>
          <w:color w:val="auto"/>
          <w:sz w:val="28"/>
          <w:szCs w:val="28"/>
          <w:lang w:val="en-US" w:eastAsia="zh-CN" w:bidi="ar-SA"/>
        </w:rPr>
        <w:t>后</w:t>
      </w:r>
      <w:r>
        <w:rPr>
          <w:rFonts w:ascii="仿宋" w:hAnsi="仿宋" w:eastAsia="仿宋" w:cs="仿宋"/>
          <w:color w:val="auto"/>
          <w:sz w:val="28"/>
          <w:szCs w:val="28"/>
          <w:lang w:val="en-US" w:eastAsia="zh-CN" w:bidi="ar-SA"/>
        </w:rPr>
        <w:t>24小时内，向申办者、</w:t>
      </w:r>
      <w:r>
        <w:rPr>
          <w:rFonts w:hint="eastAsia" w:ascii="仿宋" w:hAnsi="仿宋" w:eastAsia="仿宋" w:cs="仿宋"/>
          <w:color w:val="auto"/>
          <w:sz w:val="28"/>
          <w:szCs w:val="28"/>
          <w:lang w:val="en-US" w:eastAsia="zh-CN" w:bidi="ar-SA"/>
        </w:rPr>
        <w:t>机构办公室、伦理委员会报告；并按照临床试验方案的规定随访</w:t>
      </w:r>
      <w:r>
        <w:rPr>
          <w:rFonts w:ascii="仿宋" w:hAnsi="仿宋" w:eastAsia="仿宋" w:cs="仿宋"/>
          <w:color w:val="auto"/>
          <w:sz w:val="28"/>
          <w:szCs w:val="28"/>
          <w:lang w:val="en-US" w:eastAsia="zh-CN" w:bidi="ar-SA"/>
        </w:rPr>
        <w:t>SAE</w:t>
      </w:r>
      <w:r>
        <w:rPr>
          <w:rFonts w:hint="eastAsia" w:ascii="仿宋" w:hAnsi="仿宋" w:eastAsia="仿宋" w:cs="仿宋"/>
          <w:color w:val="auto"/>
          <w:sz w:val="28"/>
          <w:szCs w:val="28"/>
          <w:lang w:val="en-US" w:eastAsia="zh-CN" w:bidi="ar-SA"/>
        </w:rPr>
        <w:t>，提交</w:t>
      </w:r>
      <w:r>
        <w:rPr>
          <w:rFonts w:ascii="仿宋" w:hAnsi="仿宋" w:eastAsia="仿宋" w:cs="仿宋"/>
          <w:color w:val="auto"/>
          <w:sz w:val="28"/>
          <w:szCs w:val="28"/>
          <w:lang w:val="en-US" w:eastAsia="zh-CN" w:bidi="ar-SA"/>
        </w:rPr>
        <w:t>SAE</w:t>
      </w:r>
      <w:r>
        <w:rPr>
          <w:rFonts w:hint="eastAsia" w:ascii="仿宋" w:hAnsi="仿宋" w:eastAsia="仿宋" w:cs="仿宋"/>
          <w:color w:val="auto"/>
          <w:sz w:val="28"/>
          <w:szCs w:val="28"/>
          <w:lang w:val="en-US" w:eastAsia="zh-CN" w:bidi="ar-SA"/>
        </w:rPr>
        <w:t>随访报告；申办者应当在获知死亡或者危及生命的临床试验医疗器械相关</w:t>
      </w:r>
      <w:r>
        <w:rPr>
          <w:rFonts w:ascii="仿宋" w:hAnsi="仿宋" w:eastAsia="仿宋" w:cs="仿宋"/>
          <w:color w:val="auto"/>
          <w:sz w:val="28"/>
          <w:szCs w:val="28"/>
          <w:lang w:val="en-US" w:eastAsia="zh-CN" w:bidi="ar-SA"/>
        </w:rPr>
        <w:t>SAE</w:t>
      </w:r>
      <w:r>
        <w:rPr>
          <w:rFonts w:hint="eastAsia" w:ascii="仿宋" w:hAnsi="仿宋" w:eastAsia="仿宋" w:cs="仿宋"/>
          <w:color w:val="auto"/>
          <w:sz w:val="28"/>
          <w:szCs w:val="28"/>
          <w:lang w:val="en-US" w:eastAsia="zh-CN" w:bidi="ar-SA"/>
        </w:rPr>
        <w:t>后</w:t>
      </w:r>
      <w:r>
        <w:rPr>
          <w:rFonts w:ascii="仿宋" w:hAnsi="仿宋" w:eastAsia="仿宋" w:cs="仿宋"/>
          <w:color w:val="auto"/>
          <w:sz w:val="28"/>
          <w:szCs w:val="28"/>
          <w:lang w:val="en-US" w:eastAsia="zh-CN" w:bidi="ar-SA"/>
        </w:rPr>
        <w:t>7日内、获知非死亡或者非危及生命的试验医疗器械相关SAE</w:t>
      </w:r>
      <w:r>
        <w:rPr>
          <w:rFonts w:hint="eastAsia" w:ascii="仿宋" w:hAnsi="仿宋" w:eastAsia="仿宋" w:cs="仿宋"/>
          <w:color w:val="auto"/>
          <w:sz w:val="28"/>
          <w:szCs w:val="28"/>
          <w:lang w:val="en-US" w:eastAsia="zh-CN" w:bidi="ar-SA"/>
        </w:rPr>
        <w:t>后</w:t>
      </w:r>
      <w:r>
        <w:rPr>
          <w:rFonts w:ascii="仿宋" w:hAnsi="仿宋" w:eastAsia="仿宋" w:cs="仿宋"/>
          <w:color w:val="auto"/>
          <w:sz w:val="28"/>
          <w:szCs w:val="28"/>
          <w:lang w:val="en-US" w:eastAsia="zh-CN" w:bidi="ar-SA"/>
        </w:rPr>
        <w:t>15日内，向参与临床试验的其他医疗器械临床试验机构、伦理委员会以及PI</w:t>
      </w:r>
      <w:r>
        <w:rPr>
          <w:rFonts w:hint="eastAsia" w:ascii="仿宋" w:hAnsi="仿宋" w:eastAsia="仿宋" w:cs="仿宋"/>
          <w:color w:val="auto"/>
          <w:sz w:val="28"/>
          <w:szCs w:val="28"/>
          <w:lang w:val="en-US" w:eastAsia="zh-CN" w:bidi="ar-SA"/>
        </w:rPr>
        <w:t>报告，向申办者所在地省、自治区、直辖市药品监督管理部门报告，向医疗器械临床试验机构所在地省、自治区、直辖市药品监督管理部门和卫生健康管理部门报告，并采取风险控制措施。</w:t>
      </w:r>
    </w:p>
    <w:p w14:paraId="0017BD07">
      <w:pPr>
        <w:keepNext w:val="0"/>
        <w:keepLines w:val="0"/>
        <w:pageBreakBefore w:val="0"/>
        <w:widowControl w:val="0"/>
        <w:numPr>
          <w:ilvl w:val="0"/>
          <w:numId w:val="5"/>
        </w:numPr>
        <w:kinsoku/>
        <w:overflowPunct/>
        <w:topLinePunct w:val="0"/>
        <w:autoSpaceDE/>
        <w:autoSpaceDN/>
        <w:bidi w:val="0"/>
        <w:adjustRightInd/>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医疗器械临床试验中，申办者应当在获知其他严重安全性风险信息后</w:t>
      </w:r>
      <w:r>
        <w:rPr>
          <w:rFonts w:ascii="仿宋" w:hAnsi="仿宋" w:eastAsia="仿宋" w:cs="仿宋"/>
          <w:color w:val="auto"/>
          <w:sz w:val="28"/>
          <w:szCs w:val="28"/>
          <w:lang w:val="en-US" w:eastAsia="zh-CN" w:bidi="ar-SA"/>
        </w:rPr>
        <w:t>15日内，向参与临床试验的医疗器械临床试验机构、伦理委员会以及PI</w:t>
      </w:r>
      <w:r>
        <w:rPr>
          <w:rFonts w:hint="eastAsia" w:ascii="仿宋" w:hAnsi="仿宋" w:eastAsia="仿宋" w:cs="仿宋"/>
          <w:color w:val="auto"/>
          <w:sz w:val="28"/>
          <w:szCs w:val="28"/>
          <w:lang w:val="en-US" w:eastAsia="zh-CN" w:bidi="ar-SA"/>
        </w:rPr>
        <w:t>报告，向申办者所在地省、自治区、直辖市药品监督管理部门报告，向医疗器械临床试验机构所在地省、自治区、直辖市药品监督管理部门和卫生健康管理部门报告，并采取风险控制措施。</w:t>
      </w:r>
    </w:p>
    <w:p w14:paraId="5B17BA24">
      <w:pPr>
        <w:keepNext w:val="0"/>
        <w:keepLines w:val="0"/>
        <w:pageBreakBefore w:val="0"/>
        <w:widowControl w:val="0"/>
        <w:numPr>
          <w:ilvl w:val="0"/>
          <w:numId w:val="5"/>
        </w:numPr>
        <w:kinsoku/>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相关定义如下：</w:t>
      </w:r>
    </w:p>
    <w:p w14:paraId="394A52D1">
      <w:pPr>
        <w:keepNext w:val="0"/>
        <w:keepLines w:val="0"/>
        <w:pageBreakBefore w:val="0"/>
        <w:widowControl w:val="0"/>
        <w:numPr>
          <w:ilvl w:val="-1"/>
          <w:numId w:val="0"/>
        </w:numPr>
        <w:kinsoku/>
        <w:overflowPunct/>
        <w:topLinePunct w:val="0"/>
        <w:autoSpaceDE/>
        <w:autoSpaceDN/>
        <w:bidi w:val="0"/>
        <w:adjustRightInd/>
        <w:snapToGrid/>
        <w:spacing w:line="560" w:lineRule="exact"/>
        <w:ind w:leftChars="0"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000000"/>
          <w:sz w:val="28"/>
          <w:szCs w:val="28"/>
          <w:lang w:val="en-US" w:eastAsia="zh-CN" w:bidi="ar-SA"/>
        </w:rPr>
        <w:t>医疗器械临床试验中的SAE：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w:t>
      </w:r>
    </w:p>
    <w:p w14:paraId="6123408B">
      <w:pPr>
        <w:keepNext w:val="0"/>
        <w:keepLines w:val="0"/>
        <w:pageBreakBefore w:val="0"/>
        <w:widowControl w:val="0"/>
        <w:numPr>
          <w:ilvl w:val="0"/>
          <w:numId w:val="4"/>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药物临床试验项目：根据《药物临床试验质量管理规范》与《药物临床试验安全评价•广东共识》报告要求如下：</w:t>
      </w:r>
    </w:p>
    <w:p w14:paraId="269BC8BA">
      <w:pPr>
        <w:keepNext w:val="0"/>
        <w:keepLines w:val="0"/>
        <w:pageBreakBefore w:val="0"/>
        <w:widowControl w:val="0"/>
        <w:numPr>
          <w:ilvl w:val="0"/>
          <w:numId w:val="6"/>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药物临床试验发生SAE时，除试验方案或者其他文件（如研究者手册）中规定不需立即报告的SAE外：</w:t>
      </w:r>
    </w:p>
    <w:p w14:paraId="32405B1F">
      <w:pPr>
        <w:keepNext w:val="0"/>
        <w:keepLines w:val="0"/>
        <w:pageBreakBefore w:val="0"/>
        <w:widowControl w:val="0"/>
        <w:numPr>
          <w:ilvl w:val="255"/>
          <w:numId w:val="0"/>
        </w:numPr>
        <w:kinsoku/>
        <w:overflowPunct/>
        <w:topLinePunct w:val="0"/>
        <w:autoSpaceDE w:val="0"/>
        <w:autoSpaceDN w:val="0"/>
        <w:bidi w:val="0"/>
        <w:adjustRightInd w:val="0"/>
        <w:snapToGrid/>
        <w:spacing w:line="560" w:lineRule="exact"/>
        <w:ind w:left="0" w:leftChars="0"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000000"/>
          <w:sz w:val="28"/>
          <w:szCs w:val="28"/>
          <w:lang w:val="en-US" w:eastAsia="zh-CN" w:bidi="ar-SA"/>
        </w:rPr>
        <w:t>·</w:t>
      </w:r>
      <w:r>
        <w:rPr>
          <w:rFonts w:hint="eastAsia" w:ascii="仿宋" w:hAnsi="仿宋" w:eastAsia="仿宋" w:cs="仿宋"/>
          <w:color w:val="auto"/>
          <w:sz w:val="28"/>
          <w:szCs w:val="28"/>
          <w:lang w:val="en-US" w:eastAsia="zh-CN" w:bidi="ar-SA"/>
        </w:rPr>
        <w:t>如为涉及引起受试者死亡、危及生命的SAE，研究者应立即（通常为获知后24h内）向申办者书面报告所有SAE。PI根据承接试验风险评估认为有必要让院内相关部门及时获知并采取措施控制试验风险时，可同步报告本院临床试验机构与伦理委员会，无需等待申办者的SUSAR报告。</w:t>
      </w:r>
    </w:p>
    <w:p w14:paraId="42584FB5">
      <w:pPr>
        <w:keepNext w:val="0"/>
        <w:keepLines w:val="0"/>
        <w:pageBreakBefore w:val="0"/>
        <w:widowControl w:val="0"/>
        <w:numPr>
          <w:ilvl w:val="255"/>
          <w:numId w:val="0"/>
        </w:numPr>
        <w:kinsoku/>
        <w:overflowPunct/>
        <w:topLinePunct w:val="0"/>
        <w:autoSpaceDE w:val="0"/>
        <w:autoSpaceDN w:val="0"/>
        <w:bidi w:val="0"/>
        <w:adjustRightInd w:val="0"/>
        <w:snapToGrid/>
        <w:spacing w:line="560" w:lineRule="exact"/>
        <w:ind w:left="0" w:leftChars="0"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000000"/>
          <w:sz w:val="28"/>
          <w:szCs w:val="28"/>
          <w:lang w:val="en-US" w:eastAsia="zh-CN" w:bidi="ar-SA"/>
        </w:rPr>
        <w:t>·</w:t>
      </w:r>
      <w:r>
        <w:rPr>
          <w:rFonts w:hint="eastAsia" w:ascii="仿宋" w:hAnsi="仿宋" w:eastAsia="仿宋" w:cs="仿宋"/>
          <w:color w:val="auto"/>
          <w:sz w:val="28"/>
          <w:szCs w:val="28"/>
          <w:lang w:val="en-US" w:eastAsia="zh-CN" w:bidi="ar-SA"/>
        </w:rPr>
        <w:t>如为非涉及死亡和危及生命，PI评估无须立即进行院内汇报的SAE，研究者应立即（通常为获知后24h内）向申办者书面报告所有SAE。</w:t>
      </w:r>
    </w:p>
    <w:p w14:paraId="0509EC8E">
      <w:pPr>
        <w:keepNext w:val="0"/>
        <w:keepLines w:val="0"/>
        <w:pageBreakBefore w:val="0"/>
        <w:widowControl w:val="0"/>
        <w:numPr>
          <w:ilvl w:val="0"/>
          <w:numId w:val="6"/>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药物临床试验发生</w:t>
      </w:r>
      <w:r>
        <w:rPr>
          <w:rFonts w:ascii="仿宋" w:hAnsi="仿宋" w:eastAsia="仿宋" w:cs="仿宋"/>
          <w:color w:val="auto"/>
          <w:sz w:val="28"/>
          <w:szCs w:val="28"/>
          <w:lang w:val="en-US" w:eastAsia="zh-CN" w:bidi="ar-SA"/>
        </w:rPr>
        <w:t>SUSAR时：</w:t>
      </w:r>
    </w:p>
    <w:p w14:paraId="290E6EF1">
      <w:pPr>
        <w:keepNext w:val="0"/>
        <w:keepLines w:val="0"/>
        <w:pageBreakBefore w:val="0"/>
        <w:widowControl w:val="0"/>
        <w:numPr>
          <w:ilvl w:val="-1"/>
          <w:numId w:val="0"/>
        </w:numPr>
        <w:kinsoku/>
        <w:overflowPunct/>
        <w:topLinePunct w:val="0"/>
        <w:bidi w:val="0"/>
        <w:snapToGrid/>
        <w:spacing w:line="560" w:lineRule="exact"/>
        <w:ind w:leftChars="0"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rPr>
        <w:t>·申办者收到安全性相关信息后，应立即对</w:t>
      </w:r>
      <w:r>
        <w:rPr>
          <w:rFonts w:ascii="仿宋" w:hAnsi="仿宋" w:eastAsia="仿宋" w:cs="仿宋"/>
          <w:kern w:val="0"/>
          <w:sz w:val="28"/>
          <w:szCs w:val="28"/>
        </w:rPr>
        <w:t>SAE进行全面分析、评估和判断。如符合SUSAR定义的，申办者需将SUSAR快速报告所有参加临床试验的研究者及临床试验机构、伦理委员会（本院仅须报告PI，由PI报告本院机构、伦理），并向药品监督管理部门和卫生健康主管部门报告。</w:t>
      </w:r>
    </w:p>
    <w:p w14:paraId="3981DF9B">
      <w:pPr>
        <w:keepNext w:val="0"/>
        <w:keepLines w:val="0"/>
        <w:pageBreakBefore w:val="0"/>
        <w:widowControl w:val="0"/>
        <w:numPr>
          <w:ilvl w:val="-1"/>
          <w:numId w:val="0"/>
        </w:numPr>
        <w:kinsoku/>
        <w:overflowPunct/>
        <w:topLinePunct w:val="0"/>
        <w:bidi w:val="0"/>
        <w:snapToGrid/>
        <w:spacing w:line="560" w:lineRule="exact"/>
        <w:ind w:leftChars="0"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rPr>
        <w:t>·</w:t>
      </w:r>
      <w:r>
        <w:rPr>
          <w:rFonts w:ascii="仿宋" w:hAnsi="仿宋" w:eastAsia="仿宋" w:cs="仿宋"/>
          <w:kern w:val="0"/>
          <w:sz w:val="28"/>
          <w:szCs w:val="28"/>
        </w:rPr>
        <w:t>PI收到申办者提供的SUSAR报告及时审阅，审核签字后向伦理委员会报告。</w:t>
      </w:r>
    </w:p>
    <w:p w14:paraId="68EF0C68">
      <w:pPr>
        <w:keepNext w:val="0"/>
        <w:keepLines w:val="0"/>
        <w:pageBreakBefore w:val="0"/>
        <w:widowControl w:val="0"/>
        <w:numPr>
          <w:ilvl w:val="-1"/>
          <w:numId w:val="0"/>
        </w:numPr>
        <w:kinsoku/>
        <w:overflowPunct/>
        <w:topLinePunct w:val="0"/>
        <w:bidi w:val="0"/>
        <w:snapToGrid/>
        <w:spacing w:line="560" w:lineRule="exact"/>
        <w:ind w:leftChars="0"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rPr>
        <w:t>·上述报告的时限（包括研究者审核签字递交至本院机构、伦理的时间）：对于致死或危及生命的非预期严重不良反应，申办者应在首次获知后尽快报告，但不得超过</w:t>
      </w:r>
      <w:r>
        <w:rPr>
          <w:rFonts w:ascii="仿宋" w:hAnsi="仿宋" w:eastAsia="仿宋" w:cs="仿宋"/>
          <w:kern w:val="0"/>
          <w:sz w:val="28"/>
          <w:szCs w:val="28"/>
        </w:rPr>
        <w:t>7天，并在随后的8天内报告、完善随访信息。对于非致死或危及生命的非预期严重不良反应，申办者应在首次获知后尽快报告，但不得超过15天。申办者获知的当天为第0天。</w:t>
      </w:r>
    </w:p>
    <w:p w14:paraId="612533A8">
      <w:pPr>
        <w:keepNext w:val="0"/>
        <w:keepLines w:val="0"/>
        <w:pageBreakBefore w:val="0"/>
        <w:widowControl w:val="0"/>
        <w:numPr>
          <w:ilvl w:val="-1"/>
          <w:numId w:val="0"/>
        </w:numPr>
        <w:kinsoku/>
        <w:overflowPunct/>
        <w:topLinePunct w:val="0"/>
        <w:bidi w:val="0"/>
        <w:snapToGrid/>
        <w:spacing w:line="560" w:lineRule="exact"/>
        <w:ind w:leftChars="0"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rPr>
        <w:t>·申办者和研究者在非预期且严重的不良事件与药物因果关系判断中不能达成一致时，其中任何一方判断不能排除与试验药物相关的，都应该进行快速报告。</w:t>
      </w:r>
    </w:p>
    <w:p w14:paraId="55A1852B">
      <w:pPr>
        <w:keepNext w:val="0"/>
        <w:keepLines w:val="0"/>
        <w:pageBreakBefore w:val="0"/>
        <w:widowControl w:val="0"/>
        <w:numPr>
          <w:ilvl w:val="0"/>
          <w:numId w:val="6"/>
        </w:numPr>
        <w:kinsoku/>
        <w:overflowPunct/>
        <w:topLinePunct w:val="0"/>
        <w:autoSpaceDE/>
        <w:autoSpaceDN/>
        <w:bidi w:val="0"/>
        <w:adjustRightInd/>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申办者提供药物研发期间安全性更新报告（</w:t>
      </w:r>
      <w:r>
        <w:rPr>
          <w:rFonts w:ascii="仿宋" w:hAnsi="仿宋" w:eastAsia="仿宋" w:cs="仿宋"/>
          <w:color w:val="auto"/>
          <w:sz w:val="28"/>
          <w:szCs w:val="28"/>
          <w:lang w:val="en-US" w:eastAsia="zh-CN" w:bidi="ar-SA"/>
        </w:rPr>
        <w:t>DSUR）</w:t>
      </w:r>
      <w:r>
        <w:rPr>
          <w:rFonts w:hint="eastAsia" w:ascii="仿宋" w:hAnsi="仿宋" w:eastAsia="仿宋" w:cs="仿宋"/>
          <w:color w:val="auto"/>
          <w:sz w:val="28"/>
          <w:szCs w:val="28"/>
          <w:lang w:val="en-US" w:eastAsia="zh-CN" w:bidi="ar-SA"/>
        </w:rPr>
        <w:t>，具体撰写与递交要求参照</w:t>
      </w:r>
      <w:r>
        <w:rPr>
          <w:rFonts w:ascii="仿宋" w:hAnsi="仿宋" w:eastAsia="仿宋" w:cs="仿宋"/>
          <w:color w:val="auto"/>
          <w:sz w:val="28"/>
          <w:szCs w:val="28"/>
          <w:lang w:val="en-US" w:eastAsia="zh-CN" w:bidi="ar-SA"/>
        </w:rPr>
        <w:t>CDE发布的相关要求进行。</w:t>
      </w:r>
    </w:p>
    <w:p w14:paraId="31C3B385">
      <w:pPr>
        <w:keepNext w:val="0"/>
        <w:keepLines w:val="0"/>
        <w:pageBreakBefore w:val="0"/>
        <w:widowControl w:val="0"/>
        <w:numPr>
          <w:ilvl w:val="0"/>
          <w:numId w:val="6"/>
        </w:numPr>
        <w:kinsoku/>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上述名词定义如下：</w:t>
      </w:r>
    </w:p>
    <w:p w14:paraId="1789A043">
      <w:pPr>
        <w:keepNext w:val="0"/>
        <w:keepLines w:val="0"/>
        <w:pageBreakBefore w:val="0"/>
        <w:widowControl w:val="0"/>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药物临床试验中的SAE：指受试者接受试验用药品后出现死亡、危及生命、永久或者严重的残疾或者功能丧失、受试者需要住院治疗或者延长住院时间，以及先天性异常或者出生缺陷等不良医学事件。</w:t>
      </w:r>
    </w:p>
    <w:p w14:paraId="5D3A47F1">
      <w:pPr>
        <w:keepNext w:val="0"/>
        <w:keepLines w:val="0"/>
        <w:pageBreakBefore w:val="0"/>
        <w:widowControl w:val="0"/>
        <w:kinsoku/>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药物临床试验中的SUSAR：指临床表现的性质和严重程度超出了试验药物研究者手册、已上市药品的说明书或者产品特性摘要等已有资料信息的可疑并且非预期的严重不良反应。</w:t>
      </w:r>
    </w:p>
    <w:p w14:paraId="0B24A659">
      <w:pPr>
        <w:keepNext w:val="0"/>
        <w:keepLines w:val="0"/>
        <w:pageBreakBefore w:val="0"/>
        <w:widowControl w:val="0"/>
        <w:numPr>
          <w:ilvl w:val="0"/>
          <w:numId w:val="4"/>
        </w:numPr>
        <w:kinsoku/>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妊娠事件</w:t>
      </w:r>
    </w:p>
    <w:p w14:paraId="2067AAED">
      <w:pPr>
        <w:keepNext w:val="0"/>
        <w:keepLines w:val="0"/>
        <w:pageBreakBefore w:val="0"/>
        <w:widowControl w:val="0"/>
        <w:kinsoku/>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试验期间如发生妊娠事件，因妊娠本身不属于AE/SAE，研究者可按照伦理审查同意的试验方案确定是否需要按照安全性信息审查报告伦理委员会，如无要求，则无须报告伦理委员会。</w:t>
      </w:r>
    </w:p>
    <w:p w14:paraId="0096D6DF">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如该妊娠事件最终出现因医学原因终止妊娠、自发性流产、胎儿/新生儿先天异常或畸形，应按照SAE进行报告。</w:t>
      </w:r>
    </w:p>
    <w:p w14:paraId="6437F58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其他项目：根据《涉及人的生物医学研究伦理审查规范》、《涉及人的临床研究伦理审查委员会建设指南》等伦理相关法规指南要求如下：</w:t>
      </w:r>
    </w:p>
    <w:p w14:paraId="0D4F587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研究实施过程中发生SAE、其他增加受试者风险或显著影响研究实施的变化或新信息、其他需要报告的安全性信息，PI应及时或按方案要求向伦理委员会报告。</w:t>
      </w:r>
    </w:p>
    <w:p w14:paraId="4D10F5F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auto"/>
          <w:kern w:val="0"/>
          <w:sz w:val="28"/>
          <w:szCs w:val="28"/>
          <w:lang w:val="en-US" w:eastAsia="zh-CN" w:bidi="ar-SA"/>
        </w:rPr>
        <w:t>SAE定义：受试者接受某种研究干预后发生的导致受试者死亡、危及生命、永久或者严重的残疾或者功能丧失、需要住院治疗或者延长住院时间，以及先天性异常或者出生缺陷等不良医学事件。</w:t>
      </w:r>
    </w:p>
    <w:p w14:paraId="7986AAC5">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Chars="15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不依从/违背方案审查申请：研究实施过程中，出现对伦理委员会同意版本试验方案的所有偏离，并且这种偏离没有获得伦理委员会的事先同意，或者不依从/违背人体受试者保护规定和伦理委员会要求的情况，研究者应在获知相关事件发生后提交《不依从/违背方案报告》（F-LL-01-GZZN-1-8-X）。为避免研究对受试者的即刻危险，研究者可在伦理委员会同意前偏离研究方案，事后应尽快以“不依从/违背方案审查申请”的方式，向伦理委员会报告任何偏离已同意方案之处并作解释。其中，影响到了受试者的权益和安全，或影响到了数据和结果的科学、真实、可靠的重大方案偏离应在15日内向伦理委员会报告。其他的方案偏离可以定期汇总向伦理委员会报告，一般不超过3个月。</w:t>
      </w:r>
    </w:p>
    <w:p w14:paraId="4693DC15">
      <w:pPr>
        <w:keepNext w:val="0"/>
        <w:keepLines w:val="0"/>
        <w:pageBreakBefore w:val="0"/>
        <w:widowControl w:val="0"/>
        <w:numPr>
          <w:ilvl w:val="0"/>
          <w:numId w:val="2"/>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暂停/终止研究审查申请：研究者/申办者暂停或提前终止临床研究，应及时向伦理委员会提交《暂停/终止研究审查申请》（F-LL-01-GZZN-1-9-X）。</w:t>
      </w:r>
    </w:p>
    <w:p w14:paraId="447650A9">
      <w:pPr>
        <w:keepNext w:val="0"/>
        <w:keepLines w:val="0"/>
        <w:pageBreakBefore w:val="0"/>
        <w:widowControl w:val="0"/>
        <w:numPr>
          <w:ilvl w:val="0"/>
          <w:numId w:val="2"/>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结题审查申请：完成临床研究，研究者应及时向伦理委员会提交《结题报告》（F-LL-01-GZZN-1-10-X）。</w:t>
      </w:r>
    </w:p>
    <w:p w14:paraId="341E6403">
      <w:pPr>
        <w:keepNext w:val="0"/>
        <w:keepLines w:val="0"/>
        <w:pageBreakBefore w:val="0"/>
        <w:widowControl w:val="0"/>
        <w:numPr>
          <w:ilvl w:val="0"/>
          <w:numId w:val="2"/>
        </w:numPr>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复审申请</w:t>
      </w:r>
    </w:p>
    <w:p w14:paraId="55540251">
      <w:pPr>
        <w:keepNext w:val="0"/>
        <w:keepLines w:val="0"/>
        <w:pageBreakBefore w:val="0"/>
        <w:widowControl w:val="0"/>
        <w:kinsoku/>
        <w:overflowPunct/>
        <w:topLinePunct w:val="0"/>
        <w:autoSpaceDE w:val="0"/>
        <w:autoSpaceDN w:val="0"/>
        <w:bidi w:val="0"/>
        <w:adjustRightInd w:val="0"/>
        <w:snapToGrid/>
        <w:spacing w:line="560" w:lineRule="exact"/>
        <w:ind w:firstLine="560" w:firstLineChars="200"/>
        <w:jc w:val="both"/>
        <w:textAlignment w:val="auto"/>
        <w:rPr>
          <w:rFonts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上述审查后，按伦理审查意见“作必要的修正后同意”，对方案进行修改后，研究者应以提交《复审申请》（F-LL-01-GZZN-1-11-X）的方式再次送审，经伦理委员会同意后方可实施；如果对伦理审查意见有不同的看法，可以以提交《复审申请》的方式申诉不同意见，请伦理委员会重新考虑决定。</w:t>
      </w:r>
    </w:p>
    <w:p w14:paraId="5845D9A9">
      <w:pPr>
        <w:keepNext w:val="0"/>
        <w:keepLines w:val="0"/>
        <w:pageBreakBefore w:val="0"/>
        <w:widowControl w:val="0"/>
        <w:kinsoku/>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《复审申请》应针对“伦理审查意见”逐条答复，修正的方案或ICF等文件应更新版本号/版本日期，并以“阴影或下划线”注明修改部分。</w:t>
      </w:r>
    </w:p>
    <w:p w14:paraId="40BE174A">
      <w:pPr>
        <w:keepNext w:val="0"/>
        <w:keepLines w:val="0"/>
        <w:pageBreakBefore w:val="0"/>
        <w:widowControl w:val="0"/>
        <w:numPr>
          <w:ilvl w:val="0"/>
          <w:numId w:val="1"/>
        </w:numPr>
        <w:kinsoku/>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其他申请</w:t>
      </w:r>
    </w:p>
    <w:p w14:paraId="751EDF49">
      <w:pPr>
        <w:keepNext w:val="0"/>
        <w:keepLines w:val="0"/>
        <w:pageBreakBefore w:val="0"/>
        <w:widowControl w:val="0"/>
        <w:numPr>
          <w:ilvl w:val="-1"/>
          <w:numId w:val="0"/>
        </w:numPr>
        <w:kinsoku/>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如申请人递交的审查内容不属于《涉及人的生命科学和医学研究伦理审查办法》《涉及人的生物医学研究伦理审查办法》等伦理相关法规及本伦理委员会要求递交审查的范围，则伦理委员会将相关递交材料进行备案处理。</w:t>
      </w:r>
    </w:p>
    <w:p w14:paraId="2B87F23A">
      <w:pPr>
        <w:ind w:firstLine="560"/>
        <w:jc w:val="left"/>
        <w:rPr>
          <w:rFonts w:hint="eastAsia" w:ascii="仿宋_GB2312" w:eastAsia="仿宋_GB2312"/>
          <w:color w:val="000000" w:themeColor="text1"/>
          <w:sz w:val="28"/>
          <w:szCs w:val="28"/>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57763"/>
    <w:multiLevelType w:val="singleLevel"/>
    <w:tmpl w:val="96157763"/>
    <w:lvl w:ilvl="0" w:tentative="0">
      <w:start w:val="1"/>
      <w:numFmt w:val="decimal"/>
      <w:suff w:val="nothing"/>
      <w:lvlText w:val="%1．"/>
      <w:lvlJc w:val="left"/>
      <w:pPr>
        <w:ind w:left="0" w:firstLine="400"/>
      </w:pPr>
      <w:rPr>
        <w:rFonts w:hint="default" w:ascii="仿宋" w:hAnsi="仿宋" w:eastAsia="仿宋" w:cs="仿宋"/>
      </w:rPr>
    </w:lvl>
  </w:abstractNum>
  <w:abstractNum w:abstractNumId="1">
    <w:nsid w:val="E15EC271"/>
    <w:multiLevelType w:val="singleLevel"/>
    <w:tmpl w:val="E15EC271"/>
    <w:lvl w:ilvl="0" w:tentative="0">
      <w:start w:val="1"/>
      <w:numFmt w:val="decimal"/>
      <w:suff w:val="nothing"/>
      <w:lvlText w:val="（%1）"/>
      <w:lvlJc w:val="left"/>
      <w:pPr>
        <w:tabs>
          <w:tab w:val="left" w:pos="0"/>
        </w:tabs>
        <w:ind w:left="0" w:firstLine="420"/>
      </w:pPr>
      <w:rPr>
        <w:rFonts w:hint="default" w:ascii="仿宋_GB2312" w:hAnsi="仿宋_GB2312" w:eastAsia="仿宋_GB2312" w:cs="仿宋_GB2312"/>
      </w:rPr>
    </w:lvl>
  </w:abstractNum>
  <w:abstractNum w:abstractNumId="2">
    <w:nsid w:val="00F4244B"/>
    <w:multiLevelType w:val="singleLevel"/>
    <w:tmpl w:val="00F4244B"/>
    <w:lvl w:ilvl="0" w:tentative="0">
      <w:start w:val="1"/>
      <w:numFmt w:val="decimalEnclosedCircleChinese"/>
      <w:suff w:val="nothing"/>
      <w:lvlText w:val="%1　"/>
      <w:lvlJc w:val="left"/>
      <w:pPr>
        <w:ind w:left="0" w:firstLine="400"/>
      </w:pPr>
      <w:rPr>
        <w:rFonts w:hint="eastAsia"/>
      </w:rPr>
    </w:lvl>
  </w:abstractNum>
  <w:abstractNum w:abstractNumId="3">
    <w:nsid w:val="1DD4E26A"/>
    <w:multiLevelType w:val="singleLevel"/>
    <w:tmpl w:val="1DD4E26A"/>
    <w:lvl w:ilvl="0" w:tentative="0">
      <w:start w:val="1"/>
      <w:numFmt w:val="decimalEnclosedCircleChinese"/>
      <w:suff w:val="nothing"/>
      <w:lvlText w:val="%1　"/>
      <w:lvlJc w:val="left"/>
      <w:pPr>
        <w:ind w:left="0" w:firstLine="400"/>
      </w:pPr>
      <w:rPr>
        <w:rFonts w:hint="eastAsia" w:ascii="仿宋" w:hAnsi="仿宋" w:eastAsia="仿宋"/>
      </w:rPr>
    </w:lvl>
  </w:abstractNum>
  <w:abstractNum w:abstractNumId="4">
    <w:nsid w:val="283BF6B2"/>
    <w:multiLevelType w:val="singleLevel"/>
    <w:tmpl w:val="283BF6B2"/>
    <w:lvl w:ilvl="0" w:tentative="0">
      <w:start w:val="1"/>
      <w:numFmt w:val="upperLetter"/>
      <w:suff w:val="nothing"/>
      <w:lvlText w:val="%1．"/>
      <w:lvlJc w:val="left"/>
      <w:pPr>
        <w:ind w:left="0" w:firstLine="403"/>
      </w:pPr>
      <w:rPr>
        <w:rFonts w:hint="default" w:ascii="仿宋" w:hAnsi="仿宋" w:eastAsia="仿宋" w:cs="仿宋"/>
      </w:rPr>
    </w:lvl>
  </w:abstractNum>
  <w:abstractNum w:abstractNumId="5">
    <w:nsid w:val="5F2DDD3B"/>
    <w:multiLevelType w:val="singleLevel"/>
    <w:tmpl w:val="5F2DDD3B"/>
    <w:lvl w:ilvl="0" w:tentative="0">
      <w:start w:val="1"/>
      <w:numFmt w:val="upperLetter"/>
      <w:suff w:val="nothing"/>
      <w:lvlText w:val="%1．"/>
      <w:lvlJc w:val="left"/>
      <w:pPr>
        <w:ind w:left="0" w:firstLine="403"/>
      </w:pPr>
      <w:rPr>
        <w:rFonts w:hint="default" w:ascii="仿宋" w:hAnsi="仿宋" w:eastAsia="仿宋" w:cs="仿宋"/>
      </w:rPr>
    </w:lvl>
  </w:abstractNum>
  <w:abstractNum w:abstractNumId="6">
    <w:nsid w:val="7AA969D8"/>
    <w:multiLevelType w:val="singleLevel"/>
    <w:tmpl w:val="7AA969D8"/>
    <w:lvl w:ilvl="0" w:tentative="0">
      <w:start w:val="1"/>
      <w:numFmt w:val="upperLetter"/>
      <w:suff w:val="nothing"/>
      <w:lvlText w:val="%1．"/>
      <w:lvlJc w:val="left"/>
      <w:pPr>
        <w:ind w:left="0" w:firstLine="403"/>
      </w:pPr>
      <w:rPr>
        <w:rFonts w:hint="default" w:ascii="仿宋" w:hAnsi="仿宋" w:eastAsia="仿宋" w:cs="仿宋"/>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2Q5YTBmZmU4NDdiZjdmOTkwY2JlZThjODU1MzkifQ=="/>
  </w:docVars>
  <w:rsids>
    <w:rsidRoot w:val="671310B3"/>
    <w:rsid w:val="061C1153"/>
    <w:rsid w:val="0B0B7C82"/>
    <w:rsid w:val="15AF53C0"/>
    <w:rsid w:val="1A325030"/>
    <w:rsid w:val="1A934F6D"/>
    <w:rsid w:val="1ADC0E9F"/>
    <w:rsid w:val="24C34ACD"/>
    <w:rsid w:val="29E4572B"/>
    <w:rsid w:val="2B435A19"/>
    <w:rsid w:val="2E24313C"/>
    <w:rsid w:val="2E411C67"/>
    <w:rsid w:val="3D6715C4"/>
    <w:rsid w:val="42D32E63"/>
    <w:rsid w:val="4AD7015C"/>
    <w:rsid w:val="4BE162F7"/>
    <w:rsid w:val="4C01183F"/>
    <w:rsid w:val="4E775DC6"/>
    <w:rsid w:val="57484BDB"/>
    <w:rsid w:val="59CB3E71"/>
    <w:rsid w:val="5ED53579"/>
    <w:rsid w:val="671310B3"/>
    <w:rsid w:val="6B920E2D"/>
    <w:rsid w:val="7A034836"/>
    <w:rsid w:val="7B0C56DF"/>
    <w:rsid w:val="7B4B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5">
    <w:name w:val="List Paragraph"/>
    <w:basedOn w:val="1"/>
    <w:qFormat/>
    <w:uiPriority w:val="34"/>
    <w:pPr>
      <w:spacing w:line="360" w:lineRule="auto"/>
      <w:ind w:firstLine="420" w:firstLineChars="200"/>
    </w:pPr>
  </w:style>
  <w:style w:type="paragraph" w:customStyle="1" w:styleId="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523</Words>
  <Characters>637</Characters>
  <Lines>0</Lines>
  <Paragraphs>0</Paragraphs>
  <TotalTime>0</TotalTime>
  <ScaleCrop>false</ScaleCrop>
  <LinksUpToDate>false</LinksUpToDate>
  <CharactersWithSpaces>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2019-01-06T10:00:00Z</dcterms:created>
  <dc:creator> 百年</dc:creator>
  <cp:lastModifiedBy>Sakura</cp:lastModifiedBy>
  <dcterms:modified xsi:type="dcterms:W3CDTF">2025-06-17T02:15:30Z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52FA9890864E4456BFA64C7C3F8C4BCB</vt:lpwstr>
  </property>
  <property fmtid="{D5CDD505-2E9C-101B-9397-08002B2CF9AE}" pid="4" name="KSOTemplateDocerSaveRecord">
    <vt:lpwstr>eyJoZGlkIjoiZjEyNWY3M2Q2NTM0NzBiNzA3MmJmNzliY2JlOTA3ZTYiLCJ1c2VySWQiOiI0NzUzMTc5OTMifQ==</vt:lpwstr>
  </property>
</Properties>
</file>