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w:t>
      </w:r>
      <w:r>
        <w:rPr>
          <w:rFonts w:hint="eastAsia" w:ascii="宋体" w:hAnsi="宋体" w:cs="宋体"/>
          <w:b/>
          <w:bCs/>
          <w:sz w:val="30"/>
          <w:szCs w:val="30"/>
          <w:lang w:eastAsia="zh-CN"/>
        </w:rPr>
        <w:t>第</w:t>
      </w:r>
      <w:r>
        <w:rPr>
          <w:rFonts w:hint="eastAsia" w:ascii="宋体" w:hAnsi="宋体" w:cs="宋体"/>
          <w:b/>
          <w:bCs/>
          <w:sz w:val="30"/>
          <w:szCs w:val="30"/>
          <w:lang w:val="en-US" w:eastAsia="zh-CN"/>
        </w:rPr>
        <w:t>10</w:t>
      </w:r>
      <w:r>
        <w:rPr>
          <w:rFonts w:hint="eastAsia" w:ascii="宋体" w:hAnsi="宋体" w:cs="宋体"/>
          <w:b/>
          <w:bCs/>
          <w:sz w:val="30"/>
          <w:szCs w:val="30"/>
          <w:lang w:eastAsia="zh-CN"/>
        </w:rPr>
        <w:t>期血浆解冻箱采购公告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highlight w:val="none"/>
          <w:lang w:val="en-US" w:eastAsia="zh-CN"/>
        </w:rPr>
        <w:t>10</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院内招标</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5"/>
        <w:tblW w:w="8444"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4"/>
        <w:gridCol w:w="870"/>
        <w:gridCol w:w="1335"/>
        <w:gridCol w:w="1935"/>
        <w:gridCol w:w="2340"/>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1964"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870"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1335"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93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340"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1964"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eastAsia="宋体" w:cs="Times New Roman"/>
                <w:b w:val="0"/>
                <w:bCs/>
                <w:kern w:val="0"/>
                <w:szCs w:val="21"/>
                <w:lang w:eastAsia="zh-CN"/>
              </w:rPr>
              <w:t>血浆解冻箱</w:t>
            </w:r>
          </w:p>
        </w:tc>
        <w:tc>
          <w:tcPr>
            <w:tcW w:w="870"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cs="宋体"/>
                <w:b w:val="0"/>
                <w:bCs/>
                <w:color w:val="000000"/>
                <w:kern w:val="0"/>
                <w:szCs w:val="21"/>
                <w:highlight w:val="none"/>
                <w:lang w:val="en-US" w:eastAsia="zh-CN"/>
              </w:rPr>
              <w:t>1</w:t>
            </w:r>
          </w:p>
        </w:tc>
        <w:tc>
          <w:tcPr>
            <w:tcW w:w="1335" w:type="dxa"/>
            <w:tcMar>
              <w:top w:w="0" w:type="dxa"/>
              <w:left w:w="108" w:type="dxa"/>
              <w:bottom w:w="0" w:type="dxa"/>
              <w:right w:w="108" w:type="dxa"/>
            </w:tcMar>
            <w:vAlign w:val="center"/>
          </w:tcPr>
          <w:p w14:paraId="3BDD3174">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sz w:val="24"/>
              </w:rPr>
              <w:t>台</w:t>
            </w:r>
          </w:p>
        </w:tc>
        <w:tc>
          <w:tcPr>
            <w:tcW w:w="193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b w:val="0"/>
                <w:bCs/>
                <w:kern w:val="0"/>
                <w:szCs w:val="21"/>
              </w:rPr>
              <w:t>输血科</w:t>
            </w:r>
          </w:p>
        </w:tc>
        <w:tc>
          <w:tcPr>
            <w:tcW w:w="2340"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2025</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7</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14</w:t>
      </w:r>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2025</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3</w:t>
      </w:r>
      <w:bookmarkStart w:id="14" w:name="_GoBack"/>
      <w:bookmarkEnd w:id="14"/>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bCs/>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bCs/>
          <w:color w:val="000000" w:themeColor="text1"/>
          <w:kern w:val="0"/>
          <w:sz w:val="21"/>
          <w:szCs w:val="21"/>
          <w14:textFill>
            <w14:solidFill>
              <w14:schemeClr w14:val="tx1"/>
            </w14:solidFill>
          </w14:textFill>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w:t>
      </w:r>
      <w:r>
        <w:rPr>
          <w:rFonts w:hint="eastAsia" w:ascii="宋体" w:hAnsi="宋体" w:eastAsia="宋体" w:cs="宋体"/>
          <w:bCs/>
          <w:color w:val="000000" w:themeColor="text1"/>
          <w:kern w:val="0"/>
          <w:sz w:val="18"/>
          <w:szCs w:val="18"/>
          <w14:textFill>
            <w14:solidFill>
              <w14:schemeClr w14:val="tx1"/>
            </w14:solidFill>
          </w14:textFill>
        </w:rPr>
        <w:t>安区石岩人民医院招标采购活动｡</w:t>
      </w:r>
    </w:p>
    <w:p w14:paraId="7E7AA8A6">
      <w:pPr>
        <w:widowControl/>
        <w:jc w:val="both"/>
        <w:rPr>
          <w:rFonts w:hint="eastAsia" w:ascii="宋体" w:hAnsi="宋体" w:eastAsia="宋体" w:cs="宋体"/>
          <w:kern w:val="0"/>
          <w:sz w:val="18"/>
          <w:szCs w:val="18"/>
          <w:lang w:eastAsia="zh-CN"/>
        </w:rPr>
      </w:pPr>
      <w:r>
        <w:rPr>
          <w:rFonts w:hint="eastAsia" w:ascii="宋体" w:hAnsi="宋体" w:eastAsia="宋体" w:cs="宋体"/>
          <w:color w:val="000000" w:themeColor="text1"/>
          <w:kern w:val="0"/>
          <w:sz w:val="18"/>
          <w:szCs w:val="18"/>
          <w:lang w:val="en-US" w:eastAsia="zh-CN"/>
          <w14:textFill>
            <w14:solidFill>
              <w14:schemeClr w14:val="tx1"/>
            </w14:solidFill>
          </w14:textFill>
        </w:rPr>
        <w:t>10</w:t>
      </w:r>
      <w:r>
        <w:rPr>
          <w:rFonts w:hint="eastAsia" w:ascii="宋体" w:hAnsi="宋体" w:eastAsia="宋体" w:cs="宋体"/>
          <w:color w:val="000000" w:themeColor="text1"/>
          <w:kern w:val="0"/>
          <w:sz w:val="18"/>
          <w:szCs w:val="18"/>
          <w14:textFill>
            <w14:solidFill>
              <w14:schemeClr w14:val="tx1"/>
            </w14:solidFill>
          </w14:textFill>
        </w:rPr>
        <w:t>､</w:t>
      </w:r>
      <w:r>
        <w:rPr>
          <w:rFonts w:hint="eastAsia" w:ascii="宋体" w:hAnsi="宋体" w:eastAsia="宋体" w:cs="宋体"/>
          <w:sz w:val="18"/>
          <w:szCs w:val="18"/>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深圳市政府采购监管网（http://zfcg.sz.gov.cn/cgjg/cxda/index.html)和</w:t>
      </w:r>
      <w:r>
        <w:rPr>
          <w:rFonts w:hint="eastAsia" w:ascii="宋体" w:hAnsi="宋体" w:eastAsia="宋体" w:cs="宋体"/>
          <w:sz w:val="18"/>
          <w:szCs w:val="18"/>
        </w:rPr>
        <w:t>深圳信用网（https://www.szcredit.com.cn）渠道查询相关主体信用记录</w:t>
      </w:r>
      <w:r>
        <w:rPr>
          <w:rFonts w:hint="eastAsia" w:ascii="宋体" w:hAnsi="宋体" w:eastAsia="宋体" w:cs="宋体"/>
          <w:color w:val="000000"/>
          <w:kern w:val="0"/>
          <w:sz w:val="18"/>
          <w:szCs w:val="18"/>
          <w:lang w:eastAsia="zh-CN"/>
        </w:rPr>
        <w:t>。</w:t>
      </w:r>
    </w:p>
    <w:p w14:paraId="5A058620">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 w:val="18"/>
          <w:szCs w:val="18"/>
          <w:lang w:eastAsia="zh-CN"/>
        </w:rPr>
      </w:pPr>
      <w:r>
        <w:rPr>
          <w:rFonts w:hint="eastAsia" w:ascii="宋体" w:hAnsi="宋体" w:eastAsia="宋体" w:cs="宋体"/>
          <w:color w:val="000000" w:themeColor="text1"/>
          <w:kern w:val="0"/>
          <w:sz w:val="18"/>
          <w:szCs w:val="18"/>
          <w14:textFill>
            <w14:solidFill>
              <w14:schemeClr w14:val="tx1"/>
            </w14:solidFill>
          </w14:textFill>
        </w:rPr>
        <w:t>1</w:t>
      </w:r>
      <w:r>
        <w:rPr>
          <w:rFonts w:hint="eastAsia" w:ascii="宋体" w:hAnsi="宋体" w:eastAsia="宋体" w:cs="宋体"/>
          <w:color w:val="000000" w:themeColor="text1"/>
          <w:kern w:val="0"/>
          <w:sz w:val="18"/>
          <w:szCs w:val="18"/>
          <w:lang w:val="en-US" w:eastAsia="zh-CN"/>
          <w14:textFill>
            <w14:solidFill>
              <w14:schemeClr w14:val="tx1"/>
            </w14:solidFill>
          </w14:textFill>
        </w:rPr>
        <w:t>1</w:t>
      </w:r>
      <w:r>
        <w:rPr>
          <w:rFonts w:hint="eastAsia" w:ascii="宋体" w:hAnsi="宋体" w:eastAsia="宋体" w:cs="宋体"/>
          <w:color w:val="000000" w:themeColor="text1"/>
          <w:kern w:val="0"/>
          <w:sz w:val="18"/>
          <w:szCs w:val="18"/>
          <w14:textFill>
            <w14:solidFill>
              <w14:schemeClr w14:val="tx1"/>
            </w14:solidFill>
          </w14:textFill>
        </w:rPr>
        <w:t>､</w:t>
      </w:r>
      <w:r>
        <w:rPr>
          <w:rFonts w:hint="eastAsia" w:ascii="宋体" w:hAnsi="宋体" w:eastAsia="宋体" w:cs="宋体"/>
          <w:color w:val="000000"/>
          <w:kern w:val="0"/>
          <w:sz w:val="18"/>
          <w:szCs w:val="18"/>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 w:val="18"/>
          <w:szCs w:val="18"/>
          <w:lang w:val="en-US" w:eastAsia="zh-CN"/>
        </w:rPr>
        <w:t>投标及履约承诺函</w:t>
      </w:r>
      <w:r>
        <w:rPr>
          <w:rFonts w:hint="eastAsia" w:ascii="宋体" w:hAnsi="宋体" w:eastAsia="宋体" w:cs="宋体"/>
          <w:color w:val="000000"/>
          <w:kern w:val="0"/>
          <w:sz w:val="18"/>
          <w:szCs w:val="18"/>
        </w:rPr>
        <w:t>》中作出声明</w:t>
      </w:r>
      <w:r>
        <w:rPr>
          <w:rFonts w:hint="eastAsia" w:ascii="宋体" w:hAnsi="宋体" w:eastAsia="宋体" w:cs="宋体"/>
          <w:color w:val="000000"/>
          <w:kern w:val="0"/>
          <w:sz w:val="18"/>
          <w:szCs w:val="18"/>
          <w:lang w:eastAsia="zh-CN"/>
        </w:rPr>
        <w:t>）。</w:t>
      </w:r>
    </w:p>
    <w:p w14:paraId="03EBBA5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sz w:val="18"/>
          <w:szCs w:val="18"/>
          <w:lang w:val="en-US" w:eastAsia="zh-CN"/>
        </w:rPr>
        <w:t>12.</w:t>
      </w:r>
      <w:r>
        <w:rPr>
          <w:rFonts w:hint="eastAsia" w:ascii="宋体" w:hAnsi="宋体" w:eastAsia="宋体" w:cs="宋体"/>
          <w:sz w:val="18"/>
          <w:szCs w:val="18"/>
        </w:rPr>
        <w:t>提供法定代表人、主要经营负责人、项目投标授权代表人、项目负责人、主要技术人员</w:t>
      </w:r>
      <w:r>
        <w:rPr>
          <w:rFonts w:hint="eastAsia" w:ascii="宋体" w:hAnsi="宋体" w:eastAsia="宋体" w:cs="宋体"/>
          <w:sz w:val="18"/>
          <w:szCs w:val="18"/>
          <w:lang w:eastAsia="zh-CN"/>
        </w:rPr>
        <w:t>最近一个月的</w:t>
      </w:r>
      <w:r>
        <w:rPr>
          <w:rFonts w:hint="eastAsia" w:ascii="宋体" w:hAnsi="宋体" w:eastAsia="宋体" w:cs="宋体"/>
          <w:sz w:val="18"/>
          <w:szCs w:val="18"/>
        </w:rPr>
        <w:t>社会保险证明</w:t>
      </w:r>
      <w:r>
        <w:rPr>
          <w:rFonts w:hint="eastAsia" w:ascii="宋体" w:hAnsi="宋体" w:eastAsia="宋体" w:cs="宋体"/>
          <w:sz w:val="18"/>
          <w:szCs w:val="18"/>
          <w:lang w:eastAsia="zh-CN"/>
        </w:rPr>
        <w:t>。</w:t>
      </w:r>
      <w:r>
        <w:rPr>
          <w:rFonts w:hint="eastAsia" w:ascii="宋体" w:hAnsi="宋体" w:eastAsia="宋体" w:cs="宋体"/>
          <w:sz w:val="18"/>
          <w:szCs w:val="18"/>
        </w:rPr>
        <w:t>如本项目未安排项目投标授权代表人、项目负责人、主要技术人员的，无需提供投标授权代表人、项目负责人、主要技术人员的社会保险证明</w:t>
      </w:r>
      <w:r>
        <w:rPr>
          <w:rFonts w:hint="eastAsia" w:ascii="宋体" w:hAnsi="宋体" w:eastAsia="宋体" w:cs="宋体"/>
          <w:sz w:val="18"/>
          <w:szCs w:val="18"/>
          <w:lang w:eastAsia="zh-CN"/>
        </w:rPr>
        <w:t>。</w:t>
      </w:r>
    </w:p>
    <w:p w14:paraId="7649C99C">
      <w:pPr>
        <w:widowControl/>
        <w:jc w:val="left"/>
        <w:rPr>
          <w:rFonts w:hint="eastAsia" w:ascii="宋体" w:hAnsi="宋体" w:eastAsia="宋体" w:cs="宋体"/>
          <w:bCs/>
          <w:color w:val="000000" w:themeColor="text1"/>
          <w:kern w:val="0"/>
          <w:sz w:val="18"/>
          <w:szCs w:val="18"/>
          <w14:textFill>
            <w14:solidFill>
              <w14:schemeClr w14:val="tx1"/>
            </w14:solidFill>
          </w14:textFill>
        </w:rPr>
      </w:pPr>
      <w:r>
        <w:rPr>
          <w:rFonts w:hint="eastAsia" w:ascii="宋体" w:hAnsi="宋体" w:eastAsia="宋体" w:cs="宋体"/>
          <w:bCs/>
          <w:color w:val="000000" w:themeColor="text1"/>
          <w:kern w:val="0"/>
          <w:sz w:val="18"/>
          <w:szCs w:val="18"/>
          <w14:textFill>
            <w14:solidFill>
              <w14:schemeClr w14:val="tx1"/>
            </w14:solidFill>
          </w14:textFill>
        </w:rPr>
        <w:t>1</w:t>
      </w:r>
      <w:r>
        <w:rPr>
          <w:rFonts w:hint="eastAsia" w:ascii="宋体" w:hAnsi="宋体" w:eastAsia="宋体" w:cs="宋体"/>
          <w:bCs/>
          <w:color w:val="000000" w:themeColor="text1"/>
          <w:kern w:val="0"/>
          <w:sz w:val="18"/>
          <w:szCs w:val="18"/>
          <w:lang w:val="en-US" w:eastAsia="zh-CN"/>
          <w14:textFill>
            <w14:solidFill>
              <w14:schemeClr w14:val="tx1"/>
            </w14:solidFill>
          </w14:textFill>
        </w:rPr>
        <w:t>3</w:t>
      </w:r>
      <w:r>
        <w:rPr>
          <w:rFonts w:hint="eastAsia" w:ascii="宋体" w:hAnsi="宋体" w:eastAsia="宋体" w:cs="宋体"/>
          <w:bCs/>
          <w:color w:val="000000" w:themeColor="text1"/>
          <w:kern w:val="0"/>
          <w:sz w:val="18"/>
          <w:szCs w:val="18"/>
          <w14:textFill>
            <w14:solidFill>
              <w14:schemeClr w14:val="tx1"/>
            </w14:solidFill>
          </w14:textFill>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w:t>
      </w:r>
      <w:r>
        <w:rPr>
          <w:rFonts w:hint="eastAsia" w:ascii="宋体" w:hAnsi="宋体" w:eastAsia="宋体" w:cs="宋体"/>
          <w:color w:val="000000" w:themeColor="text1"/>
          <w:kern w:val="0"/>
          <w:sz w:val="18"/>
          <w:szCs w:val="18"/>
          <w:lang w:val="en-US" w:eastAsia="zh-CN"/>
          <w14:textFill>
            <w14:solidFill>
              <w14:schemeClr w14:val="tx1"/>
            </w14:solidFill>
          </w14:textFill>
        </w:rPr>
        <w:t>4</w:t>
      </w:r>
      <w:r>
        <w:rPr>
          <w:rFonts w:hint="eastAsia" w:ascii="宋体" w:hAnsi="宋体" w:eastAsia="宋体" w:cs="宋体"/>
          <w:color w:val="000000" w:themeColor="text1"/>
          <w:kern w:val="0"/>
          <w:sz w:val="18"/>
          <w:szCs w:val="18"/>
          <w14:textFill>
            <w14:solidFill>
              <w14:schemeClr w14:val="tx1"/>
            </w14:solidFill>
          </w14:textFill>
        </w:rPr>
        <w:t>､投标费用:不论投标的结果如何,投标人必须自行承担与参加投标有关的所有费用｡</w:t>
      </w:r>
    </w:p>
    <w:p w14:paraId="067B5F7B">
      <w:pPr>
        <w:tabs>
          <w:tab w:val="left" w:pos="425"/>
        </w:tabs>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w:t>
      </w:r>
      <w:r>
        <w:rPr>
          <w:rFonts w:hint="eastAsia" w:ascii="宋体" w:hAnsi="宋体" w:eastAsia="宋体" w:cs="宋体"/>
          <w:color w:val="000000" w:themeColor="text1"/>
          <w:kern w:val="0"/>
          <w:sz w:val="18"/>
          <w:szCs w:val="18"/>
          <w:lang w:val="en-US" w:eastAsia="zh-CN"/>
          <w14:textFill>
            <w14:solidFill>
              <w14:schemeClr w14:val="tx1"/>
            </w14:solidFill>
          </w14:textFill>
        </w:rPr>
        <w:t>5</w:t>
      </w:r>
      <w:r>
        <w:rPr>
          <w:rFonts w:hint="eastAsia" w:ascii="宋体" w:hAnsi="宋体" w:eastAsia="宋体" w:cs="宋体"/>
          <w:color w:val="000000" w:themeColor="text1"/>
          <w:kern w:val="0"/>
          <w:sz w:val="18"/>
          <w:szCs w:val="18"/>
          <w14:textFill>
            <w14:solidFill>
              <w14:schemeClr w14:val="tx1"/>
            </w14:solidFill>
          </w14:textFill>
        </w:rPr>
        <w:t>､服务要求:</w:t>
      </w:r>
      <w:r>
        <w:rPr>
          <w:rFonts w:hint="eastAsia" w:ascii="宋体" w:hAnsi="宋体" w:eastAsia="宋体" w:cs="宋体"/>
          <w:b/>
          <w:color w:val="FF0000"/>
          <w:kern w:val="0"/>
          <w:sz w:val="18"/>
          <w:szCs w:val="18"/>
          <w:highlight w:val="yellow"/>
        </w:rPr>
        <w:t>设备须提供</w:t>
      </w:r>
      <w:r>
        <w:rPr>
          <w:rFonts w:hint="eastAsia" w:ascii="宋体" w:hAnsi="宋体" w:eastAsia="宋体" w:cs="宋体"/>
          <w:b/>
          <w:color w:val="FF0000"/>
          <w:kern w:val="0"/>
          <w:sz w:val="18"/>
          <w:szCs w:val="18"/>
          <w:highlight w:val="yellow"/>
          <w:lang w:val="en-US" w:eastAsia="zh-CN"/>
        </w:rPr>
        <w:t>5</w:t>
      </w:r>
      <w:r>
        <w:rPr>
          <w:rFonts w:hint="eastAsia" w:ascii="宋体" w:hAnsi="宋体" w:eastAsia="宋体" w:cs="宋体"/>
          <w:b/>
          <w:color w:val="FF0000"/>
          <w:kern w:val="0"/>
          <w:sz w:val="18"/>
          <w:szCs w:val="18"/>
          <w:highlight w:val="yellow"/>
        </w:rPr>
        <w:t>年整机原厂全保</w:t>
      </w:r>
      <w:r>
        <w:rPr>
          <w:rFonts w:hint="eastAsia" w:ascii="宋体" w:hAnsi="宋体" w:eastAsia="宋体" w:cs="宋体"/>
          <w:color w:val="FF0000"/>
          <w:kern w:val="0"/>
          <w:sz w:val="18"/>
          <w:szCs w:val="18"/>
        </w:rPr>
        <w:t>,</w:t>
      </w:r>
      <w:r>
        <w:rPr>
          <w:rFonts w:hint="eastAsia" w:ascii="宋体" w:hAnsi="宋体" w:eastAsia="宋体" w:cs="宋体"/>
          <w:color w:val="000000" w:themeColor="text1"/>
          <w:sz w:val="18"/>
          <w:szCs w:val="18"/>
          <w14:textFill>
            <w14:solidFill>
              <w14:schemeClr w14:val="tx1"/>
            </w14:solidFill>
          </w14:textFill>
        </w:rPr>
        <w:t>维修响应时间为24小时 *365天,接到报修电话后工程师必须在4小时内赶到现场处理故障｡</w:t>
      </w:r>
      <w:r>
        <w:rPr>
          <w:rFonts w:hint="eastAsia" w:ascii="宋体" w:hAnsi="宋体" w:eastAsia="宋体" w:cs="宋体"/>
          <w:color w:val="000000" w:themeColor="text1"/>
          <w:kern w:val="0"/>
          <w:sz w:val="18"/>
          <w:szCs w:val="18"/>
          <w14:textFill>
            <w14:solidFill>
              <w14:schemeClr w14:val="tx1"/>
            </w14:solidFill>
          </w14:textFill>
        </w:rPr>
        <w:t>凡带检查､检验项目的设备和系统,须实现与医院信息化系统无缝衔接｡</w:t>
      </w:r>
    </w:p>
    <w:p w14:paraId="66F13DE0">
      <w:pPr>
        <w:widowControl/>
        <w:jc w:val="left"/>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1</w:t>
      </w:r>
      <w:r>
        <w:rPr>
          <w:rFonts w:hint="eastAsia" w:ascii="宋体" w:hAnsi="宋体" w:eastAsia="宋体" w:cs="宋体"/>
          <w:color w:val="000000" w:themeColor="text1"/>
          <w:kern w:val="0"/>
          <w:sz w:val="18"/>
          <w:szCs w:val="18"/>
          <w:lang w:val="en-US" w:eastAsia="zh-CN"/>
          <w14:textFill>
            <w14:solidFill>
              <w14:schemeClr w14:val="tx1"/>
            </w14:solidFill>
          </w14:textFill>
        </w:rPr>
        <w:t>6</w:t>
      </w:r>
      <w:r>
        <w:rPr>
          <w:rFonts w:hint="eastAsia" w:ascii="宋体" w:hAnsi="宋体" w:eastAsia="宋体" w:cs="宋体"/>
          <w:color w:val="000000" w:themeColor="text1"/>
          <w:kern w:val="0"/>
          <w:sz w:val="18"/>
          <w:szCs w:val="18"/>
          <w14:textFill>
            <w14:solidFill>
              <w14:schemeClr w14:val="tx1"/>
            </w14:solidFill>
          </w14:textFill>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r>
        <w:rPr>
          <w:rFonts w:hint="eastAsia" w:ascii="宋体" w:hAnsi="宋体" w:eastAsia="宋体" w:cs="宋体"/>
          <w:color w:val="000000"/>
          <w:kern w:val="0"/>
          <w:sz w:val="18"/>
          <w:szCs w:val="18"/>
          <w:lang w:val="en-US" w:eastAsia="zh-CN"/>
        </w:rPr>
        <w:t>7</w:t>
      </w:r>
      <w:r>
        <w:rPr>
          <w:rFonts w:hint="eastAsia" w:ascii="宋体" w:hAnsi="宋体" w:eastAsia="宋体" w:cs="宋体"/>
          <w:color w:val="000000"/>
          <w:kern w:val="0"/>
          <w:sz w:val="18"/>
          <w:szCs w:val="18"/>
        </w:rPr>
        <w:t>､除买方事先书面同意外,卖方不得将自己应履行的全部或部分合同义务转让给他人｡</w:t>
      </w:r>
    </w:p>
    <w:p w14:paraId="43F85F14">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18</w:t>
      </w:r>
      <w:r>
        <w:rPr>
          <w:rFonts w:hint="eastAsia" w:ascii="宋体" w:hAnsi="宋体" w:eastAsia="宋体" w:cs="宋体"/>
          <w:color w:val="000000"/>
          <w:kern w:val="0"/>
          <w:sz w:val="18"/>
          <w:szCs w:val="18"/>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19</w:t>
      </w:r>
      <w:r>
        <w:rPr>
          <w:rFonts w:hint="eastAsia" w:ascii="宋体" w:hAnsi="宋体" w:eastAsia="宋体" w:cs="宋体"/>
          <w:color w:val="000000"/>
          <w:kern w:val="0"/>
          <w:sz w:val="18"/>
          <w:szCs w:val="18"/>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 w:val="18"/>
          <w:szCs w:val="18"/>
          <w:lang w:val="en-US" w:eastAsia="zh-CN"/>
        </w:rPr>
        <w:t>个工作日</w:t>
      </w:r>
      <w:r>
        <w:rPr>
          <w:rFonts w:hint="eastAsia" w:ascii="宋体" w:hAnsi="宋体" w:eastAsia="宋体" w:cs="宋体"/>
          <w:color w:val="000000"/>
          <w:kern w:val="0"/>
          <w:sz w:val="18"/>
          <w:szCs w:val="18"/>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kern w:val="0"/>
          <w:sz w:val="18"/>
          <w:szCs w:val="18"/>
        </w:rPr>
        <w:t>2</w:t>
      </w:r>
      <w:r>
        <w:rPr>
          <w:rFonts w:hint="eastAsia" w:ascii="宋体" w:hAnsi="宋体" w:eastAsia="宋体" w:cs="宋体"/>
          <w:color w:val="000000"/>
          <w:kern w:val="0"/>
          <w:sz w:val="18"/>
          <w:szCs w:val="18"/>
          <w:lang w:val="en-US" w:eastAsia="zh-CN"/>
        </w:rPr>
        <w:t>0</w:t>
      </w:r>
      <w:r>
        <w:rPr>
          <w:rFonts w:hint="eastAsia" w:ascii="宋体" w:hAnsi="宋体" w:eastAsia="宋体" w:cs="宋体"/>
          <w:color w:val="000000"/>
          <w:kern w:val="0"/>
          <w:sz w:val="18"/>
          <w:szCs w:val="18"/>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43</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eastAsia="宋体" w:cs="宋体"/>
                <w:sz w:val="21"/>
                <w:szCs w:val="21"/>
                <w:highlight w:val="none"/>
                <w:u w:val="single"/>
              </w:rPr>
              <w:t xml:space="preserve">  </w:t>
            </w:r>
            <w:r>
              <w:rPr>
                <w:rFonts w:hint="eastAsia" w:ascii="宋体" w:hAnsi="宋体" w:cs="宋体"/>
                <w:color w:val="FF0000"/>
                <w:sz w:val="21"/>
                <w:szCs w:val="21"/>
                <w:highlight w:val="none"/>
                <w:u w:val="single"/>
                <w:lang w:val="en-US" w:eastAsia="zh-CN"/>
              </w:rPr>
              <w:t>2</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eastAsia="宋体" w:cs="宋体"/>
                <w:color w:val="FF0000"/>
                <w:sz w:val="21"/>
                <w:szCs w:val="21"/>
                <w:highlight w:val="none"/>
                <w:u w:val="single"/>
              </w:rPr>
              <w:t xml:space="preserve"> </w:t>
            </w:r>
            <w:r>
              <w:rPr>
                <w:rFonts w:hint="eastAsia" w:ascii="宋体" w:hAnsi="宋体" w:cs="宋体"/>
                <w:color w:val="FF0000"/>
                <w:sz w:val="21"/>
                <w:szCs w:val="21"/>
                <w:highlight w:val="none"/>
                <w:u w:val="single"/>
                <w:lang w:val="en-US" w:eastAsia="zh-CN"/>
              </w:rPr>
              <w:t>1</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8</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5835D932">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F03CACD">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8</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每满足一项内容得1分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最高得3分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39E74609">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430992E">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74194D3B">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sz w:val="32"/>
          <w:szCs w:val="32"/>
        </w:rPr>
      </w:pPr>
      <w:r>
        <w:rPr>
          <w:rFonts w:hint="eastAsia" w:ascii="宋体" w:hAnsi="宋体"/>
          <w:b/>
          <w:bCs/>
          <w:sz w:val="32"/>
          <w:szCs w:val="32"/>
        </w:rPr>
        <w:t>血浆解冻箱</w:t>
      </w:r>
    </w:p>
    <w:p w14:paraId="094FE005">
      <w:pPr>
        <w:tabs>
          <w:tab w:val="left" w:pos="425"/>
        </w:tabs>
        <w:rPr>
          <w:rFonts w:asciiTheme="minorEastAsia" w:hAnsiTheme="minorEastAsia" w:eastAsiaTheme="minorEastAsia"/>
          <w:b/>
          <w:szCs w:val="21"/>
          <w:highlight w:val="none"/>
          <w:lang w:val="en-US"/>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预算单价</w:t>
      </w:r>
      <w:r>
        <w:rPr>
          <w:rFonts w:asciiTheme="minorEastAsia" w:hAnsiTheme="minorEastAsia" w:eastAsiaTheme="minorEastAsia"/>
          <w:b/>
          <w:szCs w:val="21"/>
          <w:highlight w:val="none"/>
        </w:rPr>
        <w:t>】</w:t>
      </w:r>
    </w:p>
    <w:p w14:paraId="14CF74DB">
      <w:pPr>
        <w:tabs>
          <w:tab w:val="left" w:pos="425"/>
        </w:tabs>
        <w:ind w:firstLine="420" w:firstLineChars="200"/>
        <w:rPr>
          <w:rFonts w:hint="default" w:asciiTheme="minorEastAsia" w:hAnsiTheme="minorEastAsia" w:eastAsiaTheme="minorEastAsia"/>
          <w:b w:val="0"/>
          <w:bCs/>
          <w:szCs w:val="21"/>
          <w:highlight w:val="none"/>
          <w:lang w:val="en-US" w:eastAsia="zh-CN"/>
        </w:rPr>
      </w:pPr>
      <w:r>
        <w:rPr>
          <w:rFonts w:hint="eastAsia" w:asciiTheme="minorEastAsia" w:hAnsiTheme="minorEastAsia" w:eastAsiaTheme="minorEastAsia"/>
          <w:b w:val="0"/>
          <w:bCs/>
          <w:szCs w:val="21"/>
          <w:highlight w:val="none"/>
          <w:lang w:val="en-US" w:eastAsia="zh-CN"/>
        </w:rPr>
        <w:t>5.5万元/套。</w:t>
      </w:r>
    </w:p>
    <w:p w14:paraId="338360DF">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5"/>
        <w:tblpPr w:leftFromText="180" w:rightFromText="180" w:vertAnchor="text" w:horzAnchor="page" w:tblpX="2175" w:tblpY="523"/>
        <w:tblOverlap w:val="never"/>
        <w:tblW w:w="7651" w:type="dxa"/>
        <w:tblInd w:w="0" w:type="dxa"/>
        <w:tblLayout w:type="fixed"/>
        <w:tblCellMar>
          <w:top w:w="15" w:type="dxa"/>
          <w:left w:w="15" w:type="dxa"/>
          <w:bottom w:w="15" w:type="dxa"/>
          <w:right w:w="15" w:type="dxa"/>
        </w:tblCellMar>
      </w:tblPr>
      <w:tblGrid>
        <w:gridCol w:w="1250"/>
        <w:gridCol w:w="4129"/>
        <w:gridCol w:w="787"/>
        <w:gridCol w:w="1485"/>
      </w:tblGrid>
      <w:tr w14:paraId="60A9F482">
        <w:tblPrEx>
          <w:tblCellMar>
            <w:top w:w="15" w:type="dxa"/>
            <w:left w:w="15" w:type="dxa"/>
            <w:bottom w:w="15" w:type="dxa"/>
            <w:right w:w="15" w:type="dxa"/>
          </w:tblCellMar>
        </w:tblPrEx>
        <w:trPr>
          <w:trHeight w:val="556" w:hRule="atLeast"/>
        </w:trPr>
        <w:tc>
          <w:tcPr>
            <w:tcW w:w="1250" w:type="dxa"/>
            <w:tcBorders>
              <w:top w:val="single" w:color="000000" w:sz="4" w:space="0"/>
              <w:left w:val="single" w:color="000000" w:sz="4" w:space="0"/>
              <w:bottom w:val="single" w:color="000000" w:sz="4" w:space="0"/>
              <w:right w:val="single" w:color="auto" w:sz="4" w:space="0"/>
            </w:tcBorders>
            <w:shd w:val="clear" w:color="auto" w:fill="C6D9F1"/>
            <w:noWrap w:val="0"/>
            <w:vAlign w:val="center"/>
          </w:tcPr>
          <w:p w14:paraId="74928328">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序号</w:t>
            </w:r>
          </w:p>
        </w:tc>
        <w:tc>
          <w:tcPr>
            <w:tcW w:w="4129" w:type="dxa"/>
            <w:tcBorders>
              <w:top w:val="single" w:color="000000" w:sz="4" w:space="0"/>
              <w:left w:val="single" w:color="auto" w:sz="4" w:space="0"/>
              <w:bottom w:val="single" w:color="000000" w:sz="4" w:space="0"/>
              <w:right w:val="single" w:color="000000" w:sz="4" w:space="0"/>
            </w:tcBorders>
            <w:shd w:val="clear" w:color="auto" w:fill="C6D9F1"/>
            <w:noWrap w:val="0"/>
            <w:vAlign w:val="center"/>
          </w:tcPr>
          <w:p w14:paraId="45AC9F65">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货物名称</w:t>
            </w:r>
          </w:p>
        </w:tc>
        <w:tc>
          <w:tcPr>
            <w:tcW w:w="787"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0345F075">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单位</w:t>
            </w:r>
          </w:p>
        </w:tc>
        <w:tc>
          <w:tcPr>
            <w:tcW w:w="1485"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3DA246AD">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数 量</w:t>
            </w:r>
          </w:p>
        </w:tc>
      </w:tr>
      <w:tr w14:paraId="2BE0466B">
        <w:tblPrEx>
          <w:tblCellMar>
            <w:top w:w="15" w:type="dxa"/>
            <w:left w:w="15" w:type="dxa"/>
            <w:bottom w:w="15" w:type="dxa"/>
            <w:right w:w="15" w:type="dxa"/>
          </w:tblCellMar>
        </w:tblPrEx>
        <w:trPr>
          <w:trHeight w:val="91" w:hRule="atLeast"/>
        </w:trPr>
        <w:tc>
          <w:tcPr>
            <w:tcW w:w="5379" w:type="dxa"/>
            <w:gridSpan w:val="2"/>
            <w:tcBorders>
              <w:top w:val="single" w:color="000000" w:sz="4" w:space="0"/>
              <w:left w:val="single" w:color="000000" w:sz="4" w:space="0"/>
              <w:bottom w:val="single" w:color="000000" w:sz="4" w:space="0"/>
              <w:right w:val="single" w:color="000000" w:sz="4" w:space="0"/>
            </w:tcBorders>
            <w:noWrap w:val="0"/>
            <w:vAlign w:val="center"/>
          </w:tcPr>
          <w:p w14:paraId="068ADC0B">
            <w:pPr>
              <w:widowControl/>
              <w:spacing w:after="60"/>
              <w:jc w:val="center"/>
              <w:textAlignment w:val="center"/>
              <w:rPr>
                <w:rFonts w:ascii="宋体" w:hAnsi="宋体" w:cs="宋体"/>
                <w:b/>
                <w:bCs/>
                <w:kern w:val="0"/>
                <w:szCs w:val="21"/>
              </w:rPr>
            </w:pPr>
            <w:r>
              <w:rPr>
                <w:rFonts w:hint="eastAsia" w:ascii="宋体" w:hAnsi="宋体"/>
                <w:sz w:val="24"/>
                <w:szCs w:val="28"/>
              </w:rPr>
              <w:t>血浆解冻箱</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1C81EDBD">
            <w:pPr>
              <w:widowControl/>
              <w:spacing w:after="60"/>
              <w:jc w:val="center"/>
              <w:textAlignment w:val="center"/>
              <w:rPr>
                <w:rFonts w:hint="eastAsia" w:ascii="宋体" w:hAnsi="宋体" w:cs="宋体"/>
                <w:bCs/>
                <w:kern w:val="0"/>
                <w:szCs w:val="21"/>
              </w:rPr>
            </w:pPr>
            <w:r>
              <w:rPr>
                <w:rFonts w:hint="eastAsia" w:ascii="宋体" w:hAnsi="宋体" w:cs="宋体"/>
                <w:bCs/>
                <w:kern w:val="0"/>
                <w:szCs w:val="21"/>
              </w:rPr>
              <w:t>套</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45D123B">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r>
      <w:tr w14:paraId="0D15DB15">
        <w:tblPrEx>
          <w:tblCellMar>
            <w:top w:w="15" w:type="dxa"/>
            <w:left w:w="15" w:type="dxa"/>
            <w:bottom w:w="15" w:type="dxa"/>
            <w:right w:w="15" w:type="dxa"/>
          </w:tblCellMar>
        </w:tblPrEx>
        <w:trPr>
          <w:trHeight w:val="173" w:hRule="atLeast"/>
        </w:trPr>
        <w:tc>
          <w:tcPr>
            <w:tcW w:w="1250" w:type="dxa"/>
            <w:tcBorders>
              <w:top w:val="single" w:color="000000" w:sz="4" w:space="0"/>
              <w:left w:val="single" w:color="000000" w:sz="4" w:space="0"/>
              <w:bottom w:val="single" w:color="auto" w:sz="4" w:space="0"/>
              <w:right w:val="single" w:color="auto" w:sz="4" w:space="0"/>
            </w:tcBorders>
            <w:noWrap w:val="0"/>
            <w:vAlign w:val="center"/>
          </w:tcPr>
          <w:p w14:paraId="27A35207">
            <w:pPr>
              <w:widowControl/>
              <w:adjustRightInd w:val="0"/>
              <w:spacing w:after="78"/>
              <w:jc w:val="center"/>
              <w:rPr>
                <w:rFonts w:hint="eastAsia" w:ascii="宋体" w:hAnsi="宋体" w:cs="宋体"/>
                <w:szCs w:val="21"/>
              </w:rPr>
            </w:pPr>
            <w:r>
              <w:rPr>
                <w:rFonts w:hint="eastAsia" w:ascii="宋体" w:hAnsi="宋体" w:cs="宋体"/>
                <w:szCs w:val="21"/>
              </w:rPr>
              <w:t>一</w:t>
            </w:r>
          </w:p>
        </w:tc>
        <w:tc>
          <w:tcPr>
            <w:tcW w:w="4129" w:type="dxa"/>
            <w:tcBorders>
              <w:top w:val="single" w:color="000000" w:sz="4" w:space="0"/>
              <w:left w:val="single" w:color="auto" w:sz="4" w:space="0"/>
              <w:bottom w:val="single" w:color="auto" w:sz="4" w:space="0"/>
              <w:right w:val="single" w:color="000000" w:sz="4" w:space="0"/>
            </w:tcBorders>
            <w:noWrap w:val="0"/>
            <w:vAlign w:val="center"/>
          </w:tcPr>
          <w:p w14:paraId="09EABB8B">
            <w:pPr>
              <w:pStyle w:val="10"/>
              <w:spacing w:after="78"/>
              <w:rPr>
                <w:rFonts w:hint="eastAsia" w:cs="宋体"/>
                <w:color w:val="auto"/>
                <w:szCs w:val="21"/>
              </w:rPr>
            </w:pPr>
            <w:r>
              <w:rPr>
                <w:rFonts w:hint="eastAsia"/>
                <w:sz w:val="24"/>
                <w:szCs w:val="28"/>
              </w:rPr>
              <w:t>冰冻血浆解冻箱</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14:paraId="474902D1">
            <w:pPr>
              <w:spacing w:after="78"/>
              <w:jc w:val="center"/>
              <w:rPr>
                <w:rFonts w:hint="eastAsia" w:ascii="宋体" w:hAnsi="宋体" w:cs="宋体"/>
                <w:szCs w:val="21"/>
                <w:highlight w:val="yellow"/>
              </w:rPr>
            </w:pPr>
            <w:r>
              <w:rPr>
                <w:rFonts w:hint="eastAsia" w:ascii="宋体" w:hAnsi="宋体" w:cs="宋体"/>
                <w:szCs w:val="21"/>
              </w:rPr>
              <w:t>台</w:t>
            </w:r>
          </w:p>
        </w:tc>
        <w:tc>
          <w:tcPr>
            <w:tcW w:w="1485" w:type="dxa"/>
            <w:tcBorders>
              <w:top w:val="single" w:color="000000" w:sz="4" w:space="0"/>
              <w:left w:val="single" w:color="000000" w:sz="4" w:space="0"/>
              <w:bottom w:val="single" w:color="auto" w:sz="4" w:space="0"/>
              <w:right w:val="single" w:color="000000" w:sz="4" w:space="0"/>
            </w:tcBorders>
            <w:noWrap w:val="0"/>
            <w:vAlign w:val="center"/>
          </w:tcPr>
          <w:p w14:paraId="46BD2DDD">
            <w:pPr>
              <w:widowControl/>
              <w:spacing w:after="60"/>
              <w:jc w:val="center"/>
              <w:textAlignment w:val="center"/>
              <w:rPr>
                <w:rFonts w:ascii="宋体" w:hAnsi="宋体" w:cs="宋体"/>
                <w:bCs/>
                <w:kern w:val="0"/>
                <w:szCs w:val="21"/>
                <w:highlight w:val="yellow"/>
              </w:rPr>
            </w:pPr>
            <w:r>
              <w:rPr>
                <w:rFonts w:hint="eastAsia" w:ascii="宋体" w:hAnsi="宋体" w:cs="宋体"/>
                <w:bCs/>
                <w:kern w:val="0"/>
                <w:szCs w:val="21"/>
              </w:rPr>
              <w:t>1</w:t>
            </w:r>
          </w:p>
        </w:tc>
      </w:tr>
      <w:tr w14:paraId="30020507">
        <w:tblPrEx>
          <w:tblCellMar>
            <w:top w:w="15" w:type="dxa"/>
            <w:left w:w="15" w:type="dxa"/>
            <w:bottom w:w="15" w:type="dxa"/>
            <w:right w:w="15" w:type="dxa"/>
          </w:tblCellMar>
        </w:tblPrEx>
        <w:trPr>
          <w:trHeight w:val="181" w:hRule="atLeast"/>
        </w:trPr>
        <w:tc>
          <w:tcPr>
            <w:tcW w:w="1250" w:type="dxa"/>
            <w:tcBorders>
              <w:top w:val="single" w:color="auto" w:sz="4" w:space="0"/>
              <w:left w:val="single" w:color="000000" w:sz="4" w:space="0"/>
              <w:bottom w:val="single" w:color="auto" w:sz="4" w:space="0"/>
              <w:right w:val="single" w:color="auto" w:sz="4" w:space="0"/>
            </w:tcBorders>
            <w:noWrap w:val="0"/>
            <w:vAlign w:val="center"/>
          </w:tcPr>
          <w:p w14:paraId="75052F40">
            <w:pPr>
              <w:widowControl/>
              <w:adjustRightInd w:val="0"/>
              <w:spacing w:after="78"/>
              <w:jc w:val="center"/>
              <w:rPr>
                <w:rFonts w:hint="eastAsia" w:ascii="宋体" w:hAnsi="宋体" w:cs="宋体"/>
                <w:szCs w:val="21"/>
              </w:rPr>
            </w:pPr>
            <w:r>
              <w:rPr>
                <w:rFonts w:hint="eastAsia" w:ascii="宋体" w:hAnsi="宋体" w:cs="宋体"/>
                <w:szCs w:val="21"/>
              </w:rPr>
              <w:t>二</w:t>
            </w:r>
          </w:p>
        </w:tc>
        <w:tc>
          <w:tcPr>
            <w:tcW w:w="4129" w:type="dxa"/>
            <w:tcBorders>
              <w:top w:val="single" w:color="auto" w:sz="4" w:space="0"/>
              <w:left w:val="single" w:color="auto" w:sz="4" w:space="0"/>
              <w:right w:val="single" w:color="000000" w:sz="4" w:space="0"/>
            </w:tcBorders>
            <w:noWrap w:val="0"/>
            <w:vAlign w:val="center"/>
          </w:tcPr>
          <w:p w14:paraId="56C64FE7">
            <w:pPr>
              <w:pStyle w:val="10"/>
              <w:spacing w:after="78"/>
              <w:rPr>
                <w:rFonts w:hint="eastAsia" w:cs="宋体"/>
                <w:color w:val="auto"/>
                <w:szCs w:val="21"/>
              </w:rPr>
            </w:pPr>
            <w:r>
              <w:rPr>
                <w:rFonts w:hint="eastAsia"/>
                <w:sz w:val="24"/>
                <w:szCs w:val="28"/>
              </w:rPr>
              <w:t>解冻专用板、袋</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4C981F65">
            <w:pPr>
              <w:spacing w:after="78"/>
              <w:jc w:val="center"/>
              <w:rPr>
                <w:rFonts w:hint="eastAsia" w:ascii="宋体" w:hAnsi="宋体" w:cs="宋体"/>
                <w:szCs w:val="21"/>
              </w:rPr>
            </w:pPr>
            <w:r>
              <w:rPr>
                <w:rFonts w:hint="eastAsia" w:ascii="宋体" w:hAnsi="宋体" w:cs="宋体"/>
                <w:szCs w:val="21"/>
              </w:rPr>
              <w:t>套</w:t>
            </w:r>
          </w:p>
        </w:tc>
        <w:tc>
          <w:tcPr>
            <w:tcW w:w="1485" w:type="dxa"/>
            <w:tcBorders>
              <w:top w:val="single" w:color="auto" w:sz="4" w:space="0"/>
              <w:left w:val="single" w:color="000000" w:sz="4" w:space="0"/>
              <w:bottom w:val="single" w:color="auto" w:sz="4" w:space="0"/>
              <w:right w:val="single" w:color="000000" w:sz="4" w:space="0"/>
            </w:tcBorders>
            <w:noWrap w:val="0"/>
            <w:vAlign w:val="center"/>
          </w:tcPr>
          <w:p w14:paraId="2182A687">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r>
      <w:tr w14:paraId="5D18B84E">
        <w:tblPrEx>
          <w:tblCellMar>
            <w:top w:w="15" w:type="dxa"/>
            <w:left w:w="15" w:type="dxa"/>
            <w:bottom w:w="15" w:type="dxa"/>
            <w:right w:w="15" w:type="dxa"/>
          </w:tblCellMar>
        </w:tblPrEx>
        <w:trPr>
          <w:trHeight w:val="181" w:hRule="atLeast"/>
        </w:trPr>
        <w:tc>
          <w:tcPr>
            <w:tcW w:w="1250" w:type="dxa"/>
            <w:tcBorders>
              <w:top w:val="single" w:color="auto" w:sz="4" w:space="0"/>
              <w:left w:val="single" w:color="000000" w:sz="4" w:space="0"/>
              <w:bottom w:val="single" w:color="auto" w:sz="4" w:space="0"/>
              <w:right w:val="single" w:color="auto" w:sz="4" w:space="0"/>
            </w:tcBorders>
            <w:noWrap w:val="0"/>
            <w:vAlign w:val="center"/>
          </w:tcPr>
          <w:p w14:paraId="13D58052">
            <w:pPr>
              <w:widowControl/>
              <w:adjustRightInd w:val="0"/>
              <w:spacing w:after="78"/>
              <w:jc w:val="center"/>
              <w:rPr>
                <w:rFonts w:hint="eastAsia" w:ascii="宋体" w:hAnsi="宋体" w:cs="宋体"/>
                <w:szCs w:val="21"/>
              </w:rPr>
            </w:pPr>
            <w:r>
              <w:rPr>
                <w:rFonts w:hint="eastAsia" w:ascii="宋体" w:hAnsi="宋体" w:cs="宋体"/>
                <w:szCs w:val="21"/>
              </w:rPr>
              <w:t>三</w:t>
            </w:r>
          </w:p>
        </w:tc>
        <w:tc>
          <w:tcPr>
            <w:tcW w:w="4129" w:type="dxa"/>
            <w:tcBorders>
              <w:top w:val="single" w:color="auto" w:sz="4" w:space="0"/>
              <w:left w:val="single" w:color="auto" w:sz="4" w:space="0"/>
              <w:right w:val="single" w:color="000000" w:sz="4" w:space="0"/>
            </w:tcBorders>
            <w:noWrap w:val="0"/>
            <w:vAlign w:val="center"/>
          </w:tcPr>
          <w:p w14:paraId="3D768A0A">
            <w:pPr>
              <w:pStyle w:val="10"/>
              <w:spacing w:after="78"/>
              <w:rPr>
                <w:rFonts w:hint="eastAsia" w:cs="宋体"/>
                <w:color w:val="auto"/>
                <w:szCs w:val="21"/>
              </w:rPr>
            </w:pPr>
            <w:r>
              <w:rPr>
                <w:rFonts w:hint="eastAsia"/>
                <w:sz w:val="24"/>
                <w:szCs w:val="28"/>
              </w:rPr>
              <w:t>进水管</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17609269">
            <w:pPr>
              <w:spacing w:after="78"/>
              <w:jc w:val="center"/>
              <w:rPr>
                <w:rFonts w:hint="eastAsia" w:ascii="宋体" w:hAnsi="宋体" w:cs="宋体"/>
                <w:szCs w:val="21"/>
              </w:rPr>
            </w:pPr>
            <w:r>
              <w:rPr>
                <w:rFonts w:hint="eastAsia" w:ascii="宋体" w:hAnsi="宋体" w:cs="宋体"/>
                <w:szCs w:val="21"/>
              </w:rPr>
              <w:t>根</w:t>
            </w:r>
          </w:p>
        </w:tc>
        <w:tc>
          <w:tcPr>
            <w:tcW w:w="1485" w:type="dxa"/>
            <w:tcBorders>
              <w:top w:val="single" w:color="auto" w:sz="4" w:space="0"/>
              <w:left w:val="single" w:color="000000" w:sz="4" w:space="0"/>
              <w:bottom w:val="single" w:color="auto" w:sz="4" w:space="0"/>
              <w:right w:val="single" w:color="000000" w:sz="4" w:space="0"/>
            </w:tcBorders>
            <w:noWrap w:val="0"/>
            <w:vAlign w:val="center"/>
          </w:tcPr>
          <w:p w14:paraId="18F28626">
            <w:pPr>
              <w:widowControl/>
              <w:spacing w:after="60"/>
              <w:jc w:val="center"/>
              <w:textAlignment w:val="center"/>
              <w:rPr>
                <w:rFonts w:ascii="宋体" w:hAnsi="宋体" w:cs="宋体"/>
                <w:bCs/>
                <w:color w:val="000000"/>
                <w:kern w:val="0"/>
                <w:szCs w:val="21"/>
              </w:rPr>
            </w:pPr>
            <w:r>
              <w:rPr>
                <w:rFonts w:hint="eastAsia" w:ascii="宋体" w:hAnsi="宋体" w:cs="宋体"/>
                <w:bCs/>
                <w:color w:val="000000"/>
                <w:kern w:val="0"/>
                <w:szCs w:val="21"/>
              </w:rPr>
              <w:t>1</w:t>
            </w:r>
          </w:p>
        </w:tc>
      </w:tr>
      <w:tr w14:paraId="093162CD">
        <w:tblPrEx>
          <w:tblCellMar>
            <w:top w:w="15" w:type="dxa"/>
            <w:left w:w="15" w:type="dxa"/>
            <w:bottom w:w="15" w:type="dxa"/>
            <w:right w:w="15" w:type="dxa"/>
          </w:tblCellMar>
        </w:tblPrEx>
        <w:trPr>
          <w:trHeight w:val="181" w:hRule="atLeast"/>
        </w:trPr>
        <w:tc>
          <w:tcPr>
            <w:tcW w:w="1250" w:type="dxa"/>
            <w:tcBorders>
              <w:top w:val="single" w:color="auto" w:sz="4" w:space="0"/>
              <w:left w:val="single" w:color="000000" w:sz="4" w:space="0"/>
              <w:right w:val="single" w:color="000000" w:sz="4" w:space="0"/>
            </w:tcBorders>
            <w:noWrap w:val="0"/>
            <w:vAlign w:val="center"/>
          </w:tcPr>
          <w:p w14:paraId="684FF1FF">
            <w:pPr>
              <w:widowControl/>
              <w:adjustRightInd w:val="0"/>
              <w:spacing w:after="78"/>
              <w:jc w:val="center"/>
              <w:rPr>
                <w:rFonts w:hint="eastAsia" w:ascii="宋体" w:hAnsi="宋体" w:cs="宋体"/>
                <w:szCs w:val="21"/>
              </w:rPr>
            </w:pPr>
            <w:r>
              <w:rPr>
                <w:rFonts w:hint="eastAsia" w:ascii="宋体" w:hAnsi="宋体" w:cs="宋体"/>
                <w:szCs w:val="21"/>
              </w:rPr>
              <w:t>四</w:t>
            </w:r>
          </w:p>
        </w:tc>
        <w:tc>
          <w:tcPr>
            <w:tcW w:w="4129" w:type="dxa"/>
            <w:tcBorders>
              <w:top w:val="single" w:color="auto" w:sz="4" w:space="0"/>
              <w:left w:val="single" w:color="000000" w:sz="4" w:space="0"/>
              <w:right w:val="single" w:color="000000" w:sz="4" w:space="0"/>
            </w:tcBorders>
            <w:noWrap w:val="0"/>
            <w:vAlign w:val="center"/>
          </w:tcPr>
          <w:p w14:paraId="52DDE9A7">
            <w:pPr>
              <w:pStyle w:val="10"/>
              <w:spacing w:after="78"/>
              <w:rPr>
                <w:rFonts w:hint="eastAsia" w:cs="宋体"/>
                <w:color w:val="auto"/>
                <w:szCs w:val="21"/>
              </w:rPr>
            </w:pPr>
            <w:r>
              <w:rPr>
                <w:rFonts w:hint="eastAsia"/>
                <w:sz w:val="24"/>
                <w:szCs w:val="28"/>
              </w:rPr>
              <w:t>排水管</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37578DA4">
            <w:pPr>
              <w:spacing w:after="78"/>
              <w:jc w:val="center"/>
              <w:rPr>
                <w:rFonts w:hint="eastAsia" w:ascii="宋体" w:hAnsi="宋体" w:cs="宋体"/>
                <w:szCs w:val="21"/>
              </w:rPr>
            </w:pPr>
            <w:r>
              <w:rPr>
                <w:rFonts w:hint="eastAsia" w:ascii="宋体" w:hAnsi="宋体" w:cs="宋体"/>
                <w:szCs w:val="21"/>
              </w:rPr>
              <w:t>根</w:t>
            </w:r>
          </w:p>
        </w:tc>
        <w:tc>
          <w:tcPr>
            <w:tcW w:w="1485" w:type="dxa"/>
            <w:tcBorders>
              <w:top w:val="single" w:color="auto" w:sz="4" w:space="0"/>
              <w:left w:val="single" w:color="000000" w:sz="4" w:space="0"/>
              <w:bottom w:val="single" w:color="auto" w:sz="4" w:space="0"/>
              <w:right w:val="single" w:color="000000" w:sz="4" w:space="0"/>
            </w:tcBorders>
            <w:noWrap w:val="0"/>
            <w:vAlign w:val="center"/>
          </w:tcPr>
          <w:p w14:paraId="7548AEDB">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31E6D367">
        <w:tblPrEx>
          <w:tblCellMar>
            <w:top w:w="15" w:type="dxa"/>
            <w:left w:w="15" w:type="dxa"/>
            <w:bottom w:w="15" w:type="dxa"/>
            <w:right w:w="15" w:type="dxa"/>
          </w:tblCellMar>
        </w:tblPrEx>
        <w:trPr>
          <w:trHeight w:val="91" w:hRule="atLeast"/>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60D9D9A0">
            <w:pPr>
              <w:widowControl/>
              <w:adjustRightInd w:val="0"/>
              <w:spacing w:after="78"/>
              <w:jc w:val="center"/>
              <w:rPr>
                <w:rFonts w:hint="eastAsia" w:ascii="宋体" w:hAnsi="宋体" w:cs="宋体"/>
                <w:szCs w:val="21"/>
              </w:rPr>
            </w:pPr>
            <w:r>
              <w:rPr>
                <w:rFonts w:hint="eastAsia" w:ascii="宋体" w:hAnsi="宋体" w:cs="宋体"/>
                <w:szCs w:val="21"/>
              </w:rPr>
              <w:t>五</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1C75A417">
            <w:pPr>
              <w:pStyle w:val="10"/>
              <w:spacing w:after="78"/>
              <w:rPr>
                <w:rFonts w:hint="eastAsia" w:eastAsia="宋体" w:cs="宋体"/>
                <w:color w:val="auto"/>
                <w:szCs w:val="21"/>
                <w:lang w:val="en-US" w:eastAsia="zh-CN"/>
              </w:rPr>
            </w:pPr>
            <w:r>
              <w:rPr>
                <w:rFonts w:hint="eastAsia"/>
                <w:sz w:val="24"/>
                <w:szCs w:val="28"/>
              </w:rPr>
              <w:t>保险丝管</w:t>
            </w:r>
            <w:r>
              <w:rPr>
                <w:rFonts w:hint="eastAsia"/>
                <w:sz w:val="24"/>
                <w:szCs w:val="28"/>
                <w:lang w:val="en-US" w:eastAsia="zh-CN"/>
              </w:rPr>
              <w:t>1</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6C4A07F9">
            <w:pPr>
              <w:spacing w:after="78"/>
              <w:jc w:val="center"/>
              <w:rPr>
                <w:rFonts w:hint="eastAsia" w:ascii="宋体" w:hAnsi="宋体" w:cs="宋体"/>
                <w:szCs w:val="21"/>
              </w:rPr>
            </w:pPr>
            <w:r>
              <w:rPr>
                <w:rFonts w:hint="eastAsia" w:ascii="宋体" w:hAnsi="宋体" w:cs="宋体"/>
                <w:szCs w:val="21"/>
              </w:rPr>
              <w:t>只</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4B58552">
            <w:pPr>
              <w:widowControl/>
              <w:spacing w:after="60"/>
              <w:jc w:val="center"/>
              <w:textAlignment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val="en-US" w:eastAsia="zh-CN"/>
              </w:rPr>
              <w:t>2</w:t>
            </w:r>
          </w:p>
        </w:tc>
      </w:tr>
      <w:tr w14:paraId="4579EF56">
        <w:tblPrEx>
          <w:tblCellMar>
            <w:top w:w="15" w:type="dxa"/>
            <w:left w:w="15" w:type="dxa"/>
            <w:bottom w:w="15" w:type="dxa"/>
            <w:right w:w="15" w:type="dxa"/>
          </w:tblCellMar>
        </w:tblPrEx>
        <w:trPr>
          <w:trHeight w:val="91" w:hRule="atLeast"/>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7A8FB93D">
            <w:pPr>
              <w:widowControl/>
              <w:adjustRightInd w:val="0"/>
              <w:spacing w:after="78"/>
              <w:jc w:val="center"/>
              <w:rPr>
                <w:rFonts w:hint="eastAsia" w:ascii="宋体" w:hAnsi="宋体" w:eastAsia="宋体" w:cs="宋体"/>
                <w:szCs w:val="21"/>
                <w:lang w:val="en-US" w:eastAsia="zh-CN"/>
              </w:rPr>
            </w:pPr>
            <w:r>
              <w:rPr>
                <w:rFonts w:hint="eastAsia" w:ascii="宋体" w:hAnsi="宋体" w:cs="宋体"/>
                <w:szCs w:val="21"/>
                <w:lang w:val="en-US" w:eastAsia="zh-CN"/>
              </w:rPr>
              <w:t>六</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76552104">
            <w:pPr>
              <w:pStyle w:val="10"/>
              <w:spacing w:after="78"/>
              <w:rPr>
                <w:rFonts w:hint="eastAsia"/>
                <w:sz w:val="24"/>
                <w:szCs w:val="28"/>
              </w:rPr>
            </w:pPr>
            <w:r>
              <w:rPr>
                <w:rFonts w:hint="eastAsia"/>
                <w:sz w:val="24"/>
                <w:szCs w:val="28"/>
              </w:rPr>
              <w:t>保险丝管</w:t>
            </w:r>
            <w:r>
              <w:rPr>
                <w:rFonts w:hint="eastAsia"/>
                <w:sz w:val="24"/>
                <w:szCs w:val="28"/>
                <w:lang w:val="en-US" w:eastAsia="zh-CN"/>
              </w:rPr>
              <w:t>2</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DF1F2F1">
            <w:pPr>
              <w:spacing w:after="78"/>
              <w:jc w:val="center"/>
              <w:rPr>
                <w:rFonts w:hint="eastAsia" w:ascii="宋体" w:hAnsi="宋体" w:eastAsia="宋体" w:cs="宋体"/>
                <w:szCs w:val="21"/>
                <w:lang w:val="en-US" w:eastAsia="zh-CN"/>
              </w:rPr>
            </w:pPr>
            <w:r>
              <w:rPr>
                <w:rFonts w:hint="eastAsia" w:ascii="宋体" w:hAnsi="宋体" w:cs="宋体"/>
                <w:szCs w:val="21"/>
                <w:lang w:val="en-US" w:eastAsia="zh-CN"/>
              </w:rPr>
              <w:t>只</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2DAED2A">
            <w:pPr>
              <w:widowControl/>
              <w:spacing w:after="60"/>
              <w:jc w:val="center"/>
              <w:textAlignment w:val="center"/>
              <w:rPr>
                <w:rFonts w:hint="eastAsia"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w:t>
            </w:r>
          </w:p>
        </w:tc>
      </w:tr>
      <w:tr w14:paraId="6D4EF095">
        <w:tblPrEx>
          <w:tblCellMar>
            <w:top w:w="15" w:type="dxa"/>
            <w:left w:w="15" w:type="dxa"/>
            <w:bottom w:w="15" w:type="dxa"/>
            <w:right w:w="15" w:type="dxa"/>
          </w:tblCellMar>
        </w:tblPrEx>
        <w:trPr>
          <w:trHeight w:val="91" w:hRule="atLeast"/>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1EFF7D89">
            <w:pPr>
              <w:widowControl/>
              <w:adjustRightInd w:val="0"/>
              <w:spacing w:after="78"/>
              <w:jc w:val="center"/>
              <w:rPr>
                <w:rFonts w:hint="eastAsia" w:ascii="宋体" w:hAnsi="宋体" w:eastAsia="宋体" w:cs="宋体"/>
                <w:szCs w:val="21"/>
                <w:lang w:val="en-US" w:eastAsia="zh-CN"/>
              </w:rPr>
            </w:pPr>
            <w:r>
              <w:rPr>
                <w:rFonts w:hint="eastAsia" w:ascii="宋体" w:hAnsi="宋体" w:cs="宋体"/>
                <w:szCs w:val="21"/>
                <w:lang w:val="en-US" w:eastAsia="zh-CN"/>
              </w:rPr>
              <w:t>七</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28BD98DA">
            <w:pPr>
              <w:pStyle w:val="10"/>
              <w:spacing w:after="78"/>
              <w:rPr>
                <w:rFonts w:hint="eastAsia"/>
                <w:sz w:val="24"/>
                <w:szCs w:val="28"/>
              </w:rPr>
            </w:pPr>
            <w:r>
              <w:rPr>
                <w:rFonts w:hint="eastAsia"/>
                <w:sz w:val="24"/>
                <w:szCs w:val="28"/>
              </w:rPr>
              <w:t>保险丝管</w:t>
            </w:r>
            <w:r>
              <w:rPr>
                <w:rFonts w:hint="eastAsia"/>
                <w:sz w:val="24"/>
                <w:szCs w:val="28"/>
                <w:lang w:val="en-US" w:eastAsia="zh-CN"/>
              </w:rPr>
              <w:t>3</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091636B0">
            <w:pPr>
              <w:spacing w:after="78"/>
              <w:jc w:val="center"/>
              <w:rPr>
                <w:rFonts w:hint="eastAsia" w:ascii="宋体" w:hAnsi="宋体" w:eastAsia="宋体" w:cs="宋体"/>
                <w:szCs w:val="21"/>
                <w:lang w:val="en-US" w:eastAsia="zh-CN"/>
              </w:rPr>
            </w:pPr>
            <w:r>
              <w:rPr>
                <w:rFonts w:hint="eastAsia" w:ascii="宋体" w:hAnsi="宋体" w:cs="宋体"/>
                <w:szCs w:val="21"/>
                <w:lang w:val="en-US" w:eastAsia="zh-CN"/>
              </w:rPr>
              <w:t>只</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859ED16">
            <w:pPr>
              <w:widowControl/>
              <w:spacing w:after="60"/>
              <w:jc w:val="center"/>
              <w:textAlignment w:val="center"/>
              <w:rPr>
                <w:rFonts w:hint="eastAsia"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w:t>
            </w:r>
          </w:p>
        </w:tc>
      </w:tr>
      <w:tr w14:paraId="6CC92BC6">
        <w:tblPrEx>
          <w:tblCellMar>
            <w:top w:w="15" w:type="dxa"/>
            <w:left w:w="15" w:type="dxa"/>
            <w:bottom w:w="15" w:type="dxa"/>
            <w:right w:w="15" w:type="dxa"/>
          </w:tblCellMar>
        </w:tblPrEx>
        <w:trPr>
          <w:trHeight w:val="91" w:hRule="atLeast"/>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3758DD23">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八</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5DF4DA01">
            <w:pPr>
              <w:pStyle w:val="10"/>
              <w:spacing w:after="78"/>
              <w:rPr>
                <w:rFonts w:hint="eastAsia" w:cs="宋体"/>
                <w:color w:val="auto"/>
                <w:szCs w:val="21"/>
              </w:rPr>
            </w:pPr>
            <w:r>
              <w:rPr>
                <w:rFonts w:hint="eastAsia" w:cs="宋体"/>
                <w:szCs w:val="21"/>
              </w:rPr>
              <w:t>解冻袋</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C8281E4">
            <w:pPr>
              <w:spacing w:after="78"/>
              <w:jc w:val="center"/>
              <w:rPr>
                <w:rFonts w:hint="eastAsia" w:ascii="宋体" w:hAnsi="宋体" w:cs="宋体"/>
                <w:szCs w:val="21"/>
              </w:rPr>
            </w:pPr>
            <w:r>
              <w:rPr>
                <w:rFonts w:hint="eastAsia" w:ascii="宋体" w:hAnsi="宋体" w:cs="宋体"/>
                <w:szCs w:val="21"/>
              </w:rPr>
              <w:t>只</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CBA8883">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12</w:t>
            </w:r>
          </w:p>
        </w:tc>
      </w:tr>
    </w:tbl>
    <w:p w14:paraId="0C742CA9">
      <w:pPr>
        <w:tabs>
          <w:tab w:val="left" w:pos="425"/>
        </w:tabs>
        <w:rPr>
          <w:rFonts w:hint="eastAsia" w:asciiTheme="minorEastAsia" w:hAnsiTheme="minorEastAsia" w:eastAsiaTheme="minorEastAsia"/>
          <w:b/>
          <w:szCs w:val="21"/>
          <w:highlight w:val="yellow"/>
          <w:lang w:val="en-US" w:eastAsia="zh-CN"/>
        </w:rPr>
      </w:pPr>
    </w:p>
    <w:p w14:paraId="477A190E">
      <w:pPr>
        <w:tabs>
          <w:tab w:val="left" w:pos="425"/>
        </w:tabs>
        <w:ind w:firstLine="420" w:firstLineChars="200"/>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3B6D917F">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将血浆从小于-18℃的保存条件，融化升温至37℃的必须设备。融化过程中确保血浆成分活性，减少纤维蛋白析出，保障临床用血安全。智能控制系统均匀控温，无瞬间温差，无“热点”，具有声、光、弹窗三重超温报警并自动降温，能够迅速、充分、安全地融化血浆。</w:t>
      </w:r>
    </w:p>
    <w:p w14:paraId="482A7F17">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2、实时监测血浆解冻全过程，动态显示温度曲线和解冻时间。运行数据存储、传输和追溯。</w:t>
      </w:r>
    </w:p>
    <w:p w14:paraId="4FBB06B2">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3、预设多种解冻程序，满足不同条件融浆需求。故障自诊断功能</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p w14:paraId="1FD5F145">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1.输入电压： 220V 50Hz</w:t>
      </w:r>
      <w:r>
        <w:rPr>
          <w:rFonts w:hint="eastAsia" w:ascii="宋体" w:hAnsi="宋体" w:cs="Times New Roman"/>
          <w:szCs w:val="21"/>
          <w:lang w:val="en-US" w:eastAsia="zh-CN"/>
        </w:rPr>
        <w:tab/>
      </w:r>
      <w:r>
        <w:rPr>
          <w:rFonts w:hint="eastAsia" w:ascii="宋体" w:hAnsi="宋体" w:cs="Times New Roman"/>
          <w:szCs w:val="21"/>
          <w:lang w:val="en-US" w:eastAsia="zh-CN"/>
        </w:rPr>
        <w:t xml:space="preserve">   </w:t>
      </w:r>
    </w:p>
    <w:p w14:paraId="22747ECE">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2.输入功率：≤5 kW</w:t>
      </w:r>
    </w:p>
    <w:p w14:paraId="624A3D58">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3.水泵流量：＞40L/min</w:t>
      </w:r>
    </w:p>
    <w:p w14:paraId="043D3350">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4.控制温度： 30℃～45℃</w:t>
      </w:r>
    </w:p>
    <w:p w14:paraId="6674FB7B">
      <w:pPr>
        <w:ind w:left="420" w:leftChars="200" w:firstLine="0" w:firstLineChars="0"/>
        <w:rPr>
          <w:rFonts w:hint="eastAsia" w:ascii="宋体" w:hAnsi="宋体" w:cs="Times New Roman"/>
          <w:color w:val="FF0000"/>
          <w:szCs w:val="21"/>
          <w:lang w:val="en-US" w:eastAsia="zh-CN"/>
        </w:rPr>
      </w:pPr>
      <w:r>
        <w:rPr>
          <w:rFonts w:hint="eastAsia" w:ascii="宋体" w:hAnsi="宋体" w:cs="Times New Roman"/>
          <w:szCs w:val="21"/>
          <w:lang w:val="en-US" w:eastAsia="zh-CN"/>
        </w:rPr>
        <w:t>▲5.控温精度：±0.5℃</w:t>
      </w:r>
      <w:r>
        <w:rPr>
          <w:rFonts w:hint="eastAsia" w:ascii="宋体" w:hAnsi="宋体" w:cs="Times New Roman"/>
          <w:color w:val="FF0000"/>
          <w:szCs w:val="21"/>
          <w:lang w:val="en-US" w:eastAsia="zh-CN"/>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14:paraId="436A8DF7">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6.加热功率：≤2×1500W</w:t>
      </w:r>
    </w:p>
    <w:p w14:paraId="23327C47">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7.摇摆频率：≥30次/分钟</w:t>
      </w:r>
    </w:p>
    <w:p w14:paraId="034B171B">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8.最大化浆量： 12袋(每袋50～200ml)</w:t>
      </w:r>
    </w:p>
    <w:p w14:paraId="2CBFCC06">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9.解冻时间：≤20分钟（200ml×12袋,-20℃，扁平冰袋）</w:t>
      </w:r>
    </w:p>
    <w:p w14:paraId="04A5A548">
      <w:pPr>
        <w:ind w:left="420" w:leftChars="200" w:firstLine="0" w:firstLineChars="0"/>
        <w:rPr>
          <w:rFonts w:hint="eastAsia" w:ascii="宋体" w:hAnsi="宋体" w:cs="Times New Roman"/>
          <w:color w:val="FF0000"/>
          <w:szCs w:val="21"/>
          <w:lang w:val="en-US" w:eastAsia="zh-CN"/>
        </w:rPr>
      </w:pPr>
      <w:r>
        <w:rPr>
          <w:rFonts w:hint="eastAsia" w:ascii="宋体" w:hAnsi="宋体" w:cs="Times New Roman"/>
          <w:szCs w:val="21"/>
          <w:lang w:val="en-US" w:eastAsia="zh-CN"/>
        </w:rPr>
        <w:t>▲10.外形尺寸：≤700×550×1200（宽×深×高）</w:t>
      </w:r>
      <w:r>
        <w:rPr>
          <w:rFonts w:hint="eastAsia" w:ascii="宋体" w:hAnsi="宋体" w:cs="Times New Roman"/>
          <w:color w:val="FF0000"/>
          <w:szCs w:val="21"/>
          <w:lang w:val="en-US" w:eastAsia="zh-CN"/>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14:paraId="70B43F4C">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11.采用双CPU控制系统的PLC温控模块。</w:t>
      </w:r>
      <w:r>
        <w:rPr>
          <w:rFonts w:hint="eastAsia" w:ascii="宋体" w:hAnsi="宋体" w:cs="Times New Roman"/>
          <w:szCs w:val="21"/>
          <w:lang w:val="en-US" w:eastAsia="zh-CN"/>
        </w:rPr>
        <w:br w:type="textWrapping"/>
      </w:r>
      <w:r>
        <w:rPr>
          <w:rFonts w:hint="eastAsia" w:ascii="宋体" w:hAnsi="宋体" w:cs="Times New Roman"/>
          <w:szCs w:val="21"/>
          <w:lang w:val="en-US" w:eastAsia="zh-CN"/>
        </w:rPr>
        <w:t>12.彩色液晶触摸屏</w:t>
      </w:r>
      <w:bookmarkStart w:id="4" w:name="_Hlk201732525"/>
      <w:r>
        <w:rPr>
          <w:rFonts w:hint="eastAsia" w:ascii="宋体" w:hAnsi="宋体" w:cs="Times New Roman"/>
          <w:szCs w:val="21"/>
          <w:lang w:val="en-US" w:eastAsia="zh-CN"/>
        </w:rPr>
        <w:t>≥</w:t>
      </w:r>
      <w:bookmarkEnd w:id="4"/>
      <w:r>
        <w:rPr>
          <w:rFonts w:hint="eastAsia" w:ascii="宋体" w:hAnsi="宋体" w:cs="Times New Roman"/>
          <w:szCs w:val="21"/>
          <w:lang w:val="en-US" w:eastAsia="zh-CN"/>
        </w:rPr>
        <w:t>7寸，全中文操作界面。</w:t>
      </w:r>
    </w:p>
    <w:p w14:paraId="1F921799">
      <w:pPr>
        <w:ind w:left="420" w:leftChars="200" w:firstLine="0" w:firstLineChars="0"/>
        <w:rPr>
          <w:rFonts w:hint="eastAsia" w:ascii="宋体" w:hAnsi="宋体" w:cs="Times New Roman"/>
          <w:color w:val="FF0000"/>
          <w:szCs w:val="21"/>
          <w:lang w:val="en-US" w:eastAsia="zh-CN"/>
        </w:rPr>
      </w:pPr>
      <w:r>
        <w:rPr>
          <w:rFonts w:hint="eastAsia" w:ascii="宋体" w:hAnsi="宋体" w:cs="Times New Roman"/>
          <w:szCs w:val="21"/>
          <w:lang w:val="en-US" w:eastAsia="zh-CN"/>
        </w:rPr>
        <w:t>▲13.触摸屏、物理按钮双重控制，物理控制能完成常规操作。</w:t>
      </w:r>
      <w:r>
        <w:rPr>
          <w:rFonts w:hint="eastAsia" w:ascii="宋体" w:hAnsi="宋体" w:cs="Times New Roman"/>
          <w:color w:val="FF0000"/>
          <w:szCs w:val="21"/>
          <w:lang w:val="en-US" w:eastAsia="zh-CN"/>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14:paraId="786BFAA7">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14.自动诊断故障信息，并能自动弹窗提示详细信息，</w:t>
      </w:r>
    </w:p>
    <w:p w14:paraId="6D113756">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15.配备扫描枪。</w:t>
      </w:r>
    </w:p>
    <w:p w14:paraId="11D0D534">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▲16.≥5000条数据存储功能，实时记录血浆的解冻温度和解冻时间。与软件系统进行数据传输。</w:t>
      </w:r>
      <w:r>
        <w:rPr>
          <w:rFonts w:hint="eastAsia" w:ascii="宋体" w:hAnsi="宋体" w:cs="Times New Roman"/>
          <w:color w:val="FF0000"/>
          <w:szCs w:val="21"/>
          <w:lang w:val="en-US" w:eastAsia="zh-CN"/>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14:paraId="238DFBD8">
      <w:pPr>
        <w:ind w:left="420" w:leftChars="200" w:firstLine="0" w:firstLineChars="0"/>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17.内置WIFI和USB模块，多种数据传输方案。（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14:paraId="5A03C836">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18.解冻箱的运行可通过手机、平板或电脑远程实时监控。</w:t>
      </w:r>
    </w:p>
    <w:p w14:paraId="7F6B3589">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19.有预约功能：可设置24小时内预温启动时间，无需等待，即时解冻。</w:t>
      </w:r>
    </w:p>
    <w:p w14:paraId="43BA1491">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20.至少五路预置的解冻程序，以适应不同容量的冰冻成分血制品的解冻。</w:t>
      </w:r>
    </w:p>
    <w:p w14:paraId="3C03E173">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21.具有摇晃水循环解冻模式，流体力学水循环系统，配合解冻篮摇晃功能解冻。</w:t>
      </w:r>
    </w:p>
    <w:p w14:paraId="6CF74C20">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22.不计时循环解冻模式，可应对突发解冻需求。</w:t>
      </w:r>
    </w:p>
    <w:p w14:paraId="4AB4172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23.可根据需要自行设定解冻温度和解冻时间，在解冻过程中可随时调整解解冻时间。</w:t>
      </w:r>
    </w:p>
    <w:p w14:paraId="6C912F38">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24.当产品出现超温情况时，具有自动降温功能。</w:t>
      </w:r>
    </w:p>
    <w:p w14:paraId="0E6214FC">
      <w:pPr>
        <w:ind w:left="420" w:leftChars="200" w:firstLine="0" w:firstLineChars="0"/>
        <w:rPr>
          <w:rFonts w:hint="eastAsia" w:ascii="宋体" w:hAnsi="宋体" w:cs="Times New Roman"/>
          <w:color w:val="FF0000"/>
          <w:szCs w:val="21"/>
          <w:lang w:val="en-US" w:eastAsia="zh-CN"/>
        </w:rPr>
      </w:pPr>
      <w:r>
        <w:rPr>
          <w:rFonts w:hint="eastAsia" w:ascii="宋体" w:hAnsi="宋体" w:cs="Times New Roman"/>
          <w:szCs w:val="21"/>
          <w:lang w:val="en-US" w:eastAsia="zh-CN"/>
        </w:rPr>
        <w:t>▲25.报警功能：当产品出现超温或故障时，具有声、光双重报警及弹窗提示功能，并可以一键消警。</w:t>
      </w:r>
      <w:r>
        <w:rPr>
          <w:rFonts w:hint="eastAsia" w:ascii="宋体" w:hAnsi="宋体" w:cs="Times New Roman"/>
          <w:color w:val="FF0000"/>
          <w:szCs w:val="21"/>
          <w:lang w:val="en-US" w:eastAsia="zh-CN"/>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14:paraId="4249D599">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26.水循环系统：不破坏血浆有效成分，能够融化血浆，减少纤维蛋白的析出，保证冰冻血浆的解冻质量。</w:t>
      </w:r>
    </w:p>
    <w:p w14:paraId="4D11AEB9">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27.配备解冻专用袋，解冻后血浆袋外表面干燥，标识清晰、无脱落，有效防止交叉污染。</w:t>
      </w:r>
    </w:p>
    <w:p w14:paraId="4CF3D459">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28.加热水箱与解冻水槽为分离式设计，保证恒定的水温能均匀、快速的解冻血浆，解冻完成后循环水自动回落，有效避免过度解冻。</w:t>
      </w:r>
    </w:p>
    <w:p w14:paraId="6A67B342">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29.具有自动进水、排水功能，设有一键自动清洗功能。</w:t>
      </w:r>
    </w:p>
    <w:p w14:paraId="04707540">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30.采用不锈钢水箱，便于清洁和消毒。</w:t>
      </w:r>
    </w:p>
    <w:p w14:paraId="149617E6">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31.采用高精度温度传感器，控温稳定、准确。</w:t>
      </w:r>
    </w:p>
    <w:p w14:paraId="53D3FFBB">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32.采用品牌循环水泵，静音运转，噪音≤40db。</w:t>
      </w:r>
    </w:p>
    <w:p w14:paraId="3CE345AF">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33.具有上排水功能，工作室内无需有地漏</w:t>
      </w:r>
    </w:p>
    <w:p w14:paraId="0519C0F8">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34.配备专用断路器，有自动断电功能。</w:t>
      </w:r>
    </w:p>
    <w:p w14:paraId="0A91ED0B">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▲35.出具的电磁兼容性测试（EMC）和产品全性能检测的专项《检验报告》。</w:t>
      </w:r>
      <w:r>
        <w:rPr>
          <w:rFonts w:hint="eastAsia" w:ascii="宋体" w:hAnsi="宋体" w:cs="Times New Roman"/>
          <w:color w:val="FF0000"/>
          <w:szCs w:val="21"/>
          <w:lang w:val="en-US" w:eastAsia="zh-CN"/>
        </w:rPr>
        <w:t>（投标时需提供检验检测报告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Times New Roman"/>
          <w:color w:val="FF0000"/>
          <w:szCs w:val="21"/>
          <w:lang w:val="en-US" w:eastAsia="zh-CN"/>
        </w:rPr>
        <w:br w:type="textWrapping"/>
      </w:r>
      <w:r>
        <w:rPr>
          <w:rFonts w:hint="eastAsia" w:ascii="宋体" w:hAnsi="宋体" w:cs="Times New Roman"/>
          <w:szCs w:val="21"/>
          <w:lang w:val="en-US" w:eastAsia="zh-CN"/>
        </w:rPr>
        <w:t>36.保险丝管1：2.5-3A（产品参数在区间值范围内即可，在范围外视为负偏离）。</w:t>
      </w:r>
      <w:r>
        <w:rPr>
          <w:rFonts w:hint="eastAsia" w:ascii="宋体" w:hAnsi="宋体" w:cs="Times New Roman"/>
          <w:szCs w:val="21"/>
          <w:lang w:val="en-US" w:eastAsia="zh-CN"/>
        </w:rPr>
        <w:br w:type="textWrapping"/>
      </w:r>
      <w:r>
        <w:rPr>
          <w:rFonts w:hint="eastAsia" w:ascii="宋体" w:hAnsi="宋体" w:cs="Times New Roman"/>
          <w:szCs w:val="21"/>
          <w:lang w:val="en-US" w:eastAsia="zh-CN"/>
        </w:rPr>
        <w:t>37.保险丝管2：8-10A（产品参数在区间值范围内即可，在范围外视为负偏离）。</w:t>
      </w:r>
      <w:r>
        <w:rPr>
          <w:rFonts w:hint="eastAsia" w:ascii="宋体" w:hAnsi="宋体" w:cs="Times New Roman"/>
          <w:szCs w:val="21"/>
          <w:lang w:val="en-US" w:eastAsia="zh-CN"/>
        </w:rPr>
        <w:br w:type="textWrapping"/>
      </w:r>
      <w:r>
        <w:rPr>
          <w:rFonts w:hint="eastAsia" w:ascii="宋体" w:hAnsi="宋体" w:cs="Times New Roman"/>
          <w:szCs w:val="21"/>
          <w:lang w:val="en-US" w:eastAsia="zh-CN"/>
        </w:rPr>
        <w:t>38.保险丝管3：18-20A（产品参数在区间值范围内即可，在范围外视为负偏离）</w:t>
      </w: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63BE76A2">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1.提供技术资料、操作手册。</w:t>
      </w:r>
    </w:p>
    <w:p w14:paraId="0C61FB3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2.专业工程师现场安装及调试。</w:t>
      </w:r>
    </w:p>
    <w:p w14:paraId="5F2C558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3.中标供应商必须对科室使用人员进行设备必要的操作培训，保证科室使用人员能够熟练掌握各种设备和软件等常规使用方法，以及小故障的判断与解决。</w:t>
      </w:r>
    </w:p>
    <w:p w14:paraId="54516398">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4.提供不少于3个月做一次机器维护服务。（服务期内协调安排巡检并出具巡检报告盖公司公章）。</w:t>
      </w:r>
    </w:p>
    <w:p w14:paraId="64E661C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5.提供技术咨询；</w:t>
      </w:r>
    </w:p>
    <w:p w14:paraId="57076D12">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6.终身提供用户系统软件升级，并提供升级所需的硬件。</w:t>
      </w:r>
    </w:p>
    <w:p w14:paraId="400048BE">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7.保证供应仪器的维修与配件。</w:t>
      </w:r>
    </w:p>
    <w:p w14:paraId="1B4B7CA3">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8.维修响应时间为24小时 *365天，接到报修电话后工程师必须在4小时内赶到现场处理故障。需更换零部件的故障24小时内维修完毕；48小时内不能完成维修的，需提供备用机。（并提供详细的解决方案说明）</w:t>
      </w:r>
    </w:p>
    <w:p w14:paraId="42AB61B6">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9.保证更换的零配件是全新且由原厂提供；保证设备维护达到符合厂家标准及相应的国家质量标准要求，并保证设备正常使用。</w:t>
      </w:r>
    </w:p>
    <w:p w14:paraId="7620DC2E">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10.设备如涉及数据传输（包括但不限于HIS、LIS、PACS等医疗信息系统），中标方必须免费开放接口，并承担对接其他系统所需要的接口开发、数据传输以及对接过程中产生的一切费用。</w:t>
      </w:r>
    </w:p>
    <w:p w14:paraId="1933109C">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11.如设备涉及要开放维修密码，中标方必须开放。</w:t>
      </w:r>
    </w:p>
    <w:p w14:paraId="3D8F409B">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12.中标人签订合同前须提供厂家或地区总代理出具的原厂整机质保5年的合同或售后服务承诺书并盖厂家公章。</w:t>
      </w:r>
    </w:p>
    <w:p w14:paraId="637DC215">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13.质保期：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ind w:left="420" w:leftChars="200" w:firstLine="0" w:firstLineChars="0"/>
        <w:rPr>
          <w:rFonts w:hint="eastAsia" w:ascii="宋体" w:hAnsi="宋体" w:eastAsia="宋体" w:cs="Times New Roman"/>
          <w:szCs w:val="21"/>
          <w:lang w:val="en-US" w:eastAsia="zh-CN"/>
        </w:rPr>
      </w:pPr>
      <w:r>
        <w:rPr>
          <w:rFonts w:hint="eastAsia" w:ascii="宋体" w:hAnsi="宋体" w:cs="Times New Roman"/>
          <w:szCs w:val="21"/>
          <w:lang w:val="en-US" w:eastAsia="zh-CN"/>
        </w:rPr>
        <w:t>14.交货期：签订合同后60个日历日内交货。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15.交货地点：</w:t>
      </w:r>
      <w:r>
        <w:rPr>
          <w:rFonts w:hint="eastAsia"/>
          <w:szCs w:val="21"/>
        </w:rPr>
        <w:t>深圳市宝安区石岩人民医院指定地点</w:t>
      </w:r>
      <w:r>
        <w:rPr>
          <w:rFonts w:hint="eastAsia"/>
          <w:szCs w:val="21"/>
          <w:lang w:eastAsia="zh-CN"/>
        </w:rPr>
        <w:t>。</w:t>
      </w:r>
    </w:p>
    <w:p w14:paraId="17A5B158">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16.</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41F728BC">
      <w:pPr>
        <w:ind w:firstLine="420" w:firstLineChars="200"/>
        <w:rPr>
          <w:rFonts w:hint="eastAsia" w:ascii="宋体" w:hAnsi="宋体" w:eastAsia="宋体"/>
          <w:szCs w:val="21"/>
          <w:lang w:val="en-US" w:eastAsia="zh-CN"/>
        </w:rPr>
      </w:pPr>
      <w:r>
        <w:rPr>
          <w:rFonts w:hint="eastAsia" w:ascii="宋体" w:hAnsi="宋体"/>
          <w:szCs w:val="21"/>
          <w:lang w:val="en-US" w:eastAsia="zh-CN"/>
        </w:rPr>
        <w:t>17.付款方式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60CD0E55">
      <w:pPr>
        <w:ind w:firstLine="420" w:firstLineChars="200"/>
        <w:rPr>
          <w:rFonts w:hint="eastAsia" w:ascii="宋体" w:hAnsi="宋体" w:eastAsia="宋体" w:cs="宋体"/>
          <w:sz w:val="21"/>
          <w:szCs w:val="21"/>
          <w:lang w:val="en-US" w:eastAsia="zh-CN"/>
        </w:rPr>
      </w:pPr>
      <w:r>
        <w:rPr>
          <w:rFonts w:hint="eastAsia" w:ascii="宋体" w:hAnsi="宋体"/>
          <w:szCs w:val="21"/>
          <w:lang w:val="en-US" w:eastAsia="zh-CN"/>
        </w:rPr>
        <w:t>18.如所投产品受行业主管部门规定强制认证或检测或许可的（如3C认证或检测报告或工信部进网许可证等），中标人在签订合同前向采购单位提供相关认证证书或检测报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2"/>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71951A5A">
      <w:pPr>
        <w:keepNext w:val="0"/>
        <w:keepLines w:val="0"/>
        <w:widowControl/>
        <w:suppressLineNumbers w:val="0"/>
        <w:ind w:firstLine="420" w:firstLineChars="200"/>
        <w:jc w:val="left"/>
        <w:rPr>
          <w:rFonts w:hint="eastAsia" w:ascii="宋体" w:hAnsi="宋体" w:eastAsia="宋体" w:cs="宋体"/>
          <w:sz w:val="21"/>
          <w:szCs w:val="21"/>
          <w:highlight w:val="none"/>
          <w:lang w:val="en-US" w:eastAsia="zh-CN"/>
        </w:rPr>
      </w:pP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27FD56">
      <w:pPr>
        <w:rPr>
          <w:rFonts w:cs="Arial" w:asciiTheme="minorEastAsia" w:hAnsiTheme="minorEastAsia" w:eastAsiaTheme="minorEastAsia"/>
          <w:b/>
          <w:color w:val="000000"/>
          <w:sz w:val="32"/>
          <w:szCs w:val="32"/>
          <w:highlight w:val="none"/>
        </w:rPr>
      </w:pPr>
      <w:r>
        <w:rPr>
          <w:rFonts w:cs="Arial" w:asciiTheme="minorEastAsia" w:hAnsiTheme="minorEastAsia" w:eastAsiaTheme="minorEastAsia"/>
          <w:b/>
          <w:color w:val="000000"/>
          <w:sz w:val="32"/>
          <w:szCs w:val="32"/>
          <w:highlight w:val="none"/>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highlight w:val="none"/>
          <w:lang w:val="en-US" w:eastAsia="zh-CN"/>
        </w:rPr>
        <w:t>10</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default" w:asciiTheme="minorEastAsia" w:hAnsiTheme="minorEastAsia" w:eastAsiaTheme="minorEastAsia"/>
          <w:color w:val="000000"/>
          <w:szCs w:val="28"/>
          <w:highlight w:val="none"/>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5</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highlight w:val="none"/>
          <w:lang w:val="en-US" w:eastAsia="zh-CN"/>
        </w:rPr>
        <w:t>10</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5" w:name="_Toc14751"/>
      <w:r>
        <w:rPr>
          <w:rFonts w:hint="eastAsia" w:ascii="宋体" w:hAnsi="宋体" w:eastAsia="宋体" w:cs="宋体"/>
          <w:szCs w:val="21"/>
        </w:rPr>
        <w:t>营业执照等资质文件</w:t>
      </w:r>
      <w:bookmarkEnd w:id="5"/>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10"/>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9"/>
        <w:spacing w:line="240" w:lineRule="auto"/>
        <w:jc w:val="center"/>
        <w:rPr>
          <w:rFonts w:ascii="宋体" w:hAnsi="宋体"/>
          <w:b/>
          <w:bCs/>
          <w:color w:val="000000"/>
          <w:sz w:val="24"/>
          <w:szCs w:val="24"/>
        </w:rPr>
      </w:pPr>
      <w:bookmarkStart w:id="6"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5"/>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2.按招标文件要求提供法定代表人证明书和法定代表人授权委托证明书。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3.按招标文件要求提供《投标履约承诺函》、《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5"/>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8"/>
          <w:rFonts w:hint="eastAsia"/>
          <w:b w:val="0"/>
          <w:bCs w:val="0"/>
          <w:color w:val="FF0000"/>
          <w:sz w:val="21"/>
          <w:szCs w:val="21"/>
        </w:rPr>
        <w:t>请在</w:t>
      </w:r>
      <w:r>
        <w:rPr>
          <w:rStyle w:val="28"/>
          <w:b w:val="0"/>
          <w:bCs w:val="0"/>
          <w:color w:val="FF0000"/>
          <w:sz w:val="21"/>
          <w:szCs w:val="21"/>
        </w:rPr>
        <w:t>自查结论</w:t>
      </w:r>
      <w:r>
        <w:rPr>
          <w:rStyle w:val="28"/>
          <w:rFonts w:hint="eastAsia"/>
          <w:b w:val="0"/>
          <w:bCs w:val="0"/>
          <w:color w:val="FF0000"/>
          <w:sz w:val="21"/>
          <w:szCs w:val="21"/>
        </w:rPr>
        <w:t>表格中“</w:t>
      </w:r>
      <w:r>
        <w:rPr>
          <w:rStyle w:val="28"/>
          <w:b w:val="0"/>
          <w:bCs w:val="0"/>
          <w:color w:val="FF0000"/>
          <w:sz w:val="21"/>
          <w:szCs w:val="21"/>
        </w:rPr>
        <w:t>通过</w:t>
      </w:r>
      <w:r>
        <w:rPr>
          <w:rStyle w:val="28"/>
          <w:rFonts w:hint="eastAsia"/>
          <w:b w:val="0"/>
          <w:bCs w:val="0"/>
          <w:color w:val="FF0000"/>
          <w:sz w:val="21"/>
          <w:szCs w:val="21"/>
        </w:rPr>
        <w:t>”或“不</w:t>
      </w:r>
      <w:r>
        <w:rPr>
          <w:rStyle w:val="28"/>
          <w:b w:val="0"/>
          <w:bCs w:val="0"/>
          <w:color w:val="FF0000"/>
          <w:sz w:val="21"/>
          <w:szCs w:val="21"/>
        </w:rPr>
        <w:t>通过</w:t>
      </w:r>
      <w:r>
        <w:rPr>
          <w:rStyle w:val="28"/>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6"/>
    <w:p w14:paraId="19B7E0C3">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5"/>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3"/>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3"/>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719"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719"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719"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719"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E1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gridSpan w:val="5"/>
            <w:vAlign w:val="center"/>
          </w:tcPr>
          <w:p w14:paraId="5431BBCD">
            <w:pPr>
              <w:pStyle w:val="2"/>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b/>
                <w:kern w:val="2"/>
                <w:sz w:val="21"/>
                <w:szCs w:val="21"/>
                <w:lang w:val="en-US" w:eastAsia="zh-CN" w:bidi="ar-SA"/>
              </w:rPr>
              <w:t>【报价要求】</w:t>
            </w:r>
          </w:p>
        </w:tc>
      </w:tr>
      <w:tr w14:paraId="5ADB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A8B6E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70BF20C4">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4B2852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928A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63B9C0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1F5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5E3289B2">
            <w:pPr>
              <w:pStyle w:val="2"/>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lang w:val="en-US" w:eastAsia="zh-CN" w:bidi="ar-SA"/>
              </w:rPr>
              <w:t>【</w:t>
            </w:r>
            <w:r>
              <w:rPr>
                <w:rFonts w:hint="eastAsia" w:ascii="宋体" w:hAnsi="宋体" w:eastAsia="宋体" w:cs="Times New Roman"/>
                <w:b/>
                <w:bCs/>
                <w:kern w:val="2"/>
                <w:sz w:val="21"/>
                <w:szCs w:val="21"/>
                <w:lang w:val="en-US" w:eastAsia="zh-CN" w:bidi="ar-SA"/>
              </w:rPr>
              <w:t>其它要求</w:t>
            </w:r>
            <w:r>
              <w:rPr>
                <w:rFonts w:hint="eastAsia" w:ascii="宋体" w:hAnsi="宋体" w:eastAsia="宋体" w:cs="Times New Roman"/>
                <w:kern w:val="2"/>
                <w:sz w:val="21"/>
                <w:szCs w:val="21"/>
                <w:lang w:val="en-US" w:eastAsia="zh-CN" w:bidi="ar-SA"/>
              </w:rPr>
              <w:t>】</w:t>
            </w:r>
          </w:p>
        </w:tc>
      </w:tr>
      <w:tr w14:paraId="675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073B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3FFBEB0B">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018AB7E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1AC72E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CCF6EBF">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7" w:name="_Toc17479"/>
      <w:bookmarkStart w:id="8" w:name="_Toc435515295"/>
      <w:bookmarkStart w:id="9" w:name="_Toc435514855"/>
      <w:bookmarkStart w:id="10" w:name="_Toc24650"/>
      <w:bookmarkStart w:id="11"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7"/>
      <w:bookmarkEnd w:id="8"/>
      <w:bookmarkEnd w:id="9"/>
      <w:bookmarkEnd w:id="10"/>
      <w:bookmarkEnd w:id="11"/>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10"/>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2"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2"/>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3"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2BD62B3C">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3"/>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3"/>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3"/>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5"/>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10"/>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3"/>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5"/>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5"/>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5"/>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
        <w:ind w:firstLine="420"/>
        <w:rPr>
          <w:rFonts w:asciiTheme="minorEastAsia" w:hAnsiTheme="minorEastAsia" w:eastAsiaTheme="minorEastAsia"/>
        </w:rPr>
      </w:pPr>
    </w:p>
    <w:p w14:paraId="46CEA70A">
      <w:pPr>
        <w:pStyle w:val="2"/>
        <w:ind w:firstLine="420"/>
        <w:rPr>
          <w:rFonts w:asciiTheme="minorEastAsia" w:hAnsiTheme="minorEastAsia" w:eastAsiaTheme="minorEastAsia"/>
        </w:rPr>
      </w:pPr>
    </w:p>
    <w:p w14:paraId="49658AAF">
      <w:pPr>
        <w:pStyle w:val="2"/>
        <w:ind w:firstLine="420"/>
        <w:rPr>
          <w:rFonts w:asciiTheme="minorEastAsia" w:hAnsiTheme="minorEastAsia" w:eastAsiaTheme="minorEastAsia"/>
        </w:rPr>
      </w:pPr>
    </w:p>
    <w:p w14:paraId="36C1336E">
      <w:pPr>
        <w:pStyle w:val="2"/>
        <w:ind w:firstLine="420"/>
        <w:rPr>
          <w:rFonts w:asciiTheme="minorEastAsia" w:hAnsiTheme="minorEastAsia" w:eastAsiaTheme="minorEastAsia"/>
        </w:rPr>
      </w:pPr>
    </w:p>
    <w:p w14:paraId="25BAF7E8">
      <w:pPr>
        <w:pStyle w:val="2"/>
        <w:ind w:firstLine="420"/>
        <w:rPr>
          <w:rFonts w:asciiTheme="minorEastAsia" w:hAnsiTheme="minorEastAsia" w:eastAsiaTheme="minorEastAsia"/>
        </w:rPr>
      </w:pPr>
    </w:p>
    <w:p w14:paraId="65F601D7">
      <w:pPr>
        <w:pStyle w:val="2"/>
        <w:ind w:firstLine="420"/>
        <w:rPr>
          <w:rFonts w:asciiTheme="minorEastAsia" w:hAnsiTheme="minorEastAsia" w:eastAsiaTheme="minorEastAsia"/>
        </w:rPr>
      </w:pPr>
    </w:p>
    <w:p w14:paraId="1CC30CEF">
      <w:pPr>
        <w:pStyle w:val="2"/>
        <w:ind w:firstLine="420"/>
        <w:rPr>
          <w:rFonts w:asciiTheme="minorEastAsia" w:hAnsiTheme="minorEastAsia" w:eastAsiaTheme="minorEastAsia"/>
        </w:rPr>
      </w:pPr>
    </w:p>
    <w:p w14:paraId="1B7A7B20">
      <w:pPr>
        <w:pStyle w:val="2"/>
        <w:ind w:firstLine="420"/>
        <w:rPr>
          <w:rFonts w:asciiTheme="minorEastAsia" w:hAnsiTheme="minorEastAsia" w:eastAsiaTheme="minorEastAsia"/>
        </w:rPr>
      </w:pPr>
    </w:p>
    <w:p w14:paraId="1C6123C4">
      <w:pPr>
        <w:pStyle w:val="2"/>
        <w:ind w:firstLine="420"/>
        <w:rPr>
          <w:rFonts w:asciiTheme="minorEastAsia" w:hAnsiTheme="minorEastAsia" w:eastAsiaTheme="minorEastAsia"/>
        </w:rPr>
      </w:pPr>
    </w:p>
    <w:p w14:paraId="527E1812">
      <w:pPr>
        <w:pStyle w:val="2"/>
        <w:ind w:firstLine="420"/>
        <w:rPr>
          <w:rFonts w:asciiTheme="minorEastAsia" w:hAnsiTheme="minorEastAsia" w:eastAsiaTheme="minorEastAsia"/>
        </w:rPr>
      </w:pPr>
    </w:p>
    <w:p w14:paraId="535CA35A">
      <w:pPr>
        <w:pStyle w:val="2"/>
        <w:ind w:firstLine="420"/>
        <w:rPr>
          <w:rFonts w:asciiTheme="minorEastAsia" w:hAnsiTheme="minorEastAsia" w:eastAsiaTheme="minorEastAsia"/>
        </w:rPr>
      </w:pPr>
    </w:p>
    <w:p w14:paraId="3F0D1F05">
      <w:pPr>
        <w:pStyle w:val="2"/>
        <w:ind w:firstLine="420"/>
        <w:rPr>
          <w:rFonts w:asciiTheme="minorEastAsia" w:hAnsiTheme="minorEastAsia" w:eastAsiaTheme="minorEastAsia"/>
        </w:rPr>
      </w:pPr>
    </w:p>
    <w:p w14:paraId="16E72AE0">
      <w:pPr>
        <w:pStyle w:val="2"/>
        <w:ind w:firstLine="420"/>
        <w:rPr>
          <w:rFonts w:asciiTheme="minorEastAsia" w:hAnsiTheme="minorEastAsia" w:eastAsiaTheme="minorEastAsia"/>
        </w:rPr>
      </w:pPr>
    </w:p>
    <w:p w14:paraId="15CDAD3F">
      <w:pPr>
        <w:pStyle w:val="2"/>
        <w:ind w:firstLine="420"/>
        <w:rPr>
          <w:rFonts w:asciiTheme="minorEastAsia" w:hAnsiTheme="minorEastAsia" w:eastAsiaTheme="minorEastAsia"/>
        </w:rPr>
      </w:pPr>
    </w:p>
    <w:p w14:paraId="428F365C">
      <w:pPr>
        <w:pStyle w:val="2"/>
        <w:ind w:firstLine="420"/>
        <w:rPr>
          <w:rFonts w:asciiTheme="minorEastAsia" w:hAnsiTheme="minorEastAsia" w:eastAsiaTheme="minorEastAsia"/>
        </w:rPr>
      </w:pPr>
    </w:p>
    <w:p w14:paraId="45901412">
      <w:pPr>
        <w:pStyle w:val="2"/>
        <w:ind w:firstLine="420"/>
        <w:rPr>
          <w:rFonts w:asciiTheme="minorEastAsia" w:hAnsiTheme="minorEastAsia" w:eastAsiaTheme="minorEastAsia"/>
        </w:rPr>
      </w:pPr>
    </w:p>
    <w:p w14:paraId="47A8BE55">
      <w:pPr>
        <w:pStyle w:val="2"/>
        <w:ind w:firstLine="420"/>
        <w:rPr>
          <w:rFonts w:asciiTheme="minorEastAsia" w:hAnsiTheme="minorEastAsia" w:eastAsiaTheme="minorEastAsia"/>
        </w:rPr>
      </w:pPr>
    </w:p>
    <w:p w14:paraId="64B8DE04">
      <w:pPr>
        <w:pStyle w:val="2"/>
        <w:ind w:firstLine="420"/>
        <w:rPr>
          <w:rFonts w:asciiTheme="minorEastAsia" w:hAnsiTheme="minorEastAsia" w:eastAsiaTheme="minorEastAsia"/>
        </w:rPr>
      </w:pPr>
    </w:p>
    <w:p w14:paraId="659D756C">
      <w:pPr>
        <w:pStyle w:val="2"/>
        <w:ind w:firstLine="420"/>
        <w:rPr>
          <w:rFonts w:asciiTheme="minorEastAsia" w:hAnsiTheme="minorEastAsia" w:eastAsiaTheme="minorEastAsia"/>
        </w:rPr>
      </w:pPr>
    </w:p>
    <w:p w14:paraId="491B156C">
      <w:pPr>
        <w:pStyle w:val="2"/>
        <w:ind w:firstLine="420"/>
        <w:rPr>
          <w:rFonts w:asciiTheme="minorEastAsia" w:hAnsiTheme="minorEastAsia" w:eastAsiaTheme="minorEastAsia"/>
        </w:rPr>
      </w:pPr>
    </w:p>
    <w:p w14:paraId="27A3FEAD">
      <w:pPr>
        <w:pStyle w:val="2"/>
        <w:ind w:firstLine="420"/>
        <w:rPr>
          <w:rFonts w:asciiTheme="minorEastAsia" w:hAnsiTheme="minorEastAsia" w:eastAsiaTheme="minorEastAsia"/>
        </w:rPr>
      </w:pPr>
    </w:p>
    <w:p w14:paraId="5550959C">
      <w:pPr>
        <w:pStyle w:val="2"/>
        <w:ind w:firstLine="420"/>
        <w:rPr>
          <w:rFonts w:asciiTheme="minorEastAsia" w:hAnsiTheme="minorEastAsia" w:eastAsiaTheme="minorEastAsia"/>
        </w:rPr>
      </w:pPr>
    </w:p>
    <w:p w14:paraId="05F9DA3C">
      <w:pPr>
        <w:pStyle w:val="2"/>
        <w:ind w:firstLine="420"/>
        <w:rPr>
          <w:rFonts w:asciiTheme="minorEastAsia" w:hAnsiTheme="minorEastAsia" w:eastAsiaTheme="minorEastAsia"/>
        </w:rPr>
      </w:pPr>
    </w:p>
    <w:p w14:paraId="7B91D0DD">
      <w:pPr>
        <w:pStyle w:val="2"/>
        <w:ind w:firstLine="420"/>
        <w:rPr>
          <w:rFonts w:asciiTheme="minorEastAsia" w:hAnsiTheme="minorEastAsia" w:eastAsiaTheme="minorEastAsia"/>
        </w:rPr>
      </w:pPr>
    </w:p>
    <w:p w14:paraId="190FE48A">
      <w:pPr>
        <w:pStyle w:val="2"/>
        <w:ind w:firstLine="420"/>
        <w:rPr>
          <w:rFonts w:asciiTheme="minorEastAsia" w:hAnsiTheme="minorEastAsia" w:eastAsiaTheme="minorEastAsia"/>
        </w:rPr>
      </w:pPr>
    </w:p>
    <w:p w14:paraId="4FF5E9EF">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highlight w:val="none"/>
          <w:lang w:val="en-US" w:eastAsia="zh-CN"/>
        </w:rPr>
        <w:t>10</w:t>
      </w:r>
      <w:r>
        <w:rPr>
          <w:rFonts w:cs="Arial" w:asciiTheme="minorEastAsia" w:hAnsiTheme="minorEastAsia" w:eastAsiaTheme="minorEastAsia"/>
          <w:b/>
          <w:color w:val="000000"/>
          <w:sz w:val="28"/>
          <w:szCs w:val="28"/>
        </w:rPr>
        <w:t>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default" w:cs="Arial" w:asciiTheme="minorEastAsia" w:hAnsiTheme="minorEastAsia" w:eastAsiaTheme="minorEastAsia"/>
          <w:b/>
          <w:color w:val="000000"/>
          <w:sz w:val="28"/>
          <w:szCs w:val="28"/>
          <w:highlight w:val="none"/>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highlight w:val="none"/>
          <w:lang w:val="en-US" w:eastAsia="zh-CN"/>
        </w:rPr>
        <w:t>10</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5"/>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5"/>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13C6B1ED">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3AA7D25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EA0A25"/>
    <w:rsid w:val="01F26FB9"/>
    <w:rsid w:val="023579C8"/>
    <w:rsid w:val="023A1380"/>
    <w:rsid w:val="02A143D0"/>
    <w:rsid w:val="02A623F4"/>
    <w:rsid w:val="03CE5557"/>
    <w:rsid w:val="04147B6B"/>
    <w:rsid w:val="04410970"/>
    <w:rsid w:val="0458764A"/>
    <w:rsid w:val="045E78EA"/>
    <w:rsid w:val="046D23D6"/>
    <w:rsid w:val="053900D9"/>
    <w:rsid w:val="058003D3"/>
    <w:rsid w:val="0585243C"/>
    <w:rsid w:val="05A70ABC"/>
    <w:rsid w:val="05A916FD"/>
    <w:rsid w:val="05C85AC2"/>
    <w:rsid w:val="05EA06F1"/>
    <w:rsid w:val="06311C08"/>
    <w:rsid w:val="064F28F7"/>
    <w:rsid w:val="06604E4C"/>
    <w:rsid w:val="06606E3A"/>
    <w:rsid w:val="06947DDF"/>
    <w:rsid w:val="06A4344F"/>
    <w:rsid w:val="07235607"/>
    <w:rsid w:val="07750484"/>
    <w:rsid w:val="07CB416F"/>
    <w:rsid w:val="07D50310"/>
    <w:rsid w:val="08277A83"/>
    <w:rsid w:val="084148CC"/>
    <w:rsid w:val="08B43E5E"/>
    <w:rsid w:val="08CB0CA3"/>
    <w:rsid w:val="08DF3D52"/>
    <w:rsid w:val="094009C2"/>
    <w:rsid w:val="09975CDD"/>
    <w:rsid w:val="09A03EDE"/>
    <w:rsid w:val="09A12E0A"/>
    <w:rsid w:val="09DB5757"/>
    <w:rsid w:val="0A2B08CC"/>
    <w:rsid w:val="0A454A85"/>
    <w:rsid w:val="0ACF69F6"/>
    <w:rsid w:val="0AD42A6C"/>
    <w:rsid w:val="0ADB6776"/>
    <w:rsid w:val="0B6E5B51"/>
    <w:rsid w:val="0BF4035C"/>
    <w:rsid w:val="0C026B10"/>
    <w:rsid w:val="0C61289A"/>
    <w:rsid w:val="0D0137BF"/>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12519"/>
    <w:rsid w:val="0FE26120"/>
    <w:rsid w:val="0FFB6426"/>
    <w:rsid w:val="108C7EE0"/>
    <w:rsid w:val="10D34359"/>
    <w:rsid w:val="11107554"/>
    <w:rsid w:val="11537214"/>
    <w:rsid w:val="11F01C84"/>
    <w:rsid w:val="120078F0"/>
    <w:rsid w:val="123B1F6E"/>
    <w:rsid w:val="12594A2B"/>
    <w:rsid w:val="12655DAA"/>
    <w:rsid w:val="12752FAF"/>
    <w:rsid w:val="12C53CBF"/>
    <w:rsid w:val="12FA4D3D"/>
    <w:rsid w:val="13324923"/>
    <w:rsid w:val="13640A4D"/>
    <w:rsid w:val="137C08A6"/>
    <w:rsid w:val="138342C3"/>
    <w:rsid w:val="13A60619"/>
    <w:rsid w:val="14201F34"/>
    <w:rsid w:val="1469095F"/>
    <w:rsid w:val="15022918"/>
    <w:rsid w:val="151C63E2"/>
    <w:rsid w:val="15271495"/>
    <w:rsid w:val="158B6386"/>
    <w:rsid w:val="15941E22"/>
    <w:rsid w:val="15D12470"/>
    <w:rsid w:val="15E52C78"/>
    <w:rsid w:val="161D2575"/>
    <w:rsid w:val="167F3E50"/>
    <w:rsid w:val="16B37F65"/>
    <w:rsid w:val="16D72D03"/>
    <w:rsid w:val="17193B6F"/>
    <w:rsid w:val="171E4558"/>
    <w:rsid w:val="172C618F"/>
    <w:rsid w:val="17424826"/>
    <w:rsid w:val="1791646E"/>
    <w:rsid w:val="17CF144B"/>
    <w:rsid w:val="17D6136C"/>
    <w:rsid w:val="17E943D9"/>
    <w:rsid w:val="195C4BF4"/>
    <w:rsid w:val="197C0007"/>
    <w:rsid w:val="1A451613"/>
    <w:rsid w:val="1A7B35E5"/>
    <w:rsid w:val="1A943556"/>
    <w:rsid w:val="1AAB623F"/>
    <w:rsid w:val="1AB258A4"/>
    <w:rsid w:val="1AC008F7"/>
    <w:rsid w:val="1AE810AB"/>
    <w:rsid w:val="1BBE3026"/>
    <w:rsid w:val="1C3D2105"/>
    <w:rsid w:val="1C4A1E12"/>
    <w:rsid w:val="1C813548"/>
    <w:rsid w:val="1C8F27F1"/>
    <w:rsid w:val="1CA36361"/>
    <w:rsid w:val="1CF82E88"/>
    <w:rsid w:val="1DC454C9"/>
    <w:rsid w:val="1DE57900"/>
    <w:rsid w:val="1E105B1F"/>
    <w:rsid w:val="1EBA1E08"/>
    <w:rsid w:val="1ED701A5"/>
    <w:rsid w:val="1F277B72"/>
    <w:rsid w:val="1F6C5D0D"/>
    <w:rsid w:val="1F884DA0"/>
    <w:rsid w:val="1F951999"/>
    <w:rsid w:val="1FB262C1"/>
    <w:rsid w:val="1FF27875"/>
    <w:rsid w:val="20142AD8"/>
    <w:rsid w:val="20254EDC"/>
    <w:rsid w:val="2055466D"/>
    <w:rsid w:val="2058454C"/>
    <w:rsid w:val="206E6027"/>
    <w:rsid w:val="209D4C41"/>
    <w:rsid w:val="20AA2093"/>
    <w:rsid w:val="211F048E"/>
    <w:rsid w:val="21A217E8"/>
    <w:rsid w:val="21A41CD4"/>
    <w:rsid w:val="21AD2898"/>
    <w:rsid w:val="21EA7433"/>
    <w:rsid w:val="22133E57"/>
    <w:rsid w:val="223B7515"/>
    <w:rsid w:val="2273608F"/>
    <w:rsid w:val="22A275AD"/>
    <w:rsid w:val="22C76102"/>
    <w:rsid w:val="23036D2C"/>
    <w:rsid w:val="2395624F"/>
    <w:rsid w:val="2396465A"/>
    <w:rsid w:val="242E18FB"/>
    <w:rsid w:val="24375C15"/>
    <w:rsid w:val="246A53D5"/>
    <w:rsid w:val="247A690F"/>
    <w:rsid w:val="24D84CE9"/>
    <w:rsid w:val="24E92284"/>
    <w:rsid w:val="2511759F"/>
    <w:rsid w:val="253A6430"/>
    <w:rsid w:val="256D6D05"/>
    <w:rsid w:val="25744C7A"/>
    <w:rsid w:val="263C68E5"/>
    <w:rsid w:val="26400EBA"/>
    <w:rsid w:val="2650148C"/>
    <w:rsid w:val="26DF58EA"/>
    <w:rsid w:val="26E86FA4"/>
    <w:rsid w:val="26F369E1"/>
    <w:rsid w:val="278A7B32"/>
    <w:rsid w:val="27D26266"/>
    <w:rsid w:val="27DA025D"/>
    <w:rsid w:val="28011B74"/>
    <w:rsid w:val="2861644F"/>
    <w:rsid w:val="28683667"/>
    <w:rsid w:val="286E6127"/>
    <w:rsid w:val="28787037"/>
    <w:rsid w:val="287D074A"/>
    <w:rsid w:val="28832A7D"/>
    <w:rsid w:val="28B75145"/>
    <w:rsid w:val="28F76ACD"/>
    <w:rsid w:val="29835E2E"/>
    <w:rsid w:val="29B02846"/>
    <w:rsid w:val="29FE6F59"/>
    <w:rsid w:val="2A5F682C"/>
    <w:rsid w:val="2B903A3A"/>
    <w:rsid w:val="2BB92785"/>
    <w:rsid w:val="2BE11EED"/>
    <w:rsid w:val="2BE47A1F"/>
    <w:rsid w:val="2BEA5A48"/>
    <w:rsid w:val="2C1F6752"/>
    <w:rsid w:val="2C3342E6"/>
    <w:rsid w:val="2C3B319A"/>
    <w:rsid w:val="2C6234F2"/>
    <w:rsid w:val="2C707634"/>
    <w:rsid w:val="2CCC7151"/>
    <w:rsid w:val="2CD6118A"/>
    <w:rsid w:val="2CF008E7"/>
    <w:rsid w:val="2D03418D"/>
    <w:rsid w:val="2D216D06"/>
    <w:rsid w:val="2D5568C4"/>
    <w:rsid w:val="2D5C355C"/>
    <w:rsid w:val="2DBB1C5C"/>
    <w:rsid w:val="2DE85EFD"/>
    <w:rsid w:val="2E40760B"/>
    <w:rsid w:val="2E6356A7"/>
    <w:rsid w:val="2EA1520D"/>
    <w:rsid w:val="2F36293F"/>
    <w:rsid w:val="2F600347"/>
    <w:rsid w:val="2F7A5790"/>
    <w:rsid w:val="2F834F89"/>
    <w:rsid w:val="2F9B5244"/>
    <w:rsid w:val="2FA02C29"/>
    <w:rsid w:val="30110A49"/>
    <w:rsid w:val="304235BD"/>
    <w:rsid w:val="311F45E1"/>
    <w:rsid w:val="314074A8"/>
    <w:rsid w:val="31600B93"/>
    <w:rsid w:val="31B42A02"/>
    <w:rsid w:val="321761DD"/>
    <w:rsid w:val="324A2A66"/>
    <w:rsid w:val="32A035D1"/>
    <w:rsid w:val="32D2354E"/>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7B80232"/>
    <w:rsid w:val="37EF5645"/>
    <w:rsid w:val="384E323D"/>
    <w:rsid w:val="388574E5"/>
    <w:rsid w:val="388E2006"/>
    <w:rsid w:val="38CD48A4"/>
    <w:rsid w:val="391705BD"/>
    <w:rsid w:val="392419CF"/>
    <w:rsid w:val="394413FB"/>
    <w:rsid w:val="397658F0"/>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AC5CA6"/>
    <w:rsid w:val="3DB50E5B"/>
    <w:rsid w:val="3DFA1540"/>
    <w:rsid w:val="3E1C3315"/>
    <w:rsid w:val="3E247A94"/>
    <w:rsid w:val="3E2D18ED"/>
    <w:rsid w:val="3E723E2B"/>
    <w:rsid w:val="3F1955BD"/>
    <w:rsid w:val="3F6260FB"/>
    <w:rsid w:val="3FA41E8B"/>
    <w:rsid w:val="3FE82935"/>
    <w:rsid w:val="3FF8211E"/>
    <w:rsid w:val="3FFB33B2"/>
    <w:rsid w:val="401D2DFC"/>
    <w:rsid w:val="403E3527"/>
    <w:rsid w:val="404F3622"/>
    <w:rsid w:val="4071181D"/>
    <w:rsid w:val="40CA3130"/>
    <w:rsid w:val="411A6C40"/>
    <w:rsid w:val="416D2F7D"/>
    <w:rsid w:val="41BA25F5"/>
    <w:rsid w:val="41D97346"/>
    <w:rsid w:val="41E060B7"/>
    <w:rsid w:val="422E7B30"/>
    <w:rsid w:val="4281305B"/>
    <w:rsid w:val="42FC0A69"/>
    <w:rsid w:val="43343E26"/>
    <w:rsid w:val="433A2253"/>
    <w:rsid w:val="4340170F"/>
    <w:rsid w:val="434D08AF"/>
    <w:rsid w:val="435968D0"/>
    <w:rsid w:val="436D6BB9"/>
    <w:rsid w:val="43740C1D"/>
    <w:rsid w:val="43CA332A"/>
    <w:rsid w:val="43F237F3"/>
    <w:rsid w:val="444929F9"/>
    <w:rsid w:val="4487121B"/>
    <w:rsid w:val="448A1F0F"/>
    <w:rsid w:val="448E5211"/>
    <w:rsid w:val="44CD1E32"/>
    <w:rsid w:val="44DE39F5"/>
    <w:rsid w:val="45234642"/>
    <w:rsid w:val="456227F4"/>
    <w:rsid w:val="46026FB0"/>
    <w:rsid w:val="46297974"/>
    <w:rsid w:val="466B0DF4"/>
    <w:rsid w:val="46F221FE"/>
    <w:rsid w:val="47D75D20"/>
    <w:rsid w:val="47D91706"/>
    <w:rsid w:val="49682E11"/>
    <w:rsid w:val="49D3002D"/>
    <w:rsid w:val="4A012B81"/>
    <w:rsid w:val="4AAE19D8"/>
    <w:rsid w:val="4B0C247A"/>
    <w:rsid w:val="4B783852"/>
    <w:rsid w:val="4C3C4C39"/>
    <w:rsid w:val="4C664853"/>
    <w:rsid w:val="4CB311FE"/>
    <w:rsid w:val="4CE60A20"/>
    <w:rsid w:val="4D0A1CC7"/>
    <w:rsid w:val="4D3A3304"/>
    <w:rsid w:val="4D6C0AE1"/>
    <w:rsid w:val="4DD21613"/>
    <w:rsid w:val="4E2054D7"/>
    <w:rsid w:val="4E212877"/>
    <w:rsid w:val="4E394F2A"/>
    <w:rsid w:val="4E5C1022"/>
    <w:rsid w:val="4ED51CE3"/>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B54930"/>
    <w:rsid w:val="53CE3177"/>
    <w:rsid w:val="53F87A3F"/>
    <w:rsid w:val="5409540B"/>
    <w:rsid w:val="548A7C35"/>
    <w:rsid w:val="54A36C24"/>
    <w:rsid w:val="54F1729A"/>
    <w:rsid w:val="55670D23"/>
    <w:rsid w:val="559076EE"/>
    <w:rsid w:val="560E29D8"/>
    <w:rsid w:val="561B066F"/>
    <w:rsid w:val="562E599A"/>
    <w:rsid w:val="5649544A"/>
    <w:rsid w:val="56685A5F"/>
    <w:rsid w:val="567A204F"/>
    <w:rsid w:val="56BD5754"/>
    <w:rsid w:val="5712720C"/>
    <w:rsid w:val="57E83B4D"/>
    <w:rsid w:val="58626A55"/>
    <w:rsid w:val="589E5285"/>
    <w:rsid w:val="58B02FBD"/>
    <w:rsid w:val="59606088"/>
    <w:rsid w:val="5A1F5B49"/>
    <w:rsid w:val="5A952A70"/>
    <w:rsid w:val="5AAF3568"/>
    <w:rsid w:val="5B6156CC"/>
    <w:rsid w:val="5C991000"/>
    <w:rsid w:val="5CBC47AD"/>
    <w:rsid w:val="5CE32F49"/>
    <w:rsid w:val="5D445AA3"/>
    <w:rsid w:val="5D88386E"/>
    <w:rsid w:val="5E4F7594"/>
    <w:rsid w:val="5E651423"/>
    <w:rsid w:val="5E943229"/>
    <w:rsid w:val="5EBA3E20"/>
    <w:rsid w:val="5ED35A81"/>
    <w:rsid w:val="5F8A33DA"/>
    <w:rsid w:val="5FA83F53"/>
    <w:rsid w:val="5FB174C5"/>
    <w:rsid w:val="601E4304"/>
    <w:rsid w:val="602844BB"/>
    <w:rsid w:val="606469A1"/>
    <w:rsid w:val="606E7AE8"/>
    <w:rsid w:val="606F170E"/>
    <w:rsid w:val="60C97836"/>
    <w:rsid w:val="616D02E8"/>
    <w:rsid w:val="619024AA"/>
    <w:rsid w:val="61A74EFB"/>
    <w:rsid w:val="61AF0925"/>
    <w:rsid w:val="61F734FF"/>
    <w:rsid w:val="61F74869"/>
    <w:rsid w:val="62312A9A"/>
    <w:rsid w:val="623D12B8"/>
    <w:rsid w:val="62683FE2"/>
    <w:rsid w:val="626F0E29"/>
    <w:rsid w:val="62A10CA5"/>
    <w:rsid w:val="62A17D34"/>
    <w:rsid w:val="62F24EF0"/>
    <w:rsid w:val="63811696"/>
    <w:rsid w:val="63BF400D"/>
    <w:rsid w:val="63DC0075"/>
    <w:rsid w:val="63E15A7D"/>
    <w:rsid w:val="63FE1DB7"/>
    <w:rsid w:val="64354559"/>
    <w:rsid w:val="64582E10"/>
    <w:rsid w:val="64925E76"/>
    <w:rsid w:val="649A7622"/>
    <w:rsid w:val="651537A8"/>
    <w:rsid w:val="65312B0C"/>
    <w:rsid w:val="65326CE0"/>
    <w:rsid w:val="653B7E49"/>
    <w:rsid w:val="65565C63"/>
    <w:rsid w:val="655A5E64"/>
    <w:rsid w:val="65651AD3"/>
    <w:rsid w:val="65986EAB"/>
    <w:rsid w:val="65A61FF0"/>
    <w:rsid w:val="65BE0868"/>
    <w:rsid w:val="65BE4AE3"/>
    <w:rsid w:val="65CC6BBB"/>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B86746"/>
    <w:rsid w:val="6ABE7379"/>
    <w:rsid w:val="6AEB1C2B"/>
    <w:rsid w:val="6B0034CD"/>
    <w:rsid w:val="6B8C66BD"/>
    <w:rsid w:val="6BCF0494"/>
    <w:rsid w:val="6BED516E"/>
    <w:rsid w:val="6C1A0813"/>
    <w:rsid w:val="6C2D4165"/>
    <w:rsid w:val="6CA56CEA"/>
    <w:rsid w:val="6CEA04E7"/>
    <w:rsid w:val="6CF801DC"/>
    <w:rsid w:val="6D115B9C"/>
    <w:rsid w:val="6D312A7D"/>
    <w:rsid w:val="6D396CFB"/>
    <w:rsid w:val="6D3F33CC"/>
    <w:rsid w:val="6D5A3D43"/>
    <w:rsid w:val="6DD4449B"/>
    <w:rsid w:val="6E16454E"/>
    <w:rsid w:val="6E4D05F9"/>
    <w:rsid w:val="6E530994"/>
    <w:rsid w:val="6E615616"/>
    <w:rsid w:val="6E7362C6"/>
    <w:rsid w:val="6E805766"/>
    <w:rsid w:val="6E8B1913"/>
    <w:rsid w:val="6EF07817"/>
    <w:rsid w:val="6F5B05E8"/>
    <w:rsid w:val="6F655B31"/>
    <w:rsid w:val="6F9A0300"/>
    <w:rsid w:val="6FD346A9"/>
    <w:rsid w:val="701D586D"/>
    <w:rsid w:val="7113224A"/>
    <w:rsid w:val="71157C60"/>
    <w:rsid w:val="714C1EF3"/>
    <w:rsid w:val="717779D3"/>
    <w:rsid w:val="725162FB"/>
    <w:rsid w:val="72564976"/>
    <w:rsid w:val="726423A5"/>
    <w:rsid w:val="72AE1539"/>
    <w:rsid w:val="72CA214F"/>
    <w:rsid w:val="72F27A06"/>
    <w:rsid w:val="734C3EE7"/>
    <w:rsid w:val="7362007D"/>
    <w:rsid w:val="73942E89"/>
    <w:rsid w:val="73C0566E"/>
    <w:rsid w:val="73C638E1"/>
    <w:rsid w:val="73EC4A73"/>
    <w:rsid w:val="743B1B1E"/>
    <w:rsid w:val="746E403A"/>
    <w:rsid w:val="748B3EC4"/>
    <w:rsid w:val="74B63BFA"/>
    <w:rsid w:val="74E709AF"/>
    <w:rsid w:val="752C3307"/>
    <w:rsid w:val="7536480C"/>
    <w:rsid w:val="754341A3"/>
    <w:rsid w:val="75643B8A"/>
    <w:rsid w:val="767C658F"/>
    <w:rsid w:val="769A0BED"/>
    <w:rsid w:val="76CC54DC"/>
    <w:rsid w:val="76EA6FF0"/>
    <w:rsid w:val="76EE63EF"/>
    <w:rsid w:val="779B7BAD"/>
    <w:rsid w:val="77E43D15"/>
    <w:rsid w:val="787B5C11"/>
    <w:rsid w:val="78FD327E"/>
    <w:rsid w:val="791653FC"/>
    <w:rsid w:val="792E7646"/>
    <w:rsid w:val="79650AA5"/>
    <w:rsid w:val="79836DA7"/>
    <w:rsid w:val="79A26C57"/>
    <w:rsid w:val="79B060D9"/>
    <w:rsid w:val="79BD0E2F"/>
    <w:rsid w:val="7A2D0AA1"/>
    <w:rsid w:val="7A483EF9"/>
    <w:rsid w:val="7A7E6973"/>
    <w:rsid w:val="7AAD6DD9"/>
    <w:rsid w:val="7B282F94"/>
    <w:rsid w:val="7B355031"/>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styleId="6">
    <w:name w:val="Normal Indent"/>
    <w:basedOn w:val="1"/>
    <w:next w:val="7"/>
    <w:link w:val="34"/>
    <w:qFormat/>
    <w:uiPriority w:val="0"/>
    <w:pPr>
      <w:ind w:firstLine="420"/>
    </w:pPr>
    <w:rPr>
      <w:szCs w:val="20"/>
    </w:rPr>
  </w:style>
  <w:style w:type="paragraph" w:styleId="7">
    <w:name w:val="footer"/>
    <w:basedOn w:val="1"/>
    <w:link w:val="37"/>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w:basedOn w:val="1"/>
    <w:link w:val="45"/>
    <w:qFormat/>
    <w:uiPriority w:val="0"/>
    <w:pPr>
      <w:tabs>
        <w:tab w:val="left" w:pos="562"/>
        <w:tab w:val="left" w:pos="3372"/>
        <w:tab w:val="left" w:pos="3653"/>
      </w:tabs>
    </w:pPr>
    <w:rPr>
      <w:sz w:val="24"/>
    </w:rPr>
  </w:style>
  <w:style w:type="paragraph" w:styleId="11">
    <w:name w:val="Body Text Indent"/>
    <w:basedOn w:val="1"/>
    <w:next w:val="1"/>
    <w:semiHidden/>
    <w:qFormat/>
    <w:uiPriority w:val="0"/>
    <w:pPr>
      <w:spacing w:line="360" w:lineRule="auto"/>
      <w:ind w:left="720" w:hanging="720" w:hangingChars="300"/>
    </w:pPr>
    <w:rPr>
      <w:sz w:val="24"/>
      <w:szCs w:val="20"/>
    </w:rPr>
  </w:style>
  <w:style w:type="paragraph" w:styleId="12">
    <w:name w:val="List 2"/>
    <w:basedOn w:val="1"/>
    <w:next w:val="1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3">
    <w:name w:val="Plain Text"/>
    <w:basedOn w:val="1"/>
    <w:link w:val="35"/>
    <w:qFormat/>
    <w:uiPriority w:val="0"/>
    <w:rPr>
      <w:rFonts w:ascii="宋体" w:hAnsi="Courier New" w:cs="宋体"/>
      <w:szCs w:val="21"/>
    </w:rPr>
  </w:style>
  <w:style w:type="paragraph" w:styleId="14">
    <w:name w:val="Balloon Text"/>
    <w:basedOn w:val="1"/>
    <w:link w:val="52"/>
    <w:semiHidden/>
    <w:unhideWhenUsed/>
    <w:qFormat/>
    <w:uiPriority w:val="99"/>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qFormat/>
    <w:uiPriority w:val="0"/>
    <w:pPr>
      <w:spacing w:afterLines="0" w:line="240" w:lineRule="auto"/>
    </w:pPr>
    <w:rPr>
      <w:rFonts w:ascii="Calibri" w:hAnsi="Calibri"/>
      <w:szCs w:val="20"/>
    </w:rPr>
  </w:style>
  <w:style w:type="paragraph" w:styleId="17">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8">
    <w:name w:val="footnote text"/>
    <w:basedOn w:val="1"/>
    <w:semiHidden/>
    <w:unhideWhenUsed/>
    <w:qFormat/>
    <w:uiPriority w:val="99"/>
    <w:pPr>
      <w:snapToGrid w:val="0"/>
      <w:jc w:val="left"/>
    </w:pPr>
    <w:rPr>
      <w:sz w:val="18"/>
    </w:rPr>
  </w:style>
  <w:style w:type="paragraph" w:styleId="19">
    <w:name w:val="Body Text 2"/>
    <w:basedOn w:val="1"/>
    <w:unhideWhenUsed/>
    <w:qFormat/>
    <w:uiPriority w:val="0"/>
    <w:pPr>
      <w:spacing w:line="360" w:lineRule="auto"/>
    </w:pPr>
    <w:rPr>
      <w:rFonts w:hint="default" w:ascii="宋体" w:hAnsi="宋体"/>
      <w:color w:val="000000"/>
      <w:sz w:val="24"/>
      <w:szCs w:val="20"/>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Title"/>
    <w:basedOn w:val="1"/>
    <w:next w:val="1"/>
    <w:qFormat/>
    <w:uiPriority w:val="0"/>
    <w:pPr>
      <w:spacing w:before="240" w:after="60"/>
      <w:jc w:val="center"/>
      <w:outlineLvl w:val="0"/>
    </w:pPr>
    <w:rPr>
      <w:rFonts w:ascii="Arial" w:hAnsi="Arial" w:eastAsia="隶书"/>
      <w:b/>
      <w:bCs/>
      <w:sz w:val="32"/>
      <w:szCs w:val="32"/>
    </w:rPr>
  </w:style>
  <w:style w:type="paragraph" w:styleId="23">
    <w:name w:val="Body Text First Indent"/>
    <w:basedOn w:val="10"/>
    <w:next w:val="1"/>
    <w:qFormat/>
    <w:uiPriority w:val="0"/>
    <w:pPr>
      <w:ind w:firstLine="420" w:firstLineChars="100"/>
    </w:pPr>
  </w:style>
  <w:style w:type="paragraph" w:styleId="24">
    <w:name w:val="Body Text First Indent 2"/>
    <w:basedOn w:val="11"/>
    <w:next w:val="1"/>
    <w:qFormat/>
    <w:uiPriority w:val="0"/>
    <w:pPr>
      <w:ind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Hyperlink"/>
    <w:qFormat/>
    <w:uiPriority w:val="0"/>
    <w:rPr>
      <w:color w:val="0000FF"/>
      <w:u w:val="single"/>
    </w:rPr>
  </w:style>
  <w:style w:type="character" w:styleId="30">
    <w:name w:val="annotation reference"/>
    <w:qFormat/>
    <w:uiPriority w:val="0"/>
    <w:rPr>
      <w:sz w:val="21"/>
      <w:szCs w:val="21"/>
    </w:rPr>
  </w:style>
  <w:style w:type="character" w:styleId="31">
    <w:name w:val="footnote reference"/>
    <w:basedOn w:val="27"/>
    <w:semiHidden/>
    <w:unhideWhenUsed/>
    <w:qFormat/>
    <w:uiPriority w:val="99"/>
    <w:rPr>
      <w:vertAlign w:val="superscript"/>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7"/>
    <w:semiHidden/>
    <w:qFormat/>
    <w:uiPriority w:val="99"/>
    <w:rPr>
      <w:rFonts w:hAnsi="Courier New" w:cs="Courier New" w:asciiTheme="minorEastAsia"/>
      <w:szCs w:val="24"/>
    </w:rPr>
  </w:style>
  <w:style w:type="character" w:customStyle="1" w:styleId="34">
    <w:name w:val="正文缩进 Char1"/>
    <w:basedOn w:val="27"/>
    <w:link w:val="6"/>
    <w:qFormat/>
    <w:uiPriority w:val="0"/>
    <w:rPr>
      <w:rFonts w:ascii="Times New Roman" w:hAnsi="Times New Roman" w:eastAsia="宋体" w:cs="Times New Roman"/>
      <w:szCs w:val="20"/>
    </w:rPr>
  </w:style>
  <w:style w:type="character" w:customStyle="1" w:styleId="35">
    <w:name w:val="纯文本 Char1"/>
    <w:basedOn w:val="27"/>
    <w:link w:val="13"/>
    <w:qFormat/>
    <w:uiPriority w:val="0"/>
    <w:rPr>
      <w:rFonts w:ascii="宋体" w:hAnsi="Courier New" w:eastAsia="宋体" w:cs="宋体"/>
      <w:szCs w:val="21"/>
    </w:rPr>
  </w:style>
  <w:style w:type="character" w:customStyle="1" w:styleId="36">
    <w:name w:val="页眉 Char"/>
    <w:basedOn w:val="27"/>
    <w:link w:val="15"/>
    <w:qFormat/>
    <w:uiPriority w:val="99"/>
    <w:rPr>
      <w:rFonts w:ascii="Times New Roman" w:hAnsi="Times New Roman" w:eastAsia="宋体" w:cs="Times New Roman"/>
      <w:sz w:val="18"/>
      <w:szCs w:val="18"/>
    </w:rPr>
  </w:style>
  <w:style w:type="character" w:customStyle="1" w:styleId="37">
    <w:name w:val="页脚 Char"/>
    <w:basedOn w:val="27"/>
    <w:link w:val="7"/>
    <w:qFormat/>
    <w:uiPriority w:val="99"/>
    <w:rPr>
      <w:rFonts w:ascii="Times New Roman" w:hAnsi="Times New Roman" w:eastAsia="宋体" w:cs="Times New Roman"/>
      <w:sz w:val="18"/>
      <w:szCs w:val="18"/>
    </w:rPr>
  </w:style>
  <w:style w:type="character" w:customStyle="1" w:styleId="38">
    <w:name w:val="正文缩进 Char1 Char"/>
    <w:basedOn w:val="27"/>
    <w:qFormat/>
    <w:uiPriority w:val="0"/>
    <w:rPr>
      <w:kern w:val="2"/>
      <w:sz w:val="21"/>
    </w:rPr>
  </w:style>
  <w:style w:type="character" w:customStyle="1" w:styleId="39">
    <w:name w:val="纯文本 Char"/>
    <w:basedOn w:val="27"/>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7"/>
    <w:link w:val="10"/>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7"/>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7"/>
    <w:link w:val="14"/>
    <w:semiHidden/>
    <w:qFormat/>
    <w:uiPriority w:val="99"/>
    <w:rPr>
      <w:rFonts w:ascii="Times New Roman" w:hAnsi="Times New Roman" w:eastAsia="宋体" w:cs="Times New Roman"/>
      <w:sz w:val="18"/>
      <w:szCs w:val="18"/>
    </w:rPr>
  </w:style>
  <w:style w:type="character" w:customStyle="1" w:styleId="53">
    <w:name w:val="批注文字 Char"/>
    <w:basedOn w:val="27"/>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7"/>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7"/>
    <w:link w:val="3"/>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12734</Words>
  <Characters>14659</Characters>
  <Lines>102</Lines>
  <Paragraphs>28</Paragraphs>
  <TotalTime>1</TotalTime>
  <ScaleCrop>false</ScaleCrop>
  <LinksUpToDate>false</LinksUpToDate>
  <CharactersWithSpaces>15085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2025-07-03T08:17:30Z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79CD3BFF289E4211B2243D03152B2424_13</vt:lpwstr>
  </property>
  <property fmtid="{D5CDD505-2E9C-101B-9397-08002B2CF9AE}" pid="4" name="KSOTemplateDocerSaveRecord">
    <vt:lpwstr>eyJoZGlkIjoiYjcwNzZmNzFiZWQzZTNhNmU2ZjIwYzg2NmEwZTVjMTQiLCJ1c2VySWQiOiIxMTQ0OTg1Njg1In0=</vt:lpwstr>
  </property>
</Properties>
</file>