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8</w:t>
      </w:r>
      <w:r>
        <w:rPr>
          <w:rFonts w:hint="eastAsia" w:ascii="宋体" w:hAnsi="宋体" w:eastAsia="宋体" w:cs="宋体"/>
          <w:b/>
          <w:bCs/>
          <w:sz w:val="30"/>
          <w:szCs w:val="30"/>
        </w:rPr>
        <w:t>期第三方劳务派遣人才服务(二次招标)</w:t>
      </w:r>
      <w:r>
        <w:rPr>
          <w:rFonts w:hint="eastAsia" w:ascii="宋体" w:hAnsi="宋体" w:cs="宋体"/>
          <w:b/>
          <w:bCs/>
          <w:sz w:val="30"/>
          <w:szCs w:val="30"/>
          <w:lang w:eastAsia="zh-CN"/>
        </w:rPr>
        <w:t>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8</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院内招标</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5"/>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838"/>
        <w:gridCol w:w="1050"/>
        <w:gridCol w:w="1650"/>
        <w:gridCol w:w="2014"/>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838"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050" w:type="dxa"/>
            <w:tcMar>
              <w:top w:w="0" w:type="dxa"/>
              <w:left w:w="108" w:type="dxa"/>
              <w:bottom w:w="0" w:type="dxa"/>
              <w:right w:w="108" w:type="dxa"/>
            </w:tcMar>
            <w:vAlign w:val="center"/>
          </w:tcPr>
          <w:p w14:paraId="6BF9E073">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650"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014"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olor w:val="auto"/>
                <w:szCs w:val="21"/>
                <w:highlight w:val="none"/>
                <w:lang w:val="en-US" w:eastAsia="zh-CN"/>
              </w:rPr>
              <w:t>第三方劳务派遣人才服务(二次招标)</w:t>
            </w:r>
          </w:p>
        </w:tc>
        <w:tc>
          <w:tcPr>
            <w:tcW w:w="838"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1050" w:type="dxa"/>
            <w:tcMar>
              <w:top w:w="0" w:type="dxa"/>
              <w:left w:w="108" w:type="dxa"/>
              <w:bottom w:w="0" w:type="dxa"/>
              <w:right w:w="108" w:type="dxa"/>
            </w:tcMar>
            <w:vAlign w:val="center"/>
          </w:tcPr>
          <w:p w14:paraId="2A1BD48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项</w:t>
            </w:r>
          </w:p>
        </w:tc>
        <w:tc>
          <w:tcPr>
            <w:tcW w:w="1650"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人事科</w:t>
            </w:r>
          </w:p>
        </w:tc>
        <w:tc>
          <w:tcPr>
            <w:tcW w:w="2014"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7月10日16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lang w:val="en-US" w:eastAsia="zh-CN"/>
        </w:rPr>
      </w:pPr>
      <w:r>
        <w:rPr>
          <w:rFonts w:hint="eastAsia" w:ascii="宋体" w:hAnsi="宋体" w:cs="宋体"/>
          <w:color w:val="000000"/>
          <w:kern w:val="0"/>
          <w:szCs w:val="21"/>
          <w:lang w:val="en-US" w:eastAsia="zh-CN"/>
        </w:rPr>
        <w:t>（二）特定资格条件：</w:t>
      </w:r>
      <w:r>
        <w:rPr>
          <w:rFonts w:hint="eastAsia" w:ascii="宋体" w:hAnsi="宋体" w:eastAsia="宋体" w:cs="Arial"/>
          <w:bCs/>
          <w:color w:val="000000"/>
          <w:kern w:val="2"/>
          <w:sz w:val="21"/>
          <w:szCs w:val="21"/>
          <w:lang w:val="en-US" w:eastAsia="zh-CN" w:bidi="ar-SA"/>
        </w:rPr>
        <w:t>具有《人力资源服务许可证》和《劳务派遣经营许可证》，且在服务期限内持续有效</w:t>
      </w:r>
      <w:r>
        <w:rPr>
          <w:rFonts w:hint="eastAsia" w:ascii="宋体" w:hAnsi="宋体" w:cs="宋体"/>
          <w:color w:val="000000"/>
          <w:kern w:val="0"/>
          <w:szCs w:val="21"/>
          <w:lang w:val="en-US" w:eastAsia="zh-CN"/>
        </w:rPr>
        <w:t>。</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0755-81219500转6541(梁老师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2025</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6</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30</w:t>
      </w:r>
      <w:bookmarkStart w:id="13" w:name="_GoBack"/>
      <w:bookmarkEnd w:id="13"/>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6"/>
        <w:tblW w:w="85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92"/>
        <w:gridCol w:w="1214"/>
        <w:gridCol w:w="6624"/>
      </w:tblGrid>
      <w:tr w14:paraId="6D8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6" w:hRule="atLeast"/>
        </w:trPr>
        <w:tc>
          <w:tcPr>
            <w:tcW w:w="8530" w:type="dxa"/>
            <w:gridSpan w:val="3"/>
            <w:shd w:val="clear" w:color="auto" w:fill="FFFFFF" w:themeFill="background1"/>
            <w:vAlign w:val="center"/>
          </w:tcPr>
          <w:p w14:paraId="0E6491B6">
            <w:pPr>
              <w:jc w:val="center"/>
              <w:rPr>
                <w:b/>
                <w:bCs/>
                <w:color w:val="000000"/>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44</w:t>
            </w:r>
            <w:r>
              <w:rPr>
                <w:rFonts w:hint="eastAsia" w:ascii="Calibri" w:hAnsi="Calibri" w:cs="宋体"/>
                <w:b/>
                <w:bCs/>
                <w:color w:val="000000"/>
                <w:szCs w:val="22"/>
                <w:lang w:bidi="ar"/>
              </w:rPr>
              <w:t>分）</w:t>
            </w:r>
          </w:p>
        </w:tc>
      </w:tr>
      <w:tr w14:paraId="64C3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2" w:hRule="atLeast"/>
        </w:trPr>
        <w:tc>
          <w:tcPr>
            <w:tcW w:w="692" w:type="dxa"/>
            <w:shd w:val="clear" w:color="auto" w:fill="FFFFFF" w:themeFill="background1"/>
            <w:vAlign w:val="center"/>
          </w:tcPr>
          <w:p w14:paraId="147261D7">
            <w:pPr>
              <w:spacing w:line="320" w:lineRule="exact"/>
              <w:jc w:val="center"/>
              <w:rPr>
                <w:rFonts w:ascii="宋体" w:hAnsi="宋体" w:cs="宋体"/>
                <w:color w:val="000000"/>
              </w:rPr>
            </w:pPr>
            <w:r>
              <w:rPr>
                <w:rFonts w:hint="eastAsia" w:ascii="宋体" w:hAnsi="宋体" w:cs="宋体"/>
                <w:color w:val="000000"/>
                <w:kern w:val="0"/>
                <w:szCs w:val="21"/>
                <w:lang w:bidi="ar"/>
              </w:rPr>
              <w:t>序号</w:t>
            </w:r>
          </w:p>
        </w:tc>
        <w:tc>
          <w:tcPr>
            <w:tcW w:w="1214" w:type="dxa"/>
            <w:shd w:val="clear" w:color="auto" w:fill="FFFFFF" w:themeFill="background1"/>
            <w:vAlign w:val="center"/>
          </w:tcPr>
          <w:p w14:paraId="723BC952">
            <w:pPr>
              <w:spacing w:line="320" w:lineRule="exact"/>
              <w:jc w:val="center"/>
              <w:rPr>
                <w:rFonts w:ascii="宋体" w:hAnsi="宋体" w:cs="宋体"/>
                <w:color w:val="000000"/>
              </w:rPr>
            </w:pPr>
            <w:r>
              <w:rPr>
                <w:rFonts w:hint="eastAsia" w:ascii="宋体" w:hAnsi="宋体" w:cs="宋体"/>
                <w:color w:val="000000"/>
                <w:kern w:val="0"/>
                <w:szCs w:val="21"/>
                <w:lang w:bidi="ar"/>
              </w:rPr>
              <w:t>评分因素/分值</w:t>
            </w:r>
          </w:p>
        </w:tc>
        <w:tc>
          <w:tcPr>
            <w:tcW w:w="6624" w:type="dxa"/>
            <w:shd w:val="clear" w:color="auto" w:fill="FFFFFF" w:themeFill="background1"/>
            <w:vAlign w:val="center"/>
          </w:tcPr>
          <w:p w14:paraId="5C5D943F">
            <w:pPr>
              <w:spacing w:line="320" w:lineRule="exact"/>
              <w:jc w:val="center"/>
              <w:rPr>
                <w:rFonts w:ascii="宋体" w:hAnsi="宋体" w:cs="宋体"/>
                <w:color w:val="000000"/>
              </w:rPr>
            </w:pPr>
            <w:r>
              <w:rPr>
                <w:rFonts w:hint="eastAsia" w:ascii="宋体" w:hAnsi="宋体" w:cs="宋体"/>
                <w:color w:val="000000"/>
                <w:kern w:val="0"/>
                <w:szCs w:val="21"/>
                <w:lang w:bidi="ar"/>
              </w:rPr>
              <w:t>评分标准</w:t>
            </w:r>
          </w:p>
        </w:tc>
      </w:tr>
      <w:tr w14:paraId="608E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E7AB451">
            <w:pPr>
              <w:spacing w:line="320" w:lineRule="exact"/>
              <w:jc w:val="center"/>
              <w:rPr>
                <w:rFonts w:ascii="宋体" w:hAnsi="宋体" w:cs="宋体"/>
                <w:color w:val="000000"/>
                <w:szCs w:val="21"/>
              </w:rPr>
            </w:pPr>
            <w:r>
              <w:rPr>
                <w:rFonts w:hint="eastAsia" w:ascii="宋体" w:hAnsi="宋体" w:cs="宋体"/>
                <w:color w:val="000000"/>
                <w:szCs w:val="21"/>
                <w:lang w:bidi="ar"/>
              </w:rPr>
              <w:t>1</w:t>
            </w:r>
          </w:p>
        </w:tc>
        <w:tc>
          <w:tcPr>
            <w:tcW w:w="1214" w:type="dxa"/>
            <w:shd w:val="clear" w:color="auto" w:fill="FFFFFF" w:themeFill="background1"/>
            <w:vAlign w:val="center"/>
          </w:tcPr>
          <w:p w14:paraId="44A4A374">
            <w:pPr>
              <w:spacing w:line="320" w:lineRule="exact"/>
              <w:jc w:val="center"/>
              <w:rPr>
                <w:rFonts w:ascii="宋体" w:hAnsi="宋体" w:cs="宋体"/>
                <w:b w:val="0"/>
                <w:bCs w:val="0"/>
                <w:color w:val="000000"/>
                <w:sz w:val="21"/>
                <w:szCs w:val="21"/>
              </w:rPr>
            </w:pPr>
            <w:r>
              <w:rPr>
                <w:rFonts w:hint="eastAsia" w:ascii="宋体" w:hAnsi="宋体" w:eastAsia="宋体" w:cs="宋体"/>
                <w:b w:val="0"/>
                <w:bCs w:val="0"/>
                <w:sz w:val="21"/>
                <w:szCs w:val="21"/>
                <w:highlight w:val="none"/>
                <w:lang w:val="en-US" w:eastAsia="zh-CN"/>
              </w:rPr>
              <w:t>服务方案</w:t>
            </w:r>
            <w:r>
              <w:rPr>
                <w:rFonts w:hint="eastAsia" w:ascii="宋体" w:hAnsi="宋体" w:cs="宋体"/>
                <w:b w:val="0"/>
                <w:bCs w:val="0"/>
                <w:color w:val="000000"/>
                <w:sz w:val="21"/>
                <w:szCs w:val="21"/>
                <w:lang w:bidi="ar"/>
              </w:rPr>
              <w:t>（</w:t>
            </w:r>
            <w:r>
              <w:rPr>
                <w:rFonts w:hint="eastAsia" w:ascii="宋体" w:hAnsi="宋体" w:cs="宋体"/>
                <w:b w:val="0"/>
                <w:bCs w:val="0"/>
                <w:color w:val="000000"/>
                <w:sz w:val="21"/>
                <w:szCs w:val="21"/>
                <w:lang w:val="en-US" w:eastAsia="zh-CN" w:bidi="ar"/>
              </w:rPr>
              <w:t>11</w:t>
            </w:r>
            <w:r>
              <w:rPr>
                <w:rFonts w:hint="eastAsia" w:ascii="宋体" w:hAnsi="宋体" w:cs="宋体"/>
                <w:b w:val="0"/>
                <w:bCs w:val="0"/>
                <w:color w:val="000000"/>
                <w:sz w:val="21"/>
                <w:szCs w:val="21"/>
                <w:lang w:bidi="ar"/>
              </w:rPr>
              <w:t>分）</w:t>
            </w:r>
          </w:p>
        </w:tc>
        <w:tc>
          <w:tcPr>
            <w:tcW w:w="6624" w:type="dxa"/>
            <w:shd w:val="clear" w:color="auto" w:fill="FFFFFF" w:themeFill="background1"/>
            <w:vAlign w:val="center"/>
          </w:tcPr>
          <w:p w14:paraId="72A82EA4">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（一）评分内容：</w:t>
            </w:r>
          </w:p>
          <w:p w14:paraId="1326FA01">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根据投标文件中对本项目的服务方案进行评分。包括但不限于：</w:t>
            </w:r>
          </w:p>
          <w:p w14:paraId="0A4973D4">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项目整体设想及规划；</w:t>
            </w:r>
          </w:p>
          <w:p w14:paraId="6CA83F5F">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项目管理目标；</w:t>
            </w:r>
          </w:p>
          <w:p w14:paraId="421C67D3">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项目工作流程。</w:t>
            </w:r>
          </w:p>
          <w:p w14:paraId="4775B92B">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（二）评分依据：</w:t>
            </w:r>
          </w:p>
          <w:p w14:paraId="7618C018">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满足3点得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p>
          <w:p w14:paraId="46D79185">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满足任意2点得</w:t>
            </w:r>
            <w:r>
              <w:rPr>
                <w:rFonts w:hint="eastAsia" w:ascii="宋体" w:hAnsi="宋体" w:cs="宋体"/>
                <w:b w:val="0"/>
                <w:bCs w:val="0"/>
                <w:sz w:val="21"/>
                <w:szCs w:val="21"/>
                <w:highlight w:val="none"/>
                <w:lang w:val="en-US" w:eastAsia="zh-CN"/>
              </w:rPr>
              <w:t>4</w:t>
            </w:r>
            <w:r>
              <w:rPr>
                <w:rFonts w:hint="eastAsia" w:ascii="宋体" w:hAnsi="宋体" w:eastAsia="宋体" w:cs="宋体"/>
                <w:b w:val="0"/>
                <w:bCs w:val="0"/>
                <w:sz w:val="21"/>
                <w:szCs w:val="21"/>
                <w:highlight w:val="none"/>
              </w:rPr>
              <w:t>分；</w:t>
            </w:r>
          </w:p>
          <w:p w14:paraId="3115AA3A">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w:t>
            </w:r>
            <w:r>
              <w:rPr>
                <w:rFonts w:hint="eastAsia" w:ascii="宋体" w:hAnsi="宋体" w:eastAsia="宋体" w:cs="宋体"/>
                <w:b w:val="0"/>
                <w:bCs w:val="0"/>
                <w:sz w:val="21"/>
                <w:szCs w:val="21"/>
                <w:highlight w:val="none"/>
                <w:lang w:eastAsia="zh-CN"/>
              </w:rPr>
              <w:t>.</w:t>
            </w:r>
            <w:r>
              <w:rPr>
                <w:rFonts w:hint="eastAsia" w:ascii="宋体" w:hAnsi="宋体" w:cs="宋体"/>
                <w:b w:val="0"/>
                <w:bCs w:val="0"/>
                <w:sz w:val="21"/>
                <w:szCs w:val="21"/>
                <w:highlight w:val="none"/>
                <w:lang w:val="en-US" w:eastAsia="zh-CN"/>
              </w:rPr>
              <w:t>满足任意1点/</w:t>
            </w:r>
            <w:r>
              <w:rPr>
                <w:rFonts w:hint="eastAsia" w:ascii="宋体" w:hAnsi="宋体" w:eastAsia="宋体" w:cs="宋体"/>
                <w:b w:val="0"/>
                <w:bCs w:val="0"/>
                <w:sz w:val="21"/>
                <w:szCs w:val="21"/>
                <w:highlight w:val="none"/>
              </w:rPr>
              <w:t>未满足不得分。</w:t>
            </w:r>
          </w:p>
          <w:p w14:paraId="31D403D9">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在此基础上，专家根据各投标人的具体响应内容按照量化的评审因素指标进一步评审：</w:t>
            </w:r>
          </w:p>
          <w:p w14:paraId="70AA1934">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评审为优（如完全满足项目要求的，条理非常清晰的）的</w:t>
            </w:r>
            <w:r>
              <w:rPr>
                <w:rFonts w:hint="eastAsia" w:ascii="宋体" w:hAnsi="宋体" w:cs="宋体"/>
                <w:b w:val="0"/>
                <w:bCs w:val="0"/>
                <w:sz w:val="21"/>
                <w:szCs w:val="21"/>
                <w:highlight w:val="none"/>
                <w:lang w:val="en-US" w:eastAsia="zh-CN"/>
              </w:rPr>
              <w:t>得5</w:t>
            </w:r>
            <w:r>
              <w:rPr>
                <w:rFonts w:hint="eastAsia" w:ascii="宋体" w:hAnsi="宋体" w:eastAsia="宋体" w:cs="宋体"/>
                <w:b w:val="0"/>
                <w:bCs w:val="0"/>
                <w:sz w:val="21"/>
                <w:szCs w:val="21"/>
                <w:highlight w:val="none"/>
              </w:rPr>
              <w:t>分；</w:t>
            </w:r>
          </w:p>
          <w:p w14:paraId="1CCB38DA">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评审为良（如基本满足项目要求的，条理清晰的）的</w:t>
            </w:r>
            <w:r>
              <w:rPr>
                <w:rFonts w:hint="eastAsia" w:ascii="宋体" w:hAnsi="宋体" w:eastAsia="宋体" w:cs="宋体"/>
                <w:b w:val="0"/>
                <w:bCs w:val="0"/>
                <w:sz w:val="21"/>
                <w:szCs w:val="21"/>
                <w:highlight w:val="none"/>
                <w:lang w:val="en-US" w:eastAsia="zh-CN"/>
              </w:rPr>
              <w:t>得</w:t>
            </w:r>
            <w:r>
              <w:rPr>
                <w:rFonts w:hint="eastAsia" w:ascii="宋体" w:hAnsi="宋体" w:cs="宋体"/>
                <w:b w:val="0"/>
                <w:bCs w:val="0"/>
                <w:sz w:val="21"/>
                <w:szCs w:val="21"/>
                <w:highlight w:val="none"/>
                <w:lang w:val="en-US" w:eastAsia="zh-CN"/>
              </w:rPr>
              <w:t>3</w:t>
            </w:r>
            <w:r>
              <w:rPr>
                <w:rFonts w:hint="eastAsia" w:ascii="宋体" w:hAnsi="宋体" w:eastAsia="宋体" w:cs="宋体"/>
                <w:b w:val="0"/>
                <w:bCs w:val="0"/>
                <w:sz w:val="21"/>
                <w:szCs w:val="21"/>
                <w:highlight w:val="none"/>
              </w:rPr>
              <w:t>分；</w:t>
            </w:r>
          </w:p>
          <w:p w14:paraId="2F44B970">
            <w:pPr>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评审为中（如不完全满足项目要求的，条理清晰的）的</w:t>
            </w:r>
            <w:r>
              <w:rPr>
                <w:rFonts w:hint="eastAsia" w:ascii="宋体" w:hAnsi="宋体" w:eastAsia="宋体" w:cs="宋体"/>
                <w:b w:val="0"/>
                <w:bCs w:val="0"/>
                <w:sz w:val="21"/>
                <w:szCs w:val="21"/>
                <w:highlight w:val="none"/>
                <w:lang w:val="en-US" w:eastAsia="zh-CN"/>
              </w:rPr>
              <w:t>得</w:t>
            </w:r>
            <w:r>
              <w:rPr>
                <w:rFonts w:hint="eastAsia" w:ascii="宋体" w:hAnsi="宋体" w:eastAsia="宋体" w:cs="宋体"/>
                <w:b w:val="0"/>
                <w:bCs w:val="0"/>
                <w:sz w:val="21"/>
                <w:szCs w:val="21"/>
                <w:highlight w:val="none"/>
              </w:rPr>
              <w:t>1分；</w:t>
            </w:r>
          </w:p>
          <w:p w14:paraId="44DCB124">
            <w:pPr>
              <w:spacing w:line="320" w:lineRule="exact"/>
              <w:jc w:val="left"/>
              <w:rPr>
                <w:rFonts w:hint="eastAsia" w:ascii="宋体" w:hAnsi="宋体" w:eastAsia="宋体" w:cs="宋体"/>
                <w:b w:val="0"/>
                <w:bCs w:val="0"/>
                <w:color w:val="000000"/>
                <w:kern w:val="0"/>
                <w:sz w:val="21"/>
                <w:szCs w:val="21"/>
                <w:lang w:eastAsia="zh-CN"/>
              </w:rPr>
            </w:pPr>
            <w:r>
              <w:rPr>
                <w:rFonts w:hint="eastAsia" w:ascii="宋体" w:hAnsi="宋体" w:eastAsia="宋体" w:cs="宋体"/>
                <w:b w:val="0"/>
                <w:bCs w:val="0"/>
                <w:sz w:val="21"/>
                <w:szCs w:val="21"/>
                <w:highlight w:val="none"/>
              </w:rPr>
              <w:t>评审为差（如不满足项目要求的）的不</w:t>
            </w:r>
            <w:r>
              <w:rPr>
                <w:rFonts w:hint="eastAsia" w:ascii="宋体" w:hAnsi="宋体" w:eastAsia="宋体" w:cs="宋体"/>
                <w:b w:val="0"/>
                <w:bCs w:val="0"/>
                <w:sz w:val="21"/>
                <w:szCs w:val="21"/>
                <w:highlight w:val="none"/>
                <w:lang w:val="en-US" w:eastAsia="zh-CN"/>
              </w:rPr>
              <w:t>得</w:t>
            </w:r>
            <w:r>
              <w:rPr>
                <w:rFonts w:hint="eastAsia" w:ascii="宋体" w:hAnsi="宋体" w:eastAsia="宋体" w:cs="宋体"/>
                <w:b w:val="0"/>
                <w:bCs w:val="0"/>
                <w:sz w:val="21"/>
                <w:szCs w:val="21"/>
                <w:highlight w:val="none"/>
              </w:rPr>
              <w:t>分。</w:t>
            </w:r>
          </w:p>
        </w:tc>
      </w:tr>
      <w:tr w14:paraId="31F4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10F743BD">
            <w:pPr>
              <w:spacing w:line="320" w:lineRule="exact"/>
              <w:jc w:val="center"/>
              <w:rPr>
                <w:rFonts w:ascii="宋体" w:hAnsi="宋体" w:cs="宋体"/>
                <w:color w:val="000000"/>
                <w:szCs w:val="21"/>
              </w:rPr>
            </w:pPr>
            <w:r>
              <w:rPr>
                <w:rFonts w:hint="eastAsia" w:ascii="宋体" w:hAnsi="宋体" w:cs="宋体"/>
                <w:color w:val="000000"/>
                <w:szCs w:val="21"/>
                <w:lang w:bidi="ar"/>
              </w:rPr>
              <w:t>2</w:t>
            </w:r>
          </w:p>
        </w:tc>
        <w:tc>
          <w:tcPr>
            <w:tcW w:w="1214" w:type="dxa"/>
            <w:shd w:val="clear" w:color="auto" w:fill="FFFFFF" w:themeFill="background1"/>
            <w:vAlign w:val="center"/>
          </w:tcPr>
          <w:p w14:paraId="7EAF1B3F">
            <w:pPr>
              <w:spacing w:line="320" w:lineRule="exact"/>
              <w:jc w:val="center"/>
              <w:rPr>
                <w:rFonts w:ascii="宋体" w:hAnsi="宋体" w:cs="宋体"/>
                <w:color w:val="000000"/>
                <w:szCs w:val="21"/>
              </w:rPr>
            </w:pPr>
            <w:r>
              <w:rPr>
                <w:rFonts w:hint="eastAsia" w:ascii="宋体" w:hAnsi="宋体" w:cs="宋体"/>
                <w:color w:val="000000"/>
                <w:szCs w:val="21"/>
                <w:lang w:bidi="ar"/>
              </w:rPr>
              <w:t>项目重点难点分析、应对措施及相关的合理化建议（</w:t>
            </w:r>
            <w:r>
              <w:rPr>
                <w:rFonts w:hint="eastAsia" w:ascii="宋体" w:hAnsi="宋体" w:cs="宋体"/>
                <w:color w:val="000000"/>
                <w:szCs w:val="21"/>
                <w:lang w:val="en-US" w:eastAsia="zh-CN" w:bidi="ar"/>
              </w:rPr>
              <w:t>7</w:t>
            </w:r>
            <w:r>
              <w:rPr>
                <w:rFonts w:hint="eastAsia" w:ascii="宋体" w:hAnsi="宋体" w:cs="宋体"/>
                <w:color w:val="000000"/>
                <w:szCs w:val="21"/>
                <w:lang w:bidi="ar"/>
              </w:rPr>
              <w:t>分）</w:t>
            </w:r>
          </w:p>
        </w:tc>
        <w:tc>
          <w:tcPr>
            <w:tcW w:w="6624" w:type="dxa"/>
            <w:shd w:val="clear" w:color="auto" w:fill="auto"/>
            <w:vAlign w:val="top"/>
          </w:tcPr>
          <w:p w14:paraId="5F3B46D1">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（一）评分内容：</w:t>
            </w:r>
          </w:p>
          <w:p w14:paraId="4D69E79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根据投标文件中对本项目的项目重点难点分析、应对措施及相关的合理化建议进行评分，包括但不限于：</w:t>
            </w:r>
          </w:p>
          <w:p w14:paraId="391B6587">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1.劳动纠纷应急处置；</w:t>
            </w:r>
          </w:p>
          <w:p w14:paraId="732F49BC">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2.上访事件应急处置；</w:t>
            </w:r>
          </w:p>
          <w:p w14:paraId="6A9F9ED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3.工伤或重大疾病应急处置。</w:t>
            </w:r>
          </w:p>
          <w:p w14:paraId="1922DF7E">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（二）评分依据：</w:t>
            </w:r>
          </w:p>
          <w:p w14:paraId="1E8810B4">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1、满足3点得4分；</w:t>
            </w:r>
          </w:p>
          <w:p w14:paraId="5C9DFE93">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2、满足任意2点得2分；</w:t>
            </w:r>
          </w:p>
          <w:p w14:paraId="1A7E0BDF">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3、满足任意1点/未满足不得分。</w:t>
            </w:r>
          </w:p>
          <w:p w14:paraId="18F703AD">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在此基础上，专家根据各投标人的具体响应内容按照量化的评审因素指标进一步评审：</w:t>
            </w:r>
          </w:p>
          <w:p w14:paraId="6CEC77C2">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评审为优（如完全满足项目要求的，条理非常清晰的）的</w:t>
            </w:r>
            <w:r>
              <w:rPr>
                <w:rFonts w:hint="eastAsia" w:ascii="宋体" w:hAnsi="宋体" w:cs="宋体"/>
                <w:kern w:val="2"/>
                <w:sz w:val="21"/>
                <w:szCs w:val="21"/>
                <w:lang w:val="en-US" w:eastAsia="zh-CN" w:bidi="ar-SA"/>
              </w:rPr>
              <w:t>得</w:t>
            </w:r>
            <w:r>
              <w:rPr>
                <w:rFonts w:hint="eastAsia" w:ascii="宋体" w:hAnsi="宋体" w:eastAsia="宋体" w:cs="宋体"/>
                <w:kern w:val="2"/>
                <w:sz w:val="21"/>
                <w:szCs w:val="21"/>
                <w:lang w:val="en-US" w:eastAsia="zh-CN" w:bidi="ar-SA"/>
              </w:rPr>
              <w:t>3分；</w:t>
            </w:r>
          </w:p>
          <w:p w14:paraId="049E0B3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评审为良（如基本满足项目要求的，条理清晰的）的</w:t>
            </w:r>
            <w:r>
              <w:rPr>
                <w:rFonts w:hint="eastAsia" w:ascii="宋体" w:hAnsi="宋体" w:cs="宋体"/>
                <w:kern w:val="2"/>
                <w:sz w:val="21"/>
                <w:szCs w:val="21"/>
                <w:lang w:val="en-US" w:eastAsia="zh-CN" w:bidi="ar-SA"/>
              </w:rPr>
              <w:t>得</w:t>
            </w:r>
            <w:r>
              <w:rPr>
                <w:rFonts w:hint="eastAsia" w:ascii="宋体" w:hAnsi="宋体" w:eastAsia="宋体" w:cs="宋体"/>
                <w:kern w:val="2"/>
                <w:sz w:val="21"/>
                <w:szCs w:val="21"/>
                <w:lang w:val="en-US" w:eastAsia="zh-CN" w:bidi="ar-SA"/>
              </w:rPr>
              <w:t>2分；</w:t>
            </w:r>
          </w:p>
          <w:p w14:paraId="2CE8BDC9">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评审为中（如不完全满足项目要求的，条理清晰的）的</w:t>
            </w:r>
            <w:r>
              <w:rPr>
                <w:rFonts w:hint="eastAsia" w:ascii="宋体" w:hAnsi="宋体" w:cs="宋体"/>
                <w:kern w:val="2"/>
                <w:sz w:val="21"/>
                <w:szCs w:val="21"/>
                <w:lang w:val="en-US" w:eastAsia="zh-CN" w:bidi="ar-SA"/>
              </w:rPr>
              <w:t>得</w:t>
            </w:r>
            <w:r>
              <w:rPr>
                <w:rFonts w:hint="eastAsia" w:ascii="宋体" w:hAnsi="宋体" w:eastAsia="宋体" w:cs="宋体"/>
                <w:kern w:val="2"/>
                <w:sz w:val="21"/>
                <w:szCs w:val="21"/>
                <w:lang w:val="en-US" w:eastAsia="zh-CN" w:bidi="ar-SA"/>
              </w:rPr>
              <w:t>1分；</w:t>
            </w:r>
          </w:p>
          <w:p w14:paraId="0CC3EB1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评审为差（如不满足项目要求的）的不</w:t>
            </w:r>
            <w:r>
              <w:rPr>
                <w:rFonts w:hint="eastAsia" w:ascii="宋体" w:hAnsi="宋体" w:cs="宋体"/>
                <w:kern w:val="2"/>
                <w:sz w:val="21"/>
                <w:szCs w:val="21"/>
                <w:lang w:val="en-US" w:eastAsia="zh-CN" w:bidi="ar-SA"/>
              </w:rPr>
              <w:t>得</w:t>
            </w:r>
            <w:r>
              <w:rPr>
                <w:rFonts w:hint="eastAsia" w:ascii="宋体" w:hAnsi="宋体" w:eastAsia="宋体" w:cs="宋体"/>
                <w:kern w:val="2"/>
                <w:sz w:val="21"/>
                <w:szCs w:val="21"/>
                <w:lang w:val="en-US" w:eastAsia="zh-CN" w:bidi="ar-SA"/>
              </w:rPr>
              <w:t>分。</w:t>
            </w:r>
          </w:p>
        </w:tc>
      </w:tr>
      <w:tr w14:paraId="3964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273A730B">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266B4889">
            <w:pPr>
              <w:spacing w:line="320" w:lineRule="exact"/>
              <w:jc w:val="center"/>
              <w:rPr>
                <w:rFonts w:hint="eastAsia" w:ascii="宋体" w:hAnsi="宋体" w:cs="宋体"/>
                <w:color w:val="000000"/>
                <w:szCs w:val="21"/>
                <w:lang w:bidi="ar"/>
              </w:rPr>
            </w:pPr>
            <w:r>
              <w:rPr>
                <w:rFonts w:hint="eastAsia" w:ascii="宋体" w:hAnsi="宋体" w:cs="宋体"/>
                <w:color w:val="000000"/>
                <w:szCs w:val="21"/>
                <w:lang w:val="en-US" w:eastAsia="zh-CN" w:bidi="ar"/>
              </w:rPr>
              <w:t>项目完成（服务期满）后的服务承诺（6分）</w:t>
            </w:r>
          </w:p>
        </w:tc>
        <w:tc>
          <w:tcPr>
            <w:tcW w:w="6624" w:type="dxa"/>
            <w:shd w:val="clear" w:color="auto" w:fill="auto"/>
            <w:vAlign w:val="top"/>
          </w:tcPr>
          <w:p w14:paraId="7838A2A6">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（一）评分内容：</w:t>
            </w:r>
          </w:p>
          <w:p w14:paraId="5EC776B9">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针对本项目的需求提供项目完成（服务期满）后的服务承诺，内容包括但不限于：</w:t>
            </w:r>
          </w:p>
          <w:p w14:paraId="6BE69002">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（1）服务期满后主动离岗；</w:t>
            </w:r>
          </w:p>
          <w:p w14:paraId="11F8317E">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（2）与后续服务公司进行交接；</w:t>
            </w:r>
          </w:p>
          <w:p w14:paraId="5F995E4B">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（3）服务期满，后续服务公司未到位前仍按原合同服务承诺提供服务。</w:t>
            </w:r>
          </w:p>
          <w:p w14:paraId="520CF682">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（二）评分依据：</w:t>
            </w:r>
          </w:p>
          <w:p w14:paraId="4E92268C">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投标人需提供承诺函（格式自拟），包括上述3项内容的得6分。未按招标文件要求或未承诺的不得分。</w:t>
            </w:r>
          </w:p>
        </w:tc>
      </w:tr>
      <w:tr w14:paraId="5F2B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B760E99">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188D25EB">
            <w:pPr>
              <w:spacing w:line="320" w:lineRule="exact"/>
              <w:jc w:val="center"/>
              <w:rPr>
                <w:rFonts w:hint="eastAsia" w:ascii="宋体" w:hAnsi="宋体" w:cs="宋体"/>
                <w:color w:val="000000"/>
                <w:szCs w:val="21"/>
                <w:lang w:bidi="ar"/>
              </w:rPr>
            </w:pPr>
            <w:r>
              <w:rPr>
                <w:rFonts w:hint="eastAsia" w:ascii="宋体" w:hAnsi="宋体" w:cs="宋体"/>
                <w:color w:val="000000"/>
                <w:szCs w:val="21"/>
                <w:lang w:val="en-US" w:eastAsia="zh-CN" w:bidi="ar"/>
              </w:rPr>
              <w:t>违约承诺（5分）</w:t>
            </w:r>
          </w:p>
        </w:tc>
        <w:tc>
          <w:tcPr>
            <w:tcW w:w="6624" w:type="dxa"/>
            <w:shd w:val="clear" w:color="auto" w:fill="auto"/>
            <w:vAlign w:val="top"/>
          </w:tcPr>
          <w:p w14:paraId="6EBF42CD">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一）评分内容：</w:t>
            </w:r>
          </w:p>
          <w:p w14:paraId="4EB67B40">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根据投标人承诺以下全部内容的得满分，否则不得分。</w:t>
            </w:r>
          </w:p>
          <w:p w14:paraId="2D5D24D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（1）人员严格按照招标文件及投标承诺配置； </w:t>
            </w:r>
          </w:p>
          <w:p w14:paraId="42A1CCD9">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（2）服务质量达到招标文件要求；</w:t>
            </w:r>
          </w:p>
          <w:p w14:paraId="3A884FE1">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（3）对未能达到的管理要求时承担管理责任；</w:t>
            </w:r>
          </w:p>
          <w:p w14:paraId="1002D067">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如未满足以上要求，愿承担采购人做出的相应处罚。</w:t>
            </w:r>
          </w:p>
          <w:p w14:paraId="3C56944F">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（二）评分依据：</w:t>
            </w:r>
          </w:p>
          <w:p w14:paraId="4EB72C4B">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投标人需提供违约承诺函（格式自拟），包括上述3项内容的得5分。未按招标文件要求或未承诺的不得分。</w:t>
            </w:r>
          </w:p>
        </w:tc>
      </w:tr>
      <w:tr w14:paraId="75EB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E6046E4">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5</w:t>
            </w:r>
          </w:p>
        </w:tc>
        <w:tc>
          <w:tcPr>
            <w:tcW w:w="1214" w:type="dxa"/>
            <w:shd w:val="clear" w:color="auto" w:fill="FFFFFF" w:themeFill="background1"/>
            <w:vAlign w:val="center"/>
          </w:tcPr>
          <w:p w14:paraId="01005628">
            <w:pPr>
              <w:spacing w:line="320" w:lineRule="exact"/>
              <w:jc w:val="center"/>
              <w:rPr>
                <w:rFonts w:hint="eastAsia" w:ascii="宋体" w:hAnsi="宋体" w:cs="宋体"/>
                <w:color w:val="000000"/>
                <w:szCs w:val="21"/>
                <w:lang w:bidi="ar"/>
              </w:rPr>
            </w:pPr>
          </w:p>
          <w:p w14:paraId="2E5146FD">
            <w:pPr>
              <w:spacing w:line="320" w:lineRule="exact"/>
              <w:jc w:val="center"/>
              <w:rPr>
                <w:rFonts w:hint="eastAsia" w:ascii="宋体" w:hAnsi="宋体" w:cs="宋体"/>
                <w:color w:val="000000"/>
                <w:szCs w:val="21"/>
                <w:lang w:bidi="ar"/>
              </w:rPr>
            </w:pPr>
          </w:p>
          <w:p w14:paraId="09488F53">
            <w:pPr>
              <w:spacing w:line="320" w:lineRule="exact"/>
              <w:jc w:val="center"/>
              <w:rPr>
                <w:rFonts w:hint="eastAsia" w:ascii="宋体" w:hAnsi="宋体" w:cs="宋体"/>
                <w:color w:val="000000"/>
                <w:szCs w:val="21"/>
                <w:lang w:bidi="ar"/>
              </w:rPr>
            </w:pPr>
          </w:p>
          <w:p w14:paraId="178944F1">
            <w:pPr>
              <w:spacing w:line="320" w:lineRule="exact"/>
              <w:jc w:val="center"/>
              <w:rPr>
                <w:rFonts w:hint="eastAsia" w:ascii="宋体" w:hAnsi="宋体" w:cs="宋体"/>
                <w:color w:val="000000"/>
                <w:szCs w:val="21"/>
                <w:lang w:bidi="ar"/>
              </w:rPr>
            </w:pPr>
          </w:p>
          <w:p w14:paraId="347A978A">
            <w:pPr>
              <w:spacing w:line="320" w:lineRule="exact"/>
              <w:jc w:val="center"/>
              <w:rPr>
                <w:rFonts w:hint="eastAsia" w:ascii="宋体" w:hAnsi="宋体" w:cs="宋体"/>
                <w:color w:val="000000"/>
                <w:szCs w:val="21"/>
                <w:lang w:bidi="ar"/>
              </w:rPr>
            </w:pPr>
          </w:p>
          <w:p w14:paraId="25C22549">
            <w:pPr>
              <w:spacing w:line="320" w:lineRule="exact"/>
              <w:jc w:val="center"/>
              <w:rPr>
                <w:rFonts w:hint="eastAsia" w:ascii="宋体" w:hAnsi="宋体" w:cs="宋体"/>
                <w:color w:val="000000"/>
                <w:szCs w:val="21"/>
                <w:lang w:bidi="ar"/>
              </w:rPr>
            </w:pPr>
            <w:r>
              <w:rPr>
                <w:rFonts w:hint="eastAsia" w:ascii="宋体" w:hAnsi="宋体" w:cs="宋体"/>
                <w:color w:val="000000"/>
                <w:szCs w:val="21"/>
                <w:lang w:bidi="ar"/>
              </w:rPr>
              <w:t>拟安排的项目负责人情况（仅限一人）</w:t>
            </w:r>
            <w:r>
              <w:rPr>
                <w:rFonts w:hint="eastAsia" w:ascii="宋体" w:hAnsi="宋体" w:cs="宋体"/>
                <w:color w:val="000000"/>
                <w:szCs w:val="21"/>
                <w:lang w:val="en-US" w:eastAsia="zh-CN" w:bidi="ar"/>
              </w:rPr>
              <w:t>（5分）</w:t>
            </w:r>
          </w:p>
        </w:tc>
        <w:tc>
          <w:tcPr>
            <w:tcW w:w="6624" w:type="dxa"/>
            <w:shd w:val="clear" w:color="auto" w:fill="auto"/>
            <w:vAlign w:val="top"/>
          </w:tcPr>
          <w:p w14:paraId="44A07C49">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（一）评分内容：</w:t>
            </w:r>
          </w:p>
          <w:p w14:paraId="37305855">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投标人为本项目安排的负责人（仅限1人）：</w:t>
            </w:r>
          </w:p>
          <w:p w14:paraId="2480BE94">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1.具有管理类专业研究生学历且具有硕士（或以上）学位的，得3分；</w:t>
            </w:r>
          </w:p>
          <w:p w14:paraId="50565A7F">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2.具有一级企业人力资源管理师证书的，得1分；</w:t>
            </w:r>
          </w:p>
          <w:p w14:paraId="26A7FD78">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3.具有劳动人事争议调解员证书的，得1分；</w:t>
            </w:r>
          </w:p>
          <w:p w14:paraId="77CB5093">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以上3项得分累计，最高5分。</w:t>
            </w:r>
          </w:p>
          <w:p w14:paraId="7D3B3EF3">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（二）评分依据：</w:t>
            </w:r>
          </w:p>
          <w:p w14:paraId="6B866126">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1.提供相关证书扫描件或复印件。</w:t>
            </w:r>
          </w:p>
          <w:p w14:paraId="74FC7D94">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其中由行业协会（学会）颁发的证书，还需提供该行业协会（学会）在中国社会组织政务服务平台（https://chinanpo.mca.gov.cn//）已合法登记且状态正常的截图。其中涉及学历证书的，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14:paraId="1FD3E97F">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未按要求提供相关材料或不清晰导致无法判断内容的不得分，原件备查。</w:t>
            </w:r>
          </w:p>
        </w:tc>
      </w:tr>
      <w:tr w14:paraId="4277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25C7F27F">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6</w:t>
            </w:r>
          </w:p>
        </w:tc>
        <w:tc>
          <w:tcPr>
            <w:tcW w:w="1214" w:type="dxa"/>
            <w:shd w:val="clear" w:color="auto" w:fill="FFFFFF" w:themeFill="background1"/>
            <w:vAlign w:val="center"/>
          </w:tcPr>
          <w:p w14:paraId="1253694E">
            <w:pPr>
              <w:spacing w:line="320" w:lineRule="exact"/>
              <w:jc w:val="center"/>
              <w:rPr>
                <w:rFonts w:hint="eastAsia" w:ascii="宋体" w:hAnsi="宋体" w:cs="宋体"/>
                <w:color w:val="000000"/>
                <w:szCs w:val="21"/>
                <w:lang w:bidi="ar"/>
              </w:rPr>
            </w:pPr>
            <w:r>
              <w:rPr>
                <w:rFonts w:hint="eastAsia" w:ascii="宋体" w:hAnsi="宋体" w:cs="宋体"/>
                <w:color w:val="000000"/>
                <w:szCs w:val="21"/>
                <w:lang w:bidi="ar"/>
              </w:rPr>
              <w:t>拟安排的项目团队情况</w:t>
            </w:r>
            <w:r>
              <w:rPr>
                <w:rFonts w:hint="eastAsia" w:ascii="宋体" w:hAnsi="宋体" w:cs="宋体"/>
                <w:color w:val="000000"/>
                <w:szCs w:val="21"/>
                <w:lang w:val="en-US" w:eastAsia="zh-CN" w:bidi="ar"/>
              </w:rPr>
              <w:t>（10分）</w:t>
            </w:r>
          </w:p>
        </w:tc>
        <w:tc>
          <w:tcPr>
            <w:tcW w:w="6624" w:type="dxa"/>
            <w:shd w:val="clear" w:color="auto" w:fill="auto"/>
            <w:vAlign w:val="top"/>
          </w:tcPr>
          <w:p w14:paraId="34B9013E">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（一）评分内容：</w:t>
            </w:r>
          </w:p>
          <w:p w14:paraId="1ED2AF24">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投标人拟安排的项目服务团队成员（项目负责人除外），需具有本科（或以上）学历，在此基础上：</w:t>
            </w:r>
          </w:p>
          <w:p w14:paraId="1EE0BD50">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1.具有企业人力资源管理师一级和劳动关系协调员二级（或以上）证书的，得2分；</w:t>
            </w:r>
          </w:p>
          <w:p w14:paraId="2E7EA4B0">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2.具有企业人力资源管理师三级（或以上）和心理咨询师二级（或以上）证书的，得2分；</w:t>
            </w:r>
          </w:p>
          <w:p w14:paraId="7DFAEC46">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3.具有客户服务管理师二级（或以上）和高级企业培训师证书的，得2分；</w:t>
            </w:r>
          </w:p>
          <w:p w14:paraId="480BF8C1">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4.具有人社部门颁发的中级（或以上）经济专业技术资格证书（专业：人力资源管理），每提供一个得1分，最高得2分；</w:t>
            </w:r>
          </w:p>
          <w:p w14:paraId="092A0E8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5.具有劳动人事争议调解员证书的，每提供一个得1分，最高的得2分；</w:t>
            </w:r>
          </w:p>
          <w:p w14:paraId="158E88AF">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以上5项得分累计，最高10分。同一人满足多项评分要求的不得重复计分。</w:t>
            </w:r>
          </w:p>
          <w:p w14:paraId="2BEEA7D3">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（二）评分依据：</w:t>
            </w:r>
          </w:p>
          <w:p w14:paraId="3A4C85C1">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1.提供相关证书扫描件或复印件。</w:t>
            </w:r>
          </w:p>
          <w:p w14:paraId="33A4415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其中由行业协会（学会）颁发的证书，还需提供该行业协会（学会）在中国社会组织政务服务平台（https://chinanpo.mca.gov.cn//）已合法登记且状态正常的截图。其中涉及学历证书的，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14:paraId="537FA705">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未按要求提供相关材料或不清晰导致无法判断内容的不得分，原件备查。</w:t>
            </w:r>
          </w:p>
        </w:tc>
      </w:tr>
      <w:tr w14:paraId="30AE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26" w:hRule="atLeast"/>
        </w:trPr>
        <w:tc>
          <w:tcPr>
            <w:tcW w:w="8530" w:type="dxa"/>
            <w:gridSpan w:val="3"/>
            <w:shd w:val="clear" w:color="auto" w:fill="FFFFFF" w:themeFill="background1"/>
            <w:vAlign w:val="center"/>
          </w:tcPr>
          <w:p w14:paraId="4CDD490C">
            <w:pPr>
              <w:spacing w:line="320" w:lineRule="exact"/>
              <w:jc w:val="center"/>
              <w:rPr>
                <w:rFonts w:ascii="宋体" w:hAnsi="宋体" w:cs="宋体"/>
                <w:b/>
                <w:bCs/>
                <w:color w:val="000000"/>
                <w:szCs w:val="21"/>
              </w:rPr>
            </w:pPr>
            <w:r>
              <w:rPr>
                <w:rFonts w:hint="eastAsia" w:ascii="宋体" w:hAnsi="宋体" w:cs="宋体"/>
                <w:b/>
                <w:bCs/>
                <w:color w:val="000000"/>
                <w:szCs w:val="21"/>
                <w:lang w:bidi="ar"/>
              </w:rPr>
              <w:t>二、</w:t>
            </w:r>
            <w:r>
              <w:rPr>
                <w:rFonts w:hint="eastAsia" w:ascii="宋体" w:hAnsi="宋体" w:cs="宋体"/>
                <w:b/>
                <w:bCs/>
                <w:color w:val="000000"/>
                <w:szCs w:val="21"/>
                <w:lang w:val="en-US" w:eastAsia="zh-CN" w:bidi="ar"/>
              </w:rPr>
              <w:t>商务部分</w:t>
            </w:r>
            <w:r>
              <w:rPr>
                <w:rFonts w:hint="eastAsia" w:ascii="宋体" w:hAnsi="宋体" w:cs="宋体"/>
                <w:b/>
                <w:bCs/>
                <w:color w:val="000000"/>
                <w:szCs w:val="21"/>
                <w:lang w:bidi="ar"/>
              </w:rPr>
              <w:t>（</w:t>
            </w:r>
            <w:r>
              <w:rPr>
                <w:rFonts w:hint="eastAsia" w:ascii="宋体" w:hAnsi="宋体" w:cs="宋体"/>
                <w:b/>
                <w:bCs/>
                <w:color w:val="000000"/>
                <w:szCs w:val="21"/>
                <w:lang w:val="en-US" w:eastAsia="zh-CN" w:bidi="ar"/>
              </w:rPr>
              <w:t>26分</w:t>
            </w:r>
            <w:r>
              <w:rPr>
                <w:rFonts w:hint="eastAsia" w:ascii="宋体" w:hAnsi="宋体" w:cs="宋体"/>
                <w:b/>
                <w:bCs/>
                <w:color w:val="000000"/>
                <w:szCs w:val="21"/>
                <w:lang w:bidi="ar"/>
              </w:rPr>
              <w:t>）</w:t>
            </w:r>
          </w:p>
        </w:tc>
      </w:tr>
      <w:tr w14:paraId="6C3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C507C6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1</w:t>
            </w:r>
          </w:p>
        </w:tc>
        <w:tc>
          <w:tcPr>
            <w:tcW w:w="1214" w:type="dxa"/>
            <w:shd w:val="clear" w:color="auto" w:fill="FFFFFF" w:themeFill="background1"/>
            <w:vAlign w:val="center"/>
          </w:tcPr>
          <w:p w14:paraId="58AC064D">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投标人同类项目业绩情况</w:t>
            </w:r>
            <w:r>
              <w:rPr>
                <w:rFonts w:hint="eastAsia" w:ascii="宋体" w:hAnsi="宋体" w:cs="宋体"/>
                <w:color w:val="000000"/>
                <w:szCs w:val="21"/>
                <w:lang w:bidi="ar"/>
              </w:rPr>
              <w:t>（</w:t>
            </w:r>
            <w:r>
              <w:rPr>
                <w:rFonts w:hint="eastAsia" w:ascii="宋体" w:hAnsi="宋体" w:cs="宋体"/>
                <w:color w:val="000000"/>
                <w:szCs w:val="21"/>
                <w:lang w:val="en-US" w:eastAsia="zh-CN" w:bidi="ar"/>
              </w:rPr>
              <w:t>10</w:t>
            </w:r>
            <w:r>
              <w:rPr>
                <w:rFonts w:hint="eastAsia" w:ascii="宋体" w:hAnsi="宋体" w:cs="宋体"/>
                <w:color w:val="000000"/>
                <w:szCs w:val="21"/>
                <w:lang w:bidi="ar"/>
              </w:rPr>
              <w:t>分）</w:t>
            </w:r>
          </w:p>
        </w:tc>
        <w:tc>
          <w:tcPr>
            <w:tcW w:w="6624" w:type="dxa"/>
            <w:shd w:val="clear" w:color="auto" w:fill="FFFFFF" w:themeFill="background1"/>
            <w:vAlign w:val="center"/>
          </w:tcPr>
          <w:p w14:paraId="6F58BB37">
            <w:pPr>
              <w:spacing w:line="320" w:lineRule="exact"/>
              <w:jc w:val="left"/>
              <w:rPr>
                <w:rFonts w:hint="eastAsia" w:ascii="宋体" w:hAnsi="宋体" w:cs="宋体"/>
                <w:color w:val="000000"/>
                <w:szCs w:val="21"/>
              </w:rPr>
            </w:pPr>
            <w:r>
              <w:rPr>
                <w:rFonts w:hint="eastAsia" w:ascii="宋体" w:hAnsi="宋体" w:cs="宋体"/>
                <w:color w:val="000000"/>
                <w:szCs w:val="21"/>
                <w:lang w:eastAsia="zh-CN"/>
              </w:rPr>
              <w:t>（</w:t>
            </w:r>
            <w:r>
              <w:rPr>
                <w:rFonts w:hint="eastAsia" w:ascii="宋体" w:hAnsi="宋体" w:cs="宋体"/>
                <w:color w:val="000000"/>
                <w:szCs w:val="21"/>
                <w:lang w:val="en-US" w:eastAsia="zh-CN"/>
              </w:rPr>
              <w:t>一</w:t>
            </w:r>
            <w:r>
              <w:rPr>
                <w:rFonts w:hint="eastAsia" w:ascii="宋体" w:hAnsi="宋体" w:cs="宋体"/>
                <w:color w:val="000000"/>
                <w:szCs w:val="21"/>
                <w:lang w:eastAsia="zh-CN"/>
              </w:rPr>
              <w:t>）</w:t>
            </w:r>
            <w:r>
              <w:rPr>
                <w:rFonts w:hint="eastAsia" w:ascii="宋体" w:hAnsi="宋体" w:cs="宋体"/>
                <w:color w:val="000000"/>
                <w:szCs w:val="21"/>
              </w:rPr>
              <w:t>评分内容：</w:t>
            </w:r>
          </w:p>
          <w:p w14:paraId="0964B45E">
            <w:pPr>
              <w:spacing w:line="320" w:lineRule="exact"/>
              <w:jc w:val="left"/>
              <w:rPr>
                <w:rFonts w:hint="eastAsia" w:ascii="宋体" w:hAnsi="宋体" w:cs="宋体"/>
                <w:color w:val="000000"/>
                <w:szCs w:val="21"/>
              </w:rPr>
            </w:pPr>
            <w:r>
              <w:rPr>
                <w:rFonts w:hint="eastAsia" w:ascii="宋体" w:hAnsi="宋体" w:cs="宋体"/>
                <w:color w:val="000000"/>
                <w:szCs w:val="21"/>
              </w:rPr>
              <w:t>202</w:t>
            </w:r>
            <w:r>
              <w:rPr>
                <w:rFonts w:hint="eastAsia" w:ascii="宋体" w:hAnsi="宋体" w:cs="宋体"/>
                <w:color w:val="000000"/>
                <w:szCs w:val="21"/>
                <w:lang w:val="en-US" w:eastAsia="zh-CN"/>
              </w:rPr>
              <w:t>2</w:t>
            </w:r>
            <w:r>
              <w:rPr>
                <w:rFonts w:hint="eastAsia" w:ascii="宋体" w:hAnsi="宋体" w:cs="宋体"/>
                <w:color w:val="000000"/>
                <w:szCs w:val="21"/>
              </w:rPr>
              <w:t>年1月1日以后（以合同签订时间为准），投标人</w:t>
            </w:r>
            <w:r>
              <w:rPr>
                <w:rFonts w:hint="eastAsia" w:ascii="宋体" w:hAnsi="宋体" w:cs="宋体"/>
                <w:color w:val="000000"/>
                <w:szCs w:val="21"/>
                <w:lang w:val="en-US" w:eastAsia="zh-CN"/>
              </w:rPr>
              <w:t>具有</w:t>
            </w:r>
            <w:r>
              <w:rPr>
                <w:rFonts w:hint="eastAsia" w:ascii="宋体" w:hAnsi="宋体" w:cs="宋体"/>
                <w:color w:val="000000"/>
                <w:szCs w:val="21"/>
              </w:rPr>
              <w:t>医院人才服务</w:t>
            </w:r>
            <w:r>
              <w:rPr>
                <w:rFonts w:hint="eastAsia" w:ascii="宋体" w:hAnsi="宋体" w:cs="宋体"/>
                <w:color w:val="000000"/>
                <w:szCs w:val="21"/>
                <w:lang w:val="en-US" w:eastAsia="zh-CN"/>
              </w:rPr>
              <w:t>或</w:t>
            </w:r>
            <w:r>
              <w:rPr>
                <w:rFonts w:hint="eastAsia" w:ascii="宋体" w:hAnsi="宋体" w:cs="宋体"/>
                <w:color w:val="000000"/>
                <w:szCs w:val="21"/>
              </w:rPr>
              <w:t>劳务派遣</w:t>
            </w:r>
            <w:r>
              <w:rPr>
                <w:rFonts w:hint="eastAsia" w:ascii="宋体" w:hAnsi="宋体" w:cs="宋体"/>
                <w:color w:val="000000"/>
                <w:szCs w:val="21"/>
                <w:lang w:val="en-US" w:eastAsia="zh-CN"/>
              </w:rPr>
              <w:t>或</w:t>
            </w:r>
            <w:r>
              <w:rPr>
                <w:rFonts w:hint="eastAsia" w:ascii="宋体" w:hAnsi="宋体" w:cs="宋体"/>
                <w:color w:val="000000"/>
                <w:szCs w:val="21"/>
              </w:rPr>
              <w:t>购买服务</w:t>
            </w:r>
            <w:r>
              <w:rPr>
                <w:rFonts w:hint="eastAsia" w:ascii="宋体" w:hAnsi="宋体" w:cs="宋体"/>
                <w:color w:val="000000"/>
                <w:szCs w:val="21"/>
                <w:lang w:val="en-US" w:eastAsia="zh-CN"/>
              </w:rPr>
              <w:t>或</w:t>
            </w:r>
            <w:r>
              <w:rPr>
                <w:rFonts w:hint="eastAsia" w:ascii="宋体" w:hAnsi="宋体" w:cs="宋体"/>
                <w:color w:val="000000"/>
                <w:szCs w:val="21"/>
              </w:rPr>
              <w:t>辅助服务类项目业绩，每提供一个得</w:t>
            </w:r>
            <w:r>
              <w:rPr>
                <w:rFonts w:hint="eastAsia" w:ascii="宋体" w:hAnsi="宋体" w:cs="宋体"/>
                <w:color w:val="000000"/>
                <w:szCs w:val="21"/>
                <w:lang w:val="en-US" w:eastAsia="zh-CN"/>
              </w:rPr>
              <w:t>2</w:t>
            </w:r>
            <w:r>
              <w:rPr>
                <w:rFonts w:hint="eastAsia" w:ascii="宋体" w:hAnsi="宋体" w:cs="宋体"/>
                <w:color w:val="000000"/>
                <w:szCs w:val="21"/>
              </w:rPr>
              <w:t>分，最高得</w:t>
            </w:r>
            <w:r>
              <w:rPr>
                <w:rFonts w:hint="eastAsia" w:ascii="宋体" w:hAnsi="宋体" w:cs="宋体"/>
                <w:color w:val="000000"/>
                <w:szCs w:val="21"/>
                <w:lang w:val="en-US" w:eastAsia="zh-CN"/>
              </w:rPr>
              <w:t>10</w:t>
            </w:r>
            <w:r>
              <w:rPr>
                <w:rFonts w:hint="eastAsia" w:ascii="宋体" w:hAnsi="宋体" w:cs="宋体"/>
                <w:color w:val="000000"/>
                <w:szCs w:val="21"/>
              </w:rPr>
              <w:t>分。同一项目及续签项目不重复计分。</w:t>
            </w:r>
          </w:p>
          <w:p w14:paraId="713EE9A6">
            <w:pPr>
              <w:spacing w:line="320" w:lineRule="exact"/>
              <w:jc w:val="left"/>
              <w:rPr>
                <w:rFonts w:hint="eastAsia" w:ascii="宋体" w:hAnsi="宋体" w:cs="宋体"/>
                <w:color w:val="000000"/>
                <w:szCs w:val="21"/>
              </w:rPr>
            </w:pPr>
            <w:r>
              <w:rPr>
                <w:rFonts w:hint="eastAsia" w:ascii="宋体" w:hAnsi="宋体" w:cs="宋体"/>
                <w:color w:val="000000"/>
                <w:szCs w:val="21"/>
              </w:rPr>
              <w:t>（二）评分依据：</w:t>
            </w:r>
          </w:p>
          <w:p w14:paraId="22C100CA">
            <w:pPr>
              <w:spacing w:line="320" w:lineRule="exact"/>
              <w:jc w:val="left"/>
              <w:rPr>
                <w:rFonts w:ascii="宋体" w:hAnsi="宋体" w:cs="宋体"/>
                <w:color w:val="000000"/>
                <w:szCs w:val="21"/>
              </w:rPr>
            </w:pPr>
            <w:r>
              <w:rPr>
                <w:rFonts w:hint="eastAsia" w:ascii="宋体" w:hAnsi="宋体" w:cs="宋体"/>
                <w:color w:val="000000"/>
                <w:szCs w:val="21"/>
              </w:rPr>
              <w:t>提供项目合同关键页扫描件，未按要求提供相关材料或扫描件不清晰导致无法识别的不得分，原件备查。</w:t>
            </w:r>
          </w:p>
        </w:tc>
      </w:tr>
      <w:tr w14:paraId="402C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6931770">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2</w:t>
            </w:r>
          </w:p>
        </w:tc>
        <w:tc>
          <w:tcPr>
            <w:tcW w:w="1214" w:type="dxa"/>
            <w:shd w:val="clear" w:color="auto" w:fill="FFFFFF" w:themeFill="background1"/>
            <w:vAlign w:val="center"/>
          </w:tcPr>
          <w:p w14:paraId="606A7569">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投标人自主知识产权产品（创新、设计）情况</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624" w:type="dxa"/>
            <w:shd w:val="clear" w:color="auto" w:fill="FFFFFF" w:themeFill="background1"/>
            <w:vAlign w:val="center"/>
          </w:tcPr>
          <w:p w14:paraId="3EDADDF9">
            <w:pPr>
              <w:spacing w:line="320" w:lineRule="exact"/>
              <w:jc w:val="left"/>
              <w:rPr>
                <w:rFonts w:hint="eastAsia" w:ascii="宋体" w:hAnsi="宋体" w:cs="宋体"/>
                <w:color w:val="000000"/>
                <w:szCs w:val="21"/>
              </w:rPr>
            </w:pPr>
            <w:r>
              <w:rPr>
                <w:rFonts w:hint="eastAsia" w:ascii="宋体" w:hAnsi="宋体" w:cs="宋体"/>
                <w:color w:val="000000"/>
                <w:szCs w:val="21"/>
              </w:rPr>
              <w:t>（一）评分内容：</w:t>
            </w:r>
          </w:p>
          <w:p w14:paraId="31363746">
            <w:pPr>
              <w:spacing w:line="320" w:lineRule="exact"/>
              <w:jc w:val="left"/>
              <w:rPr>
                <w:rFonts w:hint="eastAsia"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eastAsia="zh-CN"/>
              </w:rPr>
              <w:t>.</w:t>
            </w:r>
            <w:r>
              <w:rPr>
                <w:rFonts w:hint="eastAsia" w:ascii="宋体" w:hAnsi="宋体" w:cs="宋体"/>
                <w:color w:val="000000"/>
                <w:szCs w:val="21"/>
              </w:rPr>
              <w:t>投标人具有</w:t>
            </w:r>
            <w:r>
              <w:rPr>
                <w:rFonts w:hint="eastAsia" w:ascii="宋体" w:hAnsi="宋体" w:cs="宋体"/>
                <w:color w:val="000000"/>
                <w:szCs w:val="21"/>
                <w:lang w:eastAsia="zh-CN"/>
              </w:rPr>
              <w:t>“</w:t>
            </w:r>
            <w:r>
              <w:rPr>
                <w:rFonts w:hint="eastAsia" w:ascii="宋体" w:hAnsi="宋体" w:cs="宋体"/>
                <w:color w:val="000000"/>
                <w:szCs w:val="21"/>
                <w:lang w:val="en-US" w:eastAsia="zh-CN"/>
              </w:rPr>
              <w:t>劳务派遣</w:t>
            </w:r>
            <w:r>
              <w:rPr>
                <w:rFonts w:hint="eastAsia" w:ascii="宋体" w:hAnsi="宋体" w:cs="宋体"/>
                <w:color w:val="000000"/>
                <w:szCs w:val="21"/>
                <w:lang w:eastAsia="zh-CN"/>
              </w:rPr>
              <w:t>”</w:t>
            </w:r>
            <w:r>
              <w:rPr>
                <w:rFonts w:hint="eastAsia" w:ascii="宋体" w:hAnsi="宋体" w:cs="宋体"/>
                <w:color w:val="000000"/>
                <w:szCs w:val="21"/>
              </w:rPr>
              <w:t>类软件著作权登记证书</w:t>
            </w:r>
            <w:r>
              <w:rPr>
                <w:rFonts w:hint="eastAsia" w:ascii="宋体" w:hAnsi="宋体" w:cs="宋体"/>
                <w:color w:val="000000"/>
                <w:szCs w:val="21"/>
                <w:lang w:val="en-US" w:eastAsia="zh-CN"/>
              </w:rPr>
              <w:t>的</w:t>
            </w:r>
            <w:r>
              <w:rPr>
                <w:rFonts w:hint="eastAsia" w:ascii="宋体" w:hAnsi="宋体" w:cs="宋体"/>
                <w:color w:val="000000"/>
                <w:szCs w:val="21"/>
              </w:rPr>
              <w:t>，得</w:t>
            </w:r>
            <w:r>
              <w:rPr>
                <w:rFonts w:hint="eastAsia" w:ascii="宋体" w:hAnsi="宋体" w:cs="宋体"/>
                <w:color w:val="000000"/>
                <w:szCs w:val="21"/>
                <w:lang w:val="en-US" w:eastAsia="zh-CN"/>
              </w:rPr>
              <w:t>2</w:t>
            </w:r>
            <w:r>
              <w:rPr>
                <w:rFonts w:hint="eastAsia" w:ascii="宋体" w:hAnsi="宋体" w:cs="宋体"/>
                <w:color w:val="000000"/>
                <w:szCs w:val="21"/>
              </w:rPr>
              <w:t>分；</w:t>
            </w:r>
          </w:p>
          <w:p w14:paraId="3827096A">
            <w:pPr>
              <w:spacing w:line="320" w:lineRule="exact"/>
              <w:jc w:val="left"/>
              <w:rPr>
                <w:rFonts w:hint="eastAsia" w:ascii="宋体" w:hAnsi="宋体" w:cs="宋体"/>
                <w:color w:val="000000"/>
                <w:szCs w:val="21"/>
              </w:rPr>
            </w:pPr>
            <w:r>
              <w:rPr>
                <w:rFonts w:hint="eastAsia" w:ascii="宋体" w:hAnsi="宋体" w:cs="宋体"/>
                <w:color w:val="000000"/>
                <w:szCs w:val="21"/>
                <w:lang w:val="en-US" w:eastAsia="zh-CN"/>
              </w:rPr>
              <w:t>2.</w:t>
            </w:r>
            <w:r>
              <w:rPr>
                <w:rFonts w:hint="eastAsia" w:ascii="宋体" w:hAnsi="宋体" w:cs="宋体"/>
                <w:color w:val="000000"/>
                <w:szCs w:val="21"/>
              </w:rPr>
              <w:t>投标人具有</w:t>
            </w:r>
            <w:r>
              <w:rPr>
                <w:rFonts w:hint="eastAsia" w:ascii="宋体" w:hAnsi="宋体" w:cs="宋体"/>
                <w:color w:val="000000"/>
                <w:szCs w:val="21"/>
                <w:lang w:eastAsia="zh-CN"/>
              </w:rPr>
              <w:t>“</w:t>
            </w:r>
            <w:r>
              <w:rPr>
                <w:rFonts w:hint="eastAsia" w:ascii="宋体" w:hAnsi="宋体" w:cs="宋体"/>
                <w:color w:val="000000"/>
                <w:szCs w:val="21"/>
              </w:rPr>
              <w:t>人力外包</w:t>
            </w:r>
            <w:r>
              <w:rPr>
                <w:rFonts w:hint="eastAsia" w:ascii="宋体" w:hAnsi="宋体" w:cs="宋体"/>
                <w:color w:val="000000"/>
                <w:szCs w:val="21"/>
                <w:lang w:eastAsia="zh-CN"/>
              </w:rPr>
              <w:t>”</w:t>
            </w:r>
            <w:r>
              <w:rPr>
                <w:rFonts w:hint="eastAsia" w:ascii="宋体" w:hAnsi="宋体" w:cs="宋体"/>
                <w:color w:val="000000"/>
                <w:szCs w:val="21"/>
              </w:rPr>
              <w:t>类软件著作权登记证书</w:t>
            </w:r>
            <w:r>
              <w:rPr>
                <w:rFonts w:hint="eastAsia" w:ascii="宋体" w:hAnsi="宋体" w:cs="宋体"/>
                <w:color w:val="000000"/>
                <w:szCs w:val="21"/>
                <w:lang w:val="en-US" w:eastAsia="zh-CN"/>
              </w:rPr>
              <w:t>的</w:t>
            </w:r>
            <w:r>
              <w:rPr>
                <w:rFonts w:hint="eastAsia" w:ascii="宋体" w:hAnsi="宋体" w:cs="宋体"/>
                <w:color w:val="000000"/>
                <w:szCs w:val="21"/>
              </w:rPr>
              <w:t>，得</w:t>
            </w:r>
            <w:r>
              <w:rPr>
                <w:rFonts w:hint="eastAsia" w:ascii="宋体" w:hAnsi="宋体" w:cs="宋体"/>
                <w:color w:val="000000"/>
                <w:szCs w:val="21"/>
                <w:lang w:val="en-US" w:eastAsia="zh-CN"/>
              </w:rPr>
              <w:t>2</w:t>
            </w:r>
            <w:r>
              <w:rPr>
                <w:rFonts w:hint="eastAsia" w:ascii="宋体" w:hAnsi="宋体" w:cs="宋体"/>
                <w:color w:val="000000"/>
                <w:szCs w:val="21"/>
              </w:rPr>
              <w:t>分；</w:t>
            </w:r>
          </w:p>
          <w:p w14:paraId="4115101B">
            <w:pPr>
              <w:spacing w:line="320" w:lineRule="exact"/>
              <w:jc w:val="left"/>
              <w:rPr>
                <w:rFonts w:hint="eastAsia" w:ascii="宋体" w:hAnsi="宋体" w:cs="宋体"/>
                <w:color w:val="000000"/>
                <w:szCs w:val="21"/>
              </w:rPr>
            </w:pPr>
            <w:r>
              <w:rPr>
                <w:rFonts w:hint="eastAsia" w:ascii="宋体" w:hAnsi="宋体" w:cs="宋体"/>
                <w:color w:val="000000"/>
                <w:szCs w:val="21"/>
                <w:lang w:val="en-US" w:eastAsia="zh-CN"/>
              </w:rPr>
              <w:t>3.</w:t>
            </w:r>
            <w:r>
              <w:rPr>
                <w:rFonts w:hint="eastAsia" w:ascii="宋体" w:hAnsi="宋体" w:cs="宋体"/>
                <w:color w:val="000000"/>
                <w:szCs w:val="21"/>
              </w:rPr>
              <w:t>投标人具有</w:t>
            </w:r>
            <w:r>
              <w:rPr>
                <w:rFonts w:hint="eastAsia" w:ascii="宋体" w:hAnsi="宋体" w:cs="宋体"/>
                <w:color w:val="000000"/>
                <w:szCs w:val="21"/>
                <w:lang w:eastAsia="zh-CN"/>
              </w:rPr>
              <w:t>“</w:t>
            </w:r>
            <w:r>
              <w:rPr>
                <w:rFonts w:hint="eastAsia" w:ascii="宋体" w:hAnsi="宋体" w:cs="宋体"/>
                <w:color w:val="000000"/>
                <w:szCs w:val="21"/>
              </w:rPr>
              <w:t>人力资源测评</w:t>
            </w:r>
            <w:r>
              <w:rPr>
                <w:rFonts w:hint="eastAsia" w:ascii="宋体" w:hAnsi="宋体" w:cs="宋体"/>
                <w:color w:val="000000"/>
                <w:szCs w:val="21"/>
                <w:lang w:eastAsia="zh-CN"/>
              </w:rPr>
              <w:t>”</w:t>
            </w:r>
            <w:r>
              <w:rPr>
                <w:rFonts w:hint="eastAsia" w:ascii="宋体" w:hAnsi="宋体" w:cs="宋体"/>
                <w:color w:val="000000"/>
                <w:szCs w:val="21"/>
              </w:rPr>
              <w:t>类软件著作权登记证书</w:t>
            </w:r>
            <w:r>
              <w:rPr>
                <w:rFonts w:hint="eastAsia" w:ascii="宋体" w:hAnsi="宋体" w:cs="宋体"/>
                <w:color w:val="000000"/>
                <w:szCs w:val="21"/>
                <w:lang w:val="en-US" w:eastAsia="zh-CN"/>
              </w:rPr>
              <w:t>的</w:t>
            </w:r>
            <w:r>
              <w:rPr>
                <w:rFonts w:hint="eastAsia" w:ascii="宋体" w:hAnsi="宋体" w:cs="宋体"/>
                <w:color w:val="000000"/>
                <w:szCs w:val="21"/>
              </w:rPr>
              <w:t>，得</w:t>
            </w:r>
            <w:r>
              <w:rPr>
                <w:rFonts w:hint="eastAsia" w:ascii="宋体" w:hAnsi="宋体" w:cs="宋体"/>
                <w:color w:val="000000"/>
                <w:szCs w:val="21"/>
                <w:lang w:val="en-US" w:eastAsia="zh-CN"/>
              </w:rPr>
              <w:t>2</w:t>
            </w:r>
            <w:r>
              <w:rPr>
                <w:rFonts w:hint="eastAsia" w:ascii="宋体" w:hAnsi="宋体" w:cs="宋体"/>
                <w:color w:val="000000"/>
                <w:szCs w:val="21"/>
              </w:rPr>
              <w:t>分；</w:t>
            </w:r>
          </w:p>
          <w:p w14:paraId="1D49C0D3">
            <w:pPr>
              <w:spacing w:line="320" w:lineRule="exact"/>
              <w:jc w:val="left"/>
              <w:rPr>
                <w:rFonts w:hint="eastAsia" w:ascii="宋体" w:hAnsi="宋体" w:cs="宋体"/>
                <w:color w:val="000000"/>
                <w:szCs w:val="21"/>
              </w:rPr>
            </w:pPr>
            <w:r>
              <w:rPr>
                <w:rFonts w:hint="eastAsia" w:ascii="宋体" w:hAnsi="宋体" w:cs="宋体"/>
                <w:color w:val="000000"/>
                <w:szCs w:val="21"/>
              </w:rPr>
              <w:t>以上</w:t>
            </w:r>
            <w:r>
              <w:rPr>
                <w:rFonts w:hint="eastAsia" w:ascii="宋体" w:hAnsi="宋体" w:cs="宋体"/>
                <w:color w:val="000000"/>
                <w:szCs w:val="21"/>
                <w:lang w:val="en-US" w:eastAsia="zh-CN"/>
              </w:rPr>
              <w:t>3</w:t>
            </w:r>
            <w:r>
              <w:rPr>
                <w:rFonts w:hint="eastAsia" w:ascii="宋体" w:hAnsi="宋体" w:cs="宋体"/>
                <w:color w:val="000000"/>
                <w:szCs w:val="21"/>
              </w:rPr>
              <w:t>项得分累计，满分</w:t>
            </w:r>
            <w:r>
              <w:rPr>
                <w:rFonts w:hint="eastAsia" w:ascii="宋体" w:hAnsi="宋体" w:cs="宋体"/>
                <w:color w:val="000000"/>
                <w:szCs w:val="21"/>
                <w:lang w:val="en-US" w:eastAsia="zh-CN"/>
              </w:rPr>
              <w:t>6</w:t>
            </w:r>
            <w:r>
              <w:rPr>
                <w:rFonts w:hint="eastAsia" w:ascii="宋体" w:hAnsi="宋体" w:cs="宋体"/>
                <w:color w:val="000000"/>
                <w:szCs w:val="21"/>
              </w:rPr>
              <w:t>分。</w:t>
            </w:r>
          </w:p>
          <w:p w14:paraId="5BB5048A">
            <w:pPr>
              <w:spacing w:line="320" w:lineRule="exact"/>
              <w:jc w:val="left"/>
              <w:rPr>
                <w:rFonts w:hint="eastAsia" w:ascii="宋体" w:hAnsi="宋体" w:cs="宋体"/>
                <w:color w:val="000000"/>
                <w:szCs w:val="21"/>
              </w:rPr>
            </w:pPr>
            <w:r>
              <w:rPr>
                <w:rFonts w:hint="eastAsia" w:ascii="宋体" w:hAnsi="宋体" w:cs="宋体"/>
                <w:color w:val="000000"/>
                <w:szCs w:val="21"/>
              </w:rPr>
              <w:t>（二）评分依据：</w:t>
            </w:r>
          </w:p>
          <w:p w14:paraId="735C11D0">
            <w:pPr>
              <w:spacing w:line="320" w:lineRule="exact"/>
              <w:jc w:val="left"/>
              <w:rPr>
                <w:rFonts w:ascii="宋体" w:hAnsi="宋体" w:cs="宋体"/>
                <w:color w:val="000000"/>
                <w:szCs w:val="21"/>
              </w:rPr>
            </w:pPr>
            <w:r>
              <w:rPr>
                <w:rFonts w:hint="eastAsia" w:ascii="宋体" w:hAnsi="宋体" w:cs="宋体"/>
                <w:color w:val="000000"/>
                <w:szCs w:val="21"/>
              </w:rPr>
              <w:t>提供相关著作权登记证书扫描件</w:t>
            </w:r>
            <w:r>
              <w:rPr>
                <w:rFonts w:hint="eastAsia" w:ascii="宋体" w:hAnsi="宋体" w:cs="宋体"/>
                <w:color w:val="000000"/>
                <w:szCs w:val="21"/>
                <w:lang w:eastAsia="zh-CN"/>
              </w:rPr>
              <w:t>（</w:t>
            </w:r>
            <w:r>
              <w:rPr>
                <w:rFonts w:hint="eastAsia" w:ascii="宋体" w:hAnsi="宋体" w:cs="宋体"/>
                <w:color w:val="000000"/>
                <w:szCs w:val="21"/>
              </w:rPr>
              <w:t>须含</w:t>
            </w:r>
            <w:r>
              <w:rPr>
                <w:rFonts w:hint="eastAsia" w:ascii="宋体" w:hAnsi="宋体" w:cs="宋体"/>
                <w:color w:val="000000"/>
                <w:szCs w:val="21"/>
                <w:lang w:val="en-US" w:eastAsia="zh-CN"/>
              </w:rPr>
              <w:t>上述</w:t>
            </w:r>
            <w:r>
              <w:rPr>
                <w:rFonts w:hint="eastAsia" w:ascii="宋体" w:hAnsi="宋体" w:cs="宋体"/>
                <w:color w:val="000000"/>
                <w:szCs w:val="21"/>
              </w:rPr>
              <w:t>关键字</w:t>
            </w:r>
            <w:r>
              <w:rPr>
                <w:rFonts w:hint="eastAsia" w:ascii="宋体" w:hAnsi="宋体" w:cs="宋体"/>
                <w:color w:val="000000"/>
                <w:szCs w:val="21"/>
                <w:lang w:eastAsia="zh-CN"/>
              </w:rPr>
              <w:t>），</w:t>
            </w:r>
            <w:r>
              <w:rPr>
                <w:rFonts w:hint="eastAsia" w:ascii="宋体" w:hAnsi="宋体" w:cs="宋体"/>
                <w:color w:val="000000"/>
                <w:szCs w:val="21"/>
              </w:rPr>
              <w:t>著作权人需为投标人</w:t>
            </w:r>
            <w:r>
              <w:rPr>
                <w:rFonts w:hint="eastAsia" w:ascii="宋体" w:hAnsi="宋体" w:cs="宋体"/>
                <w:color w:val="000000"/>
                <w:szCs w:val="21"/>
                <w:lang w:val="en-US" w:eastAsia="zh-CN"/>
              </w:rPr>
              <w:t>或</w:t>
            </w:r>
            <w:r>
              <w:rPr>
                <w:rFonts w:hint="eastAsia" w:ascii="宋体" w:hAnsi="宋体" w:cs="宋体"/>
                <w:color w:val="000000"/>
                <w:szCs w:val="21"/>
              </w:rPr>
              <w:t>著作权</w:t>
            </w:r>
            <w:r>
              <w:rPr>
                <w:rFonts w:hint="eastAsia" w:ascii="宋体" w:hAnsi="宋体" w:cs="宋体"/>
                <w:color w:val="000000"/>
                <w:szCs w:val="21"/>
                <w:lang w:val="en-US" w:eastAsia="zh-CN"/>
              </w:rPr>
              <w:t>为投标人通过</w:t>
            </w:r>
            <w:r>
              <w:rPr>
                <w:rFonts w:hint="eastAsia" w:ascii="宋体" w:hAnsi="宋体" w:cs="宋体"/>
                <w:color w:val="000000"/>
                <w:szCs w:val="21"/>
              </w:rPr>
              <w:t>租赁或授权等</w:t>
            </w:r>
            <w:r>
              <w:rPr>
                <w:rFonts w:hint="eastAsia" w:ascii="宋体" w:hAnsi="宋体" w:cs="宋体"/>
                <w:color w:val="000000"/>
                <w:szCs w:val="21"/>
                <w:lang w:val="en-US" w:eastAsia="zh-CN"/>
              </w:rPr>
              <w:t>方式获取</w:t>
            </w:r>
            <w:r>
              <w:rPr>
                <w:rFonts w:hint="eastAsia" w:ascii="宋体" w:hAnsi="宋体" w:cs="宋体"/>
                <w:color w:val="000000"/>
                <w:szCs w:val="21"/>
                <w:lang w:eastAsia="zh-CN"/>
              </w:rPr>
              <w:t>（</w:t>
            </w:r>
            <w:r>
              <w:rPr>
                <w:rFonts w:hint="eastAsia" w:ascii="宋体" w:hAnsi="宋体" w:cs="宋体"/>
                <w:color w:val="000000"/>
                <w:szCs w:val="21"/>
              </w:rPr>
              <w:t>同一</w:t>
            </w:r>
            <w:r>
              <w:rPr>
                <w:rFonts w:hint="eastAsia" w:ascii="宋体" w:hAnsi="宋体" w:cs="宋体"/>
                <w:color w:val="000000"/>
                <w:szCs w:val="21"/>
                <w:lang w:val="en-US" w:eastAsia="zh-CN"/>
              </w:rPr>
              <w:t>证书</w:t>
            </w:r>
            <w:r>
              <w:rPr>
                <w:rFonts w:hint="eastAsia" w:ascii="宋体" w:hAnsi="宋体" w:cs="宋体"/>
                <w:color w:val="000000"/>
                <w:szCs w:val="21"/>
              </w:rPr>
              <w:t>不重复计分</w:t>
            </w:r>
            <w:r>
              <w:rPr>
                <w:rFonts w:hint="eastAsia" w:ascii="宋体" w:hAnsi="宋体" w:cs="宋体"/>
                <w:color w:val="000000"/>
                <w:szCs w:val="21"/>
                <w:lang w:eastAsia="zh-CN"/>
              </w:rPr>
              <w:t>）；</w:t>
            </w:r>
            <w:r>
              <w:rPr>
                <w:rFonts w:hint="eastAsia" w:ascii="宋体" w:hAnsi="宋体" w:cs="宋体"/>
                <w:color w:val="000000"/>
                <w:szCs w:val="21"/>
              </w:rPr>
              <w:t>原件备查。注：投标人自有的，提供计算机软件著作权登记证书复印件并加盖投标人公章。通过租赁或授权等方式取得的第三方软件著作权合法使用权的，提供与第三方签订的租赁协议或授权证明以及第三方的计算机软件著作权登记证书并加盖投标人公章作为得分依据。</w:t>
            </w:r>
          </w:p>
        </w:tc>
      </w:tr>
      <w:tr w14:paraId="42FC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8BDFDB2">
            <w:pPr>
              <w:spacing w:line="320" w:lineRule="exact"/>
              <w:jc w:val="center"/>
              <w:rPr>
                <w:rFonts w:hint="default" w:ascii="宋体" w:hAnsi="宋体" w:cs="宋体"/>
                <w:color w:val="000000"/>
                <w:szCs w:val="21"/>
                <w:lang w:val="en-US" w:eastAsia="zh-CN" w:bidi="ar"/>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0E064B7D">
            <w:pPr>
              <w:spacing w:line="320" w:lineRule="exact"/>
              <w:jc w:val="center"/>
              <w:rPr>
                <w:rFonts w:hint="eastAsia" w:ascii="宋体" w:hAnsi="宋体" w:cs="宋体"/>
                <w:color w:val="000000"/>
                <w:szCs w:val="21"/>
                <w:lang w:val="en-US" w:eastAsia="zh-CN" w:bidi="ar"/>
              </w:rPr>
            </w:pPr>
            <w:r>
              <w:rPr>
                <w:rFonts w:hint="eastAsia" w:ascii="宋体" w:hAnsi="宋体" w:cs="宋体"/>
                <w:color w:val="000000"/>
                <w:szCs w:val="21"/>
                <w:lang w:bidi="ar"/>
              </w:rPr>
              <w:t>服务响应（5分）</w:t>
            </w:r>
          </w:p>
        </w:tc>
        <w:tc>
          <w:tcPr>
            <w:tcW w:w="6624" w:type="dxa"/>
            <w:shd w:val="clear" w:color="auto" w:fill="FFFFFF" w:themeFill="background1"/>
            <w:vAlign w:val="center"/>
          </w:tcPr>
          <w:p w14:paraId="0D21FD2D">
            <w:pPr>
              <w:spacing w:line="320" w:lineRule="exact"/>
              <w:jc w:val="left"/>
              <w:rPr>
                <w:rFonts w:hint="eastAsia" w:ascii="宋体" w:hAnsi="宋体" w:cs="宋体"/>
                <w:color w:val="000000"/>
                <w:szCs w:val="21"/>
              </w:rPr>
            </w:pPr>
            <w:r>
              <w:rPr>
                <w:rFonts w:hint="eastAsia" w:ascii="宋体" w:hAnsi="宋体" w:cs="宋体"/>
                <w:color w:val="000000"/>
                <w:szCs w:val="21"/>
              </w:rPr>
              <w:t>（一）评分内容：</w:t>
            </w:r>
          </w:p>
          <w:p w14:paraId="7A604BDA">
            <w:pPr>
              <w:spacing w:line="320" w:lineRule="exact"/>
              <w:jc w:val="left"/>
              <w:rPr>
                <w:rFonts w:hint="eastAsia" w:ascii="宋体" w:hAnsi="宋体" w:cs="宋体"/>
                <w:color w:val="000000"/>
                <w:szCs w:val="21"/>
                <w:lang w:eastAsia="zh-CN"/>
              </w:rPr>
            </w:pPr>
            <w:r>
              <w:rPr>
                <w:rFonts w:hint="eastAsia" w:ascii="宋体" w:hAnsi="宋体" w:cs="宋体"/>
                <w:color w:val="000000"/>
                <w:szCs w:val="21"/>
                <w:lang w:val="en-US" w:eastAsia="zh-CN"/>
              </w:rPr>
              <w:t>1、</w:t>
            </w:r>
            <w:r>
              <w:rPr>
                <w:rFonts w:hint="eastAsia" w:ascii="宋体" w:hAnsi="宋体" w:cs="宋体"/>
                <w:color w:val="000000"/>
                <w:szCs w:val="21"/>
              </w:rPr>
              <w:t>投标人承诺安排的项目服务人员在应急事件出现之后</w:t>
            </w:r>
            <w:r>
              <w:rPr>
                <w:rFonts w:hint="eastAsia" w:ascii="宋体" w:hAnsi="宋体" w:cs="宋体"/>
                <w:color w:val="000000"/>
                <w:szCs w:val="21"/>
                <w:lang w:val="en-US" w:eastAsia="zh-CN"/>
              </w:rPr>
              <w:t>2小时</w:t>
            </w:r>
            <w:r>
              <w:rPr>
                <w:rFonts w:hint="eastAsia" w:ascii="宋体" w:hAnsi="宋体" w:cs="宋体"/>
                <w:color w:val="000000"/>
                <w:szCs w:val="21"/>
              </w:rPr>
              <w:t>内赶赴采购单位或到达应急现场参与处置，得</w:t>
            </w:r>
            <w:r>
              <w:rPr>
                <w:rFonts w:hint="eastAsia" w:ascii="宋体" w:hAnsi="宋体" w:cs="宋体"/>
                <w:color w:val="000000"/>
                <w:szCs w:val="21"/>
                <w:lang w:val="en-US" w:eastAsia="zh-CN"/>
              </w:rPr>
              <w:t>5</w:t>
            </w:r>
            <w:r>
              <w:rPr>
                <w:rFonts w:hint="eastAsia" w:ascii="宋体" w:hAnsi="宋体" w:cs="宋体"/>
                <w:color w:val="000000"/>
                <w:szCs w:val="21"/>
              </w:rPr>
              <w:t>分</w:t>
            </w:r>
            <w:r>
              <w:rPr>
                <w:rFonts w:hint="eastAsia" w:ascii="宋体" w:hAnsi="宋体" w:cs="宋体"/>
                <w:color w:val="000000"/>
                <w:szCs w:val="21"/>
                <w:lang w:eastAsia="zh-CN"/>
              </w:rPr>
              <w:t>；</w:t>
            </w:r>
          </w:p>
          <w:p w14:paraId="1C04282C">
            <w:pPr>
              <w:spacing w:line="320" w:lineRule="exact"/>
              <w:jc w:val="left"/>
              <w:rPr>
                <w:rFonts w:hint="eastAsia" w:ascii="宋体" w:hAnsi="宋体" w:cs="宋体"/>
                <w:color w:val="000000"/>
                <w:szCs w:val="21"/>
                <w:lang w:eastAsia="zh-CN"/>
              </w:rPr>
            </w:pPr>
            <w:r>
              <w:rPr>
                <w:rFonts w:hint="eastAsia" w:ascii="宋体" w:hAnsi="宋体" w:cs="宋体"/>
                <w:color w:val="000000"/>
                <w:szCs w:val="21"/>
                <w:lang w:val="en-US" w:eastAsia="zh-CN"/>
              </w:rPr>
              <w:t>2、</w:t>
            </w:r>
            <w:r>
              <w:rPr>
                <w:rFonts w:hint="eastAsia" w:ascii="宋体" w:hAnsi="宋体" w:cs="宋体"/>
                <w:color w:val="000000"/>
                <w:szCs w:val="21"/>
              </w:rPr>
              <w:t>投标人承诺安排的项目服务人员在应急事件出现之后</w:t>
            </w:r>
            <w:r>
              <w:rPr>
                <w:rFonts w:hint="eastAsia" w:ascii="宋体" w:hAnsi="宋体" w:cs="宋体"/>
                <w:color w:val="000000"/>
                <w:szCs w:val="21"/>
                <w:lang w:val="en-US" w:eastAsia="zh-CN"/>
              </w:rPr>
              <w:t>4小时</w:t>
            </w:r>
            <w:r>
              <w:rPr>
                <w:rFonts w:hint="eastAsia" w:ascii="宋体" w:hAnsi="宋体" w:cs="宋体"/>
                <w:color w:val="000000"/>
                <w:szCs w:val="21"/>
              </w:rPr>
              <w:t>内赶赴采购单位或到达应急现场参与处置，得</w:t>
            </w:r>
            <w:r>
              <w:rPr>
                <w:rFonts w:hint="eastAsia" w:ascii="宋体" w:hAnsi="宋体" w:cs="宋体"/>
                <w:color w:val="000000"/>
                <w:szCs w:val="21"/>
                <w:lang w:val="en-US" w:eastAsia="zh-CN"/>
              </w:rPr>
              <w:t>3</w:t>
            </w:r>
            <w:r>
              <w:rPr>
                <w:rFonts w:hint="eastAsia" w:ascii="宋体" w:hAnsi="宋体" w:cs="宋体"/>
                <w:color w:val="000000"/>
                <w:szCs w:val="21"/>
              </w:rPr>
              <w:t>分</w:t>
            </w:r>
            <w:r>
              <w:rPr>
                <w:rFonts w:hint="eastAsia" w:ascii="宋体" w:hAnsi="宋体" w:cs="宋体"/>
                <w:color w:val="000000"/>
                <w:szCs w:val="21"/>
                <w:lang w:eastAsia="zh-CN"/>
              </w:rPr>
              <w:t>；</w:t>
            </w:r>
          </w:p>
          <w:p w14:paraId="281764FD">
            <w:pPr>
              <w:spacing w:line="320" w:lineRule="exact"/>
              <w:jc w:val="left"/>
              <w:rPr>
                <w:rFonts w:hint="eastAsia" w:ascii="宋体" w:hAnsi="宋体" w:cs="宋体"/>
                <w:color w:val="000000"/>
                <w:szCs w:val="21"/>
                <w:lang w:eastAsia="zh-CN"/>
              </w:rPr>
            </w:pPr>
            <w:r>
              <w:rPr>
                <w:rFonts w:hint="eastAsia" w:ascii="宋体" w:hAnsi="宋体" w:cs="宋体"/>
                <w:color w:val="000000"/>
                <w:szCs w:val="21"/>
                <w:lang w:val="en-US" w:eastAsia="zh-CN"/>
              </w:rPr>
              <w:t>3、</w:t>
            </w:r>
            <w:r>
              <w:rPr>
                <w:rFonts w:hint="eastAsia" w:ascii="宋体" w:hAnsi="宋体" w:cs="宋体"/>
                <w:color w:val="000000"/>
                <w:szCs w:val="21"/>
              </w:rPr>
              <w:t>投标人承诺安排的项目服务人员在应急事件出现之后</w:t>
            </w:r>
            <w:r>
              <w:rPr>
                <w:rFonts w:hint="eastAsia" w:ascii="宋体" w:hAnsi="宋体" w:cs="宋体"/>
                <w:color w:val="000000"/>
                <w:szCs w:val="21"/>
                <w:lang w:val="en-US" w:eastAsia="zh-CN"/>
              </w:rPr>
              <w:t>6小时</w:t>
            </w:r>
            <w:r>
              <w:rPr>
                <w:rFonts w:hint="eastAsia" w:ascii="宋体" w:hAnsi="宋体" w:cs="宋体"/>
                <w:color w:val="000000"/>
                <w:szCs w:val="21"/>
              </w:rPr>
              <w:t>内赶赴采购单位或到达应急现场参与处置，得</w:t>
            </w:r>
            <w:r>
              <w:rPr>
                <w:rFonts w:hint="eastAsia" w:ascii="宋体" w:hAnsi="宋体" w:cs="宋体"/>
                <w:color w:val="000000"/>
                <w:szCs w:val="21"/>
                <w:lang w:val="en-US" w:eastAsia="zh-CN"/>
              </w:rPr>
              <w:t>1</w:t>
            </w:r>
            <w:r>
              <w:rPr>
                <w:rFonts w:hint="eastAsia" w:ascii="宋体" w:hAnsi="宋体" w:cs="宋体"/>
                <w:color w:val="000000"/>
                <w:szCs w:val="21"/>
              </w:rPr>
              <w:t>分</w:t>
            </w:r>
            <w:r>
              <w:rPr>
                <w:rFonts w:hint="eastAsia" w:ascii="宋体" w:hAnsi="宋体" w:cs="宋体"/>
                <w:color w:val="000000"/>
                <w:szCs w:val="21"/>
                <w:lang w:eastAsia="zh-CN"/>
              </w:rPr>
              <w:t>。</w:t>
            </w:r>
          </w:p>
          <w:p w14:paraId="46D2B971">
            <w:pPr>
              <w:spacing w:line="320" w:lineRule="exact"/>
              <w:jc w:val="left"/>
              <w:rPr>
                <w:rFonts w:hint="eastAsia" w:ascii="宋体" w:hAnsi="宋体" w:cs="宋体"/>
                <w:color w:val="000000"/>
                <w:szCs w:val="21"/>
              </w:rPr>
            </w:pPr>
            <w:r>
              <w:rPr>
                <w:rFonts w:hint="eastAsia" w:ascii="宋体" w:hAnsi="宋体" w:cs="宋体"/>
                <w:color w:val="000000"/>
                <w:szCs w:val="21"/>
              </w:rPr>
              <w:t>（二）评分依据：</w:t>
            </w:r>
          </w:p>
          <w:p w14:paraId="79D12B72">
            <w:pPr>
              <w:spacing w:line="320" w:lineRule="exact"/>
              <w:jc w:val="left"/>
              <w:rPr>
                <w:rFonts w:hint="eastAsia" w:ascii="宋体" w:hAnsi="宋体" w:cs="宋体"/>
                <w:color w:val="000000"/>
                <w:szCs w:val="21"/>
              </w:rPr>
            </w:pPr>
            <w:r>
              <w:rPr>
                <w:rFonts w:hint="eastAsia" w:ascii="宋体" w:hAnsi="宋体" w:cs="宋体"/>
                <w:color w:val="000000"/>
                <w:szCs w:val="21"/>
              </w:rPr>
              <w:t>提供符合要求承诺函（格式自拟），未提供或提供不符合要求本项不得分。未提供或未按要求提供或提供的不清晰导致专家无法判断的或所提供的证明材料未能体现上述评分内容的不得分。</w:t>
            </w:r>
          </w:p>
        </w:tc>
      </w:tr>
      <w:tr w14:paraId="54DA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B99F52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1EA078C8">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诚信情况</w:t>
            </w:r>
            <w:r>
              <w:rPr>
                <w:rFonts w:hint="eastAsia" w:ascii="宋体" w:hAnsi="宋体" w:cs="宋体"/>
                <w:color w:val="000000"/>
                <w:szCs w:val="21"/>
                <w:lang w:bidi="ar"/>
              </w:rPr>
              <w:t>（5分）</w:t>
            </w:r>
          </w:p>
        </w:tc>
        <w:tc>
          <w:tcPr>
            <w:tcW w:w="6624" w:type="dxa"/>
            <w:shd w:val="clear" w:color="auto" w:fill="FFFFFF" w:themeFill="background1"/>
            <w:vAlign w:val="center"/>
          </w:tcPr>
          <w:p w14:paraId="685BE69D">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6A7351B8">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7E8F354">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12EADC8C">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13F5A912">
            <w:pPr>
              <w:spacing w:line="320" w:lineRule="exact"/>
              <w:jc w:val="left"/>
              <w:rPr>
                <w:rFonts w:ascii="宋体" w:hAnsi="宋体" w:cs="宋体"/>
                <w:color w:val="000000"/>
                <w:szCs w:val="21"/>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71E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1906" w:type="dxa"/>
            <w:gridSpan w:val="2"/>
            <w:shd w:val="clear" w:color="auto" w:fill="FFFFFF" w:themeFill="background1"/>
            <w:vAlign w:val="center"/>
          </w:tcPr>
          <w:p w14:paraId="222CCB12">
            <w:pPr>
              <w:spacing w:line="320" w:lineRule="exact"/>
              <w:jc w:val="center"/>
              <w:rPr>
                <w:rFonts w:ascii="宋体" w:hAnsi="宋体" w:cs="宋体"/>
                <w:color w:val="000000"/>
                <w:szCs w:val="21"/>
              </w:rPr>
            </w:pPr>
            <w:r>
              <w:rPr>
                <w:rFonts w:hint="eastAsia" w:ascii="宋体" w:hAnsi="宋体" w:cs="宋体"/>
                <w:color w:val="000000"/>
                <w:szCs w:val="21"/>
                <w:lang w:bidi="ar"/>
              </w:rPr>
              <w:t>三、</w:t>
            </w:r>
            <w:r>
              <w:rPr>
                <w:rFonts w:hint="eastAsia" w:ascii="宋体" w:hAnsi="宋体" w:cs="宋体"/>
                <w:b/>
                <w:color w:val="000000"/>
                <w:kern w:val="0"/>
                <w:szCs w:val="21"/>
                <w:lang w:bidi="ar"/>
              </w:rPr>
              <w:t>价格部分(</w:t>
            </w:r>
            <w:r>
              <w:rPr>
                <w:rFonts w:hint="eastAsia" w:ascii="宋体" w:hAnsi="宋体" w:cs="宋体"/>
                <w:b/>
                <w:color w:val="000000"/>
                <w:kern w:val="0"/>
                <w:szCs w:val="21"/>
                <w:lang w:val="en-US" w:eastAsia="zh-CN" w:bidi="ar"/>
              </w:rPr>
              <w:t>30</w:t>
            </w:r>
            <w:r>
              <w:rPr>
                <w:rFonts w:hint="eastAsia" w:ascii="宋体" w:hAnsi="宋体" w:cs="宋体"/>
                <w:b/>
                <w:color w:val="000000"/>
                <w:kern w:val="0"/>
                <w:szCs w:val="21"/>
                <w:lang w:bidi="ar"/>
              </w:rPr>
              <w:t>分)</w:t>
            </w:r>
          </w:p>
        </w:tc>
        <w:tc>
          <w:tcPr>
            <w:tcW w:w="6624" w:type="dxa"/>
            <w:shd w:val="clear" w:color="auto" w:fill="FFFFFF" w:themeFill="background1"/>
            <w:vAlign w:val="center"/>
          </w:tcPr>
          <w:p w14:paraId="023FF300">
            <w:pPr>
              <w:widowControl/>
              <w:spacing w:line="320" w:lineRule="exact"/>
              <w:jc w:val="left"/>
              <w:rPr>
                <w:rFonts w:ascii="宋体" w:hAnsi="宋体" w:eastAsia="宋体" w:cs="宋体"/>
                <w:kern w:val="0"/>
                <w:sz w:val="21"/>
                <w:szCs w:val="21"/>
                <w:lang w:val="en-US" w:eastAsia="zh-CN" w:bidi="ar-SA"/>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3</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lang w:val="en-US" w:eastAsia="zh-CN"/>
              </w:rPr>
              <w:t>3</w:t>
            </w:r>
            <w:r>
              <w:rPr>
                <w:rFonts w:ascii="宋体" w:hAnsi="宋体"/>
                <w:szCs w:val="21"/>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3"/>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第三方劳务派遣人才服务</w:t>
      </w:r>
      <w:r>
        <w:rPr>
          <w:rFonts w:hint="eastAsia" w:ascii="宋体" w:hAnsi="宋体" w:eastAsia="宋体" w:cs="宋体"/>
          <w:b/>
          <w:bCs/>
          <w:sz w:val="30"/>
          <w:szCs w:val="30"/>
        </w:rPr>
        <w:t>(二次招标)</w:t>
      </w:r>
    </w:p>
    <w:p w14:paraId="13E40C98">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一、项目背景</w:t>
      </w:r>
    </w:p>
    <w:p w14:paraId="2EC3EEF9">
      <w:pPr>
        <w:pageBreakBefore w:val="0"/>
        <w:kinsoku/>
        <w:wordWrap/>
        <w:overflowPunct/>
        <w:topLinePunct w:val="0"/>
        <w:autoSpaceDE/>
        <w:autoSpaceDN/>
        <w:bidi w:val="0"/>
        <w:spacing w:before="120" w:beforeAutospacing="0" w:afterAutospacing="0"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为满足我院多元化用工需求，更好地为患者提供优质、便捷的诊疗服务，按照国家有关政策，拟通过第三方人力资源服务公司采用劳务派遣的方式，解决医院部分临时性、辅助性、替代性强的岗位用人需求。</w:t>
      </w:r>
    </w:p>
    <w:p w14:paraId="52D08F14">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cs="宋体"/>
          <w:sz w:val="21"/>
          <w:szCs w:val="21"/>
          <w:lang w:val="en-US" w:eastAsia="zh-CN"/>
        </w:rPr>
      </w:pPr>
      <w:r>
        <w:rPr>
          <w:rFonts w:hint="eastAsia" w:eastAsia="宋体" w:cs="宋体"/>
          <w:sz w:val="21"/>
          <w:szCs w:val="21"/>
          <w:lang w:val="en-US" w:eastAsia="zh-CN"/>
        </w:rPr>
        <w:t>二、</w:t>
      </w:r>
      <w:r>
        <w:rPr>
          <w:rFonts w:hint="eastAsia" w:ascii="宋体" w:hAnsi="宋体" w:eastAsia="宋体" w:cs="宋体"/>
          <w:sz w:val="21"/>
          <w:szCs w:val="21"/>
          <w:lang w:val="en-US" w:eastAsia="zh-CN"/>
        </w:rPr>
        <w:t>预算金额：人均报价限额为80元/人/月，年度预算120000元</w:t>
      </w:r>
      <w:r>
        <w:rPr>
          <w:rFonts w:hint="eastAsia" w:ascii="宋体" w:hAnsi="宋体" w:cs="宋体"/>
          <w:sz w:val="21"/>
          <w:szCs w:val="21"/>
          <w:lang w:val="en-US" w:eastAsia="zh-CN"/>
        </w:rPr>
        <w:t>,报价超预算金额，本项目废标。</w:t>
      </w:r>
    </w:p>
    <w:p w14:paraId="2DB39270">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eastAsia="宋体" w:cs="宋体"/>
          <w:sz w:val="21"/>
          <w:szCs w:val="21"/>
          <w:lang w:val="en-US" w:eastAsia="zh-CN"/>
        </w:rPr>
        <w:t>三</w:t>
      </w:r>
      <w:r>
        <w:rPr>
          <w:rFonts w:hint="eastAsia" w:ascii="宋体" w:hAnsi="宋体" w:eastAsia="宋体" w:cs="宋体"/>
          <w:sz w:val="21"/>
          <w:szCs w:val="21"/>
        </w:rPr>
        <w:t>、项目服务内容及要求</w:t>
      </w:r>
    </w:p>
    <w:p w14:paraId="246AFA7D">
      <w:pPr>
        <w:tabs>
          <w:tab w:val="left" w:pos="567"/>
        </w:tabs>
        <w:snapToGrid w:val="0"/>
        <w:spacing w:line="360" w:lineRule="auto"/>
        <w:ind w:firstLine="422" w:firstLineChars="200"/>
        <w:rPr>
          <w:rFonts w:hint="eastAsia" w:ascii="宋体" w:hAnsi="宋体" w:eastAsia="宋体" w:cs="宋体"/>
          <w:b/>
          <w:color w:val="auto"/>
          <w:spacing w:val="0"/>
          <w:kern w:val="0"/>
          <w:position w:val="0"/>
          <w:sz w:val="21"/>
          <w:szCs w:val="24"/>
          <w:shd w:val="clear" w:fill="auto"/>
          <w:lang w:val="en-US" w:eastAsia="zh-CN" w:bidi="ar-SA"/>
        </w:rPr>
      </w:pPr>
      <w:r>
        <w:rPr>
          <w:rFonts w:hint="eastAsia" w:ascii="宋体" w:hAnsi="宋体" w:eastAsia="宋体" w:cs="宋体"/>
          <w:b/>
          <w:color w:val="auto"/>
          <w:spacing w:val="0"/>
          <w:kern w:val="0"/>
          <w:position w:val="0"/>
          <w:sz w:val="21"/>
          <w:szCs w:val="24"/>
          <w:shd w:val="clear" w:fill="auto"/>
          <w:lang w:val="en-US" w:eastAsia="zh-CN" w:bidi="ar-SA"/>
        </w:rPr>
        <w:t>1.服务工作内容：</w:t>
      </w:r>
    </w:p>
    <w:p w14:paraId="6F702299">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（1）中标单位根据采购单位需求提供劳务派遣人员，劳务派遣人员按照采购单位规章制度和相关岗位职责开展工作。</w:t>
      </w:r>
    </w:p>
    <w:p w14:paraId="2555EEE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中标单位负责所有劳务派遣人员的人事、劳资、社会保险、计生、基础培训等人事劳资管理工作，并提供为劳务派遣人员办理劳动用工手续（签订劳动合同等）、结算发放工资、发放经济补偿金、缴纳社会保险、处理保险理赔、管理人事档案、提供人员培训等方面的管理服务。</w:t>
      </w:r>
    </w:p>
    <w:p w14:paraId="05915DA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派遣人员与中标单位建立劳动法律关系（包括劳动合同关系、工资保险关系和劳动用工手续等），中标单位为用人单位，采购单位为用工单位，派遣人员与采购单位只存在工作管理关系，不存在劳动法律关系。</w:t>
      </w:r>
    </w:p>
    <w:p w14:paraId="3D5A6B00">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（4）派遣人员入职后，如采购单位要求，中标单位有义务及时向采购单位提供派遣服务人员有关资料，包括个人信息、健康证、劳动合同、社会保险证明、学历证明等个人资料，采购单位承诺不随意对外泄露。</w:t>
      </w:r>
    </w:p>
    <w:p w14:paraId="6E6338A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中标单位管理人员应定期（每半年不少于1次）与采购单位就派遣人员的品德、技能、考勤、业绩等方面的相关信息进行沟通交流并交换意见。及时调查掌握派遣人员的异常情况，对遇有特殊困难的派遣人员给予必要的关怀，及时处理采购单位与派遣人员之间的管理矛盾。</w:t>
      </w:r>
    </w:p>
    <w:p w14:paraId="4C17B686">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（6）中标单位应经常性对派遣人员进行职业道德教育，监督检查派遣人员执行采购单位规章制度的情况，协助采购单位对违规违法人员进行处理，维护采购单位正常的经营秩序。</w:t>
      </w:r>
    </w:p>
    <w:p w14:paraId="52D12E8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（7）协助办理劳务派遣人员（符合深圳市领取养老保险待遇条件）退休手续，办理劳动关系终止手续。</w:t>
      </w:r>
    </w:p>
    <w:p w14:paraId="22872C05">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中标单位需建立应急响应机制，确保在劳动纠纷、上访事件、工伤或重大疾病等突发事件发生时，能够迅速介入并协助采购单位妥善处理。能够有效维护采购单位的正常运营秩序，保障派遣人员的合法权益。</w:t>
      </w:r>
    </w:p>
    <w:p w14:paraId="53A086CB">
      <w:pPr>
        <w:tabs>
          <w:tab w:val="left" w:pos="567"/>
        </w:tabs>
        <w:snapToGrid w:val="0"/>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2.工作质量要求： </w:t>
      </w:r>
    </w:p>
    <w:p w14:paraId="712609F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（1）中标单位的劳务派遣人员应符合采购单位的政审要求，无违法犯罪记录，并具有相应岗位所要求的工作能力和素质要求。</w:t>
      </w:r>
    </w:p>
    <w:p w14:paraId="6858CC51">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（2）中标单位须根据采购单位提出的用工需求及时派遣人员到岗工作。</w:t>
      </w:r>
    </w:p>
    <w:p w14:paraId="705C947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中标单位须负责劳务派遣人员的人事、劳资、社会保险、计生、党团、培训等人事劳资管理工作。并为劳务派遣人员办理劳动用工手续、结算发放工资、发放经济补偿金、缴纳社会保险、处理保险理赔、管理人事档案、提供人员培训、管理人事档案及党团组织关系等方面的管理服务；教育劳务派遣人员服从采购单位规章制度要求和工作安排；按照采购单位的要求，及时更换不能胜任工作的劳务派遣人员；负责处理合同服务期内所有劳资纠纷和调解管理纠纷；提供培训、开展文体活动；落实采购单位根据规章制度和工作需要提出的其他管理要求。</w:t>
      </w:r>
    </w:p>
    <w:p w14:paraId="6EA8130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（4）中标单位须为全体劳务派遣人员办理社会保险和公积金缴存（交）工作，并负责办理或协助办理派遣人员社会保险、住房公积金的报销、理赔等相关业务手续。</w:t>
      </w:r>
    </w:p>
    <w:p w14:paraId="46ADE1A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中标单位须按照合同约定的时间、经采购单位核定的标准，及时、足额向全体劳务派遣人员工资和其他福利。非经采购单位书面通知，不得扣发劳务派遣人员工资和其他福利，不得缩减或变更劳务派遣人员社会保险缴付金额和险种或公积金的缴存标准和比例。</w:t>
      </w:r>
    </w:p>
    <w:p w14:paraId="353DC32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（6）中标单位提供的劳务派遣人员必须服从采购单位的安排和管理。</w:t>
      </w:r>
    </w:p>
    <w:p w14:paraId="4B20A491">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（7）派遣人员在采购单位工作岗位职责，以采购单位工作岗位职责为准。</w:t>
      </w:r>
    </w:p>
    <w:p w14:paraId="489DFEB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（8）按照岗位所在科室安排，派遣人员在采购单位试用期为1-3个月，科室综合考评决定是否留用。通过试用期的劳务派遣人员，需在采购单位发出留用通知后 3 日内到岗，若无法到岗中标单位需另派人至采购单位重新试用。</w:t>
      </w:r>
    </w:p>
    <w:p w14:paraId="5D46C840">
      <w:pPr>
        <w:tabs>
          <w:tab w:val="left" w:pos="567"/>
        </w:tabs>
        <w:snapToGrid w:val="0"/>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3.工作时间要求</w:t>
      </w:r>
      <w:r>
        <w:rPr>
          <w:rFonts w:hint="eastAsia" w:ascii="宋体" w:hAnsi="宋体" w:cs="宋体"/>
          <w:b/>
          <w:bCs/>
          <w:kern w:val="2"/>
          <w:sz w:val="21"/>
          <w:szCs w:val="21"/>
          <w:lang w:val="en-US" w:eastAsia="zh-CN" w:bidi="ar-SA"/>
        </w:rPr>
        <w:t>：</w:t>
      </w:r>
    </w:p>
    <w:p w14:paraId="593E9AB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全体劳务派遣人员工作时间由采购单位根据国家有关规定及实际工作需要具体安排。</w:t>
      </w:r>
    </w:p>
    <w:p w14:paraId="789B366B">
      <w:pPr>
        <w:tabs>
          <w:tab w:val="left" w:pos="567"/>
        </w:tabs>
        <w:snapToGrid w:val="0"/>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4.服务成果及质量标准要求：</w:t>
      </w:r>
    </w:p>
    <w:p w14:paraId="6B538FA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（1）岗位设置及薪酬福利：岗位及编制根据采购单位实际工作需要进行设置，相关薪酬福利标准按用工单位有关制度执行。</w:t>
      </w:r>
    </w:p>
    <w:p w14:paraId="2427280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（2）采购单位根据业务需要和岗位设置情况，以书面形式通知中标单位用工需求。</w:t>
      </w:r>
    </w:p>
    <w:p w14:paraId="10D4A2D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（3）中标单位收到采购单位用工需求通知后，应立即组织安排相应派遣人员的招聘事宜。中标单位在10个工作日内向采购单位提供基本符合要求的候选人员的汇总及明细资料。</w:t>
      </w:r>
    </w:p>
    <w:p w14:paraId="43B00C50">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采购单位对中标单位选派的应聘人员进行面试并确定获得录用资格的人员名单。采购单位有权自行决定是否接受中标单位推荐的派遣人选。采购单位可根据工作需要自行选定候选人员后告知中标单位办理有关录用及派遣手续。</w:t>
      </w:r>
    </w:p>
    <w:p w14:paraId="253D127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（5）中标单位组织获得录用资格人员进行体检和审验、收集相关证件并备份采购单位。</w:t>
      </w:r>
    </w:p>
    <w:p w14:paraId="11FA488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（6）采购单位对体检合格获得录用资格人员进行岗位技能培训，中标单位进行公共职业培训，培训合格后由采购单位决定录用人员名单。</w:t>
      </w:r>
    </w:p>
    <w:p w14:paraId="5CE02FFD">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（7）中标单位通知录用人员入职，并办理相关的入职手续，签订劳动合同等。劳动合同备份采购单位。</w:t>
      </w:r>
    </w:p>
    <w:p w14:paraId="32FC817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（8）采购单位有权要求调换不适合岗位要求的派遣人员。中标单位调换劳务派遣人员须得到采购单位的书面同意。</w:t>
      </w:r>
    </w:p>
    <w:p w14:paraId="0799C8DF">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（9）劳务派遣管理：中标单位应教育派遣人员遵守国家法律法规以及采购单位的规章制度、管理规范和劳动纪律，服从和执行采购单位的工作安排和调度，接受采购单位管理人员的检查监督。</w:t>
      </w:r>
    </w:p>
    <w:p w14:paraId="69C7A8E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（10）采购单位的性质要求派遣人员必须严守秘密，不能泄露与工作有关的任何信息。中标单位应教育派遣人员不得以任何形式向他人提供或泄露采购单位的涉密信息。</w:t>
      </w:r>
    </w:p>
    <w:p w14:paraId="591BA84F">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（11）采购单位负责派遣人员的岗位安排、工作调度、监督及考核，协助中标单位进行考勤管理、绩效考核及工作期间的日常管理等事项。</w:t>
      </w:r>
    </w:p>
    <w:p w14:paraId="3C430341">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（12）派遣人员不服从采购单位日常工作管理以及违反采购单位的劳动纪律的，采购单位有权依据有关管理规定通知中标单位进行相应的处罚。</w:t>
      </w:r>
    </w:p>
    <w:p w14:paraId="20862632">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（13）派遣人员从采购单位领取的工作设施、配件及其他物品，由采购单位负责登记管理，人员离职时一并交还采购单位。</w:t>
      </w:r>
    </w:p>
    <w:p w14:paraId="3EF23F4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（14）合同期内派遣人员有下列情况之一的，采购单位可随时退回派遣人员或要求中标单位更换派遣人员，并向中标单位提供该派遣人员自认的合法有效的下列事实的证据材料：</w:t>
      </w:r>
    </w:p>
    <w:p w14:paraId="066F2AB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1）试用期内被证明不符合录用条件的；</w:t>
      </w:r>
    </w:p>
    <w:p w14:paraId="4E0B8B3B">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2）严重违反采购单位依法制定的规章制度、业务规程或劳动纪律的；</w:t>
      </w:r>
    </w:p>
    <w:p w14:paraId="1AF989EC">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3）严重失职，营私舞弊，给采购单位利益造成重大损害的；</w:t>
      </w:r>
    </w:p>
    <w:p w14:paraId="04D9BFAB">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4）有违法犯罪行为被追究刑事责任的；</w:t>
      </w:r>
    </w:p>
    <w:p w14:paraId="286E143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5）派遣人员同时与其他用人单位建立劳动关系，对完成采购单位的工作任务造成严重影响，或者经采购单位提出，拒不改正的。</w:t>
      </w:r>
    </w:p>
    <w:p w14:paraId="0F4736E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（15）有下列情形之一，采购单位提前三十日通知中标单位和派遣人员本人后，可以退回派遣人员：</w:t>
      </w:r>
    </w:p>
    <w:p w14:paraId="438D524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1）派遣人员患病或非因工负伤，医疗期满后，不能从事原工作也不能从事由采购单位另行安排的工作的；</w:t>
      </w:r>
    </w:p>
    <w:p w14:paraId="265AE6A0">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2）派遣人员不能胜任工作，经过培训或调整岗位，仍不能胜任工作的；</w:t>
      </w:r>
    </w:p>
    <w:p w14:paraId="41586686">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3）本合同订立时所依据的客观情况发生重大变化，致使原合同无法履行的。</w:t>
      </w:r>
    </w:p>
    <w:p w14:paraId="7B849D7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（16）中标单位全权负责被派遣劳务人员的劳务用工管理、劳务纠纷处理与社保办理、退休办理以及涉及劳动关系的所有事宜，与劳务派遣人员签订劳动合同并将劳动合同提供采购单位备案。</w:t>
      </w:r>
      <w:r>
        <w:rPr>
          <w:rFonts w:hint="eastAsia" w:ascii="宋体" w:hAnsi="宋体" w:eastAsia="宋体" w:cs="宋体"/>
          <w:color w:val="000000" w:themeColor="text1"/>
          <w:sz w:val="21"/>
          <w:szCs w:val="21"/>
          <w:highlight w:val="none"/>
          <w14:textFill>
            <w14:solidFill>
              <w14:schemeClr w14:val="tx1"/>
            </w14:solidFill>
          </w14:textFill>
        </w:rPr>
        <w:t>解除与劳务派遣人员签订劳动合同所涉及的经济补偿金由用工单位负责，由中标单位</w:t>
      </w:r>
      <w:r>
        <w:rPr>
          <w:rFonts w:hint="eastAsia" w:ascii="宋体" w:hAnsi="宋体" w:cs="宋体"/>
          <w:color w:val="000000" w:themeColor="text1"/>
          <w:sz w:val="21"/>
          <w:szCs w:val="21"/>
          <w:highlight w:val="none"/>
          <w:lang w:val="en-US" w:eastAsia="zh-CN"/>
          <w14:textFill>
            <w14:solidFill>
              <w14:schemeClr w14:val="tx1"/>
            </w14:solidFill>
          </w14:textFill>
        </w:rPr>
        <w:t>代为</w:t>
      </w:r>
      <w:r>
        <w:rPr>
          <w:rFonts w:hint="eastAsia" w:ascii="宋体" w:hAnsi="宋体" w:eastAsia="宋体" w:cs="宋体"/>
          <w:color w:val="000000" w:themeColor="text1"/>
          <w:sz w:val="21"/>
          <w:szCs w:val="21"/>
          <w:highlight w:val="none"/>
          <w14:textFill>
            <w14:solidFill>
              <w14:schemeClr w14:val="tx1"/>
            </w14:solidFill>
          </w14:textFill>
        </w:rPr>
        <w:t>支付。</w:t>
      </w:r>
    </w:p>
    <w:p w14:paraId="75B58002">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采购单位有权按需调整派遣人员数量。中标单位作为专业服务商，已充分知悉项目特性并参与投标，应独立评估并承担合同履行中的各类风险（含市场环境变化、政策法规调整、采购单位用工需求波动等履约风险）。</w:t>
      </w:r>
    </w:p>
    <w:p w14:paraId="7B00E34D">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（18）经采购单位要求后，中标单位须无条件接收原第三方人力资源服务公司派遣至采购单位工作的派遣员工，及时与其建立劳动关系并办理相关劳动用工手续。</w:t>
      </w:r>
    </w:p>
    <w:p w14:paraId="201C16B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如采购单位、中标单位未能续签合同，采购单位、中标单位应签订补充协议，在采购单位重新寻找到其他劳务派遣公司前，由中标单位继续提供劳务派遣服务，并在采购单位寻找新的劳务派遣公司后，由采购单位协助中标单位安排劳务派遣员工与新的劳务派遣公司签订劳动合同，以便派遣员工继续在采购单位服务。派遣员工无意与新的劳务派遣公司建立劳动关系，或者，中标单位无意将派遣员工移交新的劳务派遣公司的，派遣员工由中标单位自行组织离场。</w:t>
      </w:r>
    </w:p>
    <w:p w14:paraId="0950B742">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eastAsia="宋体" w:cs="宋体"/>
          <w:sz w:val="21"/>
          <w:szCs w:val="21"/>
          <w:lang w:val="en-US" w:eastAsia="zh-CN"/>
        </w:rPr>
        <w:t>四</w:t>
      </w:r>
      <w:r>
        <w:rPr>
          <w:rFonts w:hint="eastAsia" w:ascii="宋体" w:hAnsi="宋体" w:eastAsia="宋体" w:cs="宋体"/>
          <w:sz w:val="21"/>
          <w:szCs w:val="21"/>
        </w:rPr>
        <w:t>、商务条款要求</w:t>
      </w:r>
    </w:p>
    <w:p w14:paraId="4A4F535D">
      <w:pPr>
        <w:rPr>
          <w:rFonts w:hint="eastAsia"/>
        </w:rPr>
      </w:pPr>
      <w:r>
        <w:rPr>
          <w:rFonts w:hint="eastAsia"/>
        </w:rPr>
        <w:t>（一）服务期要求：</w:t>
      </w:r>
    </w:p>
    <w:p w14:paraId="2A55C432">
      <w:pPr>
        <w:ind w:firstLine="420" w:firstLineChars="200"/>
        <w:rPr>
          <w:rFonts w:hint="eastAsia"/>
        </w:rPr>
      </w:pPr>
      <w:r>
        <w:rPr>
          <w:rFonts w:hint="eastAsia"/>
          <w:lang w:val="en-US" w:eastAsia="zh-CN"/>
        </w:rPr>
        <w:t>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1145DD8D">
      <w:pPr>
        <w:rPr>
          <w:rFonts w:hint="eastAsia"/>
        </w:rPr>
      </w:pPr>
      <w:r>
        <w:rPr>
          <w:rFonts w:hint="eastAsia"/>
          <w:lang w:eastAsia="zh-CN"/>
        </w:rPr>
        <w:t>（</w:t>
      </w:r>
      <w:r>
        <w:rPr>
          <w:rFonts w:hint="eastAsia"/>
          <w:lang w:val="en-US" w:eastAsia="zh-CN"/>
        </w:rPr>
        <w:t>二</w:t>
      </w:r>
      <w:r>
        <w:rPr>
          <w:rFonts w:hint="eastAsia"/>
          <w:lang w:eastAsia="zh-CN"/>
        </w:rPr>
        <w:t>）</w:t>
      </w:r>
      <w:r>
        <w:rPr>
          <w:rFonts w:hint="eastAsia"/>
        </w:rPr>
        <w:t xml:space="preserve">服务地点： </w:t>
      </w:r>
    </w:p>
    <w:p w14:paraId="32512AC7">
      <w:pPr>
        <w:rPr>
          <w:rFonts w:hint="eastAsia"/>
        </w:rPr>
      </w:pPr>
      <w:r>
        <w:rPr>
          <w:rFonts w:hint="eastAsia"/>
        </w:rPr>
        <w:t>深圳市宝安区</w:t>
      </w:r>
      <w:r>
        <w:rPr>
          <w:rFonts w:hint="eastAsia"/>
          <w:lang w:val="en-US" w:eastAsia="zh-CN"/>
        </w:rPr>
        <w:t>石岩</w:t>
      </w:r>
      <w:r>
        <w:rPr>
          <w:rFonts w:hint="eastAsia"/>
        </w:rPr>
        <w:t xml:space="preserve">人民医院 </w:t>
      </w:r>
    </w:p>
    <w:p w14:paraId="55AB7A93">
      <w:pPr>
        <w:rPr>
          <w:rFonts w:hint="eastAsia"/>
        </w:rPr>
      </w:pPr>
      <w:r>
        <w:rPr>
          <w:rFonts w:hint="eastAsia"/>
        </w:rPr>
        <w:t>（三）</w:t>
      </w:r>
      <w:r>
        <w:rPr>
          <w:rFonts w:hint="eastAsia"/>
          <w:lang w:val="en-US" w:eastAsia="zh-CN"/>
        </w:rPr>
        <w:t>人员</w:t>
      </w:r>
      <w:r>
        <w:rPr>
          <w:rFonts w:hint="eastAsia"/>
        </w:rPr>
        <w:t>要求：</w:t>
      </w:r>
    </w:p>
    <w:p w14:paraId="48BBE1E6">
      <w:pPr>
        <w:ind w:firstLine="420" w:firstLineChars="200"/>
        <w:rPr>
          <w:rFonts w:hint="eastAsia"/>
        </w:rPr>
      </w:pPr>
      <w:r>
        <w:rPr>
          <w:rFonts w:hint="eastAsia"/>
        </w:rPr>
        <w:t>项目人数按医院实际需求，人员均需服从实际工作所在部门和人事部门的管理和考核。服务供应商应提供项目负责人和管理团队对项目进行全面的管理和监督，确保项目高效、有序进行。项目负责人需具有丰富的行业经验和出色的组织协调能力，能够合理规划项目进度，有效解决项目执行过程中遇到的问题。管理团队则需具备专业的技能和严谨的工作态度，负责具体执行项目任务，确保各项服务标准达到医院要求。同时，服务供应商应建立有效的沟通机制，定期与医院相关部门进行工作汇报和交流，确保项目信息的透明度和准确性。</w:t>
      </w:r>
    </w:p>
    <w:p w14:paraId="6BFCD096">
      <w:pPr>
        <w:ind w:firstLine="420" w:firstLineChars="200"/>
        <w:rPr>
          <w:rFonts w:hint="eastAsia"/>
          <w:lang w:val="en-US" w:eastAsia="zh-CN"/>
        </w:rPr>
      </w:pPr>
      <w:r>
        <w:rPr>
          <w:rFonts w:hint="eastAsia"/>
          <w:lang w:val="en-US" w:eastAsia="zh-CN"/>
        </w:rPr>
        <w:t>项目负责人：</w:t>
      </w:r>
      <w:r>
        <w:rPr>
          <w:rFonts w:hint="eastAsia"/>
        </w:rPr>
        <w:t>1.具</w:t>
      </w:r>
      <w:r>
        <w:rPr>
          <w:rFonts w:hint="eastAsia"/>
          <w:lang w:val="en-US" w:eastAsia="zh-CN"/>
        </w:rPr>
        <w:t>有</w:t>
      </w:r>
      <w:r>
        <w:rPr>
          <w:rFonts w:hint="eastAsia"/>
        </w:rPr>
        <w:t>管理类专业研究生学历且具有硕士（或以上）学位；2.具有一级企业人力资源管理师证书；</w:t>
      </w:r>
      <w:r>
        <w:rPr>
          <w:rFonts w:hint="eastAsia"/>
          <w:lang w:val="en-US" w:eastAsia="zh-CN"/>
        </w:rPr>
        <w:t>3.具有劳动人事争议调解员证书。</w:t>
      </w:r>
    </w:p>
    <w:p w14:paraId="29EDAC8F">
      <w:pPr>
        <w:ind w:firstLine="420" w:firstLineChars="200"/>
        <w:rPr>
          <w:rFonts w:hint="eastAsia"/>
          <w:lang w:val="en-US" w:eastAsia="zh-CN"/>
        </w:rPr>
      </w:pPr>
      <w:r>
        <w:rPr>
          <w:rFonts w:hint="eastAsia"/>
          <w:lang w:val="en-US" w:eastAsia="zh-CN"/>
        </w:rPr>
        <w:t>团队成员：1.具有企业人力资源管理师一级和劳动关系协调员二级（或以上）证书；2.具有企业人力资源管理师三级（或以上）和</w:t>
      </w:r>
      <w:r>
        <w:rPr>
          <w:rFonts w:hint="eastAsia" w:ascii="宋体" w:hAnsi="宋体" w:eastAsia="宋体"/>
          <w:szCs w:val="21"/>
          <w:lang w:val="en-US" w:eastAsia="zh-CN"/>
        </w:rPr>
        <w:t>心理咨询师二级（或以上）</w:t>
      </w:r>
      <w:r>
        <w:rPr>
          <w:rFonts w:hint="eastAsia"/>
          <w:lang w:val="en-US" w:eastAsia="zh-CN"/>
        </w:rPr>
        <w:t>证书；3.具有客户服务管理师二级（或以上）和高级企业培训师证书；4.具有人社部门颁发的中级（或以上）经济专业技术资格证书（专业：人力资源管理）；5.具有劳动人事争议调解员证书。</w:t>
      </w:r>
    </w:p>
    <w:p w14:paraId="63C434FF">
      <w:pPr>
        <w:rPr>
          <w:rFonts w:hint="eastAsia"/>
          <w:lang w:val="en-US" w:eastAsia="zh-CN"/>
        </w:rPr>
      </w:pPr>
      <w:r>
        <w:rPr>
          <w:rFonts w:hint="eastAsia"/>
          <w:lang w:val="en-US" w:eastAsia="zh-CN"/>
        </w:rPr>
        <w:t>（四）关于验收：</w:t>
      </w:r>
    </w:p>
    <w:p w14:paraId="2130BBEF">
      <w:pPr>
        <w:rPr>
          <w:rFonts w:hint="eastAsia"/>
          <w:lang w:val="en-US" w:eastAsia="zh-CN"/>
        </w:rPr>
      </w:pPr>
      <w:r>
        <w:rPr>
          <w:rFonts w:hint="eastAsia"/>
          <w:lang w:val="en-US" w:eastAsia="zh-CN"/>
        </w:rPr>
        <w:t>1.采购单位成立验收小组，对中标单位的服务质量和履约情况进行考核。</w:t>
      </w:r>
    </w:p>
    <w:p w14:paraId="67239710">
      <w:pPr>
        <w:rPr>
          <w:rFonts w:hint="eastAsia"/>
          <w:lang w:val="en-US" w:eastAsia="zh-CN"/>
        </w:rPr>
      </w:pPr>
      <w:r>
        <w:rPr>
          <w:rFonts w:hint="eastAsia"/>
          <w:lang w:val="en-US" w:eastAsia="zh-CN"/>
        </w:rPr>
        <w:t>2.考核完成后，人力资源部对相关考核资料档案进行归档，以备日后查阅。</w:t>
      </w:r>
    </w:p>
    <w:p w14:paraId="74E18A7E">
      <w:pPr>
        <w:rPr>
          <w:rFonts w:hint="eastAsia"/>
          <w:lang w:val="en-US" w:eastAsia="zh-CN"/>
        </w:rPr>
      </w:pPr>
      <w:r>
        <w:rPr>
          <w:rFonts w:hint="eastAsia"/>
          <w:lang w:val="en-US" w:eastAsia="zh-CN"/>
        </w:rPr>
        <w:t>（五）服务响应：</w:t>
      </w:r>
    </w:p>
    <w:p w14:paraId="32F76381">
      <w:pPr>
        <w:rPr>
          <w:rFonts w:hint="eastAsia"/>
          <w:lang w:val="en-US" w:eastAsia="zh-CN"/>
        </w:rPr>
      </w:pPr>
      <w:r>
        <w:rPr>
          <w:rFonts w:hint="eastAsia"/>
          <w:lang w:val="en-US" w:eastAsia="zh-CN"/>
        </w:rPr>
        <w:t>投标人安排的项目服务人员在应急事件出现之后6小时内赶赴采购单位或到达应急现场参与处置。</w:t>
      </w:r>
    </w:p>
    <w:p w14:paraId="545241DC">
      <w:pPr>
        <w:rPr>
          <w:rFonts w:hint="eastAsia"/>
          <w:lang w:val="en-US" w:eastAsia="zh-CN"/>
        </w:rPr>
      </w:pPr>
      <w:r>
        <w:rPr>
          <w:rFonts w:hint="eastAsia"/>
          <w:lang w:val="en-US" w:eastAsia="zh-CN"/>
        </w:rPr>
        <w:t>（六）项目完成（服务期满）后的服务</w:t>
      </w:r>
    </w:p>
    <w:p w14:paraId="32C4ADB7">
      <w:pPr>
        <w:rPr>
          <w:rFonts w:hint="eastAsia"/>
          <w:lang w:val="en-US" w:eastAsia="zh-CN"/>
        </w:rPr>
      </w:pPr>
      <w:r>
        <w:rPr>
          <w:rFonts w:hint="eastAsia"/>
          <w:lang w:val="en-US" w:eastAsia="zh-CN"/>
        </w:rPr>
        <w:t>1.服务期满后主动离岗；</w:t>
      </w:r>
    </w:p>
    <w:p w14:paraId="72411291">
      <w:pPr>
        <w:rPr>
          <w:rFonts w:hint="eastAsia"/>
          <w:lang w:val="en-US" w:eastAsia="zh-CN"/>
        </w:rPr>
      </w:pPr>
      <w:r>
        <w:rPr>
          <w:rFonts w:hint="eastAsia"/>
          <w:lang w:val="en-US" w:eastAsia="zh-CN"/>
        </w:rPr>
        <w:t>2.与后续服务公司进行交接；</w:t>
      </w:r>
    </w:p>
    <w:p w14:paraId="517F6D6B">
      <w:pPr>
        <w:rPr>
          <w:rFonts w:hint="eastAsia"/>
          <w:lang w:val="en-US" w:eastAsia="zh-CN"/>
        </w:rPr>
      </w:pPr>
      <w:r>
        <w:rPr>
          <w:rFonts w:hint="eastAsia"/>
          <w:lang w:val="en-US" w:eastAsia="zh-CN"/>
        </w:rPr>
        <w:t>3.服务期满，后续服务公司未到位前仍按原合同服务承诺提供服务。</w:t>
      </w:r>
    </w:p>
    <w:p w14:paraId="548118A8">
      <w:pPr>
        <w:rPr>
          <w:rFonts w:hint="eastAsia"/>
        </w:rPr>
      </w:pPr>
      <w:r>
        <w:rPr>
          <w:rFonts w:hint="eastAsia"/>
          <w:lang w:val="en-US" w:eastAsia="zh-CN"/>
        </w:rPr>
        <w:t>（七）成果</w:t>
      </w:r>
      <w:r>
        <w:rPr>
          <w:rFonts w:hint="eastAsia"/>
        </w:rPr>
        <w:t>要求：</w:t>
      </w:r>
    </w:p>
    <w:p w14:paraId="04E20588">
      <w:pPr>
        <w:rPr>
          <w:rFonts w:hint="eastAsia"/>
          <w:lang w:val="en-US" w:eastAsia="zh-CN"/>
        </w:rPr>
      </w:pPr>
      <w:r>
        <w:rPr>
          <w:rFonts w:hint="eastAsia"/>
          <w:lang w:val="en-US" w:eastAsia="zh-CN"/>
        </w:rPr>
        <w:t>1.中标单位提供高质量的劳务派遣服务，确保派遣人员能够满足采购单位的实际需求，并在服务期限内保持良好的工作状态和职业素养。</w:t>
      </w:r>
    </w:p>
    <w:p w14:paraId="5A7190D4">
      <w:pPr>
        <w:rPr>
          <w:rFonts w:hint="eastAsia"/>
          <w:lang w:val="en-US" w:eastAsia="zh-CN"/>
        </w:rPr>
      </w:pPr>
      <w:r>
        <w:rPr>
          <w:rFonts w:hint="eastAsia"/>
          <w:lang w:val="en-US" w:eastAsia="zh-CN"/>
        </w:rPr>
        <w:t>2.派遣人员的工作表现符合采购单位的期望和标准；</w:t>
      </w:r>
    </w:p>
    <w:p w14:paraId="003A4C3D">
      <w:pPr>
        <w:rPr>
          <w:rFonts w:hint="eastAsia"/>
          <w:lang w:val="en-US" w:eastAsia="zh-CN"/>
        </w:rPr>
      </w:pPr>
      <w:r>
        <w:rPr>
          <w:rFonts w:hint="eastAsia"/>
          <w:lang w:val="en-US" w:eastAsia="zh-CN"/>
        </w:rPr>
        <w:t>3.派遣人员能够按时、按质、按量完成采购单位分配的工作任务；</w:t>
      </w:r>
    </w:p>
    <w:p w14:paraId="71E76C9F">
      <w:pPr>
        <w:rPr>
          <w:rFonts w:hint="eastAsia"/>
          <w:lang w:val="en-US" w:eastAsia="zh-CN"/>
        </w:rPr>
      </w:pPr>
      <w:r>
        <w:rPr>
          <w:rFonts w:hint="eastAsia"/>
          <w:lang w:val="en-US" w:eastAsia="zh-CN"/>
        </w:rPr>
        <w:t>4.派遣人员在服务期限内无重大违纪违法行为，保持良好的职业操守和道德品质；</w:t>
      </w:r>
    </w:p>
    <w:p w14:paraId="2FA6C8C6">
      <w:pPr>
        <w:rPr>
          <w:rFonts w:hint="eastAsia"/>
          <w:lang w:val="en-US" w:eastAsia="zh-CN"/>
        </w:rPr>
      </w:pPr>
      <w:r>
        <w:rPr>
          <w:rFonts w:hint="eastAsia"/>
          <w:lang w:val="en-US" w:eastAsia="zh-CN"/>
        </w:rPr>
        <w:t>5.中标单位能够按照合同约定及时、足额向派遣人员支付工资和福利，并为其办理社会保险和公积金缴存等相关手续；</w:t>
      </w:r>
    </w:p>
    <w:p w14:paraId="4712F009">
      <w:pPr>
        <w:rPr>
          <w:rFonts w:hint="eastAsia"/>
          <w:lang w:val="en-US" w:eastAsia="zh-CN"/>
        </w:rPr>
      </w:pPr>
      <w:r>
        <w:rPr>
          <w:rFonts w:hint="eastAsia"/>
          <w:lang w:val="en-US" w:eastAsia="zh-CN"/>
        </w:rPr>
        <w:t>6.中标单位能够积极处理采购单位与派遣人员之间的管理矛盾，维护采购单位的正常经营秩序。</w:t>
      </w:r>
    </w:p>
    <w:p w14:paraId="478E42DE">
      <w:pPr>
        <w:rPr>
          <w:rFonts w:hint="eastAsia"/>
          <w:lang w:val="en-US" w:eastAsia="zh-CN"/>
        </w:rPr>
      </w:pPr>
      <w:r>
        <w:rPr>
          <w:rFonts w:hint="eastAsia"/>
          <w:lang w:val="en-US" w:eastAsia="zh-CN"/>
        </w:rPr>
        <w:t>（八）报价要求：</w:t>
      </w:r>
    </w:p>
    <w:p w14:paraId="5E3348FE">
      <w:pPr>
        <w:rPr>
          <w:rFonts w:hint="eastAsia"/>
          <w:lang w:val="en-US" w:eastAsia="zh-CN"/>
        </w:rPr>
      </w:pPr>
      <w:r>
        <w:rPr>
          <w:rFonts w:hint="eastAsia"/>
          <w:lang w:val="en-US" w:eastAsia="zh-CN"/>
        </w:rPr>
        <w:t>1、投标人应根据本企业的成本自行决定报价，该费用为含税价，已包含履行本项目服务内容所需的一切费用。评标委员会认为投标人的报价明显低于其他通过符合性审查投标人的报价，有可能影响服务质量或不能诚信履约的，将会要求该投标人在评标现场合理的时间内提供书面说明，必要时提交相应的证明材料。投标人不能证明其报价合理性的，评标委员会应将其作为无效投标处理；</w:t>
      </w:r>
    </w:p>
    <w:p w14:paraId="14496557">
      <w:pPr>
        <w:rPr>
          <w:rFonts w:hint="eastAsia"/>
        </w:rPr>
      </w:pPr>
      <w:r>
        <w:rPr>
          <w:rFonts w:hint="eastAsia"/>
          <w:lang w:val="en-US" w:eastAsia="zh-CN"/>
        </w:rPr>
        <w:t xml:space="preserve">2、投标人不得期望通过索赔等方式获得补偿，否则除可能遭到拒绝外，还可能将视为不良行为记录在案，并可能影响其以后参加我院的项目投标。各投标人在报价时应充分考虑报价的风险。  </w:t>
      </w:r>
      <w:r>
        <w:rPr>
          <w:rFonts w:hint="eastAsia"/>
        </w:rPr>
        <w:t xml:space="preserve">             </w:t>
      </w:r>
    </w:p>
    <w:p w14:paraId="7ABAA90D">
      <w:pPr>
        <w:rPr>
          <w:rFonts w:hint="eastAsia"/>
          <w:lang w:val="en-US" w:eastAsia="zh-CN"/>
        </w:rPr>
      </w:pPr>
      <w:r>
        <w:rPr>
          <w:rFonts w:hint="eastAsia"/>
          <w:lang w:val="en-US" w:eastAsia="zh-CN"/>
        </w:rPr>
        <w:t>（九）付款方式：</w:t>
      </w:r>
    </w:p>
    <w:p w14:paraId="25AE8B32">
      <w:pPr>
        <w:ind w:firstLine="420" w:firstLineChars="200"/>
        <w:rPr>
          <w:rFonts w:hint="eastAsia"/>
          <w:lang w:val="en-US" w:eastAsia="zh-CN"/>
        </w:rPr>
      </w:pPr>
      <w:r>
        <w:rPr>
          <w:rFonts w:hint="eastAsia"/>
          <w:lang w:val="en-US" w:eastAsia="zh-CN"/>
        </w:rPr>
        <w:t>根据上月考勤、考核数据，按每月实际使用的派遣人员人数结算当月服务费，该人数以双方签字的交接清单载明的人数为准，如派遣人员工作不满一个月，其服务费按实际在职天数结算，计算方法：派遣管理服务费/自然月天数×员工在职天数。</w:t>
      </w:r>
    </w:p>
    <w:p w14:paraId="2D35517C">
      <w:pPr>
        <w:rPr>
          <w:rFonts w:hint="eastAsia"/>
          <w:lang w:val="en-US" w:eastAsia="zh-CN"/>
        </w:rPr>
      </w:pPr>
      <w:r>
        <w:rPr>
          <w:rFonts w:hint="eastAsia"/>
          <w:lang w:val="en-US" w:eastAsia="zh-CN"/>
        </w:rPr>
        <w:t>（十）自主知识产权要求：</w:t>
      </w:r>
    </w:p>
    <w:p w14:paraId="0F7F9ABE">
      <w:pPr>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1.投标人具有“劳务派遣”类软件著作权登记证书；2.投标人具有“人力外包”类软件著作权登记证书；3.投标人具有“人力资源测评”类软件著作权登记证书。</w:t>
      </w:r>
    </w:p>
    <w:p w14:paraId="46C673E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★（十一）其他要求：</w:t>
      </w:r>
    </w:p>
    <w:p w14:paraId="71FBDDFA">
      <w:pPr>
        <w:rPr>
          <w:rFonts w:hint="eastAsia"/>
          <w:lang w:val="en-US" w:eastAsia="zh-CN"/>
        </w:rPr>
      </w:pPr>
      <w:r>
        <w:rPr>
          <w:rFonts w:hint="eastAsia"/>
          <w:lang w:val="en-US" w:eastAsia="zh-CN"/>
        </w:rPr>
        <w:t>1.投标方须配合采购单位对证明文件进行核证；</w:t>
      </w:r>
    </w:p>
    <w:p w14:paraId="6518BF0D">
      <w:pPr>
        <w:rPr>
          <w:rFonts w:hint="eastAsia"/>
          <w:lang w:val="en-US" w:eastAsia="zh-CN"/>
        </w:rPr>
      </w:pPr>
      <w:r>
        <w:rPr>
          <w:rFonts w:hint="eastAsia"/>
          <w:lang w:val="en-US" w:eastAsia="zh-CN"/>
        </w:rPr>
        <w:t>2.劳务派遣人员的待遇由采购单位根据工作岗位要求确定，采购单位不包住宿；</w:t>
      </w:r>
    </w:p>
    <w:p w14:paraId="4CB76466">
      <w:pPr>
        <w:rPr>
          <w:rFonts w:hint="eastAsia"/>
          <w:lang w:val="en-US" w:eastAsia="zh-CN"/>
        </w:rPr>
      </w:pPr>
      <w:r>
        <w:rPr>
          <w:rFonts w:hint="eastAsia"/>
          <w:lang w:val="en-US" w:eastAsia="zh-CN"/>
        </w:rPr>
        <w:t>3.派遣人员的工资、社会保险缴费基数和险及住房公积金缴存基数和比例均按采购单位相应的薪酬福利方案及缴存标准执行，并视深圳市有关规定作相应调整；</w:t>
      </w:r>
    </w:p>
    <w:p w14:paraId="506CEB4D">
      <w:pPr>
        <w:rPr>
          <w:rFonts w:hint="eastAsia"/>
          <w:lang w:val="en-US" w:eastAsia="zh-CN"/>
        </w:rPr>
      </w:pPr>
      <w:r>
        <w:rPr>
          <w:rFonts w:hint="eastAsia"/>
          <w:lang w:val="en-US" w:eastAsia="zh-CN"/>
        </w:rPr>
        <w:t>4.项目款项按照财政委员会有关规定进行支付；</w:t>
      </w:r>
    </w:p>
    <w:p w14:paraId="7D748371">
      <w:pPr>
        <w:rPr>
          <w:rFonts w:hint="eastAsia"/>
          <w:lang w:val="en-US" w:eastAsia="zh-CN"/>
        </w:rPr>
      </w:pPr>
      <w:r>
        <w:rPr>
          <w:rFonts w:hint="eastAsia"/>
          <w:lang w:val="en-US" w:eastAsia="zh-CN"/>
        </w:rPr>
        <w:t>5.中标单位不得将项目非法分包或转包给任何单位和个人。否则，采购单位有权即刻终止合同，并要求中标单位赔偿相应损失；</w:t>
      </w:r>
    </w:p>
    <w:p w14:paraId="4CBAE663">
      <w:pPr>
        <w:rPr>
          <w:rFonts w:hint="eastAsia"/>
          <w:lang w:val="en-US" w:eastAsia="zh-CN"/>
        </w:rPr>
      </w:pPr>
      <w:r>
        <w:rPr>
          <w:rFonts w:hint="eastAsia"/>
          <w:lang w:val="en-US" w:eastAsia="zh-CN"/>
        </w:rPr>
        <w:t>6.中标单位必须按照与采购单位约定的工资标准按时、足额支付劳务派遣人员工资并缴纳社会保险、缴存住房公积金、发放福利等。否则，采购单位有权从中标单位的管理服务费中扣除相应的金额，扣除不足，采购单位将通过法律途径进行追索。</w:t>
      </w:r>
    </w:p>
    <w:p w14:paraId="7DBDB450">
      <w:pPr>
        <w:rPr>
          <w:rFonts w:hint="eastAsia"/>
        </w:rPr>
      </w:pPr>
    </w:p>
    <w:p w14:paraId="5841E4ED">
      <w:pPr>
        <w:pStyle w:val="9"/>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8</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asciiTheme="minorEastAsia" w:hAnsiTheme="minorEastAsia" w:eastAsiaTheme="minorEastAsia"/>
          <w:color w:val="000000"/>
          <w:szCs w:val="28"/>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8</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2"/>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5A3C297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Arial"/>
          <w:bCs/>
          <w:color w:val="000000"/>
          <w:kern w:val="2"/>
          <w:sz w:val="21"/>
          <w:szCs w:val="21"/>
          <w:lang w:val="en-US" w:eastAsia="zh-CN" w:bidi="ar-SA"/>
        </w:rPr>
        <w:t>《人力资源服务许可证》和《劳务派遣经营许可证》</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p>
    <w:p w14:paraId="21CE6F1F">
      <w:pPr>
        <w:keepNext w:val="0"/>
        <w:keepLines w:val="0"/>
        <w:pageBreakBefore w:val="0"/>
        <w:widowControl w:val="0"/>
        <w:kinsoku/>
        <w:wordWrap/>
        <w:overflowPunct/>
        <w:topLinePunct w:val="0"/>
        <w:autoSpaceDE/>
        <w:autoSpaceDN/>
        <w:bidi w:val="0"/>
        <w:adjustRightInd/>
        <w:snapToGrid/>
        <w:spacing w:after="60" w:line="240" w:lineRule="auto"/>
        <w:ind w:firstLine="840" w:firstLineChars="400"/>
        <w:textAlignment w:val="auto"/>
        <w:rPr>
          <w:rFonts w:hint="eastAsia" w:ascii="宋体" w:hAnsi="宋体"/>
          <w:color w:val="auto"/>
          <w:szCs w:val="21"/>
        </w:rPr>
      </w:pP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 xml:space="preserve">     </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社保情况等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13､同类项目成功案例一览表(合同关键页或验收报告原件和扫描件)---------------------------------------------------------见第（）页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14､服务方案（按评分表要求提供）---------------------------------见第（）页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15､项目重点难点分析、应对措施及相关的合理化建议（按评分表要求提供）-------------------------------------------------------------见第（）页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16、项目完成（服务期满）后的服务承诺（按评分表要求提供）---------见第（）页</w:t>
      </w:r>
    </w:p>
    <w:p w14:paraId="5E1670E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ascii="宋体" w:hAnsi="宋体" w:cs="宋体"/>
          <w:szCs w:val="21"/>
          <w:lang w:val="en-US" w:eastAsia="zh-CN"/>
        </w:rPr>
      </w:pPr>
      <w:r>
        <w:rPr>
          <w:rFonts w:hint="eastAsia" w:ascii="宋体" w:hAnsi="宋体" w:cs="宋体"/>
          <w:szCs w:val="21"/>
          <w:lang w:val="en-US" w:eastAsia="zh-CN"/>
        </w:rPr>
        <w:t>17、违约承诺（按评分表要求提供）---------------------------------见第（）页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18､投标人诚信承诺函（按评分表要求提供）---------------------------见第（）页</w:t>
      </w:r>
    </w:p>
    <w:p w14:paraId="0CA39AD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19､投标人自主知识产权产品（创新、设计）情况（按评分表要求提供）---见第（）页</w:t>
      </w:r>
    </w:p>
    <w:p w14:paraId="19A0D52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20、服务响应（按评分表要求提供）----------------------------------见第（）页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21、提供通过“信用中国”网(www.creditchina.gov.cn)､中国政府采购网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2"/>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eastAsia="宋体" w:cs="宋体"/>
          <w:szCs w:val="21"/>
          <w:lang w:val="en-US" w:eastAsia="zh-CN"/>
        </w:rPr>
        <w:t>22、</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23</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9"/>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5"/>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6A20D8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6350EF6">
            <w:pPr>
              <w:keepNext w:val="0"/>
              <w:keepLines w:val="0"/>
              <w:suppressLineNumbers w:val="0"/>
              <w:spacing w:before="0" w:beforeAutospacing="0" w:after="0" w:afterAutospacing="0" w:line="300" w:lineRule="exact"/>
              <w:ind w:left="0" w:leftChars="0" w:right="0" w:rightChars="0"/>
              <w:rPr>
                <w:rFonts w:hint="default" w:ascii="宋体" w:hAnsi="宋体" w:eastAsia="宋体" w:cs="宋体"/>
                <w:szCs w:val="21"/>
                <w:highlight w:val="yellow"/>
                <w:lang w:val="en-US" w:eastAsia="zh-CN"/>
              </w:rPr>
            </w:pPr>
            <w:r>
              <w:rPr>
                <w:rFonts w:hint="eastAsia" w:ascii="宋体" w:hAnsi="宋体" w:cs="宋体"/>
                <w:szCs w:val="21"/>
                <w:highlight w:val="none"/>
                <w:lang w:val="en-US" w:eastAsia="zh-CN"/>
              </w:rPr>
              <w:t>2.</w:t>
            </w:r>
            <w:r>
              <w:rPr>
                <w:rFonts w:hint="eastAsia" w:ascii="宋体" w:hAnsi="宋体" w:cs="宋体"/>
                <w:snapToGrid w:val="0"/>
                <w:color w:val="auto"/>
                <w:sz w:val="21"/>
                <w:szCs w:val="21"/>
                <w:lang w:val="en-US" w:eastAsia="zh-CN"/>
              </w:rPr>
              <w:t>投标人具有</w:t>
            </w:r>
            <w:r>
              <w:rPr>
                <w:rFonts w:hint="eastAsia" w:ascii="宋体" w:hAnsi="宋体" w:eastAsia="宋体" w:cs="Arial"/>
                <w:bCs/>
                <w:color w:val="000000"/>
                <w:kern w:val="2"/>
                <w:sz w:val="21"/>
                <w:szCs w:val="21"/>
                <w:lang w:val="en-US" w:eastAsia="zh-CN" w:bidi="ar-SA"/>
              </w:rPr>
              <w:t>《人力资源服务许可证》和《劳务派遣经营许可证》</w:t>
            </w:r>
            <w:r>
              <w:rPr>
                <w:rFonts w:hint="eastAsia" w:ascii="宋体" w:hAnsi="宋体" w:cs="Arial"/>
                <w:bCs/>
                <w:color w:val="000000"/>
                <w:kern w:val="2"/>
                <w:sz w:val="21"/>
                <w:szCs w:val="21"/>
                <w:lang w:val="en-US" w:eastAsia="zh-CN" w:bidi="ar-SA"/>
              </w:rPr>
              <w:t>（</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cs="Arial"/>
                <w:bCs/>
                <w:color w:val="000000"/>
                <w:kern w:val="2"/>
                <w:sz w:val="21"/>
                <w:szCs w:val="21"/>
                <w:lang w:val="en-US" w:eastAsia="zh-CN" w:bidi="ar-SA"/>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3F63613">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3F5AF4D">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017802C">
            <w:pPr>
              <w:keepNext w:val="0"/>
              <w:keepLines w:val="0"/>
              <w:suppressLineNumbers w:val="0"/>
              <w:spacing w:before="0" w:beforeAutospacing="0" w:after="0" w:afterAutospacing="0" w:line="20" w:lineRule="atLeast"/>
              <w:ind w:left="0" w:leftChars="0" w:right="0" w:rightChars="0"/>
              <w:jc w:val="center"/>
              <w:rPr>
                <w:rFonts w:hint="default" w:ascii="宋体" w:hAnsi="宋体" w:eastAsia="宋体" w:cs="宋体"/>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5"/>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8"/>
          <w:rFonts w:hint="eastAsia"/>
          <w:b w:val="0"/>
          <w:bCs w:val="0"/>
          <w:color w:val="FF0000"/>
          <w:sz w:val="21"/>
          <w:szCs w:val="21"/>
        </w:rPr>
        <w:t>请在</w:t>
      </w:r>
      <w:r>
        <w:rPr>
          <w:rStyle w:val="28"/>
          <w:b w:val="0"/>
          <w:bCs w:val="0"/>
          <w:color w:val="FF0000"/>
          <w:sz w:val="21"/>
          <w:szCs w:val="21"/>
        </w:rPr>
        <w:t>自查结论</w:t>
      </w:r>
      <w:r>
        <w:rPr>
          <w:rStyle w:val="28"/>
          <w:rFonts w:hint="eastAsia"/>
          <w:b w:val="0"/>
          <w:bCs w:val="0"/>
          <w:color w:val="FF0000"/>
          <w:sz w:val="21"/>
          <w:szCs w:val="21"/>
        </w:rPr>
        <w:t>表格中“</w:t>
      </w:r>
      <w:r>
        <w:rPr>
          <w:rStyle w:val="28"/>
          <w:b w:val="0"/>
          <w:bCs w:val="0"/>
          <w:color w:val="FF0000"/>
          <w:sz w:val="21"/>
          <w:szCs w:val="21"/>
        </w:rPr>
        <w:t>通过</w:t>
      </w:r>
      <w:r>
        <w:rPr>
          <w:rStyle w:val="28"/>
          <w:rFonts w:hint="eastAsia"/>
          <w:b w:val="0"/>
          <w:bCs w:val="0"/>
          <w:color w:val="FF0000"/>
          <w:sz w:val="21"/>
          <w:szCs w:val="21"/>
        </w:rPr>
        <w:t>”或“不</w:t>
      </w:r>
      <w:r>
        <w:rPr>
          <w:rStyle w:val="28"/>
          <w:b w:val="0"/>
          <w:bCs w:val="0"/>
          <w:color w:val="FF0000"/>
          <w:sz w:val="21"/>
          <w:szCs w:val="21"/>
        </w:rPr>
        <w:t>通过</w:t>
      </w:r>
      <w:r>
        <w:rPr>
          <w:rStyle w:val="28"/>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5"/>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595"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054B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691" w:type="dxa"/>
            <w:vMerge w:val="restart"/>
            <w:vAlign w:val="center"/>
          </w:tcPr>
          <w:p w14:paraId="5825D1B4">
            <w:pPr>
              <w:keepNext w:val="0"/>
              <w:keepLines w:val="0"/>
              <w:suppressLineNumbers w:val="0"/>
              <w:spacing w:before="0" w:beforeAutospacing="0" w:after="0" w:afterAutospacing="0"/>
              <w:ind w:left="0" w:right="0"/>
              <w:jc w:val="center"/>
              <w:rPr>
                <w:rFonts w:hint="eastAsia" w:cs="宋体"/>
                <w:color w:val="auto"/>
                <w:spacing w:val="18"/>
                <w:kern w:val="0"/>
                <w:sz w:val="24"/>
                <w:szCs w:val="21"/>
                <w:lang w:val="en-US" w:eastAsia="zh-CN" w:bidi="ar-SA"/>
              </w:rPr>
            </w:pPr>
            <w:r>
              <w:rPr>
                <w:rFonts w:hint="eastAsia" w:ascii="宋体" w:hAnsi="宋体" w:eastAsia="宋体" w:cs="宋体"/>
                <w:b/>
                <w:color w:val="auto"/>
                <w:spacing w:val="0"/>
                <w:kern w:val="0"/>
                <w:position w:val="0"/>
                <w:sz w:val="21"/>
                <w:szCs w:val="24"/>
                <w:shd w:val="clear" w:fill="auto"/>
                <w:lang w:val="en-US" w:eastAsia="zh-CN" w:bidi="ar-SA"/>
              </w:rPr>
              <w:t>1、服务工作内容</w:t>
            </w:r>
          </w:p>
        </w:tc>
        <w:tc>
          <w:tcPr>
            <w:tcW w:w="2328" w:type="dxa"/>
          </w:tcPr>
          <w:p w14:paraId="46F76BBB">
            <w:pPr>
              <w:keepNext w:val="0"/>
              <w:keepLines w:val="0"/>
              <w:suppressLineNumbers w:val="0"/>
              <w:spacing w:before="0" w:beforeAutospacing="0" w:after="0" w:afterAutospacing="0"/>
              <w:ind w:left="0" w:right="0"/>
              <w:jc w:val="left"/>
              <w:rPr>
                <w:rFonts w:hint="eastAsia" w:ascii="宋体" w:hAnsi="宋体" w:cs="宋体"/>
                <w:color w:val="000000"/>
                <w:sz w:val="21"/>
                <w:szCs w:val="21"/>
                <w:lang w:val="en-US" w:eastAsia="zh-CN"/>
              </w:rPr>
            </w:pPr>
            <w:r>
              <w:rPr>
                <w:rFonts w:hint="eastAsia" w:ascii="宋体" w:hAnsi="宋体" w:eastAsia="宋体" w:cs="宋体"/>
                <w:sz w:val="21"/>
                <w:szCs w:val="21"/>
                <w:highlight w:val="none"/>
              </w:rPr>
              <w:t>(1)</w:t>
            </w:r>
            <w:r>
              <w:rPr>
                <w:rFonts w:hint="eastAsia" w:ascii="宋体" w:hAnsi="宋体" w:cs="宋体"/>
                <w:color w:val="000000"/>
                <w:sz w:val="21"/>
                <w:szCs w:val="21"/>
                <w:lang w:val="en-US" w:eastAsia="zh-CN"/>
              </w:rPr>
              <w:t>中标单位根据采购单位需求提供劳务派遣人员，劳务派遣人员按照采购单位规章制度和相关岗位职责开展工作。</w:t>
            </w:r>
          </w:p>
        </w:tc>
        <w:tc>
          <w:tcPr>
            <w:tcW w:w="2595" w:type="dxa"/>
          </w:tcPr>
          <w:p w14:paraId="774ECA3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C053B5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26F0912">
            <w:pPr>
              <w:pStyle w:val="8"/>
              <w:keepNext w:val="0"/>
              <w:keepLines w:val="0"/>
              <w:widowControl/>
              <w:suppressLineNumbers w:val="0"/>
              <w:bidi w:val="0"/>
              <w:spacing w:before="0" w:beforeAutospacing="0" w:after="0" w:afterAutospacing="0"/>
              <w:ind w:left="0" w:right="0"/>
              <w:rPr>
                <w:rFonts w:hint="eastAsia"/>
              </w:rPr>
            </w:pPr>
          </w:p>
        </w:tc>
      </w:tr>
      <w:tr w14:paraId="2E6E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21AD7AEB">
            <w:pPr>
              <w:pStyle w:val="8"/>
              <w:keepNext w:val="0"/>
              <w:keepLines w:val="0"/>
              <w:widowControl/>
              <w:suppressLineNumbers w:val="0"/>
              <w:bidi w:val="0"/>
              <w:spacing w:before="0" w:beforeAutospacing="0" w:after="0" w:afterAutospacing="0"/>
              <w:ind w:left="0" w:right="0"/>
            </w:pPr>
          </w:p>
        </w:tc>
        <w:tc>
          <w:tcPr>
            <w:tcW w:w="2328" w:type="dxa"/>
          </w:tcPr>
          <w:p w14:paraId="39E38E8A">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(2)</w:t>
            </w:r>
            <w:r>
              <w:rPr>
                <w:rFonts w:hint="eastAsia" w:ascii="宋体" w:hAnsi="宋体" w:cs="宋体"/>
                <w:color w:val="000000"/>
                <w:sz w:val="21"/>
                <w:szCs w:val="21"/>
                <w:lang w:val="en-US" w:eastAsia="zh-CN"/>
              </w:rPr>
              <w:t>中标单位负责所有劳务派遣人员的人事、劳资、社会保险、计生、基础培训等人事劳资管理工作，并提供为劳务派遣人员办理劳动用工手续（签订劳动合同等）、结算发放工资、发放经济补偿金、缴纳社会保险、处理保险理赔、管理人事档案、提供人员培训等方面的管理服务。</w:t>
            </w:r>
          </w:p>
        </w:tc>
        <w:tc>
          <w:tcPr>
            <w:tcW w:w="2595" w:type="dxa"/>
          </w:tcPr>
          <w:p w14:paraId="5A6F2D5F">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3A61E8A5">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7F18BE69">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7C47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14322706">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4DB4D072">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(3)</w:t>
            </w:r>
            <w:r>
              <w:rPr>
                <w:rFonts w:hint="eastAsia" w:ascii="宋体" w:hAnsi="宋体" w:cs="宋体"/>
                <w:color w:val="000000"/>
                <w:sz w:val="21"/>
                <w:szCs w:val="21"/>
                <w:lang w:val="en-US" w:eastAsia="zh-CN"/>
              </w:rPr>
              <w:t>派遣人员与中标单位存在劳动法律关系（包括劳动合同关系、工资保险关系和劳动用工手续等），中标单位为用人单位，采购单位为用工单位，派遣人员与采购单位只存在工作管理关系，不存在劳动法律关系。</w:t>
            </w:r>
          </w:p>
        </w:tc>
        <w:tc>
          <w:tcPr>
            <w:tcW w:w="2595" w:type="dxa"/>
          </w:tcPr>
          <w:p w14:paraId="272E0AE9">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0A74EF41">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4B5F8064">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162B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16925AB4">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1836CA3F">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(4)</w:t>
            </w:r>
            <w:r>
              <w:rPr>
                <w:rFonts w:hint="eastAsia" w:ascii="宋体" w:hAnsi="宋体" w:cs="宋体"/>
                <w:color w:val="000000"/>
                <w:sz w:val="21"/>
                <w:szCs w:val="21"/>
                <w:lang w:val="en-US" w:eastAsia="zh-CN"/>
              </w:rPr>
              <w:t>派遣人员入职后，如采购单位要求，中标单位有义务及时向采购单位提供派遣服务人员有关资料，包括个人信息、健康证、劳动合同、社会保险证明、学历证明等个人资料，采购单位承诺不随意对外泄露。</w:t>
            </w:r>
          </w:p>
        </w:tc>
        <w:tc>
          <w:tcPr>
            <w:tcW w:w="2595" w:type="dxa"/>
          </w:tcPr>
          <w:p w14:paraId="7150CB2F">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3BC61402">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19593F59">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64A2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7C267F27">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5E11F827">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(5)</w:t>
            </w:r>
            <w:r>
              <w:rPr>
                <w:rFonts w:hint="eastAsia" w:ascii="宋体" w:hAnsi="宋体" w:cs="宋体"/>
                <w:color w:val="000000"/>
                <w:sz w:val="21"/>
                <w:szCs w:val="21"/>
                <w:lang w:val="en-US" w:eastAsia="zh-CN"/>
              </w:rPr>
              <w:t>中标单位管理人员应定期（每半年不少于1次）与采购单位就派遣人员的品德、技能、考勤、业绩等方面的相关信息进行沟通交流并交换意见。及时调查掌握派遣人员的异常反应，对遇有特殊困难的派遣人员给予必要的关怀，及时处理采购单位与派遣人员之间的管理矛盾。</w:t>
            </w:r>
          </w:p>
        </w:tc>
        <w:tc>
          <w:tcPr>
            <w:tcW w:w="2595" w:type="dxa"/>
          </w:tcPr>
          <w:p w14:paraId="50C7CD11">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4A4DB136">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1C231E46">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6F11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58B4B3DC">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45998B88">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(6)</w:t>
            </w:r>
            <w:r>
              <w:rPr>
                <w:rFonts w:hint="eastAsia" w:ascii="宋体" w:hAnsi="宋体" w:cs="宋体"/>
                <w:color w:val="000000"/>
                <w:sz w:val="21"/>
                <w:szCs w:val="21"/>
                <w:lang w:val="en-US" w:eastAsia="zh-CN"/>
              </w:rPr>
              <w:t>中标单位应经常性对派遣人员进行职业道德教育，监督检察派遣人员执行采购单位规章制度的情况，协助采购单位对违规违法人员进行处理，维护采购单位正常的经营秩序。</w:t>
            </w:r>
          </w:p>
        </w:tc>
        <w:tc>
          <w:tcPr>
            <w:tcW w:w="2595" w:type="dxa"/>
          </w:tcPr>
          <w:p w14:paraId="4BE77D18">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59DF461B">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23AAE5A9">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43FD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4137CC1F">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6EB69798">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(7)协助办理劳务派遣人员（符合深圳市领取养老保险待遇条件）退休手续，办理劳动关系终止手续。</w:t>
            </w:r>
          </w:p>
        </w:tc>
        <w:tc>
          <w:tcPr>
            <w:tcW w:w="2595" w:type="dxa"/>
          </w:tcPr>
          <w:p w14:paraId="21248222">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6158F94B">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3193D43F">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1AD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72AA5EC0">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446C2DC2">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(8)中标单位需建立应急响应机制，确保在劳动纠纷、上访事件、工伤或重大疾病等突发事件发生时，能够迅速介入并协助采购单位妥善处理。能够有效维护采购单位的正常运营秩序，保障派遣人员的合法权益。</w:t>
            </w:r>
          </w:p>
        </w:tc>
        <w:tc>
          <w:tcPr>
            <w:tcW w:w="2595" w:type="dxa"/>
          </w:tcPr>
          <w:p w14:paraId="2316F0CC">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2870DAD3">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5512D246">
            <w:pPr>
              <w:pStyle w:val="8"/>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vAlign w:val="center"/>
          </w:tcPr>
          <w:p w14:paraId="26EDF0EA">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B462223">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53E3C4F6">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0404E325">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3BC9FB8">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178DE085">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13B7E9C0">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5133BDE1">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266B35C1">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89C2DE3">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03B7BCC4">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6B42EBE">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9C3D1DB">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6917E2D6">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cs="宋体"/>
                <w:b/>
                <w:sz w:val="21"/>
                <w:szCs w:val="21"/>
                <w:lang w:val="en-US" w:eastAsia="zh-CN"/>
              </w:rPr>
              <w:t>2、</w:t>
            </w:r>
            <w:r>
              <w:rPr>
                <w:rFonts w:hint="eastAsia" w:ascii="宋体" w:hAnsi="宋体" w:eastAsia="宋体" w:cs="宋体"/>
                <w:b/>
                <w:bCs/>
                <w:sz w:val="21"/>
                <w:szCs w:val="21"/>
                <w:highlight w:val="none"/>
              </w:rPr>
              <w:t>工作质量要求</w:t>
            </w:r>
          </w:p>
        </w:tc>
        <w:tc>
          <w:tcPr>
            <w:tcW w:w="2328" w:type="dxa"/>
          </w:tcPr>
          <w:p w14:paraId="66C99497">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sz w:val="21"/>
                <w:szCs w:val="21"/>
                <w:highlight w:val="none"/>
              </w:rPr>
              <w:t>(1)中标单位的劳务派遣人员应符合采购单位的政审要求，无违法犯罪记录，并具有相应岗位所要求的工作能力和素质要求。</w:t>
            </w:r>
          </w:p>
        </w:tc>
        <w:tc>
          <w:tcPr>
            <w:tcW w:w="2595"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6085AAB0">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lang w:eastAsia="zh-CN"/>
              </w:rPr>
            </w:pPr>
            <w:r>
              <w:rPr>
                <w:rFonts w:hint="eastAsia" w:ascii="宋体" w:hAnsi="宋体" w:eastAsia="宋体" w:cs="宋体"/>
                <w:sz w:val="21"/>
                <w:szCs w:val="21"/>
                <w:highlight w:val="none"/>
              </w:rPr>
              <w:t>(2)中标单位</w:t>
            </w:r>
            <w:r>
              <w:rPr>
                <w:rFonts w:hint="eastAsia" w:ascii="宋体" w:hAnsi="宋体" w:cs="宋体"/>
                <w:sz w:val="21"/>
                <w:szCs w:val="21"/>
                <w:highlight w:val="none"/>
                <w:lang w:val="en-US" w:eastAsia="zh-CN"/>
              </w:rPr>
              <w:t>需</w:t>
            </w:r>
            <w:r>
              <w:rPr>
                <w:rFonts w:hint="eastAsia" w:ascii="宋体" w:hAnsi="宋体" w:eastAsia="宋体" w:cs="宋体"/>
                <w:sz w:val="21"/>
                <w:szCs w:val="21"/>
                <w:highlight w:val="none"/>
              </w:rPr>
              <w:t>根据采购单位提出的用工需求及时派遣人员到岗工作</w:t>
            </w:r>
          </w:p>
        </w:tc>
        <w:tc>
          <w:tcPr>
            <w:tcW w:w="2595"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3ACE4F4A">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(3)中标单位</w:t>
            </w:r>
            <w:r>
              <w:rPr>
                <w:rFonts w:hint="eastAsia" w:ascii="宋体" w:hAnsi="宋体" w:eastAsia="宋体" w:cs="宋体"/>
                <w:color w:val="000000"/>
                <w:sz w:val="21"/>
                <w:szCs w:val="21"/>
                <w:lang w:val="en-US" w:eastAsia="zh-CN"/>
              </w:rPr>
              <w:t>需</w:t>
            </w:r>
            <w:r>
              <w:rPr>
                <w:rFonts w:hint="eastAsia" w:ascii="宋体" w:hAnsi="宋体" w:eastAsia="宋体" w:cs="宋体"/>
                <w:color w:val="000000"/>
                <w:sz w:val="21"/>
                <w:szCs w:val="21"/>
              </w:rPr>
              <w:t>负责劳务派遣人员的人事、劳资、社会保险、计生、党团、培训等人事劳资管理工作。并为劳务派遣人员办理劳动用工手续、结算发放工资、发放经济补偿金、缴纳社会保险、处理保险理赔、管理人事档案、提供人员培训、管理人事档案及党团组织关系等方面的管理服务；教育劳务派遣人员服从采购单位规章制度要求和工作安排；按照采购单位的要求，及时更换不能胜任工作的劳务派遣人员；负责处理合同服务期内所有劳资纠纷和调解管理纠纷；提供培训、开展文体活动；落实采购单位根据规章制度和工作需要提出的其他管理要求。</w:t>
            </w:r>
          </w:p>
        </w:tc>
        <w:tc>
          <w:tcPr>
            <w:tcW w:w="2595"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6518D139">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(4)中标单位</w:t>
            </w:r>
            <w:r>
              <w:rPr>
                <w:rFonts w:hint="eastAsia" w:ascii="宋体" w:hAnsi="宋体" w:eastAsia="宋体" w:cs="宋体"/>
                <w:color w:val="000000"/>
                <w:sz w:val="21"/>
                <w:szCs w:val="21"/>
                <w:lang w:val="en-US" w:eastAsia="zh-CN"/>
              </w:rPr>
              <w:t>需</w:t>
            </w:r>
            <w:r>
              <w:rPr>
                <w:rFonts w:hint="eastAsia" w:ascii="宋体" w:hAnsi="宋体" w:eastAsia="宋体" w:cs="宋体"/>
                <w:color w:val="000000"/>
                <w:sz w:val="21"/>
                <w:szCs w:val="21"/>
              </w:rPr>
              <w:t>为全体劳务派遣人员办理社会保险和公积金缴存（交）工作，并负责办理或协助办理派遣人员社会保险、住房公积金的报销、理赔等相关业务手续。</w:t>
            </w:r>
          </w:p>
        </w:tc>
        <w:tc>
          <w:tcPr>
            <w:tcW w:w="2595"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4554575A">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sz w:val="21"/>
                <w:szCs w:val="21"/>
                <w:highlight w:val="none"/>
              </w:rPr>
              <w:t>(5)中标单位</w:t>
            </w:r>
            <w:r>
              <w:rPr>
                <w:rFonts w:hint="eastAsia" w:ascii="宋体" w:hAnsi="宋体" w:cs="宋体"/>
                <w:sz w:val="21"/>
                <w:szCs w:val="21"/>
                <w:highlight w:val="none"/>
                <w:lang w:val="en-US" w:eastAsia="zh-CN"/>
              </w:rPr>
              <w:t>需</w:t>
            </w:r>
            <w:r>
              <w:rPr>
                <w:rFonts w:hint="eastAsia" w:ascii="宋体" w:hAnsi="宋体" w:eastAsia="宋体" w:cs="宋体"/>
                <w:sz w:val="21"/>
                <w:szCs w:val="21"/>
                <w:highlight w:val="none"/>
              </w:rPr>
              <w:t>按照合同约定的时间、经采购单位核定的标准，及时、足额向全体劳务派遣人员工资和其他福利。非经采购单位书面通知，不得扣发劳务派遣人员工资和其他福利，不得缩减或变更劳务派遣人员社会保险缴付金额和险种或公积金的缴存标准和比例</w:t>
            </w:r>
          </w:p>
        </w:tc>
        <w:tc>
          <w:tcPr>
            <w:tcW w:w="2595"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3E4F6E98">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p>
        </w:tc>
        <w:tc>
          <w:tcPr>
            <w:tcW w:w="2328" w:type="dxa"/>
          </w:tcPr>
          <w:p w14:paraId="13E7948B">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(6)中标单位提供的劳务派遣人员必</w:t>
            </w:r>
            <w:r>
              <w:rPr>
                <w:rFonts w:hint="eastAsia" w:ascii="宋体" w:hAnsi="宋体" w:eastAsia="宋体" w:cs="宋体"/>
                <w:color w:val="000000"/>
                <w:sz w:val="21"/>
                <w:szCs w:val="21"/>
                <w:lang w:val="en-US" w:eastAsia="zh-CN"/>
              </w:rPr>
              <w:t>需</w:t>
            </w:r>
            <w:r>
              <w:rPr>
                <w:rFonts w:hint="eastAsia" w:ascii="宋体" w:hAnsi="宋体" w:eastAsia="宋体" w:cs="宋体"/>
                <w:color w:val="000000"/>
                <w:sz w:val="21"/>
                <w:szCs w:val="21"/>
              </w:rPr>
              <w:t>服从采购单位的安排和管理。</w:t>
            </w:r>
          </w:p>
        </w:tc>
        <w:tc>
          <w:tcPr>
            <w:tcW w:w="2595"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91" w:type="dxa"/>
            <w:vMerge w:val="continue"/>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104E852C">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派遣人员在采购单位工作岗位职责，以采购单位工作岗位职责为准。</w:t>
            </w:r>
          </w:p>
        </w:tc>
        <w:tc>
          <w:tcPr>
            <w:tcW w:w="2595"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E4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91" w:type="dxa"/>
            <w:vMerge w:val="continue"/>
          </w:tcPr>
          <w:p w14:paraId="39BE0872">
            <w:pPr>
              <w:keepNext w:val="0"/>
              <w:keepLines w:val="0"/>
              <w:suppressLineNumbers w:val="0"/>
              <w:spacing w:before="0" w:beforeAutospacing="0" w:after="0" w:afterAutospacing="0"/>
              <w:ind w:left="0" w:right="0"/>
            </w:pPr>
          </w:p>
        </w:tc>
        <w:tc>
          <w:tcPr>
            <w:tcW w:w="2328" w:type="dxa"/>
          </w:tcPr>
          <w:p w14:paraId="4D9D3319">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按照岗位所在科室安排，派遣人员在采购单位试用期为1-3个月，科室综合考评决定是否留用。通过试用期的劳务派遣人员，需在采购单位发出留用通知后 3 日内到岗，若无法到岗中标单位需另派人至采购单位重新试用。</w:t>
            </w:r>
          </w:p>
        </w:tc>
        <w:tc>
          <w:tcPr>
            <w:tcW w:w="2595" w:type="dxa"/>
          </w:tcPr>
          <w:p w14:paraId="5F409D5F">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1890" w:type="dxa"/>
          </w:tcPr>
          <w:p w14:paraId="0E0077CD">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1157" w:type="dxa"/>
          </w:tcPr>
          <w:p w14:paraId="36896A1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91" w:type="dxa"/>
          </w:tcPr>
          <w:p w14:paraId="0BAA332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b/>
                <w:bCs/>
                <w:sz w:val="21"/>
                <w:szCs w:val="21"/>
                <w:highlight w:val="none"/>
              </w:rPr>
              <w:t>3.工作时间要求</w:t>
            </w:r>
          </w:p>
        </w:tc>
        <w:tc>
          <w:tcPr>
            <w:tcW w:w="2328" w:type="dxa"/>
          </w:tcPr>
          <w:p w14:paraId="3E76FD77">
            <w:pPr>
              <w:keepNext w:val="0"/>
              <w:keepLines w:val="0"/>
              <w:suppressLineNumbers w:val="0"/>
              <w:spacing w:before="0" w:beforeAutospacing="0" w:after="0" w:afterAutospacing="0"/>
              <w:ind w:left="0" w:right="0"/>
              <w:jc w:val="both"/>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全体劳务派遣人员工作时间由采购单位根据国家有关规定及实际工作需要具体安排。</w:t>
            </w:r>
          </w:p>
        </w:tc>
        <w:tc>
          <w:tcPr>
            <w:tcW w:w="2595"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469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restart"/>
          </w:tcPr>
          <w:p w14:paraId="43259A70">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55D71EF8">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04F39CBD">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7209A402">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558832E9">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426D794E">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7D675EA1">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64E29151">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097B0D5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b/>
                <w:bCs/>
                <w:sz w:val="21"/>
                <w:szCs w:val="21"/>
                <w:highlight w:val="none"/>
              </w:rPr>
              <w:t>4.服务成果及质量标准要求</w:t>
            </w:r>
          </w:p>
        </w:tc>
        <w:tc>
          <w:tcPr>
            <w:tcW w:w="2328" w:type="dxa"/>
          </w:tcPr>
          <w:p w14:paraId="66F045B3">
            <w:pPr>
              <w:keepNext w:val="0"/>
              <w:keepLines w:val="0"/>
              <w:suppressLineNumbers w:val="0"/>
              <w:spacing w:before="0" w:beforeAutospacing="0" w:after="0" w:afterAutospacing="0"/>
              <w:ind w:left="0" w:right="0"/>
              <w:jc w:val="both"/>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(1)岗位设置及薪酬福利：岗位及编制根据采购单位实际工作需要进行设置，相关薪酬福利标准按用工单位有关制度执行。</w:t>
            </w:r>
          </w:p>
        </w:tc>
        <w:tc>
          <w:tcPr>
            <w:tcW w:w="2595" w:type="dxa"/>
          </w:tcPr>
          <w:p w14:paraId="77AFE1B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EF0975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C946C11">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024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47445F2D">
            <w:pPr>
              <w:keepNext w:val="0"/>
              <w:keepLines w:val="0"/>
              <w:suppressLineNumbers w:val="0"/>
              <w:spacing w:before="0" w:beforeAutospacing="0" w:after="0" w:afterAutospacing="0"/>
              <w:ind w:left="0" w:right="0"/>
            </w:pPr>
          </w:p>
        </w:tc>
        <w:tc>
          <w:tcPr>
            <w:tcW w:w="2328" w:type="dxa"/>
          </w:tcPr>
          <w:p w14:paraId="421A70A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sz w:val="21"/>
                <w:szCs w:val="21"/>
                <w:highlight w:val="none"/>
              </w:rPr>
              <w:t>(2)采购单位根据业务需要和岗位设置情况，以书面形式通知中标单位用工需求</w:t>
            </w:r>
          </w:p>
        </w:tc>
        <w:tc>
          <w:tcPr>
            <w:tcW w:w="2595" w:type="dxa"/>
          </w:tcPr>
          <w:p w14:paraId="4E5D5BA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297571F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02974D1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51EC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6B46D3B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297172F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sz w:val="21"/>
                <w:szCs w:val="21"/>
                <w:highlight w:val="none"/>
              </w:rPr>
              <w:t>(3)中标单位收到采购单位用工需求通知后，应立即组织安排相应派遣人员的招聘事宜。中标单位在10个工作日内向采购单位提供基本符合要求的候选人员的汇总及明细资料</w:t>
            </w:r>
          </w:p>
        </w:tc>
        <w:tc>
          <w:tcPr>
            <w:tcW w:w="2595" w:type="dxa"/>
          </w:tcPr>
          <w:p w14:paraId="362015D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D40203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F2282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4ADA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2F7A6D1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35FDBD6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(4)采购单位对中标单位选派的应聘人员进行面试并确定获得录用资格的人员名单。采购单位有权自行决定是否接受中标单位推荐的派遣人选。采购单位可根据工作需要自行选定候选人员后告知中标单位办理有关录用及派遣手续。</w:t>
            </w:r>
          </w:p>
        </w:tc>
        <w:tc>
          <w:tcPr>
            <w:tcW w:w="2595" w:type="dxa"/>
          </w:tcPr>
          <w:p w14:paraId="3C22299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5E07E2F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F1215D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4B5C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DF1EA1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2A473E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(5)中标单位组织获得录用资格人员进行体检和审验、收集相关证件并备份采购单位。</w:t>
            </w:r>
          </w:p>
        </w:tc>
        <w:tc>
          <w:tcPr>
            <w:tcW w:w="2595" w:type="dxa"/>
          </w:tcPr>
          <w:p w14:paraId="72B8811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078C043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5C9108A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6426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19943F6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490A2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(6)采购单位对体检合格获得录用资格人员进行岗位技能培训，中标单位进行公共职业培训，培训合格后由采购单位决定录用人员名单。</w:t>
            </w:r>
          </w:p>
        </w:tc>
        <w:tc>
          <w:tcPr>
            <w:tcW w:w="2595" w:type="dxa"/>
          </w:tcPr>
          <w:p w14:paraId="706F0F8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377AD46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5E656301">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213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4BCC72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760C1AC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(7)中标单位通知录用人员入职，并办理相关的入职手续，签订劳动合同等。劳动合同备份采购单位。</w:t>
            </w:r>
          </w:p>
        </w:tc>
        <w:tc>
          <w:tcPr>
            <w:tcW w:w="2595" w:type="dxa"/>
          </w:tcPr>
          <w:p w14:paraId="32867E8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684305C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2900AA0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8BA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7133DAA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0D8BD2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sz w:val="21"/>
                <w:szCs w:val="21"/>
                <w:highlight w:val="none"/>
              </w:rPr>
              <w:t>(8)采购单位有权要求调换不适合岗位要求的派遣人员。中标单位调换劳务派遣人员须得到采购单位的同意。</w:t>
            </w:r>
          </w:p>
        </w:tc>
        <w:tc>
          <w:tcPr>
            <w:tcW w:w="2595" w:type="dxa"/>
          </w:tcPr>
          <w:p w14:paraId="640ED56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73D4C17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2358C34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7C67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7983D79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783D18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(9)劳务派遣管理：中标单位应教育派遣人员遵守国家法律法规以及采购单位的规章制度、管理规范和劳动纪律，服从和执行采购单位的工作安排和调度，接受采购单位管理人员的检查监督。</w:t>
            </w:r>
          </w:p>
        </w:tc>
        <w:tc>
          <w:tcPr>
            <w:tcW w:w="2595" w:type="dxa"/>
          </w:tcPr>
          <w:p w14:paraId="1D014E41">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379ED6E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805F23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AB8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2579C37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793CF1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(10)采购单位的性质要求派遣人员必须严守秘密，不能泄露与工作有关的任何信息。中标单位应教育派遣人员不得以任何形式向他人提供或泄露采购单位的涉密信息。</w:t>
            </w:r>
          </w:p>
        </w:tc>
        <w:tc>
          <w:tcPr>
            <w:tcW w:w="2595" w:type="dxa"/>
          </w:tcPr>
          <w:p w14:paraId="2C7F51F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5EA8072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0857779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1CA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17FA9A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BEAB835">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(11)采购单位负责派遣人员的岗位安排、工作调度、监督及考核，协助中标单位进行考勤管理、绩效考核及工作期间的日常管理等事项。</w:t>
            </w:r>
          </w:p>
        </w:tc>
        <w:tc>
          <w:tcPr>
            <w:tcW w:w="2595" w:type="dxa"/>
          </w:tcPr>
          <w:p w14:paraId="7252017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249024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FD218A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016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47ABC90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26AB6CC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(12)派遣人员不服从采购单位日常工作管理以及违反采购单位的劳动纪律的，采购单位有权依据有关管理规定通知中标单位进行相应的处罚。</w:t>
            </w:r>
          </w:p>
        </w:tc>
        <w:tc>
          <w:tcPr>
            <w:tcW w:w="2595" w:type="dxa"/>
          </w:tcPr>
          <w:p w14:paraId="11DC03A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038315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05081B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5774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57E913F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0D5832E5">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(13)派遣人员从采购单位领取的工作设施、配件及其他物品，由采购单位负责登记管理，人员离职时一并交还采购单位。</w:t>
            </w:r>
          </w:p>
        </w:tc>
        <w:tc>
          <w:tcPr>
            <w:tcW w:w="2595" w:type="dxa"/>
          </w:tcPr>
          <w:p w14:paraId="2EB9833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49B374E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41EF08C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076E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5C0302F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CDCA3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(14)合同期内派遣人员有下列情况之一的，采购单位可随时退回派遣人员或要求中标单位更换派遣人员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并</w:t>
            </w:r>
            <w:r>
              <w:rPr>
                <w:rFonts w:hint="eastAsia" w:ascii="宋体" w:hAnsi="宋体" w:eastAsia="宋体" w:cs="宋体"/>
                <w:color w:val="auto"/>
                <w:sz w:val="21"/>
                <w:szCs w:val="21"/>
              </w:rPr>
              <w:t>向中标单位提供该派遣人员自认的合法有效的下列事实的证据材料：</w:t>
            </w:r>
          </w:p>
          <w:p w14:paraId="67661951">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1)试用期内被证明不符合录用条件的；</w:t>
            </w:r>
          </w:p>
          <w:p w14:paraId="212A174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2)严重违反采购单位依法制定的规章制度、业务规程或劳动纪律的；</w:t>
            </w:r>
          </w:p>
          <w:p w14:paraId="06B706E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3)严重失职，营私舞弊，给采购单位利益造成重大损害的；</w:t>
            </w:r>
          </w:p>
          <w:p w14:paraId="0C3D263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4)有违法犯罪行为被追究刑事责任的；</w:t>
            </w:r>
          </w:p>
          <w:p w14:paraId="047330C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5)派遣人员同时与其他用人单位建立劳动关系，对完成采购单位的工作任务造成严重影响，或者经采购单位提出，拒不改正的。</w:t>
            </w:r>
          </w:p>
        </w:tc>
        <w:tc>
          <w:tcPr>
            <w:tcW w:w="2595" w:type="dxa"/>
          </w:tcPr>
          <w:p w14:paraId="39C4280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4E4BAF1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9F6DA9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3738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D72A14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3B314F9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(15)有下列情形之一，采购单位提前三十日通知中标单位和派遣人员本人后，可以退回派遣人员：</w:t>
            </w:r>
          </w:p>
          <w:p w14:paraId="69BB21A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1)派遣人员患病或非因工负伤，医疗期满后，不能从事原工作也不能从事由采购单位另行安排的工作的；</w:t>
            </w:r>
          </w:p>
          <w:p w14:paraId="4D1DE47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2)派遣人员不能胜任工作，经过培训或调整岗位，仍不能胜任工作的；</w:t>
            </w:r>
          </w:p>
          <w:p w14:paraId="3CF0ED0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3)本合同订立时所依据的客观情况发生重大变化，致使原合同无法履行的。</w:t>
            </w:r>
          </w:p>
        </w:tc>
        <w:tc>
          <w:tcPr>
            <w:tcW w:w="2595" w:type="dxa"/>
          </w:tcPr>
          <w:p w14:paraId="33EC901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6D05834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44FE34A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7B03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restart"/>
          </w:tcPr>
          <w:p w14:paraId="5426F80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C1E0F4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(16)中标单位全权负责被派遣劳务人员的劳务用工管理、劳务纠纷处理与社保办理、退休办理以及涉及劳动关系的所有事宜，与劳务派遣人员签订劳动合同并将劳动合同提供采购单位备案。解除与劳务派遣人员签订劳动合同所涉及的经济补偿金由用工单位负责，由中标单位</w:t>
            </w:r>
            <w:r>
              <w:rPr>
                <w:rFonts w:hint="eastAsia" w:ascii="宋体" w:hAnsi="宋体" w:eastAsia="宋体" w:cs="宋体"/>
                <w:color w:val="auto"/>
                <w:sz w:val="21"/>
                <w:szCs w:val="21"/>
                <w:lang w:val="en-US" w:eastAsia="zh-CN"/>
              </w:rPr>
              <w:t>代为</w:t>
            </w:r>
            <w:r>
              <w:rPr>
                <w:rFonts w:hint="eastAsia" w:ascii="宋体" w:hAnsi="宋体" w:eastAsia="宋体" w:cs="宋体"/>
                <w:color w:val="auto"/>
                <w:sz w:val="21"/>
                <w:szCs w:val="21"/>
              </w:rPr>
              <w:t>支付。</w:t>
            </w:r>
          </w:p>
        </w:tc>
        <w:tc>
          <w:tcPr>
            <w:tcW w:w="2595" w:type="dxa"/>
          </w:tcPr>
          <w:p w14:paraId="0CF2813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4C2F6C3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650029D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5DC5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4BF89EA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07D7A33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17）采购单位有权按需调整派遣人员数量。中标单位作为专业服务商，已充分知悉项目特性并参与投标，应独立评估并承担合同履行中的各类风险（含市场环境变化、政策法规调整、采购单位用工需求波动等履约风险）。</w:t>
            </w:r>
          </w:p>
        </w:tc>
        <w:tc>
          <w:tcPr>
            <w:tcW w:w="2595" w:type="dxa"/>
          </w:tcPr>
          <w:p w14:paraId="07EE380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C7C76F5">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50E56A6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4E1D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5C50F7B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3CC685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（18）经采购单位要求后，中标单位需无条件接收原第三方人力资源服务公司派遣至采购单位工作的派遣员工，及时与其建立劳动关系并办理相关劳动用工手续。</w:t>
            </w:r>
          </w:p>
        </w:tc>
        <w:tc>
          <w:tcPr>
            <w:tcW w:w="2595" w:type="dxa"/>
          </w:tcPr>
          <w:p w14:paraId="49DF7A2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5CD6B21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0FE50C5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360E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24145D1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690ABE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19）如采购单位、中标单位未能续签合同，采购单位、中标单位应签订补充协议，在采购单位重新寻找到其他劳务派遣公司前，由中标单位继续提供劳务派遣服务，并在采购单位寻找新的劳务派遣公司后，由采购单位协助中标单位安排劳务派遣员工与新的劳务派遣公司签订劳动合同，以便派遣员工继续在采购单位服务。派遣员工无意与新的劳务派遣公司建立劳动关系，或者，中标单位无意将派遣员工移交新的劳务派遣公司的，派遣员工由中标单位自行组织离场。</w:t>
            </w:r>
          </w:p>
        </w:tc>
        <w:tc>
          <w:tcPr>
            <w:tcW w:w="2595" w:type="dxa"/>
          </w:tcPr>
          <w:p w14:paraId="250380B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3E4E3BF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903DFF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206"/>
        <w:gridCol w:w="418"/>
        <w:gridCol w:w="1314"/>
        <w:gridCol w:w="576"/>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gridSpan w:val="2"/>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gridSpan w:val="2"/>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02CA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7"/>
          </w:tcPr>
          <w:p w14:paraId="22874477">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b/>
                <w:bCs/>
                <w:szCs w:val="21"/>
                <w:lang w:eastAsia="zh-CN"/>
              </w:rPr>
              <w:t>（</w:t>
            </w:r>
            <w:r>
              <w:rPr>
                <w:rFonts w:hint="eastAsia" w:ascii="宋体" w:hAnsi="宋体"/>
                <w:b/>
                <w:bCs/>
                <w:szCs w:val="21"/>
                <w:lang w:val="en-US" w:eastAsia="zh-CN"/>
              </w:rPr>
              <w:t>一）</w:t>
            </w:r>
            <w:r>
              <w:rPr>
                <w:rFonts w:hint="default" w:ascii="宋体" w:hAnsi="宋体"/>
                <w:szCs w:val="21"/>
              </w:rPr>
              <w:t>【</w:t>
            </w:r>
            <w:r>
              <w:rPr>
                <w:rFonts w:hint="default" w:ascii="宋体" w:hAnsi="宋体"/>
                <w:b/>
                <w:bCs/>
                <w:szCs w:val="21"/>
                <w:lang w:val="en-US" w:eastAsia="zh-CN"/>
              </w:rPr>
              <w:t>服务期</w:t>
            </w:r>
            <w:r>
              <w:rPr>
                <w:rFonts w:hint="eastAsia" w:ascii="宋体" w:hAnsi="宋体"/>
                <w:b/>
                <w:bCs/>
                <w:szCs w:val="21"/>
                <w:lang w:val="en-US" w:eastAsia="zh-CN"/>
              </w:rPr>
              <w:t>要求</w:t>
            </w:r>
            <w:r>
              <w:rPr>
                <w:rFonts w:hint="default" w:ascii="宋体" w:hAnsi="宋体"/>
                <w:b/>
                <w:szCs w:val="21"/>
              </w:rPr>
              <w:t>】</w:t>
            </w:r>
          </w:p>
        </w:tc>
      </w:tr>
      <w:tr w14:paraId="24BD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3A8B62C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7EC06FCB">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20BEE76">
            <w:pPr>
              <w:keepNext w:val="0"/>
              <w:keepLines w:val="0"/>
              <w:suppressLineNumbers w:val="0"/>
              <w:spacing w:before="0" w:beforeAutospacing="0" w:after="0" w:afterAutospacing="0"/>
              <w:ind w:left="0" w:leftChars="0" w:right="0" w:rightChars="0"/>
              <w:jc w:val="center"/>
              <w:rPr>
                <w:rFonts w:hint="default" w:ascii="宋体" w:hAnsi="宋体" w:eastAsia="宋体" w:cs="宋体"/>
                <w:b/>
                <w:sz w:val="21"/>
                <w:szCs w:val="21"/>
                <w:lang w:val="en-US" w:eastAsia="zh-CN"/>
              </w:rPr>
            </w:pPr>
            <w:r>
              <w:rPr>
                <w:rFonts w:hint="eastAsia" w:ascii="宋体" w:hAnsi="宋体" w:cs="宋体"/>
                <w:color w:val="000000"/>
                <w:lang w:val="en-US" w:eastAsia="zh-CN"/>
              </w:rPr>
              <w:t>/</w:t>
            </w:r>
          </w:p>
        </w:tc>
        <w:tc>
          <w:tcPr>
            <w:tcW w:w="2299" w:type="dxa"/>
            <w:vAlign w:val="top"/>
          </w:tcPr>
          <w:p w14:paraId="3058FF65">
            <w:pPr>
              <w:keepNext w:val="0"/>
              <w:keepLines w:val="0"/>
              <w:suppressLineNumbers w:val="0"/>
              <w:spacing w:before="0" w:beforeAutospacing="0" w:after="0" w:afterAutospacing="0"/>
              <w:ind w:left="0" w:leftChars="0" w:right="0" w:rightChars="0"/>
              <w:jc w:val="left"/>
              <w:rPr>
                <w:rFonts w:hint="default" w:ascii="宋体" w:hAnsi="宋体" w:eastAsia="宋体" w:cs="宋体"/>
                <w:b/>
                <w:sz w:val="21"/>
                <w:szCs w:val="21"/>
                <w:lang w:val="en-US" w:eastAsia="zh-CN"/>
              </w:rPr>
            </w:pPr>
            <w:r>
              <w:rPr>
                <w:rFonts w:hint="eastAsia"/>
                <w:lang w:val="en-US" w:eastAsia="zh-CN"/>
              </w:rPr>
              <w:t>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tc>
        <w:tc>
          <w:tcPr>
            <w:tcW w:w="2206" w:type="dxa"/>
          </w:tcPr>
          <w:p w14:paraId="6BE82539">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37F033C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482094E3">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7482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61" w:type="dxa"/>
            <w:gridSpan w:val="7"/>
            <w:vAlign w:val="top"/>
          </w:tcPr>
          <w:p w14:paraId="298008A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b/>
                <w:bCs/>
                <w:szCs w:val="21"/>
                <w:lang w:eastAsia="zh-CN"/>
              </w:rPr>
              <w:t>（</w:t>
            </w:r>
            <w:r>
              <w:rPr>
                <w:rFonts w:hint="eastAsia" w:ascii="宋体" w:hAnsi="宋体"/>
                <w:b/>
                <w:bCs/>
                <w:szCs w:val="21"/>
                <w:lang w:val="en-US" w:eastAsia="zh-CN"/>
              </w:rPr>
              <w:t>二</w:t>
            </w:r>
            <w:r>
              <w:rPr>
                <w:rFonts w:hint="eastAsia" w:ascii="宋体" w:hAnsi="宋体"/>
                <w:b/>
                <w:bCs/>
                <w:szCs w:val="21"/>
                <w:lang w:eastAsia="zh-CN"/>
              </w:rPr>
              <w:t xml:space="preserve">）服务地点： </w:t>
            </w:r>
            <w:r>
              <w:rPr>
                <w:rFonts w:hint="eastAsia"/>
              </w:rPr>
              <w:t xml:space="preserve"> </w:t>
            </w:r>
          </w:p>
        </w:tc>
      </w:tr>
      <w:tr w14:paraId="6AEF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120E9E82">
            <w:pPr>
              <w:keepNext w:val="0"/>
              <w:keepLines w:val="0"/>
              <w:suppressLineNumbers w:val="0"/>
              <w:spacing w:before="0" w:beforeAutospacing="0" w:after="0" w:afterAutospacing="0"/>
              <w:ind w:left="0" w:leftChars="0" w:right="0" w:rightChars="0"/>
              <w:jc w:val="center"/>
              <w:rPr>
                <w:rFonts w:hint="eastAsia" w:ascii="宋体" w:hAnsi="宋体" w:cs="宋体"/>
                <w:color w:val="000000"/>
                <w:lang w:val="en-US" w:eastAsia="zh-CN"/>
              </w:rPr>
            </w:pPr>
            <w:r>
              <w:rPr>
                <w:rFonts w:hint="eastAsia"/>
                <w:lang w:val="en-US" w:eastAsia="zh-CN"/>
              </w:rPr>
              <w:t>/</w:t>
            </w:r>
            <w:r>
              <w:rPr>
                <w:rFonts w:hint="eastAsia"/>
              </w:rPr>
              <w:t xml:space="preserve"> </w:t>
            </w:r>
          </w:p>
        </w:tc>
        <w:tc>
          <w:tcPr>
            <w:tcW w:w="2299" w:type="dxa"/>
            <w:vAlign w:val="top"/>
          </w:tcPr>
          <w:p w14:paraId="4EB2C9B7">
            <w:pPr>
              <w:keepNext w:val="0"/>
              <w:keepLines w:val="0"/>
              <w:suppressLineNumbers w:val="0"/>
              <w:spacing w:before="0" w:beforeAutospacing="0" w:after="0" w:afterAutospacing="0"/>
              <w:ind w:left="0" w:leftChars="0" w:right="0" w:rightChars="0"/>
              <w:jc w:val="left"/>
              <w:rPr>
                <w:rFonts w:hint="eastAsia" w:ascii="宋体" w:hAnsi="宋体" w:eastAsia="宋体" w:cs="宋体"/>
                <w:sz w:val="21"/>
                <w:szCs w:val="21"/>
              </w:rPr>
            </w:pPr>
            <w:r>
              <w:rPr>
                <w:rFonts w:hint="eastAsia"/>
              </w:rPr>
              <w:t>深圳市宝安区</w:t>
            </w:r>
            <w:r>
              <w:rPr>
                <w:rFonts w:hint="eastAsia"/>
                <w:lang w:val="en-US" w:eastAsia="zh-CN"/>
              </w:rPr>
              <w:t>石岩</w:t>
            </w:r>
            <w:r>
              <w:rPr>
                <w:rFonts w:hint="eastAsia"/>
              </w:rPr>
              <w:t xml:space="preserve">人民医院 </w:t>
            </w:r>
          </w:p>
        </w:tc>
        <w:tc>
          <w:tcPr>
            <w:tcW w:w="2206" w:type="dxa"/>
          </w:tcPr>
          <w:p w14:paraId="0EFA0592">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6F725F4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1CFFDC04">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1D2F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7"/>
            <w:vAlign w:val="top"/>
          </w:tcPr>
          <w:p w14:paraId="2AF12F1D">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b/>
                <w:bCs/>
                <w:szCs w:val="21"/>
                <w:lang w:eastAsia="zh-CN"/>
              </w:rPr>
              <w:t>（</w:t>
            </w:r>
            <w:r>
              <w:rPr>
                <w:rFonts w:hint="eastAsia" w:ascii="宋体" w:hAnsi="宋体"/>
                <w:b/>
                <w:bCs/>
                <w:szCs w:val="21"/>
                <w:lang w:val="en-US" w:eastAsia="zh-CN"/>
              </w:rPr>
              <w:t>三</w:t>
            </w:r>
            <w:r>
              <w:rPr>
                <w:rFonts w:hint="eastAsia" w:ascii="宋体" w:hAnsi="宋体"/>
                <w:b/>
                <w:bCs/>
                <w:szCs w:val="21"/>
                <w:lang w:eastAsia="zh-CN"/>
              </w:rPr>
              <w:t>）</w:t>
            </w:r>
            <w:r>
              <w:rPr>
                <w:rFonts w:hint="eastAsia" w:ascii="宋体" w:hAnsi="宋体"/>
                <w:b/>
                <w:bCs/>
                <w:szCs w:val="21"/>
                <w:lang w:val="en-US" w:eastAsia="zh-CN"/>
              </w:rPr>
              <w:t>人员要求</w:t>
            </w:r>
            <w:r>
              <w:rPr>
                <w:rFonts w:hint="eastAsia" w:ascii="宋体" w:hAnsi="宋体"/>
                <w:b/>
                <w:bCs/>
                <w:szCs w:val="21"/>
                <w:lang w:eastAsia="zh-CN"/>
              </w:rPr>
              <w:t xml:space="preserve">： </w:t>
            </w:r>
          </w:p>
        </w:tc>
      </w:tr>
      <w:tr w14:paraId="1700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04AE9960">
            <w:pPr>
              <w:keepNext w:val="0"/>
              <w:keepLines w:val="0"/>
              <w:suppressLineNumbers w:val="0"/>
              <w:spacing w:before="0" w:beforeAutospacing="0" w:after="0" w:afterAutospacing="0"/>
              <w:ind w:left="0" w:leftChars="0" w:right="0" w:rightChars="0"/>
              <w:jc w:val="center"/>
              <w:rPr>
                <w:rFonts w:hint="eastAsia"/>
                <w:lang w:val="en-US" w:eastAsia="zh-CN"/>
              </w:rPr>
            </w:pPr>
          </w:p>
        </w:tc>
        <w:tc>
          <w:tcPr>
            <w:tcW w:w="2299" w:type="dxa"/>
            <w:vAlign w:val="top"/>
          </w:tcPr>
          <w:p w14:paraId="6E9C7232">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项目人数按医院实际需求，人员均需服从实际工作所在部门和人事部门的管理和考核。服务供应商应提供项目负责人和管理团队对项目进行全面的管理和监督，确保项目高效、有序进行。项目负责人需具有丰富的行业经验和出色的组织协调能力，能够合理规划项目进度，有效解决项目执行过程中遇到的问题。管理团队则需具备专业的技能和严谨的工作态度，负责具体执行项目任务，确保各项服务标准达到医院要求。同时，服务供应商应建立有效的沟通机制，定期与医院相关部门进行工作汇报和交流，确保项目信息的透明度和准确性。</w:t>
            </w:r>
          </w:p>
          <w:p w14:paraId="162D61AA">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项目负责人：1.具有管理类专业研究生学历且具有硕士（或以上）学位；2.具有一级企业人力资源管理师证书；3.具有劳动人事争议调解员证书。</w:t>
            </w:r>
          </w:p>
          <w:p w14:paraId="7744E333">
            <w:pPr>
              <w:keepNext w:val="0"/>
              <w:keepLines w:val="0"/>
              <w:suppressLineNumbers w:val="0"/>
              <w:spacing w:before="0" w:beforeAutospacing="0" w:after="0" w:afterAutospacing="0"/>
              <w:ind w:left="0" w:leftChars="0" w:right="0" w:rightChars="0"/>
              <w:jc w:val="left"/>
              <w:rPr>
                <w:rFonts w:hint="eastAsia"/>
              </w:rPr>
            </w:pPr>
            <w:r>
              <w:rPr>
                <w:rFonts w:hint="eastAsia"/>
                <w:lang w:val="en-US" w:eastAsia="zh-CN"/>
              </w:rPr>
              <w:t>团队成员：1.具有企业人力资源管理师一级和劳动关系协调员二级（或以上）证书；2.具有企业人力资源管理师三级（或以上）心理咨询师二级（或以上）证书；3.具有客户服务管理师二级（或以上）和高级企业培训师证书；4.具有人社部门颁发的中级（或以上）经济专业技术资格证书（专业：人力资源管理）；5.具有劳动人事争议调解员证书。</w:t>
            </w:r>
          </w:p>
        </w:tc>
        <w:tc>
          <w:tcPr>
            <w:tcW w:w="2206" w:type="dxa"/>
          </w:tcPr>
          <w:p w14:paraId="04BB0302">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239F0BED">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4ADFB8FD">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3AAE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7"/>
            <w:vAlign w:val="top"/>
          </w:tcPr>
          <w:p w14:paraId="22BEB18E">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cs="宋体"/>
                <w:b/>
                <w:sz w:val="21"/>
                <w:szCs w:val="21"/>
                <w:lang w:val="en-US" w:eastAsia="zh-CN"/>
              </w:rPr>
              <w:t>（四）</w:t>
            </w:r>
            <w:r>
              <w:rPr>
                <w:rFonts w:hint="default" w:ascii="宋体" w:hAnsi="宋体" w:eastAsia="宋体" w:cs="宋体"/>
                <w:b/>
                <w:sz w:val="21"/>
                <w:szCs w:val="21"/>
                <w:lang w:val="en-US" w:eastAsia="zh-CN"/>
              </w:rPr>
              <w:t>【</w:t>
            </w:r>
            <w:r>
              <w:rPr>
                <w:rFonts w:hint="eastAsia" w:ascii="宋体" w:hAnsi="宋体" w:cs="宋体"/>
                <w:b/>
                <w:sz w:val="21"/>
                <w:szCs w:val="21"/>
                <w:lang w:val="en-US" w:eastAsia="zh-CN"/>
              </w:rPr>
              <w:t>关于</w:t>
            </w:r>
            <w:r>
              <w:rPr>
                <w:rFonts w:hint="eastAsia" w:ascii="宋体" w:hAnsi="宋体" w:eastAsia="宋体" w:cs="Times New Roman"/>
                <w:b/>
                <w:bCs/>
                <w:color w:val="auto"/>
                <w:szCs w:val="21"/>
                <w:highlight w:val="none"/>
                <w:lang w:val="en-US" w:eastAsia="zh-CN"/>
              </w:rPr>
              <w:t>验收</w:t>
            </w:r>
            <w:r>
              <w:rPr>
                <w:rFonts w:hint="default" w:ascii="宋体" w:hAnsi="宋体" w:eastAsia="宋体" w:cs="Times New Roman"/>
                <w:szCs w:val="21"/>
                <w:lang w:val="en-US" w:eastAsia="zh-CN"/>
              </w:rPr>
              <w:t>】</w:t>
            </w:r>
          </w:p>
        </w:tc>
      </w:tr>
      <w:tr w14:paraId="7FC6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4D33628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6A23095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C483F0C">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ascii="宋体" w:hAnsi="宋体" w:cs="宋体"/>
                <w:color w:val="000000"/>
                <w:lang w:val="en-US" w:eastAsia="zh-CN"/>
              </w:rPr>
              <w:t>1</w:t>
            </w:r>
          </w:p>
        </w:tc>
        <w:tc>
          <w:tcPr>
            <w:tcW w:w="2299" w:type="dxa"/>
            <w:vAlign w:val="top"/>
          </w:tcPr>
          <w:p w14:paraId="73192625">
            <w:pPr>
              <w:keepNext w:val="0"/>
              <w:keepLines w:val="0"/>
              <w:suppressLineNumbers w:val="0"/>
              <w:spacing w:before="0" w:beforeAutospacing="0" w:after="0" w:afterAutospacing="0"/>
              <w:ind w:left="0" w:leftChars="0" w:right="0" w:rightChars="0"/>
              <w:jc w:val="left"/>
              <w:rPr>
                <w:rFonts w:hint="eastAsia"/>
                <w:lang w:val="en-US" w:eastAsia="zh-CN"/>
              </w:rPr>
            </w:pPr>
            <w:r>
              <w:rPr>
                <w:rFonts w:hint="eastAsia" w:ascii="宋体" w:hAnsi="宋体" w:eastAsia="宋体" w:cs="宋体"/>
                <w:sz w:val="21"/>
                <w:szCs w:val="21"/>
                <w:lang w:val="en-US" w:eastAsia="zh-CN"/>
              </w:rPr>
              <w:t>采购单位成立验收小组，对中标单位的服务质量和履约情况进行考核</w:t>
            </w:r>
          </w:p>
        </w:tc>
        <w:tc>
          <w:tcPr>
            <w:tcW w:w="2206" w:type="dxa"/>
          </w:tcPr>
          <w:p w14:paraId="237FCAC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4FD5E4B5">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7678AEB8">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57AF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4E99AA0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EC4BD4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731FE5D">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ascii="宋体" w:hAnsi="宋体" w:cs="宋体"/>
                <w:color w:val="000000"/>
                <w:lang w:val="en-US" w:eastAsia="zh-CN"/>
              </w:rPr>
              <w:t>2</w:t>
            </w:r>
          </w:p>
        </w:tc>
        <w:tc>
          <w:tcPr>
            <w:tcW w:w="2299" w:type="dxa"/>
            <w:vAlign w:val="top"/>
          </w:tcPr>
          <w:p w14:paraId="585113A8">
            <w:pPr>
              <w:keepNext w:val="0"/>
              <w:keepLines w:val="0"/>
              <w:suppressLineNumbers w:val="0"/>
              <w:spacing w:before="0" w:beforeAutospacing="0" w:after="0" w:afterAutospacing="0"/>
              <w:ind w:left="0" w:leftChars="0" w:right="0" w:rightChars="0"/>
              <w:jc w:val="left"/>
              <w:rPr>
                <w:rFonts w:hint="eastAsia"/>
                <w:lang w:val="en-US" w:eastAsia="zh-CN"/>
              </w:rPr>
            </w:pPr>
            <w:r>
              <w:rPr>
                <w:rFonts w:hint="eastAsia" w:ascii="宋体" w:hAnsi="宋体" w:eastAsia="宋体"/>
                <w:szCs w:val="21"/>
                <w:lang w:val="en-US" w:eastAsia="zh-CN"/>
              </w:rPr>
              <w:t>考核完成后，人力资源部对相关考核资料档案进行归档，以备日后查阅</w:t>
            </w:r>
          </w:p>
        </w:tc>
        <w:tc>
          <w:tcPr>
            <w:tcW w:w="2206" w:type="dxa"/>
          </w:tcPr>
          <w:p w14:paraId="44942F45">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30148DE7">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1DFA5C23">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7"/>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cs="宋体"/>
                <w:b/>
                <w:sz w:val="21"/>
                <w:szCs w:val="21"/>
                <w:lang w:val="en-US" w:eastAsia="zh-CN"/>
              </w:rPr>
              <w:t>（五）</w:t>
            </w:r>
            <w:r>
              <w:rPr>
                <w:rFonts w:hint="default" w:ascii="宋体" w:hAnsi="宋体" w:eastAsia="宋体" w:cs="宋体"/>
                <w:b/>
                <w:sz w:val="21"/>
                <w:szCs w:val="21"/>
                <w:lang w:val="en-US" w:eastAsia="zh-CN"/>
              </w:rPr>
              <w:t>【</w:t>
            </w:r>
            <w:r>
              <w:rPr>
                <w:rFonts w:hint="eastAsia" w:ascii="宋体" w:hAnsi="宋体" w:cs="宋体"/>
                <w:b/>
                <w:sz w:val="21"/>
                <w:szCs w:val="21"/>
                <w:lang w:val="en-US" w:eastAsia="zh-CN"/>
              </w:rPr>
              <w:t>服务响应</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EF5B4BD">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B0C415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C692811">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w:t>
            </w:r>
          </w:p>
        </w:tc>
        <w:tc>
          <w:tcPr>
            <w:tcW w:w="2299" w:type="dxa"/>
          </w:tcPr>
          <w:p w14:paraId="01B632F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sz w:val="21"/>
                <w:szCs w:val="21"/>
                <w:lang w:val="en-US" w:eastAsia="zh-CN"/>
              </w:rPr>
              <w:t>投标人安排的项目服务人员在应急事件出现之后6小时内赶赴采购单位或到达应急现场参与处置。</w:t>
            </w:r>
          </w:p>
        </w:tc>
        <w:tc>
          <w:tcPr>
            <w:tcW w:w="2624" w:type="dxa"/>
            <w:gridSpan w:val="2"/>
          </w:tcPr>
          <w:p w14:paraId="0E77EF9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C12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AE4A9D8">
            <w:pPr>
              <w:rPr>
                <w:rFonts w:hint="eastAsia" w:ascii="宋体" w:hAnsi="宋体" w:eastAsia="宋体" w:cs="宋体"/>
                <w:color w:val="000000"/>
              </w:rPr>
            </w:pPr>
            <w:r>
              <w:rPr>
                <w:rFonts w:hint="eastAsia"/>
                <w:b/>
                <w:bCs/>
                <w:lang w:val="en-US" w:eastAsia="zh-CN"/>
              </w:rPr>
              <w:t>（六）项目完成（服务期满）后的服务</w:t>
            </w:r>
          </w:p>
        </w:tc>
      </w:tr>
      <w:tr w14:paraId="396E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B32012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2299" w:type="dxa"/>
          </w:tcPr>
          <w:p w14:paraId="0D6FEA72">
            <w:pPr>
              <w:rPr>
                <w:rFonts w:hint="eastAsia" w:ascii="宋体" w:hAnsi="宋体" w:eastAsia="宋体" w:cs="宋体"/>
                <w:sz w:val="21"/>
                <w:szCs w:val="21"/>
              </w:rPr>
            </w:pPr>
            <w:r>
              <w:rPr>
                <w:rFonts w:hint="eastAsia"/>
                <w:lang w:val="en-US" w:eastAsia="zh-CN"/>
              </w:rPr>
              <w:t>服务期满后主动离岗；</w:t>
            </w:r>
          </w:p>
        </w:tc>
        <w:tc>
          <w:tcPr>
            <w:tcW w:w="2624" w:type="dxa"/>
            <w:gridSpan w:val="2"/>
          </w:tcPr>
          <w:p w14:paraId="26A01A24">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14A1F0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2E862E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B70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E23D24C">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535228C2">
            <w:pPr>
              <w:rPr>
                <w:rFonts w:hint="eastAsia"/>
                <w:lang w:val="en-US" w:eastAsia="zh-CN"/>
              </w:rPr>
            </w:pPr>
            <w:r>
              <w:rPr>
                <w:rFonts w:hint="eastAsia"/>
                <w:lang w:val="en-US" w:eastAsia="zh-CN"/>
              </w:rPr>
              <w:t>与后续服务公司进行交接；</w:t>
            </w:r>
          </w:p>
        </w:tc>
        <w:tc>
          <w:tcPr>
            <w:tcW w:w="2624" w:type="dxa"/>
            <w:gridSpan w:val="2"/>
          </w:tcPr>
          <w:p w14:paraId="7738744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0AF4C31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1A1A82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1DD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9694FC5">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2299" w:type="dxa"/>
          </w:tcPr>
          <w:p w14:paraId="26C22263">
            <w:pPr>
              <w:keepNext w:val="0"/>
              <w:keepLines w:val="0"/>
              <w:suppressLineNumbers w:val="0"/>
              <w:spacing w:before="0" w:beforeAutospacing="0" w:after="0" w:afterAutospacing="0"/>
              <w:ind w:left="0" w:right="0"/>
              <w:jc w:val="left"/>
              <w:rPr>
                <w:rFonts w:hint="eastAsia"/>
                <w:lang w:val="en-US" w:eastAsia="zh-CN"/>
              </w:rPr>
            </w:pPr>
            <w:r>
              <w:rPr>
                <w:rFonts w:hint="eastAsia"/>
                <w:lang w:val="en-US" w:eastAsia="zh-CN"/>
              </w:rPr>
              <w:t>服务期满，后续服务公司未到位前仍按原合同服务承诺提供服务。</w:t>
            </w:r>
          </w:p>
        </w:tc>
        <w:tc>
          <w:tcPr>
            <w:tcW w:w="2624" w:type="dxa"/>
            <w:gridSpan w:val="2"/>
          </w:tcPr>
          <w:p w14:paraId="7BDFF85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33F1BDC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83021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E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DF9761B">
            <w:pPr>
              <w:rPr>
                <w:rFonts w:hint="eastAsia" w:ascii="宋体" w:hAnsi="宋体" w:eastAsia="宋体" w:cs="宋体"/>
                <w:color w:val="000000"/>
              </w:rPr>
            </w:pPr>
            <w:r>
              <w:rPr>
                <w:rFonts w:hint="eastAsia"/>
                <w:b/>
                <w:bCs/>
                <w:lang w:val="en-US" w:eastAsia="zh-CN"/>
              </w:rPr>
              <w:t>（七）成果</w:t>
            </w:r>
            <w:r>
              <w:rPr>
                <w:rFonts w:hint="eastAsia"/>
                <w:b/>
                <w:bCs/>
              </w:rPr>
              <w:t>要求：</w:t>
            </w:r>
          </w:p>
        </w:tc>
      </w:tr>
      <w:tr w14:paraId="4D35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18F97D">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2299" w:type="dxa"/>
          </w:tcPr>
          <w:p w14:paraId="25ACE947">
            <w:pPr>
              <w:rPr>
                <w:rFonts w:hint="eastAsia" w:ascii="宋体" w:hAnsi="宋体" w:eastAsia="宋体" w:cs="宋体"/>
                <w:sz w:val="21"/>
                <w:szCs w:val="21"/>
              </w:rPr>
            </w:pPr>
            <w:r>
              <w:rPr>
                <w:rFonts w:hint="eastAsia"/>
                <w:lang w:val="en-US" w:eastAsia="zh-CN"/>
              </w:rPr>
              <w:t>中标单位提供高质量的劳务派遣服务，确保派遣人员能够满足采购单位的实际需求，并在服务期限内保持良好的工作状态和职业素养。</w:t>
            </w:r>
          </w:p>
        </w:tc>
        <w:tc>
          <w:tcPr>
            <w:tcW w:w="2624" w:type="dxa"/>
            <w:gridSpan w:val="2"/>
          </w:tcPr>
          <w:p w14:paraId="6B95EBB0">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78F406A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FF666E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5D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95D0461">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16D7377B">
            <w:pPr>
              <w:rPr>
                <w:rFonts w:hint="eastAsia" w:ascii="宋体" w:hAnsi="宋体" w:eastAsia="宋体" w:cs="宋体"/>
                <w:sz w:val="21"/>
                <w:szCs w:val="21"/>
              </w:rPr>
            </w:pPr>
            <w:r>
              <w:rPr>
                <w:rFonts w:hint="eastAsia"/>
                <w:lang w:val="en-US" w:eastAsia="zh-CN"/>
              </w:rPr>
              <w:t>派遣人员的工作表现符合采购单位的期望和标准；</w:t>
            </w:r>
          </w:p>
        </w:tc>
        <w:tc>
          <w:tcPr>
            <w:tcW w:w="2624" w:type="dxa"/>
            <w:gridSpan w:val="2"/>
          </w:tcPr>
          <w:p w14:paraId="268785EA">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1456C1D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432CE4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D75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18D6B7">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2299" w:type="dxa"/>
          </w:tcPr>
          <w:p w14:paraId="37B09877">
            <w:pPr>
              <w:rPr>
                <w:rFonts w:hint="eastAsia" w:ascii="宋体" w:hAnsi="宋体" w:eastAsia="宋体" w:cs="宋体"/>
                <w:sz w:val="21"/>
                <w:szCs w:val="21"/>
              </w:rPr>
            </w:pPr>
            <w:r>
              <w:rPr>
                <w:rFonts w:hint="eastAsia"/>
                <w:lang w:val="en-US" w:eastAsia="zh-CN"/>
              </w:rPr>
              <w:t>派遣人员能够按时、按质、按量完成采购单位分配的工作任务；</w:t>
            </w:r>
          </w:p>
        </w:tc>
        <w:tc>
          <w:tcPr>
            <w:tcW w:w="2624" w:type="dxa"/>
            <w:gridSpan w:val="2"/>
          </w:tcPr>
          <w:p w14:paraId="77AE61FC">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6AC93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BB696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C6D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6686AF8">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4</w:t>
            </w:r>
          </w:p>
        </w:tc>
        <w:tc>
          <w:tcPr>
            <w:tcW w:w="2299" w:type="dxa"/>
          </w:tcPr>
          <w:p w14:paraId="4BDCE166">
            <w:pPr>
              <w:rPr>
                <w:rFonts w:hint="eastAsia" w:ascii="宋体" w:hAnsi="宋体" w:eastAsia="宋体" w:cs="宋体"/>
                <w:sz w:val="21"/>
                <w:szCs w:val="21"/>
              </w:rPr>
            </w:pPr>
            <w:r>
              <w:rPr>
                <w:rFonts w:hint="eastAsia"/>
                <w:lang w:val="en-US" w:eastAsia="zh-CN"/>
              </w:rPr>
              <w:t>派遣人员在服务期限内无重大违纪违法行为，保持良好的职业操守和道德品质；</w:t>
            </w:r>
          </w:p>
        </w:tc>
        <w:tc>
          <w:tcPr>
            <w:tcW w:w="2624" w:type="dxa"/>
            <w:gridSpan w:val="2"/>
          </w:tcPr>
          <w:p w14:paraId="060B54A3">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86E376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A5E860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6CD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676403">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5</w:t>
            </w:r>
          </w:p>
        </w:tc>
        <w:tc>
          <w:tcPr>
            <w:tcW w:w="2299" w:type="dxa"/>
          </w:tcPr>
          <w:p w14:paraId="0CF6468B">
            <w:pPr>
              <w:rPr>
                <w:rFonts w:hint="eastAsia" w:ascii="宋体" w:hAnsi="宋体" w:eastAsia="宋体" w:cs="宋体"/>
                <w:sz w:val="21"/>
                <w:szCs w:val="21"/>
              </w:rPr>
            </w:pPr>
            <w:r>
              <w:rPr>
                <w:rFonts w:hint="eastAsia"/>
                <w:lang w:val="en-US" w:eastAsia="zh-CN"/>
              </w:rPr>
              <w:t>中标单位能够按照合同约定及时、足额向派遣人员支付工资和福利，并为其办理社会保险和公积金缴存等相关手续；</w:t>
            </w:r>
          </w:p>
        </w:tc>
        <w:tc>
          <w:tcPr>
            <w:tcW w:w="2624" w:type="dxa"/>
            <w:gridSpan w:val="2"/>
          </w:tcPr>
          <w:p w14:paraId="2B6CDB9A">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635871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FC399C3">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7E3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46B00D">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6</w:t>
            </w:r>
          </w:p>
        </w:tc>
        <w:tc>
          <w:tcPr>
            <w:tcW w:w="2299" w:type="dxa"/>
          </w:tcPr>
          <w:p w14:paraId="57872B03">
            <w:pPr>
              <w:rPr>
                <w:rFonts w:hint="eastAsia"/>
                <w:lang w:val="en-US" w:eastAsia="zh-CN"/>
              </w:rPr>
            </w:pPr>
            <w:r>
              <w:rPr>
                <w:rFonts w:hint="eastAsia"/>
                <w:lang w:val="en-US" w:eastAsia="zh-CN"/>
              </w:rPr>
              <w:t>中标单位能够积极处理采购单位与派遣人员之间的管理矛盾，维护采购单位的正常经营秩序。</w:t>
            </w:r>
          </w:p>
          <w:p w14:paraId="3EFC264B">
            <w:pPr>
              <w:keepNext w:val="0"/>
              <w:keepLines w:val="0"/>
              <w:suppressLineNumbers w:val="0"/>
              <w:spacing w:before="0" w:beforeAutospacing="0" w:after="0" w:afterAutospacing="0"/>
              <w:ind w:left="0" w:right="0"/>
              <w:jc w:val="left"/>
              <w:rPr>
                <w:rFonts w:hint="eastAsia" w:ascii="宋体" w:hAnsi="宋体" w:eastAsia="宋体" w:cs="宋体"/>
                <w:sz w:val="21"/>
                <w:szCs w:val="21"/>
              </w:rPr>
            </w:pPr>
          </w:p>
        </w:tc>
        <w:tc>
          <w:tcPr>
            <w:tcW w:w="2624" w:type="dxa"/>
            <w:gridSpan w:val="2"/>
          </w:tcPr>
          <w:p w14:paraId="08E43444">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3402CD2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3262F1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b/>
                <w:bCs/>
                <w:szCs w:val="21"/>
                <w:lang w:eastAsia="zh-CN"/>
              </w:rPr>
              <w:t>（</w:t>
            </w:r>
            <w:r>
              <w:rPr>
                <w:rFonts w:hint="eastAsia" w:ascii="宋体" w:hAnsi="宋体"/>
                <w:b/>
                <w:bCs/>
                <w:szCs w:val="21"/>
                <w:lang w:val="en-US" w:eastAsia="zh-CN"/>
              </w:rPr>
              <w:t>八）</w:t>
            </w:r>
            <w:r>
              <w:rPr>
                <w:rFonts w:hint="default" w:ascii="宋体" w:hAnsi="宋体"/>
                <w:b/>
                <w:bCs/>
                <w:szCs w:val="21"/>
              </w:rPr>
              <w:t>【</w:t>
            </w:r>
            <w:r>
              <w:rPr>
                <w:rFonts w:hint="eastAsia" w:ascii="宋体" w:hAnsi="宋体" w:cs="宋体"/>
                <w:b/>
                <w:bCs/>
                <w:sz w:val="21"/>
                <w:szCs w:val="21"/>
                <w:lang w:val="en-US" w:eastAsia="zh-CN"/>
              </w:rPr>
              <w:t>报价</w:t>
            </w:r>
            <w:r>
              <w:rPr>
                <w:rFonts w:hint="eastAsia" w:ascii="宋体" w:hAnsi="宋体" w:eastAsia="宋体" w:cs="宋体"/>
                <w:b/>
                <w:bCs/>
                <w:sz w:val="21"/>
                <w:szCs w:val="21"/>
              </w:rPr>
              <w:t>要求</w:t>
            </w:r>
            <w:r>
              <w:rPr>
                <w:rFonts w:hint="default" w:ascii="宋体" w:hAnsi="宋体"/>
                <w:b/>
                <w:szCs w:val="21"/>
              </w:rPr>
              <w:t>】</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4D9160B">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8BCAE29">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6D77F8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C93B591">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7400439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4EDF5C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74E740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349717D">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2299" w:type="dxa"/>
          </w:tcPr>
          <w:p w14:paraId="625F5DF2">
            <w:pPr>
              <w:keepNext w:val="0"/>
              <w:keepLines w:val="0"/>
              <w:suppressLineNumbers w:val="0"/>
              <w:spacing w:before="0" w:beforeAutospacing="0" w:after="0" w:afterAutospacing="0"/>
              <w:ind w:left="0" w:right="0"/>
              <w:jc w:val="both"/>
              <w:rPr>
                <w:rFonts w:hint="eastAsia" w:ascii="宋体" w:hAnsi="宋体" w:eastAsia="宋体" w:cs="宋体"/>
                <w:color w:val="000000"/>
              </w:rPr>
            </w:pPr>
            <w:r>
              <w:rPr>
                <w:rFonts w:hint="eastAsia" w:ascii="宋体" w:hAnsi="宋体" w:eastAsia="宋体" w:cs="宋体"/>
                <w:color w:val="000000"/>
                <w:lang w:val="en-US" w:eastAsia="zh-CN"/>
              </w:rPr>
              <w:t>投标人应根据本企业的成本自行决定报价，该费用为含税价，已包含履行本项目服务内容所需的一切费用。评标委员会认为投标人的报价明显低于其他通过符合性审查投标人的报价，有可能影响服务质量或不能诚信履约的，将会要求该投标人在评标现场合理的时间内提供书面说明，必要时提交相应的证明材料。投标人不能证明其报价合理性的，评标委员会应将其作为无效投标处理</w:t>
            </w:r>
          </w:p>
        </w:tc>
        <w:tc>
          <w:tcPr>
            <w:tcW w:w="2624" w:type="dxa"/>
            <w:gridSpan w:val="2"/>
          </w:tcPr>
          <w:p w14:paraId="33A34D9E">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8D0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E45E1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D3F027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5E05AF1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64BABD3">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5162C5F0">
            <w:pPr>
              <w:keepNext w:val="0"/>
              <w:keepLines w:val="0"/>
              <w:suppressLineNumbers w:val="0"/>
              <w:spacing w:before="0" w:beforeAutospacing="0" w:after="0" w:afterAutospacing="0"/>
              <w:ind w:left="0" w:right="0"/>
              <w:jc w:val="left"/>
              <w:rPr>
                <w:rFonts w:hint="eastAsia" w:eastAsia="宋体" w:cs="Times New Roman"/>
                <w:lang w:val="en-US" w:eastAsia="zh-CN"/>
              </w:rPr>
            </w:pPr>
            <w:r>
              <w:rPr>
                <w:rFonts w:hint="eastAsia" w:eastAsia="宋体" w:cs="Times New Roman"/>
                <w:lang w:val="en-US" w:eastAsia="zh-CN"/>
              </w:rPr>
              <w:t>投标人不得期望通过索赔等方式获得补偿，否则除可能遭到拒绝外，还可能将视为不良行为记录在案，并可能影响其以后参加我院的项目投标。各投标人在报价时应充分考虑报价的风险。</w:t>
            </w:r>
          </w:p>
        </w:tc>
        <w:tc>
          <w:tcPr>
            <w:tcW w:w="2624" w:type="dxa"/>
            <w:gridSpan w:val="2"/>
          </w:tcPr>
          <w:p w14:paraId="49D1C3AD">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2A650B5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438CE5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5A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vAlign w:val="top"/>
          </w:tcPr>
          <w:p w14:paraId="3D202810">
            <w:pPr>
              <w:keepNext w:val="0"/>
              <w:keepLines w:val="0"/>
              <w:suppressLineNumbers w:val="0"/>
              <w:spacing w:before="0" w:beforeAutospacing="0" w:after="0" w:afterAutospacing="0"/>
              <w:ind w:left="0" w:leftChars="0" w:right="0" w:rightChars="0"/>
              <w:rPr>
                <w:rFonts w:hint="eastAsia" w:ascii="宋体" w:hAnsi="宋体" w:cs="Times New Roman"/>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九）</w:t>
            </w:r>
            <w:r>
              <w:rPr>
                <w:rFonts w:hint="default" w:ascii="宋体" w:hAnsi="宋体"/>
                <w:szCs w:val="21"/>
              </w:rPr>
              <w:t>【</w:t>
            </w:r>
            <w:r>
              <w:rPr>
                <w:rFonts w:hint="eastAsia" w:ascii="宋体" w:hAnsi="宋体" w:eastAsia="宋体"/>
                <w:b/>
                <w:szCs w:val="21"/>
                <w:lang w:val="en-US" w:eastAsia="zh-CN"/>
              </w:rPr>
              <w:t>付款方式</w:t>
            </w:r>
            <w:r>
              <w:rPr>
                <w:rFonts w:hint="default" w:ascii="宋体" w:hAnsi="宋体"/>
                <w:b/>
                <w:szCs w:val="21"/>
              </w:rPr>
              <w:t>】</w:t>
            </w:r>
          </w:p>
        </w:tc>
      </w:tr>
      <w:tr w14:paraId="4403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top"/>
          </w:tcPr>
          <w:p w14:paraId="64C22F89">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72298FD">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C002EF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35923790">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1FA9B0C">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5EDFFC8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37CEB0A9">
            <w:pPr>
              <w:keepNext w:val="0"/>
              <w:keepLines w:val="0"/>
              <w:suppressLineNumbers w:val="0"/>
              <w:spacing w:before="0" w:beforeAutospacing="0" w:after="0" w:afterAutospacing="0"/>
              <w:ind w:left="0" w:leftChars="0" w:right="0" w:rightChars="0"/>
              <w:jc w:val="center"/>
              <w:rPr>
                <w:rFonts w:hint="default" w:ascii="宋体" w:hAnsi="宋体" w:eastAsia="宋体" w:cs="Times New Roman"/>
                <w:szCs w:val="21"/>
                <w:lang w:val="en-US" w:eastAsia="zh-CN"/>
              </w:rPr>
            </w:pPr>
            <w:r>
              <w:rPr>
                <w:rFonts w:hint="eastAsia" w:ascii="宋体" w:hAnsi="宋体" w:cs="宋体"/>
                <w:color w:val="000000"/>
                <w:lang w:val="en-US" w:eastAsia="zh-CN"/>
              </w:rPr>
              <w:t>/</w:t>
            </w:r>
          </w:p>
        </w:tc>
        <w:tc>
          <w:tcPr>
            <w:tcW w:w="2299" w:type="dxa"/>
            <w:vAlign w:val="top"/>
          </w:tcPr>
          <w:p w14:paraId="6AC604DB">
            <w:pPr>
              <w:keepNext w:val="0"/>
              <w:keepLines w:val="0"/>
              <w:suppressLineNumbers w:val="0"/>
              <w:spacing w:before="0" w:beforeAutospacing="0" w:after="0" w:afterAutospacing="0"/>
              <w:ind w:left="0" w:leftChars="0" w:right="0" w:rightChars="0"/>
              <w:jc w:val="both"/>
              <w:rPr>
                <w:rFonts w:hint="eastAsia" w:ascii="宋体" w:hAnsi="宋体" w:eastAsia="宋体" w:cs="Times New Roman"/>
                <w:szCs w:val="21"/>
                <w:lang w:val="en-US" w:eastAsia="zh-CN"/>
              </w:rPr>
            </w:pPr>
            <w:r>
              <w:rPr>
                <w:rFonts w:hint="eastAsia" w:ascii="宋体" w:hAnsi="宋体" w:eastAsia="宋体" w:cs="宋体"/>
                <w:color w:val="000000"/>
              </w:rPr>
              <w:t>根据上月考勤、考核数据，按每月实际使用的派遣人员人数结算当月服务费，该人数以双方签字的交接清单载明的人数为准，如派遣人员工作不满一个月，其服务费按实际在职天数结算，计算方法：派遣管理服务费/自然月天数×员工在职天数</w:t>
            </w:r>
          </w:p>
        </w:tc>
        <w:tc>
          <w:tcPr>
            <w:tcW w:w="2624" w:type="dxa"/>
            <w:gridSpan w:val="2"/>
            <w:vAlign w:val="top"/>
          </w:tcPr>
          <w:p w14:paraId="775C3DA9">
            <w:pPr>
              <w:keepNext w:val="0"/>
              <w:keepLines w:val="0"/>
              <w:suppressLineNumbers w:val="0"/>
              <w:spacing w:before="0" w:beforeAutospacing="0" w:after="0" w:afterAutospacing="0"/>
              <w:ind w:left="0" w:leftChars="0" w:right="0" w:rightChars="0"/>
              <w:jc w:val="left"/>
              <w:rPr>
                <w:rFonts w:hint="eastAsia" w:ascii="宋体" w:hAnsi="宋体" w:eastAsia="宋体" w:cs="Times New Roman"/>
                <w:szCs w:val="21"/>
                <w:lang w:val="en-US" w:eastAsia="zh-CN"/>
              </w:rPr>
            </w:pPr>
          </w:p>
        </w:tc>
        <w:tc>
          <w:tcPr>
            <w:tcW w:w="1890" w:type="dxa"/>
            <w:gridSpan w:val="2"/>
            <w:vAlign w:val="top"/>
          </w:tcPr>
          <w:p w14:paraId="18782B5E">
            <w:pPr>
              <w:keepNext w:val="0"/>
              <w:keepLines w:val="0"/>
              <w:suppressLineNumbers w:val="0"/>
              <w:spacing w:before="0" w:beforeAutospacing="0" w:after="0" w:afterAutospacing="0"/>
              <w:ind w:left="0" w:leftChars="0" w:right="0" w:rightChars="0"/>
              <w:rPr>
                <w:rFonts w:hint="eastAsia" w:ascii="宋体" w:hAnsi="宋体" w:eastAsia="宋体" w:cs="Times New Roman"/>
                <w:szCs w:val="21"/>
                <w:lang w:val="en-US" w:eastAsia="zh-CN"/>
              </w:rPr>
            </w:pPr>
          </w:p>
        </w:tc>
        <w:tc>
          <w:tcPr>
            <w:tcW w:w="1157" w:type="dxa"/>
            <w:vAlign w:val="top"/>
          </w:tcPr>
          <w:p w14:paraId="70B8747A">
            <w:pPr>
              <w:keepNext w:val="0"/>
              <w:keepLines w:val="0"/>
              <w:suppressLineNumbers w:val="0"/>
              <w:spacing w:before="0" w:beforeAutospacing="0" w:after="0" w:afterAutospacing="0"/>
              <w:ind w:left="0" w:leftChars="0" w:right="0" w:rightChars="0"/>
              <w:rPr>
                <w:rFonts w:hint="eastAsia" w:ascii="宋体" w:hAnsi="宋体" w:eastAsia="宋体" w:cs="Times New Roman"/>
                <w:szCs w:val="21"/>
                <w:lang w:val="en-US" w:eastAsia="zh-CN"/>
              </w:rPr>
            </w:pPr>
          </w:p>
        </w:tc>
      </w:tr>
      <w:tr w14:paraId="545C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0C1C04C5">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cs="Times New Roman"/>
                <w:b/>
                <w:bCs/>
                <w:szCs w:val="21"/>
                <w:lang w:val="en-US" w:eastAsia="zh-CN"/>
              </w:rPr>
              <w:t>（十)</w:t>
            </w:r>
            <w:r>
              <w:rPr>
                <w:rFonts w:hint="eastAsia"/>
                <w:b/>
                <w:bCs/>
                <w:lang w:val="en-US" w:eastAsia="zh-CN"/>
              </w:rPr>
              <w:t>自主知识产权要求：</w:t>
            </w:r>
          </w:p>
        </w:tc>
      </w:tr>
      <w:tr w14:paraId="08CC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49CAC27">
            <w:pPr>
              <w:keepNext w:val="0"/>
              <w:keepLines w:val="0"/>
              <w:suppressLineNumbers w:val="0"/>
              <w:spacing w:before="0" w:beforeAutospacing="0" w:after="0" w:afterAutospacing="0"/>
              <w:ind w:left="0" w:right="0" w:firstLine="210" w:firstLineChars="100"/>
              <w:jc w:val="both"/>
              <w:rPr>
                <w:rFonts w:hint="eastAsia" w:ascii="宋体" w:hAnsi="宋体" w:cs="Times New Roman"/>
                <w:szCs w:val="21"/>
                <w:lang w:val="en-US" w:eastAsia="zh-CN"/>
              </w:rPr>
            </w:pPr>
          </w:p>
          <w:p w14:paraId="630533F6">
            <w:pPr>
              <w:keepNext w:val="0"/>
              <w:keepLines w:val="0"/>
              <w:suppressLineNumbers w:val="0"/>
              <w:spacing w:before="0" w:beforeAutospacing="0" w:after="0" w:afterAutospacing="0"/>
              <w:ind w:left="0" w:right="0" w:firstLine="210" w:firstLineChars="100"/>
              <w:jc w:val="both"/>
              <w:rPr>
                <w:rFonts w:hint="eastAsia" w:ascii="宋体" w:hAnsi="宋体" w:cs="Times New Roman"/>
                <w:szCs w:val="21"/>
                <w:lang w:val="en-US" w:eastAsia="zh-CN"/>
              </w:rPr>
            </w:pPr>
          </w:p>
          <w:p w14:paraId="75C12C1A">
            <w:pPr>
              <w:keepNext w:val="0"/>
              <w:keepLines w:val="0"/>
              <w:suppressLineNumbers w:val="0"/>
              <w:spacing w:before="0" w:beforeAutospacing="0" w:after="0" w:afterAutospacing="0"/>
              <w:ind w:left="0" w:right="0" w:firstLine="210" w:firstLineChars="100"/>
              <w:jc w:val="both"/>
              <w:rPr>
                <w:rFonts w:hint="eastAsia" w:ascii="宋体" w:hAnsi="宋体" w:cs="Times New Roman"/>
                <w:szCs w:val="21"/>
                <w:lang w:val="en-US" w:eastAsia="zh-CN"/>
              </w:rPr>
            </w:pPr>
          </w:p>
          <w:p w14:paraId="5B587FCD">
            <w:pPr>
              <w:keepNext w:val="0"/>
              <w:keepLines w:val="0"/>
              <w:suppressLineNumbers w:val="0"/>
              <w:spacing w:before="0" w:beforeAutospacing="0" w:after="0" w:afterAutospacing="0"/>
              <w:ind w:right="0"/>
              <w:jc w:val="center"/>
              <w:rPr>
                <w:rFonts w:hint="default" w:ascii="宋体" w:hAnsi="宋体" w:cs="Times New Roman"/>
                <w:szCs w:val="21"/>
                <w:lang w:val="en-US" w:eastAsia="zh-CN"/>
              </w:rPr>
            </w:pPr>
            <w:r>
              <w:rPr>
                <w:rFonts w:hint="eastAsia" w:ascii="宋体" w:hAnsi="宋体" w:cs="Times New Roman"/>
                <w:szCs w:val="21"/>
                <w:lang w:val="en-US" w:eastAsia="zh-CN"/>
              </w:rPr>
              <w:t>/</w:t>
            </w:r>
          </w:p>
        </w:tc>
        <w:tc>
          <w:tcPr>
            <w:tcW w:w="2299" w:type="dxa"/>
          </w:tcPr>
          <w:p w14:paraId="48AABF74">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1.投标人具有“劳务派遣”类软件著作权登记证书；2.投标人具有“人力外包”类软件著作权登记证书；3.投标人具有“人力资源测评”类软件著作权登记证书。</w:t>
            </w:r>
          </w:p>
        </w:tc>
        <w:tc>
          <w:tcPr>
            <w:tcW w:w="2624" w:type="dxa"/>
            <w:gridSpan w:val="2"/>
          </w:tcPr>
          <w:p w14:paraId="5E67BE0A">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890" w:type="dxa"/>
            <w:gridSpan w:val="2"/>
          </w:tcPr>
          <w:p w14:paraId="39B2B1D6">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157" w:type="dxa"/>
          </w:tcPr>
          <w:p w14:paraId="4E3DEFD3">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r>
      <w:tr w14:paraId="0F33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31A0438">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b/>
                <w:bCs/>
                <w:lang w:val="en-US" w:eastAsia="zh-CN"/>
              </w:rPr>
              <w:t>（十一）★其他要求：</w:t>
            </w:r>
          </w:p>
        </w:tc>
      </w:tr>
      <w:tr w14:paraId="02EE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1210730">
            <w:pPr>
              <w:keepNext w:val="0"/>
              <w:keepLines w:val="0"/>
              <w:suppressLineNumbers w:val="0"/>
              <w:spacing w:before="0" w:beforeAutospacing="0" w:after="0" w:afterAutospacing="0"/>
              <w:ind w:left="0" w:right="0" w:firstLine="210" w:firstLineChars="100"/>
              <w:jc w:val="both"/>
              <w:rPr>
                <w:rFonts w:hint="default" w:ascii="宋体" w:hAnsi="宋体" w:cs="Times New Roman"/>
                <w:szCs w:val="21"/>
                <w:lang w:val="en-US" w:eastAsia="zh-CN"/>
              </w:rPr>
            </w:pPr>
            <w:r>
              <w:rPr>
                <w:rFonts w:hint="eastAsia" w:ascii="宋体" w:hAnsi="宋体" w:cs="Times New Roman"/>
                <w:szCs w:val="21"/>
                <w:lang w:val="en-US" w:eastAsia="zh-CN"/>
              </w:rPr>
              <w:t>/</w:t>
            </w:r>
          </w:p>
        </w:tc>
        <w:tc>
          <w:tcPr>
            <w:tcW w:w="2299" w:type="dxa"/>
          </w:tcPr>
          <w:p w14:paraId="3CCAD16D">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1.投标方须配合采购单位对证明文件进行核证；</w:t>
            </w:r>
          </w:p>
          <w:p w14:paraId="505B34CA">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2.劳务派遣人员的待遇由采购单位根据工作岗位要求确定，采购单位不包住宿；</w:t>
            </w:r>
          </w:p>
          <w:p w14:paraId="1BA170EF">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3.派遣人员的工资、社会保险缴费基数和险及住房公积金缴存基数和比例均按采购单位相应的薪酬福利方案及缴存标准执行，并视深圳市有关规定作相应调整；</w:t>
            </w:r>
          </w:p>
          <w:p w14:paraId="20376FB9">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4.项目款项按照财政委员会有关规定进行支付；</w:t>
            </w:r>
          </w:p>
          <w:p w14:paraId="7B449834">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5.中标单位不得将项目非法分包或转包给任何单位和个人。否则，采购单位有权即刻终止合同，并要求中标单位赔偿相应损失；</w:t>
            </w:r>
          </w:p>
          <w:p w14:paraId="65F7CD0D">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6.中标单位必须按照与采购单位约定的工资标准按时、足额支付劳务派遣人员工资并缴纳社会保险、缴存住房公积金、发放福利等。否则，采购单位有权从中标单位的管理服务费中扣除相应的金额，扣除不足，采购单位将通过法律途径进行追索。</w:t>
            </w:r>
          </w:p>
        </w:tc>
        <w:tc>
          <w:tcPr>
            <w:tcW w:w="2624" w:type="dxa"/>
            <w:gridSpan w:val="2"/>
          </w:tcPr>
          <w:p w14:paraId="3F7EF714">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890" w:type="dxa"/>
            <w:gridSpan w:val="2"/>
          </w:tcPr>
          <w:p w14:paraId="5639C6D8">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157" w:type="dxa"/>
          </w:tcPr>
          <w:p w14:paraId="685616F3">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EE366FD">
      <w:pPr>
        <w:outlineLvl w:val="0"/>
        <w:rPr>
          <w:rFonts w:hint="eastAsia" w:ascii="宋体" w:hAnsi="宋体" w:cs="宋体"/>
          <w:b/>
          <w:bCs/>
          <w:color w:val="FF0000"/>
          <w:sz w:val="24"/>
          <w:szCs w:val="24"/>
          <w:lang w:val="en-US" w:eastAsia="zh-CN"/>
        </w:rPr>
      </w:pPr>
      <w:r>
        <w:rPr>
          <w:rFonts w:hint="eastAsia" w:ascii="宋体" w:hAnsi="宋体" w:eastAsia="宋体" w:cs="宋体"/>
          <w:color w:val="000000"/>
        </w:rPr>
        <w:t>职务:</w:t>
      </w: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435515295"/>
      <w:bookmarkStart w:id="7" w:name="_Toc24650"/>
      <w:bookmarkStart w:id="8" w:name="_Toc435514855"/>
      <w:bookmarkStart w:id="9" w:name="_Toc17479"/>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default"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人力资源服务许可证和劳务派遣经营许可证</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12、</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5"/>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13、</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5"/>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4</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5</w:t>
      </w:r>
      <w:r>
        <w:rPr>
          <w:rFonts w:hint="eastAsia" w:ascii="宋体" w:hAnsi="宋体" w:eastAsia="宋体" w:cs="Times New Roman"/>
          <w:b/>
          <w:sz w:val="24"/>
          <w:szCs w:val="24"/>
          <w:lang w:val="en-US" w:eastAsia="zh-CN"/>
        </w:rPr>
        <w:t>､项目重点难点分析、应对措施及相关的合理化建议（按评分表要求提供）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A00D8A3">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6</w:t>
      </w:r>
      <w:r>
        <w:rPr>
          <w:rFonts w:hint="eastAsia" w:ascii="宋体" w:hAnsi="宋体" w:eastAsia="宋体" w:cs="Times New Roman"/>
          <w:b/>
          <w:sz w:val="24"/>
          <w:szCs w:val="24"/>
          <w:lang w:val="en-US" w:eastAsia="zh-CN"/>
        </w:rPr>
        <w:t>､项目重点难点分析、应对措施及相关的合理化建议（按评分表要求提供）</w:t>
      </w:r>
    </w:p>
    <w:p w14:paraId="3D1E662F">
      <w:pPr>
        <w:pStyle w:val="2"/>
        <w:rPr>
          <w:rFonts w:hint="eastAsia" w:ascii="宋体" w:hAnsi="宋体" w:eastAsia="宋体" w:cs="Times New Roman"/>
          <w:b/>
          <w:sz w:val="24"/>
          <w:szCs w:val="24"/>
          <w:lang w:val="en-US" w:eastAsia="zh-CN"/>
        </w:rPr>
      </w:pPr>
    </w:p>
    <w:p w14:paraId="10D25DAB">
      <w:pPr>
        <w:pStyle w:val="2"/>
        <w:rPr>
          <w:rFonts w:hint="eastAsia" w:ascii="宋体" w:hAnsi="宋体" w:eastAsia="宋体" w:cs="Times New Roman"/>
          <w:b/>
          <w:sz w:val="24"/>
          <w:szCs w:val="24"/>
          <w:lang w:val="en-US" w:eastAsia="zh-CN"/>
        </w:rPr>
      </w:pPr>
    </w:p>
    <w:p w14:paraId="30BA7238">
      <w:pPr>
        <w:pStyle w:val="2"/>
        <w:rPr>
          <w:rFonts w:hint="eastAsia" w:ascii="宋体" w:hAnsi="宋体" w:eastAsia="宋体" w:cs="Times New Roman"/>
          <w:b/>
          <w:sz w:val="24"/>
          <w:szCs w:val="24"/>
          <w:lang w:val="en-US" w:eastAsia="zh-CN"/>
        </w:rPr>
      </w:pPr>
    </w:p>
    <w:p w14:paraId="7C958DBC">
      <w:pPr>
        <w:pStyle w:val="2"/>
        <w:rPr>
          <w:rFonts w:hint="eastAsia" w:ascii="宋体" w:hAnsi="宋体" w:eastAsia="宋体" w:cs="Times New Roman"/>
          <w:b/>
          <w:sz w:val="24"/>
          <w:szCs w:val="24"/>
          <w:lang w:val="en-US" w:eastAsia="zh-CN"/>
        </w:rPr>
      </w:pPr>
    </w:p>
    <w:p w14:paraId="70601C05">
      <w:pPr>
        <w:pStyle w:val="2"/>
        <w:rPr>
          <w:rFonts w:hint="eastAsia" w:ascii="宋体" w:hAnsi="宋体" w:eastAsia="宋体" w:cs="Times New Roman"/>
          <w:b/>
          <w:sz w:val="24"/>
          <w:szCs w:val="24"/>
          <w:lang w:val="en-US" w:eastAsia="zh-CN"/>
        </w:rPr>
      </w:pPr>
    </w:p>
    <w:p w14:paraId="26B27821">
      <w:pPr>
        <w:pStyle w:val="2"/>
        <w:rPr>
          <w:rFonts w:hint="eastAsia" w:ascii="宋体" w:hAnsi="宋体" w:eastAsia="宋体" w:cs="Times New Roman"/>
          <w:b/>
          <w:sz w:val="24"/>
          <w:szCs w:val="24"/>
          <w:lang w:val="en-US" w:eastAsia="zh-CN"/>
        </w:rPr>
      </w:pPr>
    </w:p>
    <w:p w14:paraId="1FEB4B50">
      <w:pPr>
        <w:pStyle w:val="2"/>
        <w:rPr>
          <w:rFonts w:hint="eastAsia" w:ascii="宋体" w:hAnsi="宋体" w:eastAsia="宋体" w:cs="Times New Roman"/>
          <w:b/>
          <w:sz w:val="24"/>
          <w:szCs w:val="24"/>
          <w:lang w:val="en-US" w:eastAsia="zh-CN"/>
        </w:rPr>
      </w:pPr>
    </w:p>
    <w:p w14:paraId="2F2DB448">
      <w:pPr>
        <w:pStyle w:val="2"/>
        <w:rPr>
          <w:rFonts w:hint="eastAsia" w:ascii="宋体" w:hAnsi="宋体" w:eastAsia="宋体" w:cs="Times New Roman"/>
          <w:b/>
          <w:sz w:val="24"/>
          <w:szCs w:val="24"/>
          <w:lang w:val="en-US" w:eastAsia="zh-CN"/>
        </w:rPr>
      </w:pPr>
    </w:p>
    <w:p w14:paraId="7ABF268C">
      <w:pPr>
        <w:pStyle w:val="2"/>
        <w:rPr>
          <w:rFonts w:hint="eastAsia" w:ascii="宋体" w:hAnsi="宋体" w:eastAsia="宋体" w:cs="Times New Roman"/>
          <w:b/>
          <w:sz w:val="24"/>
          <w:szCs w:val="24"/>
          <w:lang w:val="en-US" w:eastAsia="zh-CN"/>
        </w:rPr>
      </w:pPr>
    </w:p>
    <w:p w14:paraId="1A763419">
      <w:pPr>
        <w:pStyle w:val="2"/>
        <w:rPr>
          <w:rFonts w:hint="eastAsia" w:ascii="宋体" w:hAnsi="宋体" w:eastAsia="宋体" w:cs="Times New Roman"/>
          <w:b/>
          <w:sz w:val="24"/>
          <w:szCs w:val="24"/>
          <w:lang w:val="en-US" w:eastAsia="zh-CN"/>
        </w:rPr>
      </w:pPr>
    </w:p>
    <w:p w14:paraId="1CCAFC84">
      <w:pPr>
        <w:pStyle w:val="2"/>
        <w:rPr>
          <w:rFonts w:hint="eastAsia" w:ascii="宋体" w:hAnsi="宋体" w:eastAsia="宋体" w:cs="Times New Roman"/>
          <w:b/>
          <w:sz w:val="24"/>
          <w:szCs w:val="24"/>
          <w:lang w:val="en-US" w:eastAsia="zh-CN"/>
        </w:rPr>
      </w:pPr>
    </w:p>
    <w:p w14:paraId="04D078A9">
      <w:pPr>
        <w:pStyle w:val="2"/>
        <w:rPr>
          <w:rFonts w:hint="eastAsia" w:ascii="宋体" w:hAnsi="宋体" w:eastAsia="宋体" w:cs="Times New Roman"/>
          <w:b/>
          <w:sz w:val="24"/>
          <w:szCs w:val="24"/>
          <w:lang w:val="en-US" w:eastAsia="zh-CN"/>
        </w:rPr>
      </w:pPr>
    </w:p>
    <w:p w14:paraId="7942F4AD">
      <w:pPr>
        <w:pStyle w:val="2"/>
        <w:rPr>
          <w:rFonts w:hint="eastAsia" w:ascii="宋体" w:hAnsi="宋体" w:eastAsia="宋体" w:cs="Times New Roman"/>
          <w:b/>
          <w:sz w:val="24"/>
          <w:szCs w:val="24"/>
          <w:lang w:val="en-US" w:eastAsia="zh-CN"/>
        </w:rPr>
      </w:pPr>
    </w:p>
    <w:p w14:paraId="4AF8F07E">
      <w:pPr>
        <w:pStyle w:val="2"/>
        <w:rPr>
          <w:rFonts w:hint="eastAsia" w:ascii="宋体" w:hAnsi="宋体" w:eastAsia="宋体" w:cs="Times New Roman"/>
          <w:b/>
          <w:sz w:val="24"/>
          <w:szCs w:val="24"/>
          <w:lang w:val="en-US" w:eastAsia="zh-CN"/>
        </w:rPr>
      </w:pPr>
    </w:p>
    <w:p w14:paraId="32A9646D">
      <w:pPr>
        <w:pStyle w:val="2"/>
        <w:rPr>
          <w:rFonts w:hint="eastAsia" w:ascii="宋体" w:hAnsi="宋体" w:eastAsia="宋体" w:cs="Times New Roman"/>
          <w:b/>
          <w:sz w:val="24"/>
          <w:szCs w:val="24"/>
          <w:lang w:val="en-US" w:eastAsia="zh-CN"/>
        </w:rPr>
      </w:pPr>
    </w:p>
    <w:p w14:paraId="2E522D0E">
      <w:pPr>
        <w:pStyle w:val="2"/>
        <w:rPr>
          <w:rFonts w:hint="eastAsia" w:ascii="宋体" w:hAnsi="宋体" w:eastAsia="宋体" w:cs="Times New Roman"/>
          <w:b/>
          <w:sz w:val="24"/>
          <w:szCs w:val="24"/>
          <w:lang w:val="en-US" w:eastAsia="zh-CN"/>
        </w:rPr>
      </w:pPr>
    </w:p>
    <w:p w14:paraId="6827DCC6">
      <w:pPr>
        <w:pStyle w:val="2"/>
        <w:rPr>
          <w:rFonts w:hint="eastAsia" w:ascii="宋体" w:hAnsi="宋体" w:eastAsia="宋体" w:cs="Times New Roman"/>
          <w:b/>
          <w:sz w:val="24"/>
          <w:szCs w:val="24"/>
          <w:lang w:val="en-US" w:eastAsia="zh-CN"/>
        </w:rPr>
      </w:pPr>
    </w:p>
    <w:p w14:paraId="256E4FFF">
      <w:pPr>
        <w:pStyle w:val="2"/>
        <w:rPr>
          <w:rFonts w:hint="eastAsia" w:ascii="宋体" w:hAnsi="宋体" w:eastAsia="宋体" w:cs="Times New Roman"/>
          <w:b/>
          <w:sz w:val="24"/>
          <w:szCs w:val="24"/>
          <w:lang w:val="en-US" w:eastAsia="zh-CN"/>
        </w:rPr>
      </w:pPr>
    </w:p>
    <w:p w14:paraId="716319F6">
      <w:pPr>
        <w:pStyle w:val="2"/>
        <w:rPr>
          <w:rFonts w:hint="eastAsia" w:ascii="宋体" w:hAnsi="宋体" w:eastAsia="宋体" w:cs="Times New Roman"/>
          <w:b/>
          <w:sz w:val="24"/>
          <w:szCs w:val="24"/>
          <w:lang w:val="en-US" w:eastAsia="zh-CN"/>
        </w:rPr>
      </w:pPr>
    </w:p>
    <w:p w14:paraId="6408B5FD">
      <w:pPr>
        <w:pStyle w:val="2"/>
        <w:rPr>
          <w:rFonts w:hint="eastAsia" w:ascii="宋体" w:hAnsi="宋体" w:eastAsia="宋体" w:cs="Times New Roman"/>
          <w:b/>
          <w:sz w:val="24"/>
          <w:szCs w:val="24"/>
          <w:lang w:val="en-US" w:eastAsia="zh-CN"/>
        </w:rPr>
      </w:pPr>
    </w:p>
    <w:p w14:paraId="5D2BB3FD">
      <w:pPr>
        <w:pStyle w:val="2"/>
        <w:rPr>
          <w:rFonts w:hint="eastAsia" w:ascii="宋体" w:hAnsi="宋体" w:eastAsia="宋体" w:cs="Times New Roman"/>
          <w:b/>
          <w:sz w:val="24"/>
          <w:szCs w:val="24"/>
          <w:lang w:val="en-US" w:eastAsia="zh-CN"/>
        </w:rPr>
      </w:pPr>
    </w:p>
    <w:p w14:paraId="40172375">
      <w:pPr>
        <w:pStyle w:val="2"/>
        <w:rPr>
          <w:rFonts w:hint="eastAsia" w:ascii="宋体" w:hAnsi="宋体" w:eastAsia="宋体" w:cs="Times New Roman"/>
          <w:b/>
          <w:sz w:val="24"/>
          <w:szCs w:val="24"/>
          <w:lang w:val="en-US" w:eastAsia="zh-CN"/>
        </w:rPr>
      </w:pPr>
    </w:p>
    <w:p w14:paraId="0C79C714">
      <w:pPr>
        <w:pStyle w:val="2"/>
        <w:rPr>
          <w:rFonts w:hint="eastAsia" w:ascii="宋体" w:hAnsi="宋体" w:eastAsia="宋体" w:cs="Times New Roman"/>
          <w:b/>
          <w:sz w:val="24"/>
          <w:szCs w:val="24"/>
          <w:lang w:val="en-US" w:eastAsia="zh-CN"/>
        </w:rPr>
      </w:pPr>
    </w:p>
    <w:p w14:paraId="0B6C6E2E">
      <w:pPr>
        <w:pStyle w:val="2"/>
        <w:rPr>
          <w:rFonts w:hint="eastAsia" w:ascii="宋体" w:hAnsi="宋体" w:eastAsia="宋体" w:cs="Times New Roman"/>
          <w:b/>
          <w:sz w:val="24"/>
          <w:szCs w:val="24"/>
          <w:lang w:val="en-US" w:eastAsia="zh-CN"/>
        </w:rPr>
      </w:pPr>
    </w:p>
    <w:p w14:paraId="3C9D7D7B">
      <w:pPr>
        <w:pStyle w:val="2"/>
        <w:rPr>
          <w:rFonts w:hint="eastAsia" w:ascii="宋体" w:hAnsi="宋体" w:eastAsia="宋体" w:cs="Times New Roman"/>
          <w:b/>
          <w:sz w:val="24"/>
          <w:szCs w:val="24"/>
          <w:lang w:val="en-US" w:eastAsia="zh-CN"/>
        </w:rPr>
      </w:pPr>
    </w:p>
    <w:p w14:paraId="1788B931">
      <w:pPr>
        <w:pStyle w:val="2"/>
        <w:rPr>
          <w:rFonts w:hint="eastAsia" w:ascii="宋体" w:hAnsi="宋体" w:eastAsia="宋体" w:cs="Times New Roman"/>
          <w:b/>
          <w:sz w:val="24"/>
          <w:szCs w:val="24"/>
          <w:lang w:val="en-US" w:eastAsia="zh-CN"/>
        </w:rPr>
      </w:pPr>
    </w:p>
    <w:p w14:paraId="66E57049">
      <w:pPr>
        <w:pStyle w:val="2"/>
        <w:rPr>
          <w:rFonts w:hint="eastAsia" w:ascii="宋体" w:hAnsi="宋体" w:eastAsia="宋体" w:cs="Times New Roman"/>
          <w:b/>
          <w:sz w:val="24"/>
          <w:szCs w:val="24"/>
          <w:lang w:val="en-US" w:eastAsia="zh-CN"/>
        </w:rPr>
      </w:pPr>
    </w:p>
    <w:p w14:paraId="0CB8C8C1">
      <w:pPr>
        <w:pStyle w:val="2"/>
        <w:rPr>
          <w:rFonts w:hint="eastAsia" w:ascii="宋体" w:hAnsi="宋体" w:eastAsia="宋体" w:cs="Times New Roman"/>
          <w:b/>
          <w:sz w:val="24"/>
          <w:szCs w:val="24"/>
          <w:lang w:val="en-US" w:eastAsia="zh-CN"/>
        </w:rPr>
      </w:pPr>
    </w:p>
    <w:p w14:paraId="7C45F996">
      <w:pPr>
        <w:pStyle w:val="2"/>
        <w:jc w:val="center"/>
        <w:rPr>
          <w:rFonts w:hint="eastAsia" w:ascii="宋体" w:hAnsi="宋体" w:eastAsia="宋体" w:cs="Times New Roman"/>
          <w:b/>
          <w:sz w:val="24"/>
          <w:szCs w:val="24"/>
          <w:lang w:val="en-US" w:eastAsia="zh-CN"/>
        </w:rPr>
      </w:pPr>
      <w:r>
        <w:rPr>
          <w:rFonts w:hint="eastAsia" w:ascii="宋体" w:hAnsi="宋体"/>
          <w:b/>
          <w:sz w:val="24"/>
          <w:szCs w:val="24"/>
          <w:lang w:val="en-US" w:eastAsia="zh-CN"/>
        </w:rPr>
        <w:t>17</w:t>
      </w:r>
      <w:r>
        <w:rPr>
          <w:rFonts w:hint="eastAsia" w:ascii="宋体" w:hAnsi="宋体"/>
          <w:b/>
          <w:sz w:val="24"/>
          <w:szCs w:val="24"/>
        </w:rPr>
        <w:t>、</w:t>
      </w:r>
      <w:r>
        <w:rPr>
          <w:rFonts w:hint="eastAsia" w:ascii="宋体" w:hAnsi="宋体" w:eastAsia="宋体" w:cs="Times New Roman"/>
          <w:b/>
          <w:sz w:val="24"/>
          <w:szCs w:val="24"/>
          <w:lang w:val="en-US" w:eastAsia="zh-CN"/>
        </w:rPr>
        <w:t>违约承诺（按评分表要求提供）</w:t>
      </w:r>
    </w:p>
    <w:p w14:paraId="2A4204F8">
      <w:pPr>
        <w:pStyle w:val="2"/>
        <w:rPr>
          <w:rFonts w:hint="eastAsia" w:ascii="宋体" w:hAnsi="宋体" w:eastAsia="宋体" w:cs="Times New Roman"/>
          <w:b/>
          <w:sz w:val="24"/>
          <w:szCs w:val="24"/>
          <w:lang w:val="en-US" w:eastAsia="zh-CN"/>
        </w:rPr>
      </w:pPr>
    </w:p>
    <w:p w14:paraId="5B48D585">
      <w:pPr>
        <w:pStyle w:val="2"/>
        <w:rPr>
          <w:rFonts w:hint="eastAsia" w:ascii="宋体" w:hAnsi="宋体" w:eastAsia="宋体" w:cs="Times New Roman"/>
          <w:b/>
          <w:sz w:val="24"/>
          <w:szCs w:val="24"/>
          <w:lang w:val="en-US" w:eastAsia="zh-CN"/>
        </w:rPr>
      </w:pPr>
    </w:p>
    <w:p w14:paraId="3591B738">
      <w:pPr>
        <w:spacing w:line="360" w:lineRule="auto"/>
        <w:ind w:left="-270" w:leftChars="-257" w:right="-517" w:rightChars="-246" w:hanging="270" w:hangingChars="112"/>
        <w:jc w:val="center"/>
        <w:rPr>
          <w:rFonts w:hint="eastAsia" w:ascii="宋体" w:hAnsi="宋体"/>
          <w:b/>
          <w:sz w:val="24"/>
          <w:szCs w:val="24"/>
          <w:lang w:val="en-US" w:eastAsia="zh-CN"/>
        </w:rPr>
      </w:pPr>
    </w:p>
    <w:p w14:paraId="1EFFE41F">
      <w:pPr>
        <w:spacing w:line="360" w:lineRule="auto"/>
        <w:ind w:left="-270" w:leftChars="-257" w:right="-517" w:rightChars="-246" w:hanging="270" w:hangingChars="112"/>
        <w:jc w:val="center"/>
        <w:rPr>
          <w:rFonts w:hint="eastAsia" w:ascii="宋体" w:hAnsi="宋体"/>
          <w:b/>
          <w:sz w:val="24"/>
          <w:szCs w:val="24"/>
          <w:lang w:val="en-US" w:eastAsia="zh-CN"/>
        </w:rPr>
      </w:pPr>
    </w:p>
    <w:p w14:paraId="1F63664A">
      <w:pPr>
        <w:spacing w:line="360" w:lineRule="auto"/>
        <w:ind w:left="-270" w:leftChars="-257" w:right="-517" w:rightChars="-246" w:hanging="270" w:hangingChars="112"/>
        <w:jc w:val="center"/>
        <w:rPr>
          <w:rFonts w:hint="eastAsia" w:ascii="宋体" w:hAnsi="宋体"/>
          <w:b/>
          <w:sz w:val="24"/>
          <w:szCs w:val="24"/>
          <w:lang w:val="en-US" w:eastAsia="zh-CN"/>
        </w:rPr>
      </w:pPr>
    </w:p>
    <w:p w14:paraId="66A0607E">
      <w:pPr>
        <w:spacing w:line="360" w:lineRule="auto"/>
        <w:ind w:left="-270" w:leftChars="-257" w:right="-517" w:rightChars="-246" w:hanging="270" w:hangingChars="112"/>
        <w:jc w:val="center"/>
        <w:rPr>
          <w:rFonts w:hint="eastAsia" w:ascii="宋体" w:hAnsi="宋体"/>
          <w:b/>
          <w:sz w:val="24"/>
          <w:szCs w:val="24"/>
          <w:lang w:val="en-US" w:eastAsia="zh-CN"/>
        </w:rPr>
      </w:pPr>
    </w:p>
    <w:p w14:paraId="0858EBE5">
      <w:pPr>
        <w:spacing w:line="360" w:lineRule="auto"/>
        <w:ind w:left="-270" w:leftChars="-257" w:right="-517" w:rightChars="-246" w:hanging="270" w:hangingChars="112"/>
        <w:jc w:val="center"/>
        <w:rPr>
          <w:rFonts w:hint="eastAsia" w:ascii="宋体" w:hAnsi="宋体"/>
          <w:b/>
          <w:sz w:val="24"/>
          <w:szCs w:val="24"/>
          <w:lang w:val="en-US" w:eastAsia="zh-CN"/>
        </w:rPr>
      </w:pPr>
    </w:p>
    <w:p w14:paraId="32AA276C">
      <w:pPr>
        <w:spacing w:line="360" w:lineRule="auto"/>
        <w:ind w:left="-270" w:leftChars="-257" w:right="-517" w:rightChars="-246" w:hanging="270" w:hangingChars="112"/>
        <w:jc w:val="center"/>
        <w:rPr>
          <w:rFonts w:hint="eastAsia" w:ascii="宋体" w:hAnsi="宋体"/>
          <w:b/>
          <w:sz w:val="24"/>
          <w:szCs w:val="24"/>
          <w:lang w:val="en-US" w:eastAsia="zh-CN"/>
        </w:rPr>
      </w:pPr>
    </w:p>
    <w:p w14:paraId="374A4201">
      <w:pPr>
        <w:spacing w:line="360" w:lineRule="auto"/>
        <w:ind w:left="-270" w:leftChars="-257" w:right="-517" w:rightChars="-246" w:hanging="270" w:hangingChars="112"/>
        <w:jc w:val="center"/>
        <w:rPr>
          <w:rFonts w:hint="eastAsia" w:ascii="宋体" w:hAnsi="宋体"/>
          <w:b/>
          <w:sz w:val="24"/>
          <w:szCs w:val="24"/>
          <w:lang w:val="en-US" w:eastAsia="zh-CN"/>
        </w:rPr>
      </w:pPr>
    </w:p>
    <w:p w14:paraId="4EB2756A">
      <w:pPr>
        <w:spacing w:line="360" w:lineRule="auto"/>
        <w:ind w:left="-270" w:leftChars="-257" w:right="-517" w:rightChars="-246" w:hanging="270" w:hangingChars="112"/>
        <w:jc w:val="center"/>
        <w:rPr>
          <w:rFonts w:hint="eastAsia" w:ascii="宋体" w:hAnsi="宋体"/>
          <w:b/>
          <w:sz w:val="24"/>
          <w:szCs w:val="24"/>
          <w:lang w:val="en-US" w:eastAsia="zh-CN"/>
        </w:rPr>
      </w:pPr>
    </w:p>
    <w:p w14:paraId="3BCB1D79">
      <w:pPr>
        <w:spacing w:line="360" w:lineRule="auto"/>
        <w:ind w:left="-270" w:leftChars="-257" w:right="-517" w:rightChars="-246" w:hanging="270" w:hangingChars="112"/>
        <w:jc w:val="center"/>
        <w:rPr>
          <w:rFonts w:hint="eastAsia" w:ascii="宋体" w:hAnsi="宋体"/>
          <w:b/>
          <w:sz w:val="24"/>
          <w:szCs w:val="24"/>
          <w:lang w:val="en-US" w:eastAsia="zh-CN"/>
        </w:rPr>
      </w:pPr>
    </w:p>
    <w:p w14:paraId="543BBDCE">
      <w:pPr>
        <w:spacing w:line="360" w:lineRule="auto"/>
        <w:ind w:left="-270" w:leftChars="-257" w:right="-517" w:rightChars="-246" w:hanging="270" w:hangingChars="112"/>
        <w:jc w:val="center"/>
        <w:rPr>
          <w:rFonts w:hint="eastAsia" w:ascii="宋体" w:hAnsi="宋体"/>
          <w:b/>
          <w:sz w:val="24"/>
          <w:szCs w:val="24"/>
          <w:lang w:val="en-US" w:eastAsia="zh-CN"/>
        </w:rPr>
      </w:pPr>
    </w:p>
    <w:p w14:paraId="3CF0AC2D">
      <w:pPr>
        <w:spacing w:line="360" w:lineRule="auto"/>
        <w:ind w:left="-270" w:leftChars="-257" w:right="-517" w:rightChars="-246" w:hanging="270" w:hangingChars="112"/>
        <w:jc w:val="center"/>
        <w:rPr>
          <w:rFonts w:hint="eastAsia" w:ascii="宋体" w:hAnsi="宋体"/>
          <w:b/>
          <w:sz w:val="24"/>
          <w:szCs w:val="24"/>
          <w:lang w:val="en-US" w:eastAsia="zh-CN"/>
        </w:rPr>
      </w:pPr>
    </w:p>
    <w:p w14:paraId="52C3245C">
      <w:pPr>
        <w:spacing w:line="360" w:lineRule="auto"/>
        <w:ind w:left="-270" w:leftChars="-257" w:right="-517" w:rightChars="-246" w:hanging="270" w:hangingChars="112"/>
        <w:jc w:val="center"/>
        <w:rPr>
          <w:rFonts w:hint="eastAsia" w:ascii="宋体" w:hAnsi="宋体"/>
          <w:b/>
          <w:sz w:val="24"/>
          <w:szCs w:val="24"/>
          <w:lang w:val="en-US" w:eastAsia="zh-CN"/>
        </w:rPr>
      </w:pPr>
    </w:p>
    <w:p w14:paraId="2E8E57AB">
      <w:pPr>
        <w:spacing w:line="360" w:lineRule="auto"/>
        <w:ind w:left="-270" w:leftChars="-257" w:right="-517" w:rightChars="-246" w:hanging="270" w:hangingChars="112"/>
        <w:jc w:val="center"/>
        <w:rPr>
          <w:rFonts w:hint="eastAsia" w:ascii="宋体" w:hAnsi="宋体"/>
          <w:b/>
          <w:sz w:val="24"/>
          <w:szCs w:val="24"/>
          <w:lang w:val="en-US" w:eastAsia="zh-CN"/>
        </w:rPr>
      </w:pPr>
    </w:p>
    <w:p w14:paraId="057D9C38">
      <w:pPr>
        <w:spacing w:line="360" w:lineRule="auto"/>
        <w:ind w:left="-270" w:leftChars="-257" w:right="-517" w:rightChars="-246" w:hanging="270" w:hangingChars="112"/>
        <w:jc w:val="center"/>
        <w:rPr>
          <w:rFonts w:hint="eastAsia" w:ascii="宋体" w:hAnsi="宋体"/>
          <w:b/>
          <w:sz w:val="24"/>
          <w:szCs w:val="24"/>
          <w:lang w:val="en-US" w:eastAsia="zh-CN"/>
        </w:rPr>
      </w:pPr>
    </w:p>
    <w:p w14:paraId="0A18E94C">
      <w:pPr>
        <w:spacing w:line="360" w:lineRule="auto"/>
        <w:ind w:left="-270" w:leftChars="-257" w:right="-517" w:rightChars="-246" w:hanging="270" w:hangingChars="112"/>
        <w:jc w:val="center"/>
        <w:rPr>
          <w:rFonts w:hint="eastAsia" w:ascii="宋体" w:hAnsi="宋体"/>
          <w:b/>
          <w:sz w:val="24"/>
          <w:szCs w:val="24"/>
          <w:lang w:val="en-US" w:eastAsia="zh-CN"/>
        </w:rPr>
      </w:pPr>
    </w:p>
    <w:p w14:paraId="66FF3C12">
      <w:pPr>
        <w:spacing w:line="360" w:lineRule="auto"/>
        <w:ind w:left="-270" w:leftChars="-257" w:right="-517" w:rightChars="-246" w:hanging="270" w:hangingChars="112"/>
        <w:jc w:val="center"/>
        <w:rPr>
          <w:rFonts w:hint="eastAsia" w:ascii="宋体" w:hAnsi="宋体"/>
          <w:b/>
          <w:sz w:val="24"/>
          <w:szCs w:val="24"/>
          <w:lang w:val="en-US" w:eastAsia="zh-CN"/>
        </w:rPr>
      </w:pPr>
    </w:p>
    <w:p w14:paraId="220CED5A">
      <w:pPr>
        <w:spacing w:line="360" w:lineRule="auto"/>
        <w:ind w:left="-270" w:leftChars="-257" w:right="-517" w:rightChars="-246" w:hanging="270" w:hangingChars="112"/>
        <w:jc w:val="center"/>
        <w:rPr>
          <w:rFonts w:hint="eastAsia" w:ascii="宋体" w:hAnsi="宋体"/>
          <w:b/>
          <w:sz w:val="24"/>
          <w:szCs w:val="24"/>
          <w:lang w:val="en-US" w:eastAsia="zh-CN"/>
        </w:rPr>
      </w:pPr>
    </w:p>
    <w:p w14:paraId="046C5834">
      <w:pPr>
        <w:spacing w:line="360" w:lineRule="auto"/>
        <w:ind w:left="-270" w:leftChars="-257" w:right="-517" w:rightChars="-246" w:hanging="270" w:hangingChars="112"/>
        <w:jc w:val="center"/>
        <w:rPr>
          <w:rFonts w:hint="eastAsia" w:ascii="宋体" w:hAnsi="宋体"/>
          <w:b/>
          <w:sz w:val="24"/>
          <w:szCs w:val="24"/>
          <w:lang w:val="en-US" w:eastAsia="zh-CN"/>
        </w:rPr>
      </w:pPr>
    </w:p>
    <w:p w14:paraId="15057B3F">
      <w:pPr>
        <w:spacing w:line="360" w:lineRule="auto"/>
        <w:ind w:left="-270" w:leftChars="-257" w:right="-517" w:rightChars="-246" w:hanging="270" w:hangingChars="112"/>
        <w:jc w:val="center"/>
        <w:rPr>
          <w:rFonts w:hint="eastAsia" w:ascii="宋体" w:hAnsi="宋体"/>
          <w:b/>
          <w:sz w:val="24"/>
          <w:szCs w:val="24"/>
          <w:lang w:val="en-US" w:eastAsia="zh-CN"/>
        </w:rPr>
      </w:pPr>
    </w:p>
    <w:p w14:paraId="0A577F35">
      <w:pPr>
        <w:spacing w:line="360" w:lineRule="auto"/>
        <w:ind w:left="-270" w:leftChars="-257" w:right="-517" w:rightChars="-246" w:hanging="270" w:hangingChars="112"/>
        <w:jc w:val="center"/>
        <w:rPr>
          <w:rFonts w:hint="eastAsia" w:ascii="宋体" w:hAnsi="宋体"/>
          <w:b/>
          <w:sz w:val="24"/>
          <w:szCs w:val="24"/>
          <w:lang w:val="en-US" w:eastAsia="zh-CN"/>
        </w:rPr>
      </w:pPr>
    </w:p>
    <w:p w14:paraId="7242176F">
      <w:pPr>
        <w:spacing w:line="360" w:lineRule="auto"/>
        <w:ind w:left="-270" w:leftChars="-257" w:right="-517" w:rightChars="-246" w:hanging="270" w:hangingChars="112"/>
        <w:jc w:val="center"/>
        <w:rPr>
          <w:rFonts w:hint="eastAsia" w:ascii="宋体" w:hAnsi="宋体"/>
          <w:b/>
          <w:sz w:val="24"/>
          <w:szCs w:val="24"/>
          <w:lang w:val="en-US" w:eastAsia="zh-CN"/>
        </w:rPr>
      </w:pPr>
    </w:p>
    <w:p w14:paraId="0A3ECC1A">
      <w:pPr>
        <w:spacing w:line="360" w:lineRule="auto"/>
        <w:ind w:left="-270" w:leftChars="-257" w:right="-517" w:rightChars="-246" w:hanging="270" w:hangingChars="112"/>
        <w:jc w:val="center"/>
        <w:rPr>
          <w:rFonts w:hint="eastAsia" w:ascii="宋体" w:hAnsi="宋体"/>
          <w:b/>
          <w:sz w:val="24"/>
          <w:szCs w:val="24"/>
          <w:lang w:val="en-US" w:eastAsia="zh-CN"/>
        </w:rPr>
      </w:pPr>
    </w:p>
    <w:p w14:paraId="0D801534">
      <w:pPr>
        <w:spacing w:line="360" w:lineRule="auto"/>
        <w:ind w:left="-270" w:leftChars="-257" w:right="-517" w:rightChars="-246" w:hanging="270" w:hangingChars="112"/>
        <w:jc w:val="center"/>
        <w:rPr>
          <w:rFonts w:hint="eastAsia" w:ascii="宋体" w:hAnsi="宋体"/>
          <w:b/>
          <w:sz w:val="24"/>
          <w:szCs w:val="24"/>
          <w:lang w:val="en-US" w:eastAsia="zh-CN"/>
        </w:rPr>
      </w:pPr>
    </w:p>
    <w:p w14:paraId="335544FB">
      <w:pPr>
        <w:spacing w:line="360" w:lineRule="auto"/>
        <w:ind w:left="-270" w:leftChars="-257" w:right="-517" w:rightChars="-246" w:hanging="270" w:hangingChars="112"/>
        <w:jc w:val="center"/>
        <w:rPr>
          <w:rFonts w:hint="eastAsia" w:ascii="宋体" w:hAnsi="宋体"/>
          <w:b/>
          <w:sz w:val="24"/>
          <w:szCs w:val="24"/>
          <w:lang w:val="en-US" w:eastAsia="zh-CN"/>
        </w:rPr>
      </w:pPr>
    </w:p>
    <w:p w14:paraId="6117B0CC">
      <w:pPr>
        <w:spacing w:line="360" w:lineRule="auto"/>
        <w:ind w:left="-270" w:leftChars="-257" w:right="-517" w:rightChars="-246" w:hanging="270" w:hangingChars="112"/>
        <w:jc w:val="center"/>
        <w:rPr>
          <w:rFonts w:hint="eastAsia" w:ascii="宋体" w:hAnsi="宋体"/>
          <w:b/>
          <w:sz w:val="24"/>
          <w:szCs w:val="24"/>
          <w:lang w:val="en-US" w:eastAsia="zh-CN"/>
        </w:rPr>
      </w:pPr>
    </w:p>
    <w:p w14:paraId="4498E51C">
      <w:pPr>
        <w:spacing w:line="360" w:lineRule="auto"/>
        <w:ind w:left="-270" w:leftChars="-257" w:right="-517" w:rightChars="-246" w:hanging="270" w:hangingChars="112"/>
        <w:jc w:val="center"/>
        <w:rPr>
          <w:rFonts w:hint="eastAsia" w:ascii="宋体" w:hAnsi="宋体"/>
          <w:b/>
          <w:sz w:val="24"/>
          <w:szCs w:val="24"/>
          <w:lang w:val="en-US" w:eastAsia="zh-CN"/>
        </w:rPr>
      </w:pP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18</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6FB78150">
      <w:pPr>
        <w:pStyle w:val="2"/>
        <w:jc w:val="center"/>
        <w:rPr>
          <w:rFonts w:hint="eastAsia" w:ascii="宋体" w:hAnsi="宋体"/>
          <w:b/>
          <w:sz w:val="24"/>
          <w:szCs w:val="24"/>
          <w:lang w:val="en-US" w:eastAsia="zh-CN"/>
        </w:rPr>
      </w:pPr>
      <w:r>
        <w:rPr>
          <w:rFonts w:hint="eastAsia" w:ascii="宋体" w:hAnsi="宋体"/>
          <w:b/>
          <w:sz w:val="24"/>
          <w:szCs w:val="24"/>
          <w:lang w:val="en-US" w:eastAsia="zh-CN"/>
        </w:rPr>
        <w:t>19､投标人自主知识产权产品（创新、设计）情况（按评分表要求提供）</w:t>
      </w:r>
    </w:p>
    <w:p w14:paraId="4BE39B45">
      <w:pPr>
        <w:widowControl/>
        <w:ind w:left="1"/>
        <w:jc w:val="center"/>
        <w:rPr>
          <w:rFonts w:hint="eastAsia" w:ascii="宋体" w:hAnsi="宋体" w:cs="Times New Roman"/>
          <w:b/>
          <w:kern w:val="0"/>
          <w:sz w:val="24"/>
          <w:szCs w:val="24"/>
          <w:lang w:val="en-US" w:eastAsia="zh-CN" w:bidi="ar-SA"/>
        </w:rPr>
      </w:pPr>
    </w:p>
    <w:p w14:paraId="1A05A515">
      <w:pPr>
        <w:widowControl/>
        <w:ind w:left="1"/>
        <w:jc w:val="center"/>
        <w:rPr>
          <w:rFonts w:hint="eastAsia" w:ascii="宋体" w:hAnsi="宋体" w:cs="Times New Roman"/>
          <w:b/>
          <w:kern w:val="0"/>
          <w:sz w:val="24"/>
          <w:szCs w:val="24"/>
          <w:lang w:val="en-US" w:eastAsia="zh-CN" w:bidi="ar-SA"/>
        </w:rPr>
      </w:pPr>
    </w:p>
    <w:p w14:paraId="1FB087C4">
      <w:pPr>
        <w:widowControl/>
        <w:ind w:left="1"/>
        <w:jc w:val="center"/>
        <w:rPr>
          <w:rFonts w:hint="eastAsia" w:ascii="宋体" w:hAnsi="宋体" w:cs="Times New Roman"/>
          <w:b/>
          <w:kern w:val="0"/>
          <w:sz w:val="24"/>
          <w:szCs w:val="24"/>
          <w:lang w:val="en-US" w:eastAsia="zh-CN" w:bidi="ar-SA"/>
        </w:rPr>
      </w:pPr>
    </w:p>
    <w:p w14:paraId="15B6416F">
      <w:pPr>
        <w:widowControl/>
        <w:ind w:left="1"/>
        <w:jc w:val="center"/>
        <w:rPr>
          <w:rFonts w:hint="eastAsia" w:ascii="宋体" w:hAnsi="宋体" w:cs="Times New Roman"/>
          <w:b/>
          <w:kern w:val="0"/>
          <w:sz w:val="24"/>
          <w:szCs w:val="24"/>
          <w:lang w:val="en-US" w:eastAsia="zh-CN" w:bidi="ar-SA"/>
        </w:rPr>
      </w:pPr>
    </w:p>
    <w:p w14:paraId="67C7CE0D">
      <w:pPr>
        <w:widowControl/>
        <w:ind w:left="1"/>
        <w:jc w:val="center"/>
        <w:rPr>
          <w:rFonts w:hint="eastAsia" w:ascii="宋体" w:hAnsi="宋体" w:cs="Times New Roman"/>
          <w:b/>
          <w:kern w:val="0"/>
          <w:sz w:val="24"/>
          <w:szCs w:val="24"/>
          <w:lang w:val="en-US" w:eastAsia="zh-CN" w:bidi="ar-SA"/>
        </w:rPr>
      </w:pPr>
    </w:p>
    <w:p w14:paraId="79B50FE6">
      <w:pPr>
        <w:widowControl/>
        <w:ind w:left="1"/>
        <w:jc w:val="center"/>
        <w:rPr>
          <w:rFonts w:hint="eastAsia" w:ascii="宋体" w:hAnsi="宋体" w:cs="Times New Roman"/>
          <w:b/>
          <w:kern w:val="0"/>
          <w:sz w:val="24"/>
          <w:szCs w:val="24"/>
          <w:lang w:val="en-US" w:eastAsia="zh-CN" w:bidi="ar-SA"/>
        </w:rPr>
      </w:pPr>
    </w:p>
    <w:p w14:paraId="4433639A">
      <w:pPr>
        <w:widowControl/>
        <w:ind w:left="1"/>
        <w:jc w:val="center"/>
        <w:rPr>
          <w:rFonts w:hint="eastAsia" w:ascii="宋体" w:hAnsi="宋体" w:cs="Times New Roman"/>
          <w:b/>
          <w:kern w:val="0"/>
          <w:sz w:val="24"/>
          <w:szCs w:val="24"/>
          <w:lang w:val="en-US" w:eastAsia="zh-CN" w:bidi="ar-SA"/>
        </w:rPr>
      </w:pPr>
    </w:p>
    <w:p w14:paraId="13A45D79">
      <w:pPr>
        <w:widowControl/>
        <w:ind w:left="1"/>
        <w:jc w:val="center"/>
        <w:rPr>
          <w:rFonts w:hint="eastAsia" w:ascii="宋体" w:hAnsi="宋体" w:cs="Times New Roman"/>
          <w:b/>
          <w:kern w:val="0"/>
          <w:sz w:val="24"/>
          <w:szCs w:val="24"/>
          <w:lang w:val="en-US" w:eastAsia="zh-CN" w:bidi="ar-SA"/>
        </w:rPr>
      </w:pPr>
    </w:p>
    <w:p w14:paraId="0FA37A0D">
      <w:pPr>
        <w:widowControl/>
        <w:ind w:left="1"/>
        <w:jc w:val="center"/>
        <w:rPr>
          <w:rFonts w:hint="eastAsia" w:ascii="宋体" w:hAnsi="宋体" w:cs="Times New Roman"/>
          <w:b/>
          <w:kern w:val="0"/>
          <w:sz w:val="24"/>
          <w:szCs w:val="24"/>
          <w:lang w:val="en-US" w:eastAsia="zh-CN" w:bidi="ar-SA"/>
        </w:rPr>
      </w:pPr>
    </w:p>
    <w:p w14:paraId="03E1EF62">
      <w:pPr>
        <w:widowControl/>
        <w:ind w:left="1"/>
        <w:jc w:val="center"/>
        <w:rPr>
          <w:rFonts w:hint="eastAsia" w:ascii="宋体" w:hAnsi="宋体" w:cs="Times New Roman"/>
          <w:b/>
          <w:kern w:val="0"/>
          <w:sz w:val="24"/>
          <w:szCs w:val="24"/>
          <w:lang w:val="en-US" w:eastAsia="zh-CN" w:bidi="ar-SA"/>
        </w:rPr>
      </w:pPr>
    </w:p>
    <w:p w14:paraId="55FDCC42">
      <w:pPr>
        <w:widowControl/>
        <w:ind w:left="1"/>
        <w:jc w:val="center"/>
        <w:rPr>
          <w:rFonts w:hint="eastAsia" w:ascii="宋体" w:hAnsi="宋体" w:cs="Times New Roman"/>
          <w:b/>
          <w:kern w:val="0"/>
          <w:sz w:val="24"/>
          <w:szCs w:val="24"/>
          <w:lang w:val="en-US" w:eastAsia="zh-CN" w:bidi="ar-SA"/>
        </w:rPr>
      </w:pPr>
    </w:p>
    <w:p w14:paraId="129B7770">
      <w:pPr>
        <w:widowControl/>
        <w:ind w:left="1"/>
        <w:jc w:val="center"/>
        <w:rPr>
          <w:rFonts w:hint="eastAsia" w:ascii="宋体" w:hAnsi="宋体" w:cs="Times New Roman"/>
          <w:b/>
          <w:kern w:val="0"/>
          <w:sz w:val="24"/>
          <w:szCs w:val="24"/>
          <w:lang w:val="en-US" w:eastAsia="zh-CN" w:bidi="ar-SA"/>
        </w:rPr>
      </w:pPr>
    </w:p>
    <w:p w14:paraId="4A693598">
      <w:pPr>
        <w:widowControl/>
        <w:ind w:left="1"/>
        <w:jc w:val="center"/>
        <w:rPr>
          <w:rFonts w:hint="eastAsia" w:ascii="宋体" w:hAnsi="宋体" w:cs="Times New Roman"/>
          <w:b/>
          <w:kern w:val="0"/>
          <w:sz w:val="24"/>
          <w:szCs w:val="24"/>
          <w:lang w:val="en-US" w:eastAsia="zh-CN" w:bidi="ar-SA"/>
        </w:rPr>
      </w:pPr>
    </w:p>
    <w:p w14:paraId="732A9948">
      <w:pPr>
        <w:widowControl/>
        <w:ind w:left="1"/>
        <w:jc w:val="center"/>
        <w:rPr>
          <w:rFonts w:hint="eastAsia" w:ascii="宋体" w:hAnsi="宋体" w:cs="Times New Roman"/>
          <w:b/>
          <w:kern w:val="0"/>
          <w:sz w:val="24"/>
          <w:szCs w:val="24"/>
          <w:lang w:val="en-US" w:eastAsia="zh-CN" w:bidi="ar-SA"/>
        </w:rPr>
      </w:pPr>
    </w:p>
    <w:p w14:paraId="220245F9">
      <w:pPr>
        <w:widowControl/>
        <w:ind w:left="1"/>
        <w:jc w:val="center"/>
        <w:rPr>
          <w:rFonts w:hint="eastAsia" w:ascii="宋体" w:hAnsi="宋体" w:cs="Times New Roman"/>
          <w:b/>
          <w:kern w:val="0"/>
          <w:sz w:val="24"/>
          <w:szCs w:val="24"/>
          <w:lang w:val="en-US" w:eastAsia="zh-CN" w:bidi="ar-SA"/>
        </w:rPr>
      </w:pPr>
    </w:p>
    <w:p w14:paraId="62BCD35E">
      <w:pPr>
        <w:widowControl/>
        <w:ind w:left="1"/>
        <w:jc w:val="center"/>
        <w:rPr>
          <w:rFonts w:hint="eastAsia" w:ascii="宋体" w:hAnsi="宋体" w:cs="Times New Roman"/>
          <w:b/>
          <w:kern w:val="0"/>
          <w:sz w:val="24"/>
          <w:szCs w:val="24"/>
          <w:lang w:val="en-US" w:eastAsia="zh-CN" w:bidi="ar-SA"/>
        </w:rPr>
      </w:pPr>
    </w:p>
    <w:p w14:paraId="139560DD">
      <w:pPr>
        <w:widowControl/>
        <w:ind w:left="1"/>
        <w:jc w:val="center"/>
        <w:rPr>
          <w:rFonts w:hint="eastAsia" w:ascii="宋体" w:hAnsi="宋体" w:cs="Times New Roman"/>
          <w:b/>
          <w:kern w:val="0"/>
          <w:sz w:val="24"/>
          <w:szCs w:val="24"/>
          <w:lang w:val="en-US" w:eastAsia="zh-CN" w:bidi="ar-SA"/>
        </w:rPr>
      </w:pPr>
    </w:p>
    <w:p w14:paraId="29AC92FA">
      <w:pPr>
        <w:widowControl/>
        <w:ind w:left="1"/>
        <w:jc w:val="center"/>
        <w:rPr>
          <w:rFonts w:hint="eastAsia" w:ascii="宋体" w:hAnsi="宋体" w:cs="Times New Roman"/>
          <w:b/>
          <w:kern w:val="0"/>
          <w:sz w:val="24"/>
          <w:szCs w:val="24"/>
          <w:lang w:val="en-US" w:eastAsia="zh-CN" w:bidi="ar-SA"/>
        </w:rPr>
      </w:pPr>
    </w:p>
    <w:p w14:paraId="51360985">
      <w:pPr>
        <w:widowControl/>
        <w:ind w:left="1"/>
        <w:jc w:val="center"/>
        <w:rPr>
          <w:rFonts w:hint="eastAsia" w:ascii="宋体" w:hAnsi="宋体" w:cs="Times New Roman"/>
          <w:b/>
          <w:kern w:val="0"/>
          <w:sz w:val="24"/>
          <w:szCs w:val="24"/>
          <w:lang w:val="en-US" w:eastAsia="zh-CN" w:bidi="ar-SA"/>
        </w:rPr>
      </w:pPr>
    </w:p>
    <w:p w14:paraId="48A44A58">
      <w:pPr>
        <w:widowControl/>
        <w:ind w:left="1"/>
        <w:jc w:val="center"/>
        <w:rPr>
          <w:rFonts w:hint="eastAsia" w:ascii="宋体" w:hAnsi="宋体" w:cs="Times New Roman"/>
          <w:b/>
          <w:kern w:val="0"/>
          <w:sz w:val="24"/>
          <w:szCs w:val="24"/>
          <w:lang w:val="en-US" w:eastAsia="zh-CN" w:bidi="ar-SA"/>
        </w:rPr>
      </w:pPr>
    </w:p>
    <w:p w14:paraId="36B759E9">
      <w:pPr>
        <w:widowControl/>
        <w:ind w:left="1"/>
        <w:jc w:val="center"/>
        <w:rPr>
          <w:rFonts w:hint="eastAsia" w:ascii="宋体" w:hAnsi="宋体" w:cs="Times New Roman"/>
          <w:b/>
          <w:kern w:val="0"/>
          <w:sz w:val="24"/>
          <w:szCs w:val="24"/>
          <w:lang w:val="en-US" w:eastAsia="zh-CN" w:bidi="ar-SA"/>
        </w:rPr>
      </w:pPr>
    </w:p>
    <w:p w14:paraId="1BC4A304">
      <w:pPr>
        <w:widowControl/>
        <w:ind w:left="1"/>
        <w:jc w:val="center"/>
        <w:rPr>
          <w:rFonts w:hint="eastAsia" w:ascii="宋体" w:hAnsi="宋体" w:cs="Times New Roman"/>
          <w:b/>
          <w:kern w:val="0"/>
          <w:sz w:val="24"/>
          <w:szCs w:val="24"/>
          <w:lang w:val="en-US" w:eastAsia="zh-CN" w:bidi="ar-SA"/>
        </w:rPr>
      </w:pPr>
    </w:p>
    <w:p w14:paraId="47DA00FB">
      <w:pPr>
        <w:widowControl/>
        <w:ind w:left="1"/>
        <w:jc w:val="center"/>
        <w:rPr>
          <w:rFonts w:hint="eastAsia" w:ascii="宋体" w:hAnsi="宋体" w:cs="Times New Roman"/>
          <w:b/>
          <w:kern w:val="0"/>
          <w:sz w:val="24"/>
          <w:szCs w:val="24"/>
          <w:lang w:val="en-US" w:eastAsia="zh-CN" w:bidi="ar-SA"/>
        </w:rPr>
      </w:pPr>
    </w:p>
    <w:p w14:paraId="3B9D42F1">
      <w:pPr>
        <w:widowControl/>
        <w:ind w:left="1"/>
        <w:jc w:val="center"/>
        <w:rPr>
          <w:rFonts w:hint="eastAsia" w:ascii="宋体" w:hAnsi="宋体" w:cs="Times New Roman"/>
          <w:b/>
          <w:kern w:val="0"/>
          <w:sz w:val="24"/>
          <w:szCs w:val="24"/>
          <w:lang w:val="en-US" w:eastAsia="zh-CN" w:bidi="ar-SA"/>
        </w:rPr>
      </w:pPr>
    </w:p>
    <w:p w14:paraId="245DE322">
      <w:pPr>
        <w:widowControl/>
        <w:ind w:left="1"/>
        <w:jc w:val="center"/>
        <w:rPr>
          <w:rFonts w:hint="eastAsia" w:ascii="宋体" w:hAnsi="宋体" w:cs="Times New Roman"/>
          <w:b/>
          <w:kern w:val="0"/>
          <w:sz w:val="24"/>
          <w:szCs w:val="24"/>
          <w:lang w:val="en-US" w:eastAsia="zh-CN" w:bidi="ar-SA"/>
        </w:rPr>
      </w:pPr>
    </w:p>
    <w:p w14:paraId="4A89EFAD">
      <w:pPr>
        <w:widowControl/>
        <w:ind w:left="1"/>
        <w:jc w:val="center"/>
        <w:rPr>
          <w:rFonts w:hint="eastAsia" w:ascii="宋体" w:hAnsi="宋体" w:cs="Times New Roman"/>
          <w:b/>
          <w:kern w:val="0"/>
          <w:sz w:val="24"/>
          <w:szCs w:val="24"/>
          <w:lang w:val="en-US" w:eastAsia="zh-CN" w:bidi="ar-SA"/>
        </w:rPr>
      </w:pPr>
    </w:p>
    <w:p w14:paraId="5F18BC81">
      <w:pPr>
        <w:widowControl/>
        <w:ind w:left="1"/>
        <w:jc w:val="center"/>
        <w:rPr>
          <w:rFonts w:hint="eastAsia" w:ascii="宋体" w:hAnsi="宋体" w:cs="Times New Roman"/>
          <w:b/>
          <w:kern w:val="0"/>
          <w:sz w:val="24"/>
          <w:szCs w:val="24"/>
          <w:lang w:val="en-US" w:eastAsia="zh-CN" w:bidi="ar-SA"/>
        </w:rPr>
      </w:pPr>
    </w:p>
    <w:p w14:paraId="77C35FEA">
      <w:pPr>
        <w:widowControl/>
        <w:ind w:left="1"/>
        <w:jc w:val="center"/>
        <w:rPr>
          <w:rFonts w:hint="eastAsia" w:ascii="宋体" w:hAnsi="宋体" w:cs="Times New Roman"/>
          <w:b/>
          <w:kern w:val="0"/>
          <w:sz w:val="24"/>
          <w:szCs w:val="24"/>
          <w:lang w:val="en-US" w:eastAsia="zh-CN" w:bidi="ar-SA"/>
        </w:rPr>
      </w:pPr>
    </w:p>
    <w:p w14:paraId="3423E973">
      <w:pPr>
        <w:widowControl/>
        <w:ind w:left="1"/>
        <w:jc w:val="center"/>
        <w:rPr>
          <w:rFonts w:hint="eastAsia" w:ascii="宋体" w:hAnsi="宋体" w:cs="Times New Roman"/>
          <w:b/>
          <w:kern w:val="0"/>
          <w:sz w:val="24"/>
          <w:szCs w:val="24"/>
          <w:lang w:val="en-US" w:eastAsia="zh-CN" w:bidi="ar-SA"/>
        </w:rPr>
      </w:pPr>
    </w:p>
    <w:p w14:paraId="2B67644D">
      <w:pPr>
        <w:widowControl/>
        <w:ind w:left="1"/>
        <w:jc w:val="center"/>
        <w:rPr>
          <w:rFonts w:hint="eastAsia" w:ascii="宋体" w:hAnsi="宋体" w:cs="Times New Roman"/>
          <w:b/>
          <w:kern w:val="0"/>
          <w:sz w:val="24"/>
          <w:szCs w:val="24"/>
          <w:lang w:val="en-US" w:eastAsia="zh-CN" w:bidi="ar-SA"/>
        </w:rPr>
      </w:pPr>
    </w:p>
    <w:p w14:paraId="06078B2B">
      <w:pPr>
        <w:widowControl/>
        <w:ind w:left="1"/>
        <w:jc w:val="center"/>
        <w:rPr>
          <w:rFonts w:hint="eastAsia" w:ascii="宋体" w:hAnsi="宋体" w:cs="Times New Roman"/>
          <w:b/>
          <w:kern w:val="0"/>
          <w:sz w:val="24"/>
          <w:szCs w:val="24"/>
          <w:lang w:val="en-US" w:eastAsia="zh-CN" w:bidi="ar-SA"/>
        </w:rPr>
      </w:pPr>
    </w:p>
    <w:p w14:paraId="0CBD7C1E">
      <w:pPr>
        <w:widowControl/>
        <w:ind w:left="1"/>
        <w:jc w:val="center"/>
        <w:rPr>
          <w:rFonts w:hint="eastAsia" w:ascii="宋体" w:hAnsi="宋体" w:cs="Times New Roman"/>
          <w:b/>
          <w:kern w:val="0"/>
          <w:sz w:val="24"/>
          <w:szCs w:val="24"/>
          <w:lang w:val="en-US" w:eastAsia="zh-CN" w:bidi="ar-SA"/>
        </w:rPr>
      </w:pPr>
    </w:p>
    <w:p w14:paraId="57E712AC">
      <w:pPr>
        <w:widowControl/>
        <w:ind w:left="1"/>
        <w:jc w:val="center"/>
        <w:rPr>
          <w:rFonts w:hint="eastAsia" w:ascii="宋体" w:hAnsi="宋体" w:cs="Times New Roman"/>
          <w:b/>
          <w:kern w:val="0"/>
          <w:sz w:val="24"/>
          <w:szCs w:val="24"/>
          <w:lang w:val="en-US" w:eastAsia="zh-CN" w:bidi="ar-SA"/>
        </w:rPr>
      </w:pPr>
    </w:p>
    <w:p w14:paraId="7D350D20">
      <w:pPr>
        <w:widowControl/>
        <w:ind w:left="1"/>
        <w:jc w:val="center"/>
        <w:rPr>
          <w:rFonts w:hint="eastAsia" w:ascii="宋体" w:hAnsi="宋体" w:cs="Times New Roman"/>
          <w:b/>
          <w:kern w:val="0"/>
          <w:sz w:val="24"/>
          <w:szCs w:val="24"/>
          <w:lang w:val="en-US" w:eastAsia="zh-CN" w:bidi="ar-SA"/>
        </w:rPr>
      </w:pPr>
    </w:p>
    <w:p w14:paraId="520716B3">
      <w:pPr>
        <w:widowControl/>
        <w:ind w:left="1"/>
        <w:jc w:val="center"/>
        <w:rPr>
          <w:rFonts w:hint="eastAsia" w:ascii="宋体" w:hAnsi="宋体" w:cs="Times New Roman"/>
          <w:b/>
          <w:kern w:val="0"/>
          <w:sz w:val="24"/>
          <w:szCs w:val="24"/>
          <w:lang w:val="en-US" w:eastAsia="zh-CN" w:bidi="ar-SA"/>
        </w:rPr>
      </w:pPr>
    </w:p>
    <w:p w14:paraId="681795DE">
      <w:pPr>
        <w:widowControl/>
        <w:ind w:left="1"/>
        <w:jc w:val="center"/>
        <w:rPr>
          <w:rFonts w:hint="eastAsia" w:ascii="宋体" w:hAnsi="宋体" w:cs="Times New Roman"/>
          <w:b/>
          <w:kern w:val="0"/>
          <w:sz w:val="24"/>
          <w:szCs w:val="24"/>
          <w:lang w:val="en-US" w:eastAsia="zh-CN" w:bidi="ar-SA"/>
        </w:rPr>
      </w:pPr>
    </w:p>
    <w:p w14:paraId="16A2E55D">
      <w:pPr>
        <w:widowControl/>
        <w:ind w:left="1"/>
        <w:jc w:val="center"/>
        <w:rPr>
          <w:rFonts w:hint="eastAsia" w:ascii="宋体" w:hAnsi="宋体" w:cs="Times New Roman"/>
          <w:b/>
          <w:kern w:val="0"/>
          <w:sz w:val="24"/>
          <w:szCs w:val="24"/>
          <w:lang w:val="en-US" w:eastAsia="zh-CN" w:bidi="ar-SA"/>
        </w:rPr>
      </w:pPr>
    </w:p>
    <w:p w14:paraId="0EA6386A">
      <w:pPr>
        <w:widowControl/>
        <w:ind w:left="1"/>
        <w:jc w:val="center"/>
        <w:rPr>
          <w:rFonts w:hint="eastAsia" w:ascii="宋体" w:hAnsi="宋体" w:cs="Times New Roman"/>
          <w:b/>
          <w:kern w:val="0"/>
          <w:sz w:val="24"/>
          <w:szCs w:val="24"/>
          <w:lang w:val="en-US" w:eastAsia="zh-CN" w:bidi="ar-SA"/>
        </w:rPr>
      </w:pPr>
    </w:p>
    <w:p w14:paraId="5B328164">
      <w:pPr>
        <w:widowControl/>
        <w:ind w:left="1"/>
        <w:jc w:val="center"/>
        <w:rPr>
          <w:rFonts w:hint="eastAsia" w:ascii="宋体" w:hAnsi="宋体" w:cs="Times New Roman"/>
          <w:b/>
          <w:kern w:val="0"/>
          <w:sz w:val="24"/>
          <w:szCs w:val="24"/>
          <w:lang w:val="en-US" w:eastAsia="zh-CN" w:bidi="ar-SA"/>
        </w:rPr>
      </w:pPr>
    </w:p>
    <w:p w14:paraId="4F59AB03">
      <w:pPr>
        <w:widowControl/>
        <w:ind w:left="1"/>
        <w:jc w:val="center"/>
        <w:rPr>
          <w:rFonts w:hint="eastAsia" w:ascii="宋体" w:hAnsi="宋体" w:cs="Times New Roman"/>
          <w:b/>
          <w:kern w:val="0"/>
          <w:sz w:val="24"/>
          <w:szCs w:val="24"/>
          <w:lang w:val="en-US" w:eastAsia="zh-CN" w:bidi="ar-SA"/>
        </w:rPr>
      </w:pPr>
    </w:p>
    <w:p w14:paraId="44671E45">
      <w:pPr>
        <w:widowControl/>
        <w:ind w:left="1"/>
        <w:jc w:val="center"/>
        <w:rPr>
          <w:rFonts w:hint="eastAsia" w:ascii="宋体" w:hAnsi="宋体" w:cs="Times New Roman"/>
          <w:b/>
          <w:kern w:val="0"/>
          <w:sz w:val="24"/>
          <w:szCs w:val="24"/>
          <w:lang w:val="en-US" w:eastAsia="zh-CN" w:bidi="ar-SA"/>
        </w:rPr>
      </w:pPr>
    </w:p>
    <w:p w14:paraId="5D9C34D1">
      <w:pPr>
        <w:widowControl/>
        <w:ind w:left="1"/>
        <w:jc w:val="center"/>
        <w:rPr>
          <w:rFonts w:hint="eastAsia" w:ascii="宋体" w:hAnsi="宋体" w:cs="Times New Roman"/>
          <w:b/>
          <w:kern w:val="0"/>
          <w:sz w:val="24"/>
          <w:szCs w:val="24"/>
          <w:lang w:val="en-US" w:eastAsia="zh-CN" w:bidi="ar-SA"/>
        </w:rPr>
      </w:pPr>
    </w:p>
    <w:p w14:paraId="4F54D46F">
      <w:pPr>
        <w:widowControl/>
        <w:ind w:left="1"/>
        <w:jc w:val="center"/>
        <w:rPr>
          <w:rFonts w:hint="eastAsia" w:ascii="宋体" w:hAnsi="宋体" w:eastAsia="宋体" w:cs="Times New Roman"/>
          <w:b/>
          <w:kern w:val="0"/>
          <w:sz w:val="24"/>
          <w:szCs w:val="24"/>
          <w:lang w:val="en-US" w:eastAsia="zh-CN" w:bidi="ar-SA"/>
        </w:rPr>
      </w:pPr>
      <w:r>
        <w:rPr>
          <w:rFonts w:hint="eastAsia" w:ascii="宋体" w:hAnsi="宋体" w:cs="Times New Roman"/>
          <w:b/>
          <w:kern w:val="0"/>
          <w:sz w:val="24"/>
          <w:szCs w:val="24"/>
          <w:lang w:val="en-US" w:eastAsia="zh-CN" w:bidi="ar-SA"/>
        </w:rPr>
        <w:t>20</w:t>
      </w:r>
      <w:r>
        <w:rPr>
          <w:rFonts w:hint="eastAsia" w:ascii="宋体" w:hAnsi="宋体" w:eastAsia="宋体" w:cs="Times New Roman"/>
          <w:b/>
          <w:kern w:val="0"/>
          <w:sz w:val="24"/>
          <w:szCs w:val="24"/>
          <w:lang w:val="en-US" w:eastAsia="zh-CN" w:bidi="ar-SA"/>
        </w:rPr>
        <w:t>、服务响应（按评分表要求提供）</w:t>
      </w:r>
    </w:p>
    <w:p w14:paraId="37DCB2C4">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CB8C142">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65CB2C09">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A6532CC">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8C973AA">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146EBCB">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12014B3B">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F53679D">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119CC893">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12BB0396">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47C28440">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2AF113B9">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6D369FFC">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19BB135">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6E34742">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2CB26CE">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3B5F474">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0479175">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4CED4236">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5"/>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5"/>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5"/>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23</w:t>
      </w:r>
      <w:r>
        <w:rPr>
          <w:rFonts w:hint="eastAsia" w:ascii="宋体" w:hAnsi="宋体" w:eastAsia="宋体" w:cs="宋体"/>
          <w:b/>
          <w:color w:val="000000"/>
          <w:sz w:val="28"/>
          <w:szCs w:val="28"/>
        </w:rPr>
        <w:t>､深圳市宝安区石岩人民医院202</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年第</w:t>
      </w: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期</w:t>
      </w: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rPr>
        <w:t>项目编号:SYYYZBCG202</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8</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5"/>
        <w:tblpPr w:leftFromText="180" w:rightFromText="180" w:vertAnchor="text" w:horzAnchor="margin" w:tblpXSpec="center" w:tblpY="11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4266"/>
      </w:tblGrid>
      <w:tr w14:paraId="0572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93" w:type="dxa"/>
            <w:tcBorders>
              <w:top w:val="single" w:color="auto" w:sz="4" w:space="0"/>
              <w:left w:val="single" w:color="auto" w:sz="4" w:space="0"/>
              <w:bottom w:val="single" w:color="auto" w:sz="4" w:space="0"/>
              <w:right w:val="single" w:color="auto" w:sz="4" w:space="0"/>
            </w:tcBorders>
            <w:vAlign w:val="center"/>
          </w:tcPr>
          <w:p w14:paraId="4CC98FAB">
            <w:pPr>
              <w:jc w:val="center"/>
              <w:rPr>
                <w:rFonts w:ascii="宋体" w:hAnsi="宋体" w:cs="Arial"/>
                <w:b/>
                <w:color w:val="000000"/>
                <w:kern w:val="0"/>
                <w:sz w:val="24"/>
                <w:szCs w:val="24"/>
              </w:rPr>
            </w:pPr>
            <w:r>
              <w:rPr>
                <w:rFonts w:hint="eastAsia" w:ascii="宋体" w:hAnsi="宋体" w:cs="Arial"/>
                <w:b/>
                <w:color w:val="000000"/>
                <w:kern w:val="0"/>
                <w:sz w:val="24"/>
                <w:szCs w:val="24"/>
              </w:rPr>
              <w:t>项目名称</w:t>
            </w:r>
          </w:p>
        </w:tc>
        <w:tc>
          <w:tcPr>
            <w:tcW w:w="4266" w:type="dxa"/>
            <w:tcBorders>
              <w:top w:val="single" w:color="auto" w:sz="4" w:space="0"/>
              <w:left w:val="single" w:color="auto" w:sz="4" w:space="0"/>
              <w:bottom w:val="single" w:color="auto" w:sz="4" w:space="0"/>
              <w:right w:val="single" w:color="auto" w:sz="4" w:space="0"/>
            </w:tcBorders>
            <w:vAlign w:val="center"/>
          </w:tcPr>
          <w:p w14:paraId="17B8856B">
            <w:pPr>
              <w:jc w:val="center"/>
              <w:rPr>
                <w:rFonts w:ascii="宋体" w:hAnsi="宋体" w:cs="Times New Roman"/>
                <w:b/>
                <w:sz w:val="24"/>
                <w:szCs w:val="24"/>
              </w:rPr>
            </w:pPr>
            <w:r>
              <w:rPr>
                <w:rFonts w:hint="eastAsia" w:ascii="宋体" w:hAnsi="宋体" w:cs="Arial"/>
                <w:b/>
                <w:color w:val="000000"/>
                <w:kern w:val="0"/>
                <w:sz w:val="24"/>
                <w:szCs w:val="24"/>
              </w:rPr>
              <w:t>报价(</w:t>
            </w:r>
            <w:r>
              <w:rPr>
                <w:rFonts w:hint="eastAsia" w:ascii="宋体" w:hAnsi="宋体" w:cs="Arial"/>
                <w:b/>
                <w:color w:val="000000"/>
                <w:kern w:val="0"/>
                <w:sz w:val="24"/>
                <w:szCs w:val="24"/>
                <w:lang w:val="en-US" w:eastAsia="zh-CN"/>
              </w:rPr>
              <w:t>元/人/月</w:t>
            </w:r>
            <w:r>
              <w:rPr>
                <w:rFonts w:hint="eastAsia" w:ascii="宋体" w:hAnsi="宋体" w:cs="Arial"/>
                <w:b/>
                <w:color w:val="000000"/>
                <w:kern w:val="0"/>
                <w:sz w:val="24"/>
                <w:szCs w:val="24"/>
              </w:rPr>
              <w:t>)</w:t>
            </w:r>
          </w:p>
        </w:tc>
      </w:tr>
      <w:tr w14:paraId="6963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93" w:type="dxa"/>
            <w:tcBorders>
              <w:top w:val="single" w:color="auto" w:sz="4" w:space="0"/>
              <w:left w:val="single" w:color="auto" w:sz="4" w:space="0"/>
              <w:right w:val="single" w:color="auto" w:sz="4" w:space="0"/>
            </w:tcBorders>
            <w:vAlign w:val="center"/>
          </w:tcPr>
          <w:p w14:paraId="31638C42">
            <w:pPr>
              <w:jc w:val="center"/>
              <w:rPr>
                <w:rFonts w:ascii="宋体" w:hAnsi="宋体"/>
                <w:sz w:val="24"/>
                <w:szCs w:val="24"/>
              </w:rPr>
            </w:pPr>
            <w:r>
              <w:rPr>
                <w:rFonts w:hint="eastAsia" w:ascii="宋体" w:hAnsi="宋体"/>
                <w:sz w:val="24"/>
                <w:szCs w:val="24"/>
                <w:lang w:val="en-US" w:eastAsia="zh-CN"/>
              </w:rPr>
              <w:t>第三方劳务派遣人才服务(二次招标)</w:t>
            </w:r>
          </w:p>
        </w:tc>
        <w:tc>
          <w:tcPr>
            <w:tcW w:w="4266" w:type="dxa"/>
            <w:tcBorders>
              <w:top w:val="single" w:color="auto" w:sz="4" w:space="0"/>
              <w:left w:val="single" w:color="auto" w:sz="4" w:space="0"/>
              <w:bottom w:val="single" w:color="auto" w:sz="4" w:space="0"/>
              <w:right w:val="single" w:color="auto" w:sz="4" w:space="0"/>
            </w:tcBorders>
            <w:vAlign w:val="center"/>
          </w:tcPr>
          <w:p w14:paraId="7958C5F3">
            <w:pPr>
              <w:jc w:val="center"/>
              <w:rPr>
                <w:rFonts w:hint="default" w:ascii="宋体" w:hAnsi="宋体" w:eastAsia="宋体"/>
                <w:sz w:val="24"/>
                <w:szCs w:val="24"/>
                <w:lang w:val="en-US" w:eastAsia="zh-CN"/>
              </w:rPr>
            </w:pPr>
          </w:p>
        </w:tc>
      </w:tr>
    </w:tbl>
    <w:p w14:paraId="3E30B644">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167FE82">
      <w:pPr>
        <w:widowControl/>
        <w:spacing w:line="360" w:lineRule="atLeast"/>
        <w:ind w:left="420" w:hanging="420" w:hangingChars="200"/>
        <w:jc w:val="left"/>
        <w:rPr>
          <w:rFonts w:ascii="宋体" w:hAnsi="宋体" w:cs="Arial"/>
          <w:color w:val="000000"/>
          <w:kern w:val="0"/>
          <w:szCs w:val="21"/>
        </w:rPr>
      </w:pPr>
    </w:p>
    <w:p w14:paraId="5AE80F34">
      <w:pPr>
        <w:widowControl/>
        <w:spacing w:line="360" w:lineRule="atLeast"/>
        <w:ind w:left="420" w:hanging="420" w:hangingChars="200"/>
        <w:jc w:val="left"/>
        <w:rPr>
          <w:rFonts w:ascii="宋体" w:hAnsi="宋体" w:cs="Arial"/>
          <w:color w:val="000000"/>
          <w:kern w:val="0"/>
          <w:szCs w:val="21"/>
        </w:rPr>
      </w:pPr>
    </w:p>
    <w:p w14:paraId="656F1F24">
      <w:pPr>
        <w:widowControl/>
        <w:spacing w:line="360" w:lineRule="atLeast"/>
        <w:ind w:left="420" w:hanging="420" w:hangingChars="200"/>
        <w:jc w:val="left"/>
        <w:rPr>
          <w:rFonts w:ascii="宋体" w:hAnsi="宋体" w:cs="Arial"/>
          <w:color w:val="000000"/>
          <w:kern w:val="0"/>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3579C8"/>
    <w:rsid w:val="02365537"/>
    <w:rsid w:val="023A1380"/>
    <w:rsid w:val="02A143D0"/>
    <w:rsid w:val="02A623F4"/>
    <w:rsid w:val="03CE5557"/>
    <w:rsid w:val="04147B6B"/>
    <w:rsid w:val="04410970"/>
    <w:rsid w:val="0458764A"/>
    <w:rsid w:val="045E78EA"/>
    <w:rsid w:val="046D23D6"/>
    <w:rsid w:val="051F4336"/>
    <w:rsid w:val="058003D3"/>
    <w:rsid w:val="0585243C"/>
    <w:rsid w:val="05A916FD"/>
    <w:rsid w:val="05C85AC2"/>
    <w:rsid w:val="05EA06F1"/>
    <w:rsid w:val="06311C08"/>
    <w:rsid w:val="064F28F7"/>
    <w:rsid w:val="06606E3A"/>
    <w:rsid w:val="06947DDF"/>
    <w:rsid w:val="06A4344F"/>
    <w:rsid w:val="07235607"/>
    <w:rsid w:val="07750484"/>
    <w:rsid w:val="07CB416F"/>
    <w:rsid w:val="07D50310"/>
    <w:rsid w:val="08277A83"/>
    <w:rsid w:val="084148CC"/>
    <w:rsid w:val="08CB0CA3"/>
    <w:rsid w:val="08DF3D52"/>
    <w:rsid w:val="09015385"/>
    <w:rsid w:val="093F3971"/>
    <w:rsid w:val="094009C2"/>
    <w:rsid w:val="09975CDD"/>
    <w:rsid w:val="09A03EDE"/>
    <w:rsid w:val="09A12E0A"/>
    <w:rsid w:val="0A2B08CC"/>
    <w:rsid w:val="0ACF69F6"/>
    <w:rsid w:val="0AD42A6C"/>
    <w:rsid w:val="0ADB6776"/>
    <w:rsid w:val="0B0A6753"/>
    <w:rsid w:val="0B6E5B51"/>
    <w:rsid w:val="0BB25905"/>
    <w:rsid w:val="0BF4035C"/>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537214"/>
    <w:rsid w:val="11735077"/>
    <w:rsid w:val="117E0F6F"/>
    <w:rsid w:val="11F01C84"/>
    <w:rsid w:val="120078F0"/>
    <w:rsid w:val="121E7D94"/>
    <w:rsid w:val="123B1F6E"/>
    <w:rsid w:val="12594A2B"/>
    <w:rsid w:val="12752FAF"/>
    <w:rsid w:val="12C53CBF"/>
    <w:rsid w:val="12EA1003"/>
    <w:rsid w:val="12FA4D3D"/>
    <w:rsid w:val="13324923"/>
    <w:rsid w:val="13640A4D"/>
    <w:rsid w:val="137C08A6"/>
    <w:rsid w:val="138342C3"/>
    <w:rsid w:val="13A60619"/>
    <w:rsid w:val="14201F34"/>
    <w:rsid w:val="1469095F"/>
    <w:rsid w:val="15022918"/>
    <w:rsid w:val="151C63E2"/>
    <w:rsid w:val="15271495"/>
    <w:rsid w:val="158B6386"/>
    <w:rsid w:val="15941E22"/>
    <w:rsid w:val="15E52C78"/>
    <w:rsid w:val="15F02F80"/>
    <w:rsid w:val="161D2575"/>
    <w:rsid w:val="167F3E50"/>
    <w:rsid w:val="16B37F65"/>
    <w:rsid w:val="16D72D03"/>
    <w:rsid w:val="17193B6F"/>
    <w:rsid w:val="172C618F"/>
    <w:rsid w:val="17424826"/>
    <w:rsid w:val="1791646E"/>
    <w:rsid w:val="17CF144B"/>
    <w:rsid w:val="17E943D9"/>
    <w:rsid w:val="195C4BF4"/>
    <w:rsid w:val="197C0007"/>
    <w:rsid w:val="1A943556"/>
    <w:rsid w:val="1AAB623F"/>
    <w:rsid w:val="1AB258A4"/>
    <w:rsid w:val="1AE810AB"/>
    <w:rsid w:val="1BBE3026"/>
    <w:rsid w:val="1C3D2105"/>
    <w:rsid w:val="1C3F1570"/>
    <w:rsid w:val="1C4A1E12"/>
    <w:rsid w:val="1C813548"/>
    <w:rsid w:val="1C8F27F1"/>
    <w:rsid w:val="1CF82E88"/>
    <w:rsid w:val="1D86647B"/>
    <w:rsid w:val="1DC454C9"/>
    <w:rsid w:val="1DE57900"/>
    <w:rsid w:val="1E105B1F"/>
    <w:rsid w:val="1EA57C51"/>
    <w:rsid w:val="1EBA1E08"/>
    <w:rsid w:val="1ED701A5"/>
    <w:rsid w:val="1F277B72"/>
    <w:rsid w:val="1F6C5D0D"/>
    <w:rsid w:val="1F951999"/>
    <w:rsid w:val="1FB262C1"/>
    <w:rsid w:val="1FE019BC"/>
    <w:rsid w:val="1FF27875"/>
    <w:rsid w:val="202140C4"/>
    <w:rsid w:val="20254EDC"/>
    <w:rsid w:val="2055466D"/>
    <w:rsid w:val="2058454C"/>
    <w:rsid w:val="206E6027"/>
    <w:rsid w:val="209D4C41"/>
    <w:rsid w:val="20AA2093"/>
    <w:rsid w:val="211F048E"/>
    <w:rsid w:val="21A217E8"/>
    <w:rsid w:val="21A41CD4"/>
    <w:rsid w:val="21AD2898"/>
    <w:rsid w:val="21C821E1"/>
    <w:rsid w:val="21EA7433"/>
    <w:rsid w:val="21F20627"/>
    <w:rsid w:val="223B7515"/>
    <w:rsid w:val="2273608F"/>
    <w:rsid w:val="22A275AD"/>
    <w:rsid w:val="22B90D4F"/>
    <w:rsid w:val="22C76102"/>
    <w:rsid w:val="23036D2C"/>
    <w:rsid w:val="2395624F"/>
    <w:rsid w:val="2396465A"/>
    <w:rsid w:val="23B63181"/>
    <w:rsid w:val="242E18FB"/>
    <w:rsid w:val="24375C15"/>
    <w:rsid w:val="246A53D5"/>
    <w:rsid w:val="247A690F"/>
    <w:rsid w:val="24D84CE9"/>
    <w:rsid w:val="24E92284"/>
    <w:rsid w:val="2511759F"/>
    <w:rsid w:val="256D6D05"/>
    <w:rsid w:val="25744C7A"/>
    <w:rsid w:val="263453F8"/>
    <w:rsid w:val="263C68E5"/>
    <w:rsid w:val="26400EBA"/>
    <w:rsid w:val="2650148C"/>
    <w:rsid w:val="26BC34E5"/>
    <w:rsid w:val="26DF58EA"/>
    <w:rsid w:val="26E86FA4"/>
    <w:rsid w:val="26F369E1"/>
    <w:rsid w:val="278A7B32"/>
    <w:rsid w:val="27D26266"/>
    <w:rsid w:val="27DA025D"/>
    <w:rsid w:val="28011B74"/>
    <w:rsid w:val="2861644F"/>
    <w:rsid w:val="28683667"/>
    <w:rsid w:val="287D074A"/>
    <w:rsid w:val="28832A7D"/>
    <w:rsid w:val="28B75145"/>
    <w:rsid w:val="28F76ACD"/>
    <w:rsid w:val="29B02846"/>
    <w:rsid w:val="2A491472"/>
    <w:rsid w:val="2A5F682C"/>
    <w:rsid w:val="2B903A3A"/>
    <w:rsid w:val="2BB92785"/>
    <w:rsid w:val="2BE11EED"/>
    <w:rsid w:val="2BE47A1F"/>
    <w:rsid w:val="2BEA5A48"/>
    <w:rsid w:val="2C1A620B"/>
    <w:rsid w:val="2C3342E6"/>
    <w:rsid w:val="2C3B319A"/>
    <w:rsid w:val="2C6234F2"/>
    <w:rsid w:val="2C707634"/>
    <w:rsid w:val="2CCC7151"/>
    <w:rsid w:val="2CD6118A"/>
    <w:rsid w:val="2CF008E7"/>
    <w:rsid w:val="2D03418D"/>
    <w:rsid w:val="2D5568C4"/>
    <w:rsid w:val="2D5C355C"/>
    <w:rsid w:val="2DBB1C5C"/>
    <w:rsid w:val="2DE85EFD"/>
    <w:rsid w:val="2E40760B"/>
    <w:rsid w:val="2E6356A7"/>
    <w:rsid w:val="2EB44748"/>
    <w:rsid w:val="2F36293F"/>
    <w:rsid w:val="2F7A5790"/>
    <w:rsid w:val="2F834F89"/>
    <w:rsid w:val="2F9B5244"/>
    <w:rsid w:val="2FA02C29"/>
    <w:rsid w:val="30110A49"/>
    <w:rsid w:val="30220BB7"/>
    <w:rsid w:val="304235BD"/>
    <w:rsid w:val="30674160"/>
    <w:rsid w:val="30A6499A"/>
    <w:rsid w:val="311F45E1"/>
    <w:rsid w:val="314074A8"/>
    <w:rsid w:val="31600B93"/>
    <w:rsid w:val="31B42A02"/>
    <w:rsid w:val="321761DD"/>
    <w:rsid w:val="324A2A66"/>
    <w:rsid w:val="32A035D1"/>
    <w:rsid w:val="32D2354E"/>
    <w:rsid w:val="33BC7EC4"/>
    <w:rsid w:val="34BA1016"/>
    <w:rsid w:val="34FC38DA"/>
    <w:rsid w:val="352F4FEE"/>
    <w:rsid w:val="35E90F65"/>
    <w:rsid w:val="36064F2B"/>
    <w:rsid w:val="36117B51"/>
    <w:rsid w:val="36282051"/>
    <w:rsid w:val="36490B63"/>
    <w:rsid w:val="366B6DD7"/>
    <w:rsid w:val="36D54A9B"/>
    <w:rsid w:val="37B80232"/>
    <w:rsid w:val="37EF5645"/>
    <w:rsid w:val="3833755E"/>
    <w:rsid w:val="384E323D"/>
    <w:rsid w:val="388574E5"/>
    <w:rsid w:val="388E2006"/>
    <w:rsid w:val="38960196"/>
    <w:rsid w:val="389753BF"/>
    <w:rsid w:val="391705BD"/>
    <w:rsid w:val="394413FB"/>
    <w:rsid w:val="398203D3"/>
    <w:rsid w:val="399F2BC2"/>
    <w:rsid w:val="39D23390"/>
    <w:rsid w:val="39D435F1"/>
    <w:rsid w:val="39DA5E98"/>
    <w:rsid w:val="3A015D92"/>
    <w:rsid w:val="3A676BB4"/>
    <w:rsid w:val="3AB818AA"/>
    <w:rsid w:val="3B3A1DA3"/>
    <w:rsid w:val="3B3D42BE"/>
    <w:rsid w:val="3B753098"/>
    <w:rsid w:val="3B8713C1"/>
    <w:rsid w:val="3BCA412D"/>
    <w:rsid w:val="3C4A6A2B"/>
    <w:rsid w:val="3C650E53"/>
    <w:rsid w:val="3C680688"/>
    <w:rsid w:val="3C757B77"/>
    <w:rsid w:val="3C823848"/>
    <w:rsid w:val="3C9F2ED3"/>
    <w:rsid w:val="3D0A18CB"/>
    <w:rsid w:val="3D4A6087"/>
    <w:rsid w:val="3DAC5CA6"/>
    <w:rsid w:val="3DB50E5B"/>
    <w:rsid w:val="3DFA1540"/>
    <w:rsid w:val="3E1C3315"/>
    <w:rsid w:val="3E247A94"/>
    <w:rsid w:val="3E2D18ED"/>
    <w:rsid w:val="3E723E2B"/>
    <w:rsid w:val="3EE152BB"/>
    <w:rsid w:val="3F1955BD"/>
    <w:rsid w:val="3F6260FB"/>
    <w:rsid w:val="3FF8211E"/>
    <w:rsid w:val="3FFB33B2"/>
    <w:rsid w:val="401D2DFC"/>
    <w:rsid w:val="403E3527"/>
    <w:rsid w:val="404F3622"/>
    <w:rsid w:val="4071181D"/>
    <w:rsid w:val="40CA3130"/>
    <w:rsid w:val="411A6C40"/>
    <w:rsid w:val="416D2F7D"/>
    <w:rsid w:val="41BA25F5"/>
    <w:rsid w:val="41D97346"/>
    <w:rsid w:val="41E060B7"/>
    <w:rsid w:val="4281305B"/>
    <w:rsid w:val="42FC0A69"/>
    <w:rsid w:val="43343E26"/>
    <w:rsid w:val="433A2253"/>
    <w:rsid w:val="4340170F"/>
    <w:rsid w:val="434D08AF"/>
    <w:rsid w:val="435968D0"/>
    <w:rsid w:val="436D6BB9"/>
    <w:rsid w:val="43740C1D"/>
    <w:rsid w:val="43CA332A"/>
    <w:rsid w:val="43F237F3"/>
    <w:rsid w:val="4487121B"/>
    <w:rsid w:val="448A1F0F"/>
    <w:rsid w:val="448E5211"/>
    <w:rsid w:val="44CD1E32"/>
    <w:rsid w:val="44DE39F5"/>
    <w:rsid w:val="45234642"/>
    <w:rsid w:val="456227F4"/>
    <w:rsid w:val="458D6121"/>
    <w:rsid w:val="46026FB0"/>
    <w:rsid w:val="46297974"/>
    <w:rsid w:val="466B0DF4"/>
    <w:rsid w:val="47D75D20"/>
    <w:rsid w:val="47D91706"/>
    <w:rsid w:val="48F732D2"/>
    <w:rsid w:val="49D3002D"/>
    <w:rsid w:val="4A012B81"/>
    <w:rsid w:val="4A821CA3"/>
    <w:rsid w:val="4AAE19D8"/>
    <w:rsid w:val="4B0C247A"/>
    <w:rsid w:val="4B63702B"/>
    <w:rsid w:val="4B783852"/>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33015A"/>
    <w:rsid w:val="53344776"/>
    <w:rsid w:val="537C7D09"/>
    <w:rsid w:val="53972158"/>
    <w:rsid w:val="53B54930"/>
    <w:rsid w:val="53CE3177"/>
    <w:rsid w:val="53F87A3F"/>
    <w:rsid w:val="5409540B"/>
    <w:rsid w:val="54813181"/>
    <w:rsid w:val="548A7C35"/>
    <w:rsid w:val="549A5C9F"/>
    <w:rsid w:val="54A36C24"/>
    <w:rsid w:val="54F1729A"/>
    <w:rsid w:val="55670D23"/>
    <w:rsid w:val="560E29D8"/>
    <w:rsid w:val="561B066F"/>
    <w:rsid w:val="562E599A"/>
    <w:rsid w:val="5649544A"/>
    <w:rsid w:val="56685A5F"/>
    <w:rsid w:val="567A204F"/>
    <w:rsid w:val="567B68CE"/>
    <w:rsid w:val="5712720C"/>
    <w:rsid w:val="573C4F11"/>
    <w:rsid w:val="57E83B4D"/>
    <w:rsid w:val="58626A55"/>
    <w:rsid w:val="589E5285"/>
    <w:rsid w:val="58B02FBD"/>
    <w:rsid w:val="58D97457"/>
    <w:rsid w:val="59606088"/>
    <w:rsid w:val="5A1F5B49"/>
    <w:rsid w:val="5A463D28"/>
    <w:rsid w:val="5AAF3568"/>
    <w:rsid w:val="5B6156CC"/>
    <w:rsid w:val="5C991000"/>
    <w:rsid w:val="5CBC47AD"/>
    <w:rsid w:val="5D445AA3"/>
    <w:rsid w:val="5D88386E"/>
    <w:rsid w:val="5DDF14F1"/>
    <w:rsid w:val="5E4F7594"/>
    <w:rsid w:val="5E651423"/>
    <w:rsid w:val="5E943229"/>
    <w:rsid w:val="5ED35A81"/>
    <w:rsid w:val="5F7A0EDD"/>
    <w:rsid w:val="5F8A33DA"/>
    <w:rsid w:val="5FA83F53"/>
    <w:rsid w:val="601E4304"/>
    <w:rsid w:val="602844BB"/>
    <w:rsid w:val="605B0D86"/>
    <w:rsid w:val="606469A1"/>
    <w:rsid w:val="606E7AE8"/>
    <w:rsid w:val="606F170E"/>
    <w:rsid w:val="60C97836"/>
    <w:rsid w:val="619024AA"/>
    <w:rsid w:val="61A74EFB"/>
    <w:rsid w:val="61AF0925"/>
    <w:rsid w:val="61F734FF"/>
    <w:rsid w:val="61F74869"/>
    <w:rsid w:val="62312A9A"/>
    <w:rsid w:val="62683FE2"/>
    <w:rsid w:val="626F0E29"/>
    <w:rsid w:val="62A10CA5"/>
    <w:rsid w:val="62A17D34"/>
    <w:rsid w:val="62C6236D"/>
    <w:rsid w:val="63811696"/>
    <w:rsid w:val="63BF400D"/>
    <w:rsid w:val="63E15A7D"/>
    <w:rsid w:val="64354559"/>
    <w:rsid w:val="64582E10"/>
    <w:rsid w:val="647C349D"/>
    <w:rsid w:val="64925E76"/>
    <w:rsid w:val="649A7622"/>
    <w:rsid w:val="65326CE0"/>
    <w:rsid w:val="653B7E49"/>
    <w:rsid w:val="65565C63"/>
    <w:rsid w:val="655A5E64"/>
    <w:rsid w:val="65651AD3"/>
    <w:rsid w:val="65986EAB"/>
    <w:rsid w:val="65A61FF0"/>
    <w:rsid w:val="65BE4AE3"/>
    <w:rsid w:val="65CC6BBB"/>
    <w:rsid w:val="65E36988"/>
    <w:rsid w:val="66345218"/>
    <w:rsid w:val="665671D5"/>
    <w:rsid w:val="666435CB"/>
    <w:rsid w:val="66C43673"/>
    <w:rsid w:val="66C92D0F"/>
    <w:rsid w:val="66F735F1"/>
    <w:rsid w:val="670F4590"/>
    <w:rsid w:val="67231545"/>
    <w:rsid w:val="676C246A"/>
    <w:rsid w:val="67A32818"/>
    <w:rsid w:val="67AF1DCD"/>
    <w:rsid w:val="67BC1DB5"/>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312A7D"/>
    <w:rsid w:val="6D396CFB"/>
    <w:rsid w:val="6D3F33CC"/>
    <w:rsid w:val="6DD4449B"/>
    <w:rsid w:val="6E16454E"/>
    <w:rsid w:val="6E615616"/>
    <w:rsid w:val="6E7362C6"/>
    <w:rsid w:val="6E805766"/>
    <w:rsid w:val="6EF07817"/>
    <w:rsid w:val="6EFB1DAB"/>
    <w:rsid w:val="6F097C10"/>
    <w:rsid w:val="6F5B05E8"/>
    <w:rsid w:val="6F9A0300"/>
    <w:rsid w:val="6FD346A9"/>
    <w:rsid w:val="701D586D"/>
    <w:rsid w:val="71157C60"/>
    <w:rsid w:val="714C1EF3"/>
    <w:rsid w:val="717779D3"/>
    <w:rsid w:val="725162FB"/>
    <w:rsid w:val="72564976"/>
    <w:rsid w:val="726423A5"/>
    <w:rsid w:val="72AE1539"/>
    <w:rsid w:val="72CA214F"/>
    <w:rsid w:val="72F27A06"/>
    <w:rsid w:val="734C3EE7"/>
    <w:rsid w:val="7362007D"/>
    <w:rsid w:val="73942E89"/>
    <w:rsid w:val="73C0566E"/>
    <w:rsid w:val="73EC4A73"/>
    <w:rsid w:val="743B1B1E"/>
    <w:rsid w:val="746E403A"/>
    <w:rsid w:val="748B3EC4"/>
    <w:rsid w:val="74B63BFA"/>
    <w:rsid w:val="7536480C"/>
    <w:rsid w:val="754341A3"/>
    <w:rsid w:val="75643B8A"/>
    <w:rsid w:val="761340A0"/>
    <w:rsid w:val="767C658F"/>
    <w:rsid w:val="769A0BED"/>
    <w:rsid w:val="76CC54DC"/>
    <w:rsid w:val="76EE63EF"/>
    <w:rsid w:val="779B7BAD"/>
    <w:rsid w:val="77E43D15"/>
    <w:rsid w:val="787B5C11"/>
    <w:rsid w:val="78904137"/>
    <w:rsid w:val="78FD327E"/>
    <w:rsid w:val="791653FC"/>
    <w:rsid w:val="79650AA5"/>
    <w:rsid w:val="79B060D9"/>
    <w:rsid w:val="79BD0E2F"/>
    <w:rsid w:val="7A0F3269"/>
    <w:rsid w:val="7A2D0AA1"/>
    <w:rsid w:val="7A7E6973"/>
    <w:rsid w:val="7AAD6DD9"/>
    <w:rsid w:val="7B282F94"/>
    <w:rsid w:val="7B355031"/>
    <w:rsid w:val="7BBB2EEA"/>
    <w:rsid w:val="7BE3090B"/>
    <w:rsid w:val="7C63519C"/>
    <w:rsid w:val="7CA17C79"/>
    <w:rsid w:val="7CA97FA9"/>
    <w:rsid w:val="7CF000CF"/>
    <w:rsid w:val="7D802E56"/>
    <w:rsid w:val="7DC22469"/>
    <w:rsid w:val="7DFA5292"/>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link w:val="34"/>
    <w:qFormat/>
    <w:uiPriority w:val="0"/>
    <w:pPr>
      <w:ind w:firstLine="420"/>
    </w:pPr>
    <w:rPr>
      <w:szCs w:val="20"/>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next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footer"/>
    <w:basedOn w:val="1"/>
    <w:link w:val="37"/>
    <w:unhideWhenUsed/>
    <w:qFormat/>
    <w:uiPriority w:val="99"/>
    <w:pPr>
      <w:tabs>
        <w:tab w:val="center" w:pos="4153"/>
        <w:tab w:val="right" w:pos="8306"/>
      </w:tabs>
      <w:snapToGrid w:val="0"/>
      <w:jc w:val="left"/>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pPr>
      <w:spacing w:afterLines="0" w:line="240" w:lineRule="auto"/>
    </w:pPr>
    <w:rPr>
      <w:rFonts w:ascii="Calibri" w:hAnsi="Calibri"/>
      <w:szCs w:val="20"/>
    </w:rPr>
  </w:style>
  <w:style w:type="paragraph" w:styleId="17">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8">
    <w:name w:val="footnote text"/>
    <w:basedOn w:val="1"/>
    <w:semiHidden/>
    <w:unhideWhenUsed/>
    <w:qFormat/>
    <w:uiPriority w:val="99"/>
    <w:pPr>
      <w:snapToGrid w:val="0"/>
      <w:jc w:val="left"/>
    </w:pPr>
    <w:rPr>
      <w:sz w:val="18"/>
    </w:rPr>
  </w:style>
  <w:style w:type="paragraph" w:styleId="19">
    <w:name w:val="Body Text 2"/>
    <w:basedOn w:val="1"/>
    <w:unhideWhenUsed/>
    <w:qFormat/>
    <w:uiPriority w:val="0"/>
    <w:pPr>
      <w:spacing w:line="360" w:lineRule="auto"/>
    </w:pPr>
    <w:rPr>
      <w:rFonts w:hint="default" w:ascii="宋体" w:hAnsi="宋体"/>
      <w:color w:val="000000"/>
      <w:sz w:val="24"/>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0"/>
    <w:pPr>
      <w:spacing w:before="240" w:after="60"/>
      <w:jc w:val="center"/>
      <w:outlineLvl w:val="0"/>
    </w:pPr>
    <w:rPr>
      <w:rFonts w:ascii="Arial" w:hAnsi="Arial" w:eastAsia="隶书"/>
      <w:b/>
      <w:bCs/>
      <w:sz w:val="32"/>
      <w:szCs w:val="32"/>
    </w:rPr>
  </w:style>
  <w:style w:type="paragraph" w:styleId="23">
    <w:name w:val="Body Text First Indent"/>
    <w:basedOn w:val="9"/>
    <w:next w:val="1"/>
    <w:qFormat/>
    <w:uiPriority w:val="0"/>
    <w:pPr>
      <w:ind w:firstLine="420" w:firstLineChars="100"/>
    </w:pPr>
  </w:style>
  <w:style w:type="paragraph" w:styleId="24">
    <w:name w:val="Body Text First Indent 2"/>
    <w:basedOn w:val="10"/>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character" w:styleId="31">
    <w:name w:val="footnote reference"/>
    <w:basedOn w:val="27"/>
    <w:semiHidden/>
    <w:unhideWhenUsed/>
    <w:qFormat/>
    <w:uiPriority w:val="99"/>
    <w:rPr>
      <w:vertAlign w:val="superscript"/>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7"/>
    <w:semiHidden/>
    <w:qFormat/>
    <w:uiPriority w:val="99"/>
    <w:rPr>
      <w:rFonts w:hAnsi="Courier New" w:cs="Courier New" w:asciiTheme="minorEastAsia"/>
      <w:szCs w:val="24"/>
    </w:rPr>
  </w:style>
  <w:style w:type="character" w:customStyle="1" w:styleId="34">
    <w:name w:val="正文缩进 Char1"/>
    <w:basedOn w:val="27"/>
    <w:link w:val="6"/>
    <w:qFormat/>
    <w:uiPriority w:val="0"/>
    <w:rPr>
      <w:rFonts w:ascii="Times New Roman" w:hAnsi="Times New Roman" w:eastAsia="宋体" w:cs="Times New Roman"/>
      <w:szCs w:val="20"/>
    </w:rPr>
  </w:style>
  <w:style w:type="character" w:customStyle="1" w:styleId="35">
    <w:name w:val="纯文本 Char1"/>
    <w:basedOn w:val="27"/>
    <w:link w:val="12"/>
    <w:qFormat/>
    <w:uiPriority w:val="0"/>
    <w:rPr>
      <w:rFonts w:ascii="宋体" w:hAnsi="Courier New" w:eastAsia="宋体" w:cs="宋体"/>
      <w:szCs w:val="21"/>
    </w:rPr>
  </w:style>
  <w:style w:type="character" w:customStyle="1" w:styleId="36">
    <w:name w:val="页眉 Char"/>
    <w:basedOn w:val="27"/>
    <w:link w:val="15"/>
    <w:qFormat/>
    <w:uiPriority w:val="99"/>
    <w:rPr>
      <w:rFonts w:ascii="Times New Roman" w:hAnsi="Times New Roman" w:eastAsia="宋体" w:cs="Times New Roman"/>
      <w:sz w:val="18"/>
      <w:szCs w:val="18"/>
    </w:rPr>
  </w:style>
  <w:style w:type="character" w:customStyle="1" w:styleId="37">
    <w:name w:val="页脚 Char"/>
    <w:basedOn w:val="27"/>
    <w:link w:val="14"/>
    <w:qFormat/>
    <w:uiPriority w:val="99"/>
    <w:rPr>
      <w:rFonts w:ascii="Times New Roman" w:hAnsi="Times New Roman" w:eastAsia="宋体" w:cs="Times New Roman"/>
      <w:sz w:val="18"/>
      <w:szCs w:val="18"/>
    </w:rPr>
  </w:style>
  <w:style w:type="character" w:customStyle="1" w:styleId="38">
    <w:name w:val="正文缩进 Char1 Char"/>
    <w:basedOn w:val="27"/>
    <w:qFormat/>
    <w:uiPriority w:val="0"/>
    <w:rPr>
      <w:kern w:val="2"/>
      <w:sz w:val="21"/>
    </w:rPr>
  </w:style>
  <w:style w:type="character" w:customStyle="1" w:styleId="39">
    <w:name w:val="纯文本 Char"/>
    <w:basedOn w:val="27"/>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7"/>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7"/>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7"/>
    <w:link w:val="13"/>
    <w:semiHidden/>
    <w:qFormat/>
    <w:uiPriority w:val="99"/>
    <w:rPr>
      <w:rFonts w:ascii="Times New Roman" w:hAnsi="Times New Roman" w:eastAsia="宋体" w:cs="Times New Roman"/>
      <w:sz w:val="18"/>
      <w:szCs w:val="18"/>
    </w:rPr>
  </w:style>
  <w:style w:type="character" w:customStyle="1" w:styleId="53">
    <w:name w:val="批注文字 Char"/>
    <w:basedOn w:val="27"/>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7"/>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7"/>
    <w:link w:val="3"/>
    <w:qFormat/>
    <w:uiPriority w:val="9"/>
    <w:rPr>
      <w:b/>
      <w:bCs/>
      <w:kern w:val="44"/>
      <w:sz w:val="28"/>
      <w:szCs w:val="44"/>
    </w:rPr>
  </w:style>
  <w:style w:type="paragraph" w:customStyle="1" w:styleId="68">
    <w:name w:val="_正文段落"/>
    <w:basedOn w:val="1"/>
    <w:qFormat/>
    <w:uiPriority w:val="0"/>
    <w:pPr>
      <w:snapToGrid w:val="0"/>
      <w:spacing w:before="240" w:after="120" w:line="360" w:lineRule="auto"/>
      <w:ind w:firstLine="200" w:firstLineChars="20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3290</Words>
  <Characters>3622</Characters>
  <Lines>102</Lines>
  <Paragraphs>28</Paragraphs>
  <TotalTime>1</TotalTime>
  <ScaleCrop>false</ScaleCrop>
  <LinksUpToDate>false</LinksUpToDate>
  <CharactersWithSpaces>3701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2025-06-03T07:55:00Z</cp:lastPrinted>
  <dcterms:modified xsi:type="dcterms:W3CDTF">2025-06-30T01:38:53Z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5EC10A54493846B189F85FFCFC97D163_13</vt:lpwstr>
  </property>
  <property fmtid="{D5CDD505-2E9C-101B-9397-08002B2CF9AE}" pid="4" name="KSOTemplateDocerSaveRecord">
    <vt:lpwstr>eyJoZGlkIjoiYjcwNzZmNzFiZWQzZTNhNmU2ZjIwYzg2NmEwZTVjMTQiLCJ1c2VySWQiOiIxMTQ0OTg1Njg1In0=</vt:lpwstr>
  </property>
</Properties>
</file>