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48</w:t>
      </w:r>
      <w:r>
        <w:rPr>
          <w:rFonts w:ascii="宋体" w:hAnsi="宋体" w:cs="宋体-18030"/>
          <w:b/>
          <w:bCs/>
          <w:color w:val="000000"/>
          <w:sz w:val="30"/>
          <w:szCs w:val="30"/>
        </w:rPr>
        <w:t>期</w:t>
      </w:r>
      <w:r>
        <w:rPr>
          <w:rFonts w:hint="eastAsia" w:ascii="宋体" w:hAnsi="宋体" w:eastAsia="宋体" w:cs="宋体-18030"/>
          <w:b/>
          <w:bCs/>
          <w:color w:val="000000"/>
          <w:sz w:val="30"/>
          <w:szCs w:val="30"/>
          <w:lang w:val="en-US" w:eastAsia="zh-CN"/>
        </w:rPr>
        <w:t>院内招投标合规管理体系建设服务</w:t>
      </w:r>
      <w:r>
        <w:rPr>
          <w:rFonts w:ascii="宋体" w:hAnsi="宋体" w:cs="宋体-18030"/>
          <w:b/>
          <w:bCs/>
          <w:color w:val="000000"/>
          <w:sz w:val="30"/>
          <w:szCs w:val="30"/>
        </w:rPr>
        <w:t>采购公告</w:t>
      </w:r>
    </w:p>
    <w:p>
      <w:pPr>
        <w:pStyle w:val="2"/>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48</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0"/>
        <w:tblW w:w="53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7"/>
        <w:gridCol w:w="3750"/>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pct"/>
            <w:vAlign w:val="center"/>
          </w:tcPr>
          <w:p>
            <w:pPr>
              <w:widowControl/>
              <w:snapToGrid w:val="0"/>
              <w:ind w:right="-617" w:rightChars="-294" w:firstLine="1050" w:firstLineChars="5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1969" w:type="pct"/>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1250" w:type="pct"/>
            <w:vAlign w:val="center"/>
          </w:tcPr>
          <w:p>
            <w:pPr>
              <w:widowControl/>
              <w:snapToGrid w:val="0"/>
              <w:ind w:right="-617" w:rightChars="-294" w:firstLine="840" w:firstLineChars="4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779" w:type="pct"/>
            <w:vAlign w:val="center"/>
          </w:tcPr>
          <w:p>
            <w:pPr>
              <w:widowControl/>
              <w:snapToGrid w:val="0"/>
              <w:ind w:right="-617" w:rightChars="-294"/>
              <w:contextualSpacing/>
              <w:jc w:val="both"/>
              <w:rPr>
                <w:rFonts w:hint="eastAsia" w:ascii="宋体" w:hAnsi="宋体" w:cs="宋体-18030"/>
                <w:color w:val="000000"/>
                <w:szCs w:val="21"/>
              </w:rPr>
            </w:pPr>
            <w:r>
              <w:rPr>
                <w:rFonts w:hint="eastAsia" w:ascii="宋体" w:hAnsi="宋体" w:eastAsia="宋体" w:cs="Arial"/>
                <w:color w:val="000000"/>
                <w:kern w:val="0"/>
                <w:szCs w:val="21"/>
                <w:lang w:val="en-US" w:eastAsia="zh-CN"/>
              </w:rPr>
              <w:t>院内招投标合规管理体系建设服务</w:t>
            </w:r>
          </w:p>
        </w:tc>
        <w:tc>
          <w:tcPr>
            <w:tcW w:w="1969" w:type="pct"/>
            <w:vAlign w:val="center"/>
          </w:tcPr>
          <w:p>
            <w:pPr>
              <w:widowControl/>
              <w:snapToGrid w:val="0"/>
              <w:ind w:right="-617" w:rightChars="-294"/>
              <w:contextualSpacing/>
              <w:jc w:val="both"/>
              <w:rPr>
                <w:rFonts w:hint="eastAsia" w:ascii="宋体" w:hAnsi="宋体" w:cs="宋体-18030"/>
                <w:color w:val="000000"/>
                <w:szCs w:val="21"/>
                <w:lang w:val="en-US" w:eastAsia="zh-CN"/>
              </w:rPr>
            </w:pPr>
            <w:r>
              <w:rPr>
                <w:rFonts w:hint="eastAsia" w:ascii="宋体" w:hAnsi="宋体" w:cs="宋体-18030"/>
                <w:color w:val="000000"/>
                <w:szCs w:val="21"/>
                <w:lang w:val="en-US" w:eastAsia="zh-CN"/>
              </w:rPr>
              <w:t>招标办、总务科、信息中心、设备科、</w:t>
            </w:r>
          </w:p>
          <w:p>
            <w:pPr>
              <w:widowControl/>
              <w:snapToGrid w:val="0"/>
              <w:ind w:right="-617" w:rightChars="-294"/>
              <w:contextualSpacing/>
              <w:jc w:val="both"/>
              <w:rPr>
                <w:rFonts w:hint="eastAsia" w:ascii="宋体" w:hAnsi="宋体" w:cs="宋体-18030"/>
                <w:color w:val="000000"/>
                <w:szCs w:val="21"/>
                <w:lang w:val="en-US" w:eastAsia="zh-CN"/>
              </w:rPr>
            </w:pPr>
            <w:r>
              <w:rPr>
                <w:rFonts w:hint="eastAsia" w:ascii="宋体" w:hAnsi="宋体" w:cs="宋体-18030"/>
                <w:color w:val="000000"/>
                <w:szCs w:val="21"/>
                <w:lang w:val="en-US" w:eastAsia="zh-CN"/>
              </w:rPr>
              <w:t>院办、工会办、宣教科、纪检、审计</w:t>
            </w:r>
          </w:p>
          <w:p>
            <w:pPr>
              <w:widowControl/>
              <w:snapToGrid w:val="0"/>
              <w:ind w:right="-617" w:rightChars="-294"/>
              <w:contextualSpacing/>
              <w:jc w:val="both"/>
              <w:rPr>
                <w:rFonts w:hint="default" w:ascii="宋体" w:hAnsi="宋体" w:eastAsia="宋体" w:cs="宋体-18030"/>
                <w:color w:val="000000"/>
                <w:szCs w:val="21"/>
                <w:lang w:val="en-US" w:eastAsia="zh-CN"/>
              </w:rPr>
            </w:pPr>
            <w:r>
              <w:rPr>
                <w:rFonts w:hint="eastAsia" w:ascii="宋体" w:hAnsi="宋体" w:cs="宋体-18030"/>
                <w:color w:val="000000"/>
                <w:szCs w:val="21"/>
                <w:lang w:val="en-US" w:eastAsia="zh-CN"/>
              </w:rPr>
              <w:t>及院内有采购需求的部门（科室）</w:t>
            </w:r>
          </w:p>
        </w:tc>
        <w:tc>
          <w:tcPr>
            <w:tcW w:w="1250" w:type="pct"/>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25</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7</w:t>
      </w:r>
      <w:r>
        <w:rPr>
          <w:rFonts w:ascii="宋体" w:hAnsi="宋体"/>
        </w:rPr>
        <w:t>月</w:t>
      </w:r>
      <w:r>
        <w:rPr>
          <w:rFonts w:hint="eastAsia" w:ascii="宋体" w:hAnsi="宋体"/>
          <w:lang w:val="en-US" w:eastAsia="zh-CN"/>
        </w:rPr>
        <w:t>7</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w:t>
      </w:r>
      <w:bookmarkStart w:id="11" w:name="_GoBack"/>
      <w:bookmarkEnd w:id="11"/>
      <w:r>
        <w:rPr>
          <w:rFonts w:hint="eastAsia" w:ascii="宋体" w:hAnsi="宋体" w:cs="Arial"/>
          <w:bCs/>
          <w:color w:val="000000"/>
          <w:szCs w:val="21"/>
        </w:rPr>
        <w:t>电子邮箱,逾期送达或资料缺项者恕不接受｡</w:t>
      </w:r>
    </w:p>
    <w:p>
      <w:pPr>
        <w:widowControl/>
        <w:jc w:val="left"/>
        <w:rPr>
          <w:rFonts w:ascii="微软雅黑" w:hAnsi="微软雅黑" w:eastAsia="微软雅黑" w:cs="微软雅黑"/>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6</w:t>
      </w:r>
      <w:r>
        <w:rPr>
          <w:rFonts w:ascii="宋体" w:hAnsi="宋体" w:cs="宋体-18030"/>
          <w:bCs/>
          <w:szCs w:val="21"/>
        </w:rPr>
        <w:t>月</w:t>
      </w:r>
      <w:r>
        <w:rPr>
          <w:rFonts w:hint="eastAsia" w:ascii="宋体" w:hAnsi="宋体" w:cs="宋体-18030"/>
          <w:bCs/>
          <w:szCs w:val="21"/>
          <w:lang w:val="en-US" w:eastAsia="zh-CN"/>
        </w:rPr>
        <w:t>25</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52"/>
        <w:gridCol w:w="1294"/>
        <w:gridCol w:w="712"/>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jc w:val="center"/>
              <w:rPr>
                <w:rFonts w:ascii="宋体" w:hAnsi="宋体"/>
                <w:b/>
                <w:bCs/>
                <w:sz w:val="24"/>
                <w:szCs w:val="24"/>
                <w:highlight w:val="none"/>
              </w:rPr>
            </w:pPr>
            <w:r>
              <w:rPr>
                <w:rFonts w:hint="eastAsia" w:ascii="宋体" w:hAnsi="宋体"/>
                <w:b/>
                <w:bCs/>
                <w:sz w:val="24"/>
                <w:szCs w:val="24"/>
                <w:highlight w:val="none"/>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b/>
                <w:bCs/>
                <w:szCs w:val="21"/>
                <w:highlight w:val="none"/>
              </w:rPr>
            </w:pPr>
            <w:r>
              <w:rPr>
                <w:rFonts w:hint="eastAsia" w:ascii="宋体" w:hAnsi="宋体"/>
                <w:b/>
                <w:bCs/>
                <w:szCs w:val="21"/>
                <w:highlight w:val="none"/>
              </w:rPr>
              <w:t>序号</w:t>
            </w:r>
          </w:p>
        </w:tc>
        <w:tc>
          <w:tcPr>
            <w:tcW w:w="2046" w:type="dxa"/>
            <w:gridSpan w:val="2"/>
            <w:vAlign w:val="center"/>
          </w:tcPr>
          <w:p>
            <w:pPr>
              <w:jc w:val="center"/>
              <w:rPr>
                <w:rFonts w:ascii="宋体" w:hAnsi="宋体"/>
                <w:b/>
                <w:bCs/>
                <w:szCs w:val="21"/>
                <w:highlight w:val="none"/>
              </w:rPr>
            </w:pPr>
            <w:r>
              <w:rPr>
                <w:rFonts w:hint="eastAsia" w:ascii="宋体" w:hAnsi="宋体"/>
                <w:b/>
                <w:bCs/>
                <w:szCs w:val="21"/>
                <w:highlight w:val="none"/>
              </w:rPr>
              <w:t>评分因素</w:t>
            </w:r>
          </w:p>
        </w:tc>
        <w:tc>
          <w:tcPr>
            <w:tcW w:w="712" w:type="dxa"/>
            <w:vAlign w:val="center"/>
          </w:tcPr>
          <w:p>
            <w:pPr>
              <w:jc w:val="center"/>
              <w:rPr>
                <w:rFonts w:ascii="宋体" w:hAnsi="宋体"/>
                <w:b/>
                <w:bCs/>
                <w:szCs w:val="21"/>
                <w:highlight w:val="none"/>
              </w:rPr>
            </w:pPr>
            <w:r>
              <w:rPr>
                <w:rFonts w:hint="eastAsia" w:ascii="宋体" w:hAnsi="宋体"/>
                <w:b/>
                <w:bCs/>
                <w:szCs w:val="21"/>
                <w:highlight w:val="none"/>
              </w:rPr>
              <w:t>分值</w:t>
            </w:r>
          </w:p>
        </w:tc>
        <w:tc>
          <w:tcPr>
            <w:tcW w:w="5086" w:type="dxa"/>
            <w:vAlign w:val="center"/>
          </w:tcPr>
          <w:p>
            <w:pPr>
              <w:jc w:val="center"/>
              <w:rPr>
                <w:rFonts w:ascii="宋体" w:hAnsi="宋体"/>
                <w:b/>
                <w:bCs/>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1</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项目实施方案　</w:t>
            </w:r>
          </w:p>
        </w:tc>
        <w:tc>
          <w:tcPr>
            <w:tcW w:w="712" w:type="dxa"/>
            <w:vAlign w:val="center"/>
          </w:tcPr>
          <w:p>
            <w:pPr>
              <w:jc w:val="center"/>
              <w:rPr>
                <w:rFonts w:hint="default" w:ascii="宋体" w:hAnsi="宋体" w:eastAsia="宋体" w:cs="Times New Roman"/>
                <w:szCs w:val="21"/>
                <w:highlight w:val="none"/>
                <w:lang w:val="en-US" w:eastAsia="zh-CN"/>
              </w:rPr>
            </w:pPr>
            <w:r>
              <w:rPr>
                <w:rFonts w:hint="eastAsia" w:ascii="宋体" w:hAnsi="宋体" w:cs="Times New Roman"/>
                <w:szCs w:val="21"/>
                <w:highlight w:val="none"/>
                <w:lang w:val="en-US" w:eastAsia="zh-CN"/>
              </w:rPr>
              <w:t>27</w:t>
            </w:r>
          </w:p>
        </w:tc>
        <w:tc>
          <w:tcPr>
            <w:tcW w:w="5086" w:type="dxa"/>
            <w:vAlign w:val="center"/>
          </w:tcPr>
          <w:p>
            <w:pPr>
              <w:jc w:val="lef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(一)评</w:t>
            </w:r>
            <w:r>
              <w:rPr>
                <w:rFonts w:hint="eastAsia" w:ascii="宋体" w:hAnsi="宋体" w:cs="Times New Roman"/>
                <w:b/>
                <w:bCs/>
                <w:szCs w:val="21"/>
                <w:highlight w:val="none"/>
                <w:lang w:val="en-US" w:eastAsia="zh-CN"/>
              </w:rPr>
              <w:t>审</w:t>
            </w:r>
            <w:r>
              <w:rPr>
                <w:rFonts w:hint="eastAsia" w:ascii="宋体" w:hAnsi="宋体" w:eastAsia="宋体" w:cs="Times New Roman"/>
                <w:b/>
                <w:bCs/>
                <w:szCs w:val="21"/>
                <w:highlight w:val="none"/>
              </w:rPr>
              <w:t>内容：</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投标人在投标文件中详细说明项目实施方案，需包含以下内容：</w:t>
            </w:r>
          </w:p>
          <w:p>
            <w:pPr>
              <w:jc w:val="left"/>
              <w:rPr>
                <w:rFonts w:ascii="宋体" w:hAnsi="宋体"/>
                <w:szCs w:val="21"/>
                <w:highlight w:val="none"/>
              </w:rPr>
            </w:pPr>
            <w:r>
              <w:rPr>
                <w:rFonts w:hint="eastAsia" w:ascii="宋体" w:hAnsi="宋体"/>
                <w:szCs w:val="21"/>
                <w:highlight w:val="none"/>
              </w:rPr>
              <w:t>1.实施组织计划</w:t>
            </w:r>
          </w:p>
          <w:p>
            <w:pPr>
              <w:jc w:val="left"/>
              <w:rPr>
                <w:rFonts w:ascii="宋体" w:hAnsi="宋体"/>
                <w:szCs w:val="21"/>
                <w:highlight w:val="none"/>
              </w:rPr>
            </w:pPr>
            <w:r>
              <w:rPr>
                <w:rFonts w:hint="eastAsia" w:ascii="宋体" w:hAnsi="宋体"/>
                <w:szCs w:val="21"/>
                <w:highlight w:val="none"/>
              </w:rPr>
              <w:t>2.实施管理计划</w:t>
            </w:r>
          </w:p>
          <w:p>
            <w:pPr>
              <w:jc w:val="left"/>
              <w:rPr>
                <w:rFonts w:ascii="宋体" w:hAnsi="宋体"/>
                <w:szCs w:val="21"/>
                <w:highlight w:val="none"/>
              </w:rPr>
            </w:pPr>
            <w:r>
              <w:rPr>
                <w:rFonts w:hint="eastAsia" w:ascii="宋体" w:hAnsi="宋体"/>
                <w:szCs w:val="21"/>
                <w:highlight w:val="none"/>
              </w:rPr>
              <w:t>3.项目进度计划</w:t>
            </w:r>
          </w:p>
          <w:p>
            <w:pPr>
              <w:jc w:val="left"/>
              <w:rPr>
                <w:rFonts w:ascii="宋体" w:hAnsi="宋体"/>
                <w:szCs w:val="21"/>
                <w:highlight w:val="none"/>
              </w:rPr>
            </w:pPr>
            <w:r>
              <w:rPr>
                <w:rFonts w:hint="eastAsia" w:ascii="宋体" w:hAnsi="宋体"/>
                <w:szCs w:val="21"/>
                <w:highlight w:val="none"/>
              </w:rPr>
              <w:t>4.实施方案内容</w:t>
            </w:r>
          </w:p>
          <w:p>
            <w:pPr>
              <w:jc w:val="lef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（二）评</w:t>
            </w:r>
            <w:r>
              <w:rPr>
                <w:rFonts w:hint="eastAsia" w:ascii="宋体" w:hAnsi="宋体" w:cs="Times New Roman"/>
                <w:b/>
                <w:bCs/>
                <w:szCs w:val="21"/>
                <w:highlight w:val="none"/>
                <w:lang w:val="en-US" w:eastAsia="zh-CN"/>
              </w:rPr>
              <w:t>审</w:t>
            </w:r>
            <w:r>
              <w:rPr>
                <w:rFonts w:hint="eastAsia" w:ascii="宋体" w:hAnsi="宋体" w:eastAsia="宋体" w:cs="Times New Roman"/>
                <w:b/>
                <w:bCs/>
                <w:szCs w:val="21"/>
                <w:highlight w:val="none"/>
              </w:rPr>
              <w:t>依据：</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 投标人提供的项目实施方案每满足以上1点要求得</w:t>
            </w: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分，最高得</w:t>
            </w:r>
            <w:r>
              <w:rPr>
                <w:rFonts w:hint="eastAsia" w:ascii="宋体" w:hAnsi="宋体" w:cs="Times New Roman"/>
                <w:szCs w:val="21"/>
                <w:highlight w:val="none"/>
                <w:lang w:val="en-US" w:eastAsia="zh-CN"/>
              </w:rPr>
              <w:t>12</w:t>
            </w:r>
            <w:r>
              <w:rPr>
                <w:rFonts w:hint="eastAsia" w:ascii="宋体" w:hAnsi="宋体" w:eastAsia="宋体" w:cs="Times New Roman"/>
                <w:szCs w:val="21"/>
                <w:highlight w:val="none"/>
              </w:rPr>
              <w:t xml:space="preserve">分。 </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 在第1项的基础上，根据以下标准对投标人具体响应内容进行进一步评审：</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（1）内容完整、合理性强，评价为优，得</w:t>
            </w:r>
            <w:r>
              <w:rPr>
                <w:rFonts w:hint="eastAsia" w:ascii="宋体" w:hAnsi="宋体" w:cs="Times New Roman"/>
                <w:szCs w:val="21"/>
                <w:highlight w:val="none"/>
                <w:lang w:val="en-US" w:eastAsia="zh-CN"/>
              </w:rPr>
              <w:t>15</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（2）内容较完整、合理性较强，评价为良，得</w:t>
            </w:r>
            <w:r>
              <w:rPr>
                <w:rFonts w:hint="eastAsia" w:ascii="宋体" w:hAnsi="宋体" w:cs="Times New Roman"/>
                <w:szCs w:val="21"/>
                <w:highlight w:val="none"/>
                <w:lang w:val="en-US" w:eastAsia="zh-CN"/>
              </w:rPr>
              <w:t>10</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（3）内容完整性一般、合理性一般，评价为中，得</w:t>
            </w:r>
            <w:r>
              <w:rPr>
                <w:rFonts w:hint="eastAsia" w:ascii="宋体" w:hAnsi="宋体" w:cs="Times New Roman"/>
                <w:szCs w:val="21"/>
                <w:highlight w:val="none"/>
                <w:lang w:val="en-US" w:eastAsia="zh-CN"/>
              </w:rPr>
              <w:t>5</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（4）内容简单，合理较差，评价为差得</w:t>
            </w:r>
            <w:r>
              <w:rPr>
                <w:rFonts w:hint="eastAsia" w:ascii="宋体" w:hAnsi="宋体" w:cs="Times New Roman"/>
                <w:szCs w:val="21"/>
                <w:highlight w:val="none"/>
                <w:lang w:val="en-US" w:eastAsia="zh-CN"/>
              </w:rPr>
              <w:t>0</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以上2项得分累计，最高得</w:t>
            </w:r>
            <w:r>
              <w:rPr>
                <w:rFonts w:hint="eastAsia" w:ascii="宋体" w:hAnsi="宋体" w:cs="Times New Roman"/>
                <w:szCs w:val="21"/>
                <w:highlight w:val="none"/>
                <w:lang w:val="en-US" w:eastAsia="zh-CN"/>
              </w:rPr>
              <w:t>27</w:t>
            </w:r>
            <w:r>
              <w:rPr>
                <w:rFonts w:hint="eastAsia" w:ascii="宋体" w:hAnsi="宋体" w:eastAsia="宋体" w:cs="Times New Roman"/>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服务质量保障措施方案</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24</w:t>
            </w:r>
          </w:p>
        </w:tc>
        <w:tc>
          <w:tcPr>
            <w:tcW w:w="5086" w:type="dxa"/>
            <w:vAlign w:val="center"/>
          </w:tcPr>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内容：</w:t>
            </w:r>
          </w:p>
          <w:p>
            <w:pPr>
              <w:jc w:val="left"/>
              <w:rPr>
                <w:rFonts w:hint="eastAsia" w:ascii="宋体" w:hAnsi="宋体"/>
                <w:szCs w:val="21"/>
                <w:highlight w:val="none"/>
              </w:rPr>
            </w:pPr>
            <w:r>
              <w:rPr>
                <w:rFonts w:hint="eastAsia" w:ascii="宋体" w:hAnsi="宋体"/>
                <w:szCs w:val="21"/>
                <w:highlight w:val="none"/>
              </w:rPr>
              <w:t>投标人针对本项目提供服务质量保障措施方案，包括但不限于：</w:t>
            </w:r>
          </w:p>
          <w:p>
            <w:pPr>
              <w:jc w:val="left"/>
              <w:rPr>
                <w:rFonts w:hint="eastAsia" w:eastAsia="宋体"/>
                <w:lang w:eastAsia="zh-CN"/>
              </w:rPr>
            </w:pPr>
            <w:r>
              <w:rPr>
                <w:rFonts w:hint="eastAsia" w:ascii="宋体" w:hAnsi="宋体"/>
                <w:szCs w:val="21"/>
              </w:rPr>
              <w:t>1.项目管理方案，包括项目管理规范、项目管理措施、人员培训计划等</w:t>
            </w:r>
            <w:r>
              <w:rPr>
                <w:rFonts w:hint="eastAsia" w:ascii="宋体" w:hAnsi="宋体"/>
                <w:szCs w:val="21"/>
                <w:lang w:eastAsia="zh-CN"/>
              </w:rPr>
              <w:t>；</w:t>
            </w:r>
          </w:p>
          <w:p>
            <w:pPr>
              <w:jc w:val="left"/>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.项目完成时间保障措施；</w:t>
            </w:r>
          </w:p>
          <w:p>
            <w:pPr>
              <w:jc w:val="left"/>
              <w:rPr>
                <w:rFonts w:hint="eastAsia"/>
              </w:rPr>
            </w:pPr>
            <w:r>
              <w:rPr>
                <w:rFonts w:hint="eastAsia" w:ascii="宋体" w:hAnsi="宋体"/>
                <w:szCs w:val="21"/>
                <w:highlight w:val="none"/>
              </w:rPr>
              <w:t>3.项目质量保障措施。</w:t>
            </w:r>
          </w:p>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二</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r>
              <w:rPr>
                <w:rFonts w:hint="eastAsia" w:ascii="宋体" w:hAnsi="宋体"/>
                <w:szCs w:val="21"/>
                <w:highlight w:val="none"/>
              </w:rPr>
              <w:t>1.每提供上述任意一项内容得</w:t>
            </w:r>
            <w:r>
              <w:rPr>
                <w:rFonts w:hint="eastAsia" w:ascii="宋体" w:hAnsi="宋体"/>
                <w:szCs w:val="21"/>
                <w:highlight w:val="none"/>
                <w:lang w:val="en-US" w:eastAsia="zh-CN"/>
              </w:rPr>
              <w:t>3</w:t>
            </w:r>
            <w:r>
              <w:rPr>
                <w:rFonts w:hint="eastAsia" w:ascii="宋体" w:hAnsi="宋体"/>
                <w:szCs w:val="21"/>
                <w:highlight w:val="none"/>
              </w:rPr>
              <w:t>分，本小项累计最高得</w:t>
            </w:r>
            <w:r>
              <w:rPr>
                <w:rFonts w:hint="eastAsia" w:ascii="宋体" w:hAnsi="宋体"/>
                <w:szCs w:val="21"/>
                <w:highlight w:val="none"/>
                <w:lang w:val="en-US" w:eastAsia="zh-CN"/>
              </w:rPr>
              <w:t>9</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在第1项的基础上，根据以下标准对投标人具体响应内容进行进一步评审：</w:t>
            </w:r>
          </w:p>
          <w:p>
            <w:pPr>
              <w:jc w:val="left"/>
              <w:rPr>
                <w:rFonts w:hint="eastAsia" w:ascii="宋体" w:hAnsi="宋体"/>
                <w:szCs w:val="21"/>
                <w:highlight w:val="none"/>
              </w:rPr>
            </w:pPr>
            <w:r>
              <w:rPr>
                <w:rFonts w:hint="eastAsia" w:ascii="宋体" w:hAnsi="宋体"/>
                <w:szCs w:val="21"/>
                <w:highlight w:val="none"/>
              </w:rPr>
              <w:t>（1）方案符合实际、完整、规范、思路清晰，内容合理性强，评价为优，得</w:t>
            </w:r>
            <w:r>
              <w:rPr>
                <w:rFonts w:hint="eastAsia" w:ascii="宋体" w:hAnsi="宋体"/>
                <w:szCs w:val="21"/>
                <w:highlight w:val="none"/>
                <w:lang w:val="en-US" w:eastAsia="zh-CN"/>
              </w:rPr>
              <w:t>15</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（2）方案较符合实际、较完整规范、思路较清晰，内容合理性较强，评价为良，得</w:t>
            </w:r>
            <w:r>
              <w:rPr>
                <w:rFonts w:hint="eastAsia" w:ascii="宋体" w:hAnsi="宋体"/>
                <w:szCs w:val="21"/>
                <w:highlight w:val="none"/>
                <w:lang w:val="en-US" w:eastAsia="zh-CN"/>
              </w:rPr>
              <w:t>10</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（3）方案较普通、完整性、规范性一般，思路不够清晰，内容合理性般，评价为中，得</w:t>
            </w:r>
            <w:r>
              <w:rPr>
                <w:rFonts w:hint="eastAsia" w:ascii="宋体" w:hAnsi="宋体"/>
                <w:szCs w:val="21"/>
                <w:highlight w:val="none"/>
                <w:lang w:val="en-US" w:eastAsia="zh-CN"/>
              </w:rPr>
              <w:t>5</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（4）方案不完整、不规范，思路不清晰，内容合理性较差或未提供，评价为差，不得分。</w:t>
            </w:r>
          </w:p>
          <w:p>
            <w:pPr>
              <w:jc w:val="left"/>
              <w:rPr>
                <w:rFonts w:ascii="宋体" w:hAnsi="宋体"/>
                <w:szCs w:val="21"/>
                <w:highlight w:val="none"/>
              </w:rPr>
            </w:pPr>
            <w:r>
              <w:rPr>
                <w:rFonts w:hint="eastAsia" w:ascii="宋体" w:hAnsi="宋体"/>
                <w:szCs w:val="21"/>
                <w:highlight w:val="none"/>
              </w:rPr>
              <w:t>以上2项得分累计，最高得</w:t>
            </w:r>
            <w:r>
              <w:rPr>
                <w:rFonts w:hint="eastAsia" w:ascii="宋体" w:hAnsi="宋体"/>
                <w:szCs w:val="21"/>
                <w:highlight w:val="none"/>
                <w:lang w:val="en-US" w:eastAsia="zh-CN"/>
              </w:rPr>
              <w:t>24</w:t>
            </w:r>
            <w:r>
              <w:rPr>
                <w:rFonts w:hint="eastAsia" w:ascii="宋体" w:hAnsi="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jc w:val="center"/>
              <w:rPr>
                <w:rFonts w:ascii="宋体" w:hAnsi="宋体"/>
                <w:b/>
                <w:bCs/>
                <w:sz w:val="24"/>
                <w:szCs w:val="24"/>
                <w:highlight w:val="none"/>
              </w:rPr>
            </w:pPr>
            <w:r>
              <w:rPr>
                <w:rFonts w:hint="eastAsia" w:ascii="宋体" w:hAnsi="宋体"/>
                <w:b/>
                <w:bCs/>
                <w:sz w:val="24"/>
                <w:szCs w:val="24"/>
                <w:highlight w:val="none"/>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b/>
                <w:bCs/>
                <w:szCs w:val="21"/>
                <w:highlight w:val="none"/>
              </w:rPr>
              <w:t>序号</w:t>
            </w:r>
          </w:p>
        </w:tc>
        <w:tc>
          <w:tcPr>
            <w:tcW w:w="2046" w:type="dxa"/>
            <w:gridSpan w:val="2"/>
            <w:vAlign w:val="center"/>
          </w:tcPr>
          <w:p>
            <w:pPr>
              <w:jc w:val="center"/>
              <w:rPr>
                <w:rFonts w:ascii="宋体" w:hAnsi="宋体"/>
                <w:szCs w:val="21"/>
                <w:highlight w:val="none"/>
              </w:rPr>
            </w:pPr>
            <w:r>
              <w:rPr>
                <w:rFonts w:hint="eastAsia" w:ascii="宋体" w:hAnsi="宋体"/>
                <w:b/>
                <w:bCs/>
                <w:szCs w:val="21"/>
                <w:highlight w:val="none"/>
              </w:rPr>
              <w:t>评分因素</w:t>
            </w:r>
          </w:p>
        </w:tc>
        <w:tc>
          <w:tcPr>
            <w:tcW w:w="712" w:type="dxa"/>
            <w:vAlign w:val="center"/>
          </w:tcPr>
          <w:p>
            <w:pPr>
              <w:jc w:val="center"/>
              <w:rPr>
                <w:rFonts w:ascii="宋体" w:hAnsi="宋体"/>
                <w:szCs w:val="21"/>
                <w:highlight w:val="none"/>
              </w:rPr>
            </w:pPr>
            <w:r>
              <w:rPr>
                <w:rFonts w:hint="eastAsia" w:ascii="宋体" w:hAnsi="宋体"/>
                <w:b/>
                <w:bCs/>
                <w:szCs w:val="21"/>
                <w:highlight w:val="none"/>
              </w:rPr>
              <w:t>分值</w:t>
            </w:r>
          </w:p>
        </w:tc>
        <w:tc>
          <w:tcPr>
            <w:tcW w:w="5086" w:type="dxa"/>
            <w:vAlign w:val="center"/>
          </w:tcPr>
          <w:p>
            <w:pPr>
              <w:jc w:val="center"/>
              <w:rPr>
                <w:rFonts w:ascii="宋体" w:hAnsi="宋体"/>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ascii="宋体" w:hAnsi="宋体"/>
                <w:szCs w:val="21"/>
                <w:highlight w:val="none"/>
              </w:rPr>
              <w:t>1</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项目负责人配置</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4</w:t>
            </w:r>
          </w:p>
        </w:tc>
        <w:tc>
          <w:tcPr>
            <w:tcW w:w="5086" w:type="dxa"/>
            <w:vAlign w:val="center"/>
          </w:tcPr>
          <w:p>
            <w:pPr>
              <w:jc w:val="left"/>
              <w:rPr>
                <w:rFonts w:ascii="宋体" w:hAnsi="宋体"/>
                <w:b/>
                <w:bCs/>
                <w:szCs w:val="21"/>
                <w:highlight w:val="none"/>
              </w:rPr>
            </w:pPr>
            <w:r>
              <w:rPr>
                <w:rFonts w:hint="eastAsia" w:ascii="宋体" w:hAnsi="宋体"/>
                <w:b/>
                <w:bCs/>
                <w:szCs w:val="21"/>
                <w:highlight w:val="none"/>
              </w:rPr>
              <w:t>（一）评</w:t>
            </w:r>
            <w:r>
              <w:rPr>
                <w:rFonts w:hint="eastAsia" w:ascii="宋体" w:hAnsi="宋体"/>
                <w:b/>
                <w:bCs/>
                <w:szCs w:val="21"/>
                <w:highlight w:val="none"/>
                <w:lang w:val="en-US" w:eastAsia="zh-CN"/>
              </w:rPr>
              <w:t>审</w:t>
            </w:r>
            <w:r>
              <w:rPr>
                <w:rFonts w:hint="eastAsia" w:ascii="宋体" w:hAnsi="宋体"/>
                <w:b/>
                <w:bCs/>
                <w:szCs w:val="21"/>
                <w:highlight w:val="none"/>
              </w:rPr>
              <w:t>内容：</w:t>
            </w:r>
          </w:p>
          <w:p>
            <w:pPr>
              <w:jc w:val="left"/>
              <w:rPr>
                <w:rFonts w:hint="eastAsia" w:ascii="宋体" w:hAnsi="宋体"/>
                <w:szCs w:val="21"/>
                <w:highlight w:val="none"/>
              </w:rPr>
            </w:pPr>
            <w:r>
              <w:rPr>
                <w:rFonts w:hint="eastAsia" w:ascii="宋体" w:hAnsi="宋体"/>
                <w:szCs w:val="21"/>
                <w:highlight w:val="none"/>
              </w:rPr>
              <w:t>为保障项目建设，投标人拟派1名项目负责人：</w:t>
            </w:r>
          </w:p>
          <w:p>
            <w:pPr>
              <w:pStyle w:val="2"/>
              <w:ind w:left="0" w:leftChars="0" w:firstLine="0" w:firstLineChars="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1.项目负责人具有法学类或经济管理类专业研究生或以上学历，得2分；不满足不得分；</w:t>
            </w:r>
          </w:p>
          <w:p>
            <w:pPr>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2.项目负责人从业年限超过8年（含）的，得2分；从业年限8年（含）以下，5年（含）以上的，得1分；从业年限低于5年的，不得分。</w:t>
            </w:r>
          </w:p>
          <w:p>
            <w:pPr>
              <w:jc w:val="left"/>
              <w:rPr>
                <w:rFonts w:ascii="宋体" w:hAnsi="宋体"/>
                <w:szCs w:val="21"/>
                <w:highlight w:val="none"/>
              </w:rPr>
            </w:pPr>
            <w:r>
              <w:rPr>
                <w:rFonts w:hint="eastAsia" w:ascii="宋体" w:hAnsi="宋体" w:eastAsia="宋体" w:cs="Times New Roman"/>
                <w:kern w:val="2"/>
                <w:sz w:val="21"/>
                <w:szCs w:val="21"/>
                <w:highlight w:val="none"/>
                <w:lang w:val="en-US" w:eastAsia="zh-CN" w:bidi="ar-SA"/>
              </w:rPr>
              <w:t>以上两项累计得分最高4分；不满足不得</w:t>
            </w:r>
            <w:r>
              <w:rPr>
                <w:rFonts w:hint="eastAsia" w:ascii="宋体" w:hAnsi="宋体"/>
                <w:szCs w:val="21"/>
                <w:highlight w:val="none"/>
              </w:rPr>
              <w:t>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r>
              <w:rPr>
                <w:rFonts w:hint="eastAsia" w:ascii="宋体" w:hAnsi="宋体"/>
                <w:szCs w:val="21"/>
                <w:highlight w:val="none"/>
              </w:rPr>
              <w:t>1. 提供项目负责人通过投标单位缴纳的载有社保部门或税务部门公章</w:t>
            </w:r>
            <w:r>
              <w:rPr>
                <w:rFonts w:hint="eastAsia" w:ascii="宋体" w:hAnsi="宋体"/>
                <w:bCs/>
                <w:szCs w:val="21"/>
                <w:highlight w:val="none"/>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snapToGrid w:val="0"/>
              <w:contextualSpacing/>
              <w:rPr>
                <w:rFonts w:hint="eastAsia" w:ascii="宋体" w:hAnsi="宋体" w:cs="宋体"/>
                <w:color w:val="000000" w:themeColor="text1"/>
                <w:szCs w:val="21"/>
                <w14:textFill>
                  <w14:solidFill>
                    <w14:schemeClr w14:val="tx1"/>
                  </w14:solidFill>
                </w14:textFill>
              </w:rPr>
            </w:pPr>
            <w:r>
              <w:rPr>
                <w:rFonts w:hint="eastAsia" w:ascii="宋体" w:hAnsi="宋体"/>
                <w:szCs w:val="21"/>
                <w:highlight w:val="none"/>
              </w:rPr>
              <w:t>2.</w:t>
            </w:r>
            <w:r>
              <w:rPr>
                <w:rFonts w:hint="eastAsia" w:ascii="宋体" w:hAnsi="宋体" w:cs="宋体"/>
                <w:color w:val="000000" w:themeColor="text1"/>
                <w:szCs w:val="21"/>
                <w14:textFill>
                  <w14:solidFill>
                    <w14:schemeClr w14:val="tx1"/>
                  </w14:solidFill>
                </w14:textFill>
              </w:rPr>
              <w:t xml:space="preserve"> 学历证书：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pPr>
              <w:snapToGrid w:val="0"/>
              <w:contextualSpacing/>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海外留学（含港澳台）人员学历无法通过学信网站查询的，应当提供教育部留学服务中心出具的国外学历学位认证证书以及教育部留学服务中心官网（https://zwfw.cscse.edu.cn/）查询截图。若证明文件为其它语言，必须附中文译文，</w:t>
            </w:r>
            <w:r>
              <w:rPr>
                <w:rFonts w:hint="eastAsia" w:ascii="宋体" w:hAnsi="宋体" w:cs="宋体"/>
                <w:szCs w:val="21"/>
              </w:rPr>
              <w:t>以中文译文为准。</w:t>
            </w:r>
          </w:p>
          <w:p>
            <w:pPr>
              <w:jc w:val="left"/>
              <w:rPr>
                <w:rFonts w:ascii="宋体" w:hAnsi="宋体"/>
                <w:szCs w:val="21"/>
                <w:highlight w:val="none"/>
              </w:rPr>
            </w:pPr>
            <w:r>
              <w:rPr>
                <w:rFonts w:hint="eastAsia" w:ascii="宋体" w:hAnsi="宋体" w:cs="宋体"/>
                <w:szCs w:val="21"/>
                <w:lang w:val="en-US" w:eastAsia="zh-CN"/>
              </w:rPr>
              <w:t>3.</w:t>
            </w:r>
            <w:r>
              <w:rPr>
                <w:rFonts w:hint="eastAsia" w:ascii="宋体" w:hAnsi="宋体" w:cs="宋体"/>
                <w:szCs w:val="21"/>
              </w:rPr>
              <w:t>工作经验：要求提供项目合</w:t>
            </w:r>
            <w:r>
              <w:rPr>
                <w:rFonts w:hint="eastAsia" w:ascii="宋体" w:hAnsi="宋体" w:cs="宋体"/>
                <w:color w:val="000000" w:themeColor="text1"/>
                <w:szCs w:val="21"/>
                <w14:textFill>
                  <w14:solidFill>
                    <w14:schemeClr w14:val="tx1"/>
                  </w14:solidFill>
                </w14:textFill>
              </w:rPr>
              <w:t>同关键信息作为得分依据，通过合同关键信息无法判断是否得分的，还须同时提供合同甲方出具的证明文件。</w:t>
            </w:r>
          </w:p>
          <w:p>
            <w:pPr>
              <w:jc w:val="left"/>
              <w:rPr>
                <w:rFonts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2</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项目团队配置</w:t>
            </w:r>
          </w:p>
        </w:tc>
        <w:tc>
          <w:tcPr>
            <w:tcW w:w="712" w:type="dxa"/>
            <w:vAlign w:val="center"/>
          </w:tcPr>
          <w:p>
            <w:pPr>
              <w:jc w:val="center"/>
              <w:rPr>
                <w:rFonts w:ascii="宋体" w:hAnsi="宋体"/>
                <w:szCs w:val="21"/>
                <w:highlight w:val="none"/>
              </w:rPr>
            </w:pPr>
            <w:r>
              <w:rPr>
                <w:rFonts w:hint="eastAsia" w:ascii="宋体" w:hAnsi="宋体"/>
                <w:szCs w:val="21"/>
                <w:highlight w:val="none"/>
                <w:lang w:val="en-US" w:eastAsia="zh-CN"/>
              </w:rPr>
              <w:t>4</w:t>
            </w:r>
          </w:p>
        </w:tc>
        <w:tc>
          <w:tcPr>
            <w:tcW w:w="5086" w:type="dxa"/>
            <w:vAlign w:val="center"/>
          </w:tcPr>
          <w:p>
            <w:pPr>
              <w:jc w:val="left"/>
              <w:rPr>
                <w:rFonts w:ascii="宋体" w:hAnsi="宋体"/>
                <w:szCs w:val="21"/>
                <w:highlight w:val="none"/>
              </w:rPr>
            </w:pPr>
            <w:r>
              <w:rPr>
                <w:rFonts w:hint="eastAsia" w:ascii="宋体" w:hAnsi="宋体"/>
                <w:b/>
                <w:bCs/>
                <w:szCs w:val="21"/>
                <w:highlight w:val="none"/>
              </w:rPr>
              <w:t>（一）评</w:t>
            </w:r>
            <w:r>
              <w:rPr>
                <w:rFonts w:hint="eastAsia" w:ascii="宋体" w:hAnsi="宋体"/>
                <w:b/>
                <w:bCs/>
                <w:szCs w:val="21"/>
                <w:highlight w:val="none"/>
                <w:lang w:val="en-US" w:eastAsia="zh-CN"/>
              </w:rPr>
              <w:t>审</w:t>
            </w:r>
            <w:r>
              <w:rPr>
                <w:rFonts w:hint="eastAsia" w:ascii="宋体" w:hAnsi="宋体"/>
                <w:b/>
                <w:bCs/>
                <w:szCs w:val="21"/>
                <w:highlight w:val="none"/>
              </w:rPr>
              <w:t>内容：</w:t>
            </w:r>
          </w:p>
          <w:p>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投标人拟派项目团队成员不少于2名，每名成员具有1个深圳市内政府、事业单位或卫健系统招投标合规管理类项目工作经验，每有一名符合条件成员得2分，本项最高得4分；</w:t>
            </w:r>
          </w:p>
          <w:p>
            <w:pPr>
              <w:jc w:val="left"/>
              <w:rPr>
                <w:rFonts w:ascii="宋体" w:hAnsi="宋体"/>
                <w:szCs w:val="21"/>
                <w:highlight w:val="none"/>
              </w:rPr>
            </w:pPr>
            <w:r>
              <w:rPr>
                <w:rFonts w:hint="eastAsia" w:ascii="宋体" w:hAnsi="宋体"/>
                <w:szCs w:val="21"/>
                <w:highlight w:val="none"/>
              </w:rPr>
              <w:t>累计得分最高</w:t>
            </w:r>
            <w:r>
              <w:rPr>
                <w:rFonts w:hint="eastAsia" w:ascii="宋体" w:hAnsi="宋体"/>
                <w:szCs w:val="21"/>
                <w:highlight w:val="none"/>
                <w:lang w:val="en-US" w:eastAsia="zh-CN"/>
              </w:rPr>
              <w:t>4</w:t>
            </w:r>
            <w:r>
              <w:rPr>
                <w:rFonts w:hint="eastAsia" w:ascii="宋体" w:hAnsi="宋体"/>
                <w:szCs w:val="21"/>
                <w:highlight w:val="none"/>
              </w:rPr>
              <w:t>分，未提供或不符合要求不得分。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r>
              <w:rPr>
                <w:rFonts w:hint="eastAsia" w:ascii="宋体" w:hAnsi="宋体"/>
                <w:szCs w:val="21"/>
                <w:highlight w:val="none"/>
              </w:rPr>
              <w:t>1. 提供项目</w:t>
            </w:r>
            <w:r>
              <w:rPr>
                <w:rFonts w:hint="eastAsia" w:ascii="宋体" w:hAnsi="宋体"/>
                <w:szCs w:val="21"/>
                <w:highlight w:val="none"/>
                <w:lang w:val="en-US" w:eastAsia="zh-CN"/>
              </w:rPr>
              <w:t>成员</w:t>
            </w:r>
            <w:r>
              <w:rPr>
                <w:rFonts w:hint="eastAsia" w:ascii="宋体" w:hAnsi="宋体"/>
                <w:szCs w:val="21"/>
                <w:highlight w:val="none"/>
              </w:rPr>
              <w:t>通过投标单位缴纳的载有社保部门或税务部门公章</w:t>
            </w:r>
            <w:r>
              <w:rPr>
                <w:rFonts w:hint="eastAsia" w:ascii="宋体" w:hAnsi="宋体"/>
                <w:bCs/>
                <w:szCs w:val="21"/>
                <w:highlight w:val="none"/>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jc w:val="left"/>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 xml:space="preserve">2. </w:t>
            </w:r>
            <w:r>
              <w:rPr>
                <w:rFonts w:hint="eastAsia" w:ascii="宋体" w:hAnsi="宋体" w:cs="宋体"/>
                <w:szCs w:val="21"/>
              </w:rPr>
              <w:t>工作经验：</w:t>
            </w:r>
            <w:r>
              <w:rPr>
                <w:rFonts w:hint="eastAsia" w:ascii="宋体" w:hAnsi="宋体" w:eastAsia="宋体" w:cs="Times New Roman"/>
                <w:bCs/>
                <w:szCs w:val="21"/>
                <w:highlight w:val="none"/>
              </w:rPr>
              <w:t>提供</w:t>
            </w:r>
            <w:r>
              <w:rPr>
                <w:rFonts w:hint="eastAsia" w:ascii="宋体" w:hAnsi="宋体" w:eastAsia="宋体" w:cs="Times New Roman"/>
                <w:bCs/>
                <w:szCs w:val="21"/>
                <w:highlight w:val="none"/>
                <w:lang w:val="en-US" w:eastAsia="zh-CN"/>
              </w:rPr>
              <w:t>参与深圳市内政府、事业单位或</w:t>
            </w:r>
            <w:r>
              <w:rPr>
                <w:rFonts w:hint="eastAsia" w:ascii="宋体" w:hAnsi="宋体" w:eastAsia="宋体" w:cs="Times New Roman"/>
                <w:bCs/>
                <w:szCs w:val="21"/>
                <w:highlight w:val="none"/>
              </w:rPr>
              <w:t>卫健系统</w:t>
            </w:r>
            <w:r>
              <w:rPr>
                <w:rFonts w:hint="eastAsia" w:ascii="宋体" w:hAnsi="宋体" w:eastAsia="宋体" w:cs="Times New Roman"/>
                <w:bCs/>
                <w:szCs w:val="21"/>
                <w:highlight w:val="none"/>
                <w:lang w:val="en-US" w:eastAsia="zh-CN"/>
              </w:rPr>
              <w:t>招投标</w:t>
            </w:r>
            <w:r>
              <w:rPr>
                <w:rFonts w:hint="eastAsia" w:ascii="宋体" w:hAnsi="宋体" w:eastAsia="宋体" w:cs="Times New Roman"/>
                <w:bCs/>
                <w:szCs w:val="21"/>
                <w:highlight w:val="none"/>
              </w:rPr>
              <w:t>合规管理类项目</w:t>
            </w:r>
            <w:r>
              <w:rPr>
                <w:rFonts w:hint="eastAsia" w:ascii="宋体" w:hAnsi="宋体" w:eastAsia="宋体" w:cs="Times New Roman"/>
                <w:bCs/>
                <w:szCs w:val="21"/>
                <w:highlight w:val="none"/>
                <w:lang w:val="en-US" w:eastAsia="zh-CN"/>
              </w:rPr>
              <w:t xml:space="preserve">合同关键页作为证明材料 </w:t>
            </w:r>
            <w:r>
              <w:rPr>
                <w:rFonts w:hint="eastAsia" w:ascii="宋体" w:hAnsi="宋体" w:eastAsia="宋体" w:cs="Times New Roman"/>
                <w:bCs/>
                <w:szCs w:val="21"/>
                <w:highlight w:val="none"/>
                <w:lang w:eastAsia="zh-CN"/>
              </w:rPr>
              <w:t>；</w:t>
            </w:r>
          </w:p>
          <w:p>
            <w:pPr>
              <w:jc w:val="left"/>
              <w:rPr>
                <w:rFonts w:ascii="宋体" w:hAnsi="宋体"/>
                <w:szCs w:val="21"/>
                <w:highlight w:val="none"/>
              </w:rPr>
            </w:pPr>
            <w:r>
              <w:rPr>
                <w:rFonts w:hint="eastAsia" w:ascii="宋体" w:hAnsi="宋体" w:eastAsia="宋体" w:cs="Times New Roman"/>
                <w:bCs/>
                <w:szCs w:val="21"/>
                <w:highlight w:val="none"/>
              </w:rPr>
              <w:t>3.提供以上证明文件复印件或扫描件，如涉及网</w:t>
            </w:r>
            <w:r>
              <w:rPr>
                <w:rFonts w:hint="eastAsia" w:ascii="宋体" w:hAnsi="宋体"/>
                <w:szCs w:val="21"/>
                <w:highlight w:val="none"/>
              </w:rPr>
              <w:t>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3</w:t>
            </w:r>
          </w:p>
        </w:tc>
        <w:tc>
          <w:tcPr>
            <w:tcW w:w="2046" w:type="dxa"/>
            <w:gridSpan w:val="2"/>
            <w:vAlign w:val="center"/>
          </w:tcPr>
          <w:p>
            <w:pPr>
              <w:jc w:val="center"/>
              <w:rPr>
                <w:rFonts w:ascii="宋体" w:hAnsi="宋体"/>
                <w:szCs w:val="21"/>
                <w:highlight w:val="none"/>
              </w:rPr>
            </w:pPr>
            <w:r>
              <w:rPr>
                <w:rFonts w:hint="eastAsia"/>
                <w:highlight w:val="none"/>
              </w:rPr>
              <w:t>投标人通过相关认证情况</w:t>
            </w:r>
          </w:p>
        </w:tc>
        <w:tc>
          <w:tcPr>
            <w:tcW w:w="712" w:type="dxa"/>
            <w:vAlign w:val="center"/>
          </w:tcPr>
          <w:p>
            <w:pPr>
              <w:jc w:val="center"/>
              <w:rPr>
                <w:rFonts w:ascii="宋体" w:hAnsi="宋体"/>
                <w:szCs w:val="21"/>
                <w:highlight w:val="none"/>
              </w:rPr>
            </w:pPr>
            <w:r>
              <w:rPr>
                <w:rFonts w:hint="eastAsia" w:ascii="宋体" w:hAnsi="宋体"/>
                <w:szCs w:val="21"/>
                <w:highlight w:val="none"/>
                <w:lang w:val="en-US" w:eastAsia="zh-CN"/>
              </w:rPr>
              <w:t>2</w:t>
            </w:r>
          </w:p>
        </w:tc>
        <w:tc>
          <w:tcPr>
            <w:tcW w:w="5086" w:type="dxa"/>
            <w:vAlign w:val="center"/>
          </w:tcPr>
          <w:p>
            <w:pPr>
              <w:jc w:val="left"/>
              <w:rPr>
                <w:rFonts w:hint="default" w:ascii="宋体" w:hAnsi="宋体" w:eastAsia="宋体"/>
                <w:b/>
                <w:bCs/>
                <w:szCs w:val="21"/>
                <w:highlight w:val="none"/>
                <w:lang w:val="en-US" w:eastAsia="zh-CN"/>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lang w:val="en-US" w:eastAsia="zh-CN"/>
              </w:rPr>
              <w:t>评审内容：</w:t>
            </w:r>
          </w:p>
          <w:p>
            <w:pPr>
              <w:jc w:val="left"/>
              <w:rPr>
                <w:rFonts w:ascii="宋体" w:hAnsi="宋体"/>
                <w:szCs w:val="21"/>
                <w:highlight w:val="none"/>
              </w:rPr>
            </w:pPr>
            <w:r>
              <w:rPr>
                <w:rFonts w:hint="eastAsia" w:ascii="宋体" w:hAnsi="宋体"/>
                <w:szCs w:val="21"/>
                <w:highlight w:val="none"/>
              </w:rPr>
              <w:t>投标人具有以下有效认证且证书认证范围包含指定内容的：</w:t>
            </w:r>
          </w:p>
          <w:p>
            <w:pPr>
              <w:jc w:val="left"/>
              <w:rPr>
                <w:rFonts w:ascii="宋体" w:hAnsi="宋体"/>
                <w:szCs w:val="21"/>
                <w:highlight w:val="none"/>
              </w:rPr>
            </w:pPr>
            <w:r>
              <w:rPr>
                <w:rFonts w:hint="eastAsia" w:ascii="宋体" w:hAnsi="宋体" w:eastAsia="宋体" w:cs="Times New Roman"/>
                <w:bCs/>
                <w:szCs w:val="21"/>
                <w:highlight w:val="none"/>
              </w:rPr>
              <w:t>1</w:t>
            </w:r>
            <w:r>
              <w:rPr>
                <w:rFonts w:hint="eastAsia" w:ascii="宋体" w:hAnsi="宋体" w:eastAsia="宋体" w:cs="Times New Roman"/>
                <w:bCs/>
                <w:szCs w:val="21"/>
                <w:highlight w:val="none"/>
                <w:lang w:eastAsia="zh-CN"/>
              </w:rPr>
              <w:t>.</w:t>
            </w:r>
            <w:r>
              <w:rPr>
                <w:rFonts w:hint="eastAsia" w:ascii="宋体" w:hAnsi="宋体" w:eastAsia="宋体" w:cs="Times New Roman"/>
                <w:bCs/>
                <w:szCs w:val="21"/>
                <w:highlight w:val="none"/>
              </w:rPr>
              <w:t>具备ISO 37301合规管理体系认证资质</w:t>
            </w:r>
            <w:r>
              <w:rPr>
                <w:rFonts w:hint="eastAsia" w:ascii="宋体" w:hAnsi="宋体" w:eastAsia="宋体" w:cs="Times New Roman"/>
                <w:bCs/>
                <w:szCs w:val="21"/>
                <w:highlight w:val="none"/>
                <w:lang w:val="en-US" w:eastAsia="zh-CN"/>
              </w:rPr>
              <w:t>或</w:t>
            </w:r>
            <w:r>
              <w:rPr>
                <w:rFonts w:hint="eastAsia" w:ascii="宋体" w:hAnsi="宋体" w:eastAsia="宋体" w:cs="Times New Roman"/>
                <w:bCs/>
                <w:szCs w:val="21"/>
                <w:highlight w:val="none"/>
                <w:lang w:eastAsia="zh-CN"/>
              </w:rPr>
              <w:t>合规</w:t>
            </w:r>
            <w:r>
              <w:rPr>
                <w:rFonts w:hint="eastAsia" w:ascii="宋体" w:hAnsi="宋体" w:eastAsia="宋体" w:cs="Times New Roman"/>
                <w:bCs/>
                <w:szCs w:val="21"/>
                <w:highlight w:val="none"/>
                <w:lang w:val="en-US" w:eastAsia="zh-CN"/>
              </w:rPr>
              <w:t>行业组织</w:t>
            </w:r>
            <w:r>
              <w:rPr>
                <w:rFonts w:hint="eastAsia" w:ascii="宋体" w:hAnsi="宋体" w:eastAsia="宋体" w:cs="Times New Roman"/>
                <w:bCs/>
                <w:szCs w:val="21"/>
                <w:highlight w:val="none"/>
                <w:lang w:eastAsia="zh-CN"/>
              </w:rPr>
              <w:t>颁发的合规研究</w:t>
            </w:r>
            <w:r>
              <w:rPr>
                <w:rFonts w:hint="eastAsia" w:ascii="宋体" w:hAnsi="宋体" w:eastAsia="宋体" w:cs="Times New Roman"/>
                <w:bCs/>
                <w:szCs w:val="21"/>
                <w:highlight w:val="none"/>
                <w:lang w:val="en-US" w:eastAsia="zh-CN"/>
              </w:rPr>
              <w:t>资质</w:t>
            </w:r>
            <w:r>
              <w:rPr>
                <w:rFonts w:hint="eastAsia" w:ascii="宋体" w:hAnsi="宋体" w:eastAsia="宋体" w:cs="Times New Roman"/>
                <w:bCs/>
                <w:szCs w:val="21"/>
                <w:highlight w:val="none"/>
              </w:rPr>
              <w:t>；每提供</w:t>
            </w:r>
            <w:r>
              <w:rPr>
                <w:rFonts w:hint="eastAsia" w:ascii="宋体" w:hAnsi="宋体"/>
                <w:szCs w:val="21"/>
                <w:highlight w:val="none"/>
              </w:rPr>
              <w:t>一项得</w:t>
            </w:r>
            <w:r>
              <w:rPr>
                <w:rFonts w:hint="eastAsia" w:ascii="宋体" w:hAnsi="宋体"/>
                <w:szCs w:val="21"/>
                <w:highlight w:val="none"/>
                <w:lang w:val="en-US" w:eastAsia="zh-CN"/>
              </w:rPr>
              <w:t>2</w:t>
            </w:r>
            <w:r>
              <w:rPr>
                <w:rFonts w:hint="eastAsia" w:ascii="宋体" w:hAnsi="宋体"/>
                <w:szCs w:val="21"/>
                <w:highlight w:val="none"/>
              </w:rPr>
              <w:t>分，本项最高得</w:t>
            </w:r>
            <w:r>
              <w:rPr>
                <w:rFonts w:hint="eastAsia" w:ascii="宋体" w:hAnsi="宋体"/>
                <w:szCs w:val="21"/>
                <w:highlight w:val="none"/>
                <w:lang w:val="en-US" w:eastAsia="zh-CN"/>
              </w:rPr>
              <w:t>2</w:t>
            </w:r>
            <w:r>
              <w:rPr>
                <w:rFonts w:hint="eastAsia" w:ascii="宋体" w:hAnsi="宋体"/>
                <w:szCs w:val="21"/>
                <w:highlight w:val="none"/>
              </w:rPr>
              <w:t>分。</w:t>
            </w:r>
          </w:p>
          <w:p>
            <w:pPr>
              <w:jc w:val="left"/>
              <w:rPr>
                <w:rFonts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二</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eastAsia="宋体" w:cs="Times New Roman"/>
                <w:bCs/>
                <w:szCs w:val="21"/>
                <w:highlight w:val="none"/>
              </w:rPr>
            </w:pP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eastAsia="宋体" w:cs="Times New Roman"/>
                <w:bCs/>
                <w:szCs w:val="21"/>
                <w:highlight w:val="none"/>
              </w:rPr>
              <w:t>要求提供有效的认证证书扫描件(原件备查)及出具证书查询截图或1.全国认证认可信息公共服务平台(http://cx.cnca.cn/)的证书查询记录。</w:t>
            </w:r>
            <w:r>
              <w:rPr>
                <w:rFonts w:hint="eastAsia" w:ascii="宋体" w:hAnsi="宋体" w:eastAsia="宋体" w:cs="Times New Roman"/>
                <w:bCs/>
                <w:szCs w:val="21"/>
                <w:highlight w:val="none"/>
                <w:lang w:val="en-US" w:eastAsia="zh-CN"/>
              </w:rPr>
              <w:t>2.如证书颁发单位为相关行业协会（或学会）的，则需同时提供证书颁发单位在全国社会组织信用信息公示平台（https://xxgs.chinanpo.mca.gov.cn/gsxt/newList）的信息查询截图（截图需显示发证单位状态为“正常”）3.</w:t>
            </w:r>
            <w:r>
              <w:rPr>
                <w:rFonts w:hint="eastAsia" w:ascii="宋体" w:hAnsi="宋体" w:eastAsia="宋体" w:cs="Times New Roman"/>
                <w:bCs/>
                <w:szCs w:val="21"/>
                <w:highlight w:val="none"/>
              </w:rPr>
              <w:t>认证证书</w:t>
            </w:r>
            <w:r>
              <w:rPr>
                <w:rFonts w:hint="eastAsia" w:ascii="宋体" w:hAnsi="宋体" w:eastAsia="宋体" w:cs="Times New Roman"/>
                <w:bCs/>
                <w:szCs w:val="21"/>
                <w:highlight w:val="none"/>
                <w:lang w:val="en-US" w:eastAsia="zh-CN"/>
              </w:rPr>
              <w:t>需有投标人的名称或者投标人名称的关键字，</w:t>
            </w:r>
            <w:r>
              <w:rPr>
                <w:rFonts w:hint="eastAsia" w:ascii="宋体" w:hAnsi="宋体" w:eastAsia="宋体" w:cs="Times New Roman"/>
                <w:bCs/>
                <w:szCs w:val="21"/>
                <w:highlight w:val="none"/>
              </w:rPr>
              <w:t>在公开渠道无法查询的，需提供颁发机构的证明材料，证明证书真实有效。</w:t>
            </w:r>
          </w:p>
          <w:p>
            <w:pPr>
              <w:jc w:val="left"/>
              <w:rPr>
                <w:rFonts w:ascii="宋体" w:hAnsi="宋体"/>
                <w:szCs w:val="21"/>
                <w:highlight w:val="none"/>
              </w:rPr>
            </w:pPr>
            <w:r>
              <w:rPr>
                <w:rFonts w:hint="eastAsia" w:ascii="宋体" w:hAnsi="宋体"/>
                <w:szCs w:val="21"/>
                <w:highlight w:val="none"/>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4</w:t>
            </w:r>
          </w:p>
        </w:tc>
        <w:tc>
          <w:tcPr>
            <w:tcW w:w="2046" w:type="dxa"/>
            <w:gridSpan w:val="2"/>
            <w:vAlign w:val="center"/>
          </w:tcPr>
          <w:p>
            <w:pPr>
              <w:jc w:val="center"/>
              <w:rPr>
                <w:highlight w:val="none"/>
              </w:rPr>
            </w:pPr>
            <w:r>
              <w:rPr>
                <w:rFonts w:hint="eastAsia"/>
                <w:highlight w:val="none"/>
              </w:rPr>
              <w:t>投标人同类项目业绩情况</w:t>
            </w:r>
          </w:p>
        </w:tc>
        <w:tc>
          <w:tcPr>
            <w:tcW w:w="712" w:type="dxa"/>
            <w:vAlign w:val="center"/>
          </w:tcPr>
          <w:p>
            <w:pPr>
              <w:jc w:val="center"/>
              <w:rPr>
                <w:rFonts w:ascii="宋体" w:hAnsi="宋体"/>
                <w:szCs w:val="21"/>
                <w:highlight w:val="none"/>
              </w:rPr>
            </w:pPr>
            <w:r>
              <w:rPr>
                <w:rFonts w:hint="eastAsia" w:ascii="宋体" w:hAnsi="宋体"/>
                <w:szCs w:val="21"/>
                <w:highlight w:val="none"/>
              </w:rPr>
              <w:t>6</w:t>
            </w:r>
          </w:p>
        </w:tc>
        <w:tc>
          <w:tcPr>
            <w:tcW w:w="5086" w:type="dxa"/>
            <w:vAlign w:val="center"/>
          </w:tcPr>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lang w:val="en-US" w:eastAsia="zh-CN"/>
              </w:rPr>
              <w:t>评审内容：</w:t>
            </w:r>
          </w:p>
          <w:p>
            <w:pPr>
              <w:jc w:val="left"/>
              <w:rPr>
                <w:rFonts w:ascii="宋体" w:hAnsi="宋体"/>
                <w:szCs w:val="21"/>
                <w:highlight w:val="none"/>
              </w:rPr>
            </w:pPr>
            <w:r>
              <w:rPr>
                <w:rFonts w:hint="eastAsia" w:ascii="宋体" w:hAnsi="宋体"/>
                <w:szCs w:val="21"/>
                <w:highlight w:val="none"/>
              </w:rPr>
              <w:t>投标人提供近</w:t>
            </w:r>
            <w:r>
              <w:rPr>
                <w:rFonts w:hint="eastAsia" w:ascii="宋体" w:hAnsi="宋体"/>
                <w:szCs w:val="21"/>
                <w:highlight w:val="none"/>
                <w:lang w:val="en-US" w:eastAsia="zh-CN"/>
              </w:rPr>
              <w:t>三</w:t>
            </w:r>
            <w:r>
              <w:rPr>
                <w:rFonts w:hint="eastAsia" w:ascii="宋体" w:hAnsi="宋体"/>
                <w:szCs w:val="21"/>
                <w:highlight w:val="none"/>
              </w:rPr>
              <w:t>年承接至</w:t>
            </w:r>
            <w:r>
              <w:rPr>
                <w:rFonts w:hint="eastAsia" w:ascii="宋体" w:hAnsi="宋体" w:eastAsia="宋体" w:cs="Times New Roman"/>
                <w:bCs/>
                <w:szCs w:val="21"/>
                <w:highlight w:val="none"/>
              </w:rPr>
              <w:t>少2个</w:t>
            </w:r>
            <w:r>
              <w:rPr>
                <w:rFonts w:hint="eastAsia" w:ascii="宋体" w:hAnsi="宋体" w:eastAsia="宋体" w:cs="Times New Roman"/>
                <w:bCs/>
                <w:szCs w:val="21"/>
                <w:highlight w:val="none"/>
                <w:lang w:val="en-US" w:eastAsia="zh-CN"/>
              </w:rPr>
              <w:t>深圳市内政府、事业单位或</w:t>
            </w:r>
            <w:r>
              <w:rPr>
                <w:rFonts w:hint="eastAsia" w:ascii="宋体" w:hAnsi="宋体" w:eastAsia="宋体" w:cs="Times New Roman"/>
                <w:bCs/>
                <w:szCs w:val="21"/>
                <w:highlight w:val="none"/>
              </w:rPr>
              <w:t>卫健系统</w:t>
            </w:r>
            <w:r>
              <w:rPr>
                <w:rFonts w:hint="eastAsia" w:ascii="宋体" w:hAnsi="宋体" w:eastAsia="宋体" w:cs="Times New Roman"/>
                <w:bCs/>
                <w:szCs w:val="21"/>
                <w:highlight w:val="none"/>
                <w:lang w:val="en-US" w:eastAsia="zh-CN"/>
              </w:rPr>
              <w:t>招投标</w:t>
            </w:r>
            <w:r>
              <w:rPr>
                <w:rFonts w:hint="eastAsia" w:ascii="宋体" w:hAnsi="宋体" w:eastAsia="宋体" w:cs="Times New Roman"/>
                <w:bCs/>
                <w:szCs w:val="21"/>
                <w:highlight w:val="none"/>
              </w:rPr>
              <w:t>合规管理类项目（需提供合同关键</w:t>
            </w:r>
            <w:r>
              <w:rPr>
                <w:rFonts w:hint="eastAsia" w:ascii="宋体" w:hAnsi="宋体"/>
                <w:szCs w:val="21"/>
                <w:highlight w:val="none"/>
              </w:rPr>
              <w:t>页）。</w:t>
            </w:r>
            <w:r>
              <w:rPr>
                <w:rFonts w:hint="eastAsia"/>
                <w:highlight w:val="none"/>
              </w:rPr>
              <w:t>每提供一份得3分，满分6分。</w:t>
            </w:r>
            <w:r>
              <w:rPr>
                <w:rFonts w:hint="eastAsia" w:ascii="宋体" w:hAnsi="宋体"/>
                <w:szCs w:val="21"/>
                <w:highlight w:val="none"/>
              </w:rPr>
              <w:t>同一项目续签合同的不可重复得分。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ascii="宋体" w:hAnsi="宋体"/>
                <w:szCs w:val="21"/>
                <w:highlight w:val="none"/>
              </w:rPr>
            </w:pPr>
            <w:r>
              <w:rPr>
                <w:rFonts w:hint="eastAsia" w:ascii="宋体" w:hAnsi="宋体"/>
                <w:szCs w:val="21"/>
                <w:highlight w:val="none"/>
              </w:rPr>
              <w:t>1. 提供合同关键页（关键信息包括但不仅限于合同的项目名称、服务内容、合同服务期限、甲乙双方签字盖章页）且提供的材料各项信息不得有任何遮挡；</w:t>
            </w:r>
          </w:p>
          <w:p>
            <w:pPr>
              <w:jc w:val="left"/>
              <w:rPr>
                <w:rFonts w:ascii="宋体" w:hAnsi="宋体"/>
                <w:szCs w:val="21"/>
                <w:highlight w:val="none"/>
              </w:rPr>
            </w:pPr>
            <w:r>
              <w:rPr>
                <w:rFonts w:hint="eastAsia" w:ascii="宋体" w:hAnsi="宋体"/>
                <w:szCs w:val="21"/>
                <w:highlight w:val="none"/>
              </w:rPr>
              <w:t>2. 通过合同关键信息无法判断是否得分的，还需提供能证明得分的其它证明资料，如项目报告或合同甲方出具的证明文件；</w:t>
            </w:r>
          </w:p>
          <w:p>
            <w:pPr>
              <w:jc w:val="left"/>
              <w:rPr>
                <w:rFonts w:ascii="宋体" w:hAnsi="宋体"/>
                <w:szCs w:val="21"/>
                <w:highlight w:val="none"/>
              </w:rPr>
            </w:pPr>
            <w:r>
              <w:rPr>
                <w:rFonts w:hint="eastAsia" w:ascii="宋体" w:hAnsi="宋体"/>
                <w:szCs w:val="21"/>
                <w:highlight w:val="none"/>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5</w:t>
            </w:r>
          </w:p>
        </w:tc>
        <w:tc>
          <w:tcPr>
            <w:tcW w:w="2046" w:type="dxa"/>
            <w:gridSpan w:val="2"/>
            <w:vAlign w:val="center"/>
          </w:tcPr>
          <w:p>
            <w:pPr>
              <w:jc w:val="center"/>
              <w:rPr>
                <w:highlight w:val="none"/>
              </w:rPr>
            </w:pPr>
            <w:r>
              <w:rPr>
                <w:rFonts w:hint="eastAsia" w:ascii="宋体" w:hAnsi="宋体" w:cs="宋体"/>
                <w:szCs w:val="21"/>
                <w:highlight w:val="none"/>
              </w:rPr>
              <w:t>诚信情况</w:t>
            </w:r>
          </w:p>
        </w:tc>
        <w:tc>
          <w:tcPr>
            <w:tcW w:w="712" w:type="dxa"/>
            <w:vAlign w:val="center"/>
          </w:tcPr>
          <w:p>
            <w:pPr>
              <w:jc w:val="center"/>
              <w:rPr>
                <w:rFonts w:ascii="宋体" w:hAnsi="宋体"/>
                <w:szCs w:val="21"/>
                <w:highlight w:val="none"/>
              </w:rPr>
            </w:pPr>
            <w:r>
              <w:rPr>
                <w:rFonts w:hint="eastAsia" w:ascii="宋体" w:hAnsi="宋体" w:cs="宋体"/>
                <w:bCs/>
                <w:color w:val="595959" w:themeColor="text1" w:themeTint="A6"/>
                <w:szCs w:val="21"/>
                <w:highlight w:val="none"/>
                <w:lang w:val="en-US" w:eastAsia="zh-CN"/>
                <w14:textFill>
                  <w14:solidFill>
                    <w14:schemeClr w14:val="tx1">
                      <w14:lumMod w14:val="65000"/>
                      <w14:lumOff w14:val="35000"/>
                    </w14:schemeClr>
                  </w14:solidFill>
                </w14:textFill>
              </w:rPr>
              <w:t>3</w:t>
            </w:r>
          </w:p>
        </w:tc>
        <w:tc>
          <w:tcPr>
            <w:tcW w:w="5086" w:type="dxa"/>
            <w:vAlign w:val="center"/>
          </w:tcPr>
          <w:p>
            <w:pPr>
              <w:numPr>
                <w:ilvl w:val="0"/>
                <w:numId w:val="1"/>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3</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jc w:val="left"/>
              <w:rPr>
                <w:rFonts w:ascii="宋体" w:hAnsi="宋体"/>
                <w:szCs w:val="21"/>
                <w:highlight w:val="none"/>
              </w:rPr>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gridSpan w:val="2"/>
            <w:vAlign w:val="center"/>
          </w:tcPr>
          <w:p>
            <w:pPr>
              <w:jc w:val="center"/>
              <w:rPr>
                <w:rFonts w:ascii="宋体" w:hAnsi="宋体"/>
                <w:b/>
                <w:bCs/>
                <w:szCs w:val="21"/>
                <w:highlight w:val="none"/>
              </w:rPr>
            </w:pPr>
            <w:r>
              <w:rPr>
                <w:rFonts w:hint="eastAsia" w:ascii="宋体" w:hAnsi="宋体"/>
                <w:b/>
                <w:bCs/>
                <w:szCs w:val="21"/>
                <w:highlight w:val="none"/>
              </w:rPr>
              <w:t>三、价格部分（30分）</w:t>
            </w:r>
          </w:p>
        </w:tc>
        <w:tc>
          <w:tcPr>
            <w:tcW w:w="7092" w:type="dxa"/>
            <w:gridSpan w:val="3"/>
            <w:vAlign w:val="center"/>
          </w:tcPr>
          <w:p>
            <w:pPr>
              <w:jc w:val="left"/>
              <w:rPr>
                <w:rFonts w:ascii="宋体" w:hAnsi="宋体"/>
                <w:szCs w:val="21"/>
                <w:highlight w:val="none"/>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 xml:space="preserve"> (五)谈判小组拟制谈判报告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3"/>
              <w:jc w:val="center"/>
              <w:rPr>
                <w:rFonts w:hint="eastAsia" w:hAnsi="宋体"/>
                <w:b/>
                <w:kern w:val="0"/>
              </w:rPr>
            </w:pPr>
            <w:r>
              <w:rPr>
                <w:rFonts w:hint="eastAsia" w:hAnsi="宋体"/>
                <w:b/>
                <w:kern w:val="0"/>
              </w:rPr>
              <w:t>序号</w:t>
            </w:r>
          </w:p>
        </w:tc>
        <w:tc>
          <w:tcPr>
            <w:tcW w:w="5814" w:type="dxa"/>
            <w:vAlign w:val="center"/>
          </w:tcPr>
          <w:p>
            <w:pPr>
              <w:pStyle w:val="3"/>
              <w:jc w:val="center"/>
              <w:rPr>
                <w:rFonts w:hint="eastAsia" w:hAnsi="宋体"/>
                <w:b/>
                <w:kern w:val="0"/>
              </w:rPr>
            </w:pPr>
            <w:r>
              <w:rPr>
                <w:rFonts w:hint="eastAsia" w:hAnsi="宋体"/>
                <w:b/>
                <w:kern w:val="0"/>
              </w:rPr>
              <w:t>采购项目名称</w:t>
            </w:r>
          </w:p>
        </w:tc>
        <w:tc>
          <w:tcPr>
            <w:tcW w:w="3957" w:type="dxa"/>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3"/>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eastAsia="宋体" w:cs="Arial"/>
                <w:color w:val="000000"/>
                <w:kern w:val="0"/>
                <w:szCs w:val="21"/>
                <w:lang w:val="en-US" w:eastAsia="zh-CN"/>
              </w:rPr>
              <w:t>院内招投标合规管理体系建设服务</w:t>
            </w:r>
          </w:p>
        </w:tc>
        <w:tc>
          <w:tcPr>
            <w:tcW w:w="3957" w:type="dxa"/>
            <w:vMerge w:val="restart"/>
            <w:vAlign w:val="center"/>
          </w:tcPr>
          <w:p>
            <w:pPr>
              <w:pStyle w:val="3"/>
              <w:jc w:val="center"/>
              <w:rPr>
                <w:rFonts w:hint="eastAsia" w:hAnsi="宋体"/>
                <w:bCs/>
                <w:kern w:val="0"/>
              </w:rPr>
            </w:pPr>
            <w:r>
              <w:rPr>
                <w:rFonts w:hint="eastAsia" w:hAnsi="宋体"/>
                <w:bCs/>
                <w:kern w:val="0"/>
                <w:lang w:val="en-US" w:eastAsia="zh-CN"/>
              </w:rPr>
              <w:t>185000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3"/>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3"/>
              <w:jc w:val="center"/>
              <w:rPr>
                <w:rFonts w:hint="eastAsia" w:hAnsi="宋体"/>
                <w:bCs/>
                <w:kern w:val="0"/>
              </w:rPr>
            </w:pP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keepNext w:val="0"/>
        <w:keepLines w:val="0"/>
        <w:pageBreakBefore w:val="0"/>
        <w:widowControl w:val="0"/>
        <w:kinsoku/>
        <w:wordWrap/>
        <w:overflowPunct/>
        <w:topLinePunct w:val="0"/>
        <w:autoSpaceDE/>
        <w:autoSpaceDN/>
        <w:bidi w:val="0"/>
        <w:adjustRightInd/>
        <w:spacing w:line="520" w:lineRule="exact"/>
        <w:ind w:firstLine="0"/>
        <w:textAlignment w:val="auto"/>
        <w:rPr>
          <w:rStyle w:val="30"/>
          <w:b/>
          <w:bCs/>
        </w:rPr>
      </w:pPr>
      <w:bookmarkStart w:id="3" w:name="_Toc450137347"/>
      <w:bookmarkStart w:id="4" w:name="_Toc178049979"/>
      <w:bookmarkStart w:id="5" w:name="_Toc480449081"/>
      <w:r>
        <w:rPr>
          <w:rStyle w:val="30"/>
          <w:rFonts w:hint="eastAsia"/>
          <w:b/>
          <w:bCs/>
        </w:rPr>
        <w:t>（一）项目概况</w:t>
      </w:r>
    </w:p>
    <w:p>
      <w:pPr>
        <w:pStyle w:val="46"/>
        <w:keepNext w:val="0"/>
        <w:keepLines w:val="0"/>
        <w:pageBreakBefore w:val="0"/>
        <w:widowControl w:val="0"/>
        <w:kinsoku/>
        <w:wordWrap/>
        <w:overflowPunct/>
        <w:topLinePunct w:val="0"/>
        <w:autoSpaceDE/>
        <w:autoSpaceDN/>
        <w:bidi w:val="0"/>
        <w:adjustRightInd/>
        <w:spacing w:before="0" w:after="0" w:line="520" w:lineRule="exact"/>
        <w:ind w:firstLine="420" w:firstLineChars="200"/>
        <w:contextualSpacing/>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根据宝安区卫生健康局</w:t>
      </w:r>
      <w:r>
        <w:rPr>
          <w:rFonts w:hint="eastAsia" w:ascii="宋体" w:hAnsi="宋体" w:eastAsia="宋体" w:cs="Times New Roman"/>
          <w:sz w:val="21"/>
          <w:szCs w:val="21"/>
          <w:lang w:val="en-US" w:eastAsia="zh-CN"/>
        </w:rPr>
        <w:t>关于</w:t>
      </w:r>
      <w:r>
        <w:rPr>
          <w:rFonts w:hint="eastAsia" w:ascii="宋体" w:hAnsi="宋体" w:eastAsia="宋体" w:cs="Times New Roman"/>
          <w:sz w:val="21"/>
          <w:szCs w:val="21"/>
          <w:lang w:eastAsia="zh-CN"/>
        </w:rPr>
        <w:t>深入落实《宝安区公立医院合规管理试点工作方案》，进一步推动宝安区公立医院的合规管理建设进程</w:t>
      </w:r>
      <w:r>
        <w:rPr>
          <w:rFonts w:hint="eastAsia" w:ascii="宋体" w:hAnsi="宋体" w:eastAsia="宋体" w:cs="Times New Roman"/>
          <w:sz w:val="21"/>
          <w:szCs w:val="21"/>
          <w:lang w:val="en-US" w:eastAsia="zh-CN"/>
        </w:rPr>
        <w:t>的要求</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结合《三级医院评审标准（2022 年版）广东省综合医院实施细则》、《医院质量国际认证标准(2021版)》招标采购条款相关要求，</w:t>
      </w:r>
      <w:r>
        <w:rPr>
          <w:rFonts w:hint="eastAsia" w:ascii="宋体" w:hAnsi="宋体" w:eastAsia="宋体" w:cs="Times New Roman"/>
          <w:sz w:val="21"/>
          <w:szCs w:val="21"/>
          <w:lang w:eastAsia="zh-CN"/>
        </w:rPr>
        <w:t>深圳市宝安区人民医院（以下简称“</w:t>
      </w:r>
      <w:r>
        <w:rPr>
          <w:rFonts w:hint="eastAsia" w:ascii="宋体" w:hAnsi="宋体" w:eastAsia="宋体" w:cs="Times New Roman"/>
          <w:sz w:val="21"/>
          <w:szCs w:val="21"/>
          <w:lang w:val="en-US" w:eastAsia="zh-CN"/>
        </w:rPr>
        <w:t>宝安区人民医院</w:t>
      </w:r>
      <w:r>
        <w:rPr>
          <w:rFonts w:hint="eastAsia" w:ascii="宋体" w:hAnsi="宋体" w:eastAsia="宋体" w:cs="Times New Roman"/>
          <w:sz w:val="21"/>
          <w:szCs w:val="21"/>
          <w:lang w:eastAsia="zh-CN"/>
        </w:rPr>
        <w:t>”）以合规管理体系搭建、廉洁合规专项为主线，</w:t>
      </w:r>
      <w:bookmarkStart w:id="6" w:name="OLE_LINK8"/>
      <w:r>
        <w:rPr>
          <w:rFonts w:hint="eastAsia" w:ascii="宋体" w:hAnsi="宋体" w:eastAsia="宋体" w:cs="Times New Roman"/>
          <w:sz w:val="21"/>
          <w:szCs w:val="21"/>
          <w:lang w:eastAsia="zh-CN"/>
        </w:rPr>
        <w:t>围绕</w:t>
      </w:r>
      <w:r>
        <w:rPr>
          <w:rFonts w:hint="eastAsia" w:ascii="宋体" w:hAnsi="宋体" w:eastAsia="宋体" w:cs="Times New Roman"/>
          <w:sz w:val="21"/>
          <w:szCs w:val="21"/>
          <w:lang w:val="en-US" w:eastAsia="zh-CN"/>
        </w:rPr>
        <w:t>自行采购的</w:t>
      </w:r>
      <w:r>
        <w:rPr>
          <w:rFonts w:hint="eastAsia" w:ascii="宋体" w:hAnsi="宋体" w:eastAsia="宋体" w:cs="Times New Roman"/>
          <w:sz w:val="21"/>
          <w:szCs w:val="21"/>
          <w:lang w:eastAsia="zh-CN"/>
        </w:rPr>
        <w:t>合规管理制度体系、合规管理运行机制、</w:t>
      </w:r>
      <w:r>
        <w:rPr>
          <w:rFonts w:hint="eastAsia" w:ascii="宋体" w:hAnsi="宋体" w:eastAsia="宋体" w:cs="Times New Roman"/>
          <w:sz w:val="21"/>
          <w:szCs w:val="21"/>
          <w:lang w:val="en-US" w:eastAsia="zh-CN"/>
        </w:rPr>
        <w:t>合规检查体系建设、</w:t>
      </w:r>
      <w:r>
        <w:rPr>
          <w:rFonts w:hint="eastAsia" w:ascii="宋体" w:hAnsi="宋体" w:eastAsia="宋体" w:cs="Times New Roman"/>
          <w:sz w:val="21"/>
          <w:szCs w:val="21"/>
          <w:lang w:eastAsia="zh-CN"/>
        </w:rPr>
        <w:t>合规文化建设四大支柱，搭建符合实际需求的</w:t>
      </w:r>
      <w:r>
        <w:rPr>
          <w:rFonts w:hint="eastAsia" w:ascii="宋体" w:hAnsi="宋体" w:eastAsia="宋体" w:cs="Times New Roman"/>
          <w:sz w:val="21"/>
          <w:szCs w:val="21"/>
          <w:lang w:val="en-US" w:eastAsia="zh-CN"/>
        </w:rPr>
        <w:t>自行采购</w:t>
      </w:r>
      <w:r>
        <w:rPr>
          <w:rFonts w:hint="eastAsia" w:ascii="宋体" w:hAnsi="宋体" w:eastAsia="宋体" w:cs="Times New Roman"/>
          <w:sz w:val="21"/>
          <w:szCs w:val="21"/>
          <w:lang w:eastAsia="zh-CN"/>
        </w:rPr>
        <w:t>合规管理体系</w:t>
      </w:r>
      <w:bookmarkEnd w:id="6"/>
      <w:r>
        <w:rPr>
          <w:rFonts w:hint="eastAsia" w:ascii="宋体" w:hAnsi="宋体" w:eastAsia="宋体" w:cs="Times New Roman"/>
          <w:sz w:val="21"/>
          <w:szCs w:val="21"/>
          <w:lang w:eastAsia="zh-CN"/>
        </w:rPr>
        <w:t>。这四大支柱是确保</w:t>
      </w:r>
      <w:r>
        <w:rPr>
          <w:rFonts w:hint="eastAsia" w:ascii="宋体" w:hAnsi="宋体" w:eastAsia="宋体" w:cs="Times New Roman"/>
          <w:sz w:val="21"/>
          <w:szCs w:val="21"/>
          <w:lang w:val="en-US" w:eastAsia="zh-CN"/>
        </w:rPr>
        <w:t>医院自行采购</w:t>
      </w:r>
      <w:r>
        <w:rPr>
          <w:rFonts w:hint="eastAsia" w:ascii="宋体" w:hAnsi="宋体" w:eastAsia="宋体" w:cs="Times New Roman"/>
          <w:sz w:val="21"/>
          <w:szCs w:val="21"/>
          <w:lang w:eastAsia="zh-CN"/>
        </w:rPr>
        <w:t>合规管理有效性的关键要素，也是与《宝安区公立医院合规管理试点工作方案》</w:t>
      </w:r>
      <w:r>
        <w:rPr>
          <w:rFonts w:hint="eastAsia" w:ascii="宋体" w:hAnsi="宋体" w:eastAsia="宋体" w:cs="Times New Roman"/>
          <w:sz w:val="21"/>
          <w:szCs w:val="21"/>
          <w:lang w:val="en-US" w:eastAsia="zh-CN"/>
        </w:rPr>
        <w:t>的</w:t>
      </w:r>
      <w:r>
        <w:rPr>
          <w:rFonts w:hint="eastAsia" w:ascii="宋体" w:hAnsi="宋体" w:eastAsia="宋体" w:cs="Times New Roman"/>
          <w:sz w:val="21"/>
          <w:szCs w:val="21"/>
          <w:lang w:eastAsia="zh-CN"/>
        </w:rPr>
        <w:t>要求保持一致。</w:t>
      </w:r>
    </w:p>
    <w:p>
      <w:pPr>
        <w:pStyle w:val="46"/>
        <w:keepNext w:val="0"/>
        <w:keepLines w:val="0"/>
        <w:pageBreakBefore w:val="0"/>
        <w:widowControl w:val="0"/>
        <w:kinsoku/>
        <w:wordWrap/>
        <w:overflowPunct/>
        <w:topLinePunct w:val="0"/>
        <w:autoSpaceDE/>
        <w:autoSpaceDN/>
        <w:bidi w:val="0"/>
        <w:adjustRightInd/>
        <w:spacing w:before="0" w:after="0" w:line="520" w:lineRule="exact"/>
        <w:ind w:firstLine="0" w:firstLineChars="0"/>
        <w:contextualSpacing/>
        <w:textAlignment w:val="auto"/>
        <w:rPr>
          <w:rFonts w:hint="eastAsia" w:ascii="宋体" w:hAnsi="宋体"/>
          <w:b/>
          <w:bCs/>
          <w:sz w:val="21"/>
          <w:szCs w:val="21"/>
        </w:rPr>
      </w:pPr>
      <w:r>
        <w:rPr>
          <w:rFonts w:hint="eastAsia" w:ascii="宋体" w:hAnsi="宋体"/>
          <w:b/>
          <w:bCs/>
          <w:sz w:val="21"/>
          <w:szCs w:val="21"/>
        </w:rPr>
        <w:t>（二）服务内容</w:t>
      </w:r>
    </w:p>
    <w:p>
      <w:pPr>
        <w:spacing w:line="520" w:lineRule="exact"/>
        <w:ind w:firstLine="422" w:firstLineChars="200"/>
        <w:rPr>
          <w:rFonts w:hint="eastAsia" w:ascii="黑体" w:hAnsi="黑体" w:eastAsia="黑体" w:cs="黑体"/>
          <w:b/>
          <w:bCs w:val="0"/>
          <w:sz w:val="21"/>
          <w:szCs w:val="21"/>
          <w:lang w:eastAsia="zh-CN"/>
        </w:rPr>
      </w:pPr>
      <w:r>
        <w:rPr>
          <w:rFonts w:hint="eastAsia" w:ascii="黑体" w:hAnsi="黑体" w:eastAsia="黑体" w:cs="黑体"/>
          <w:b/>
          <w:bCs w:val="0"/>
          <w:sz w:val="21"/>
          <w:szCs w:val="21"/>
          <w:lang w:eastAsia="zh-CN"/>
        </w:rPr>
        <w:t>1.自行采购合规管理体系搭建</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1.1前期摸排调研及自查工作</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通过开展调查研究、摸排式访谈、定向式问询等方式对宝安区人民医院的自行采购合规建设情况进行摸排调研，并以此制定合规管理实施方案。摸排调研完成后，组织开展宝安区人民医院自行采购合规管理自查工作，梳理问题差距与薄弱环节并同步建立工作台账，以验证前期调研风险点与问题，夯实合规管理建设基础，保障后续工作推进及合规目标达成。</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1.2建立健全合规管理组织体系</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 xml:space="preserve">合规管理组织架构及领导机制是确保医院合规管理体系有效建立并执行的组织保障，其重点工作包括但不限于如下内容：                 </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1.2.1根据现有组织结构，建立健全合规组织体系</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合规管理组织体系实现“四个到位”，包括合规委员会、首席合规官、合规管理部门、合规管理人员；同时，就党委会、合规委员会、合规管理部门等机构的职权划分进行详解说明，并明确该合规组织架构中各部门和相关人员的合规职责与权限。</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1.2.2在合规组织架构基础上，同步建立“合规三道防线”</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建立“合规三道防线”，把开展合规管理、做好廉洁风险防控与其他管理工作紧密结合，合规管理的各项要求融入宝安区人民医院管理和业务流程中。“合规三道防线”包括业务科室（为第一道防线，负责本领域的日常合规管理工作）、合规管理牵头部门（法务、合规风控部门为第二道防线，负责组织、协调合规管理工作）及监督部门（纪律检查办公室、审计部门为第三道防线，负责合规监督工作），以执行合规风险管理和内部控制流程，履行相关合规职责。</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1.3建立健全合规管理制度体系</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有效的合规管理制度体系是确保医院进行合规经营的首要前提，通过建立健全宝安区人民医院合规管理制度体系，全面覆盖医院业务运营的重点领域、重点环节和重点人员，进一步规范全体人员在业务活动中必须遵守的内部规章制度、政策和行为。</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1.3.1搭建核心引领的合规制度框架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合规管理体系建立将以《合规管理办法》作为制度体系的纲领性文件，该文件包含合规管理的工作原则、组织和职责、制度建设、运行机制、合规文化、监督问责等内容，是落实医院合规管理各项措施的基础和依据。并同步建立《合规行为准则》、《合规承诺》、《合规审查与合规咨询工作指引》等配套制度文件，为宝安区人民医院构建完善的内控合规机制，确保医院合规管理工作全面、规范开展。</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1.3.2建立动态优化的制度“立改废”机制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编制规章制度清单，对宝安区人民医院现有制度做好废止、已制定且保留、拟新制定、新修订的梳理工作，打出“立改废释”组合拳，及时将外部法规要求深度内化为医院内部制度，建立健全医院内控体系，让制度成为宝安区人民医院发展的助推器，为医院的稳健发展提供源源不断的动力支撑。</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 建立健全合规管理运行机制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合规管理运行机制是确保合规管理体系得以有效实施的重要保证。根据宝安区人民医院实际情况按需辅导建立合规管理运行机制，如建立“三张合规清单”、建立合规管理有效性评价机制、建立合规考核机制、建立合规举报与调查问责机制及建立违规问责机制等。</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1.4.1建立“三张合规清单”</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 xml:space="preserve">对宝安区人民医院进行合规风险识别，确立合规岗位职责并加强合规流程管控，建立合规风险识别清单、合规岗位职责清单和合规流程管控清单的“三张清单”。             </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1.4.2建立合规管理有效性评价机制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建立合规管理评价机制，明确定期开展全面评价或专项评价，根据监管要求及时改进合规管理体系，并定期对合规管理的执行情况、合规管理体系的适当性和有效性等进行专项审计。</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1.4.3建立合规考核机制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建立合规考核机制，将合规经营管理情况纳入对各科室负责人的年度综合考核，并对医院和工作人员合规职责履行情况进行考核，并将合规考核结果作为工作人员考核、干部任用、评先选优等工作的重要依据。</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1.4.4建立合规举报调查机制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建立合规举报调查机制，及时发现合规问题，切实防范合规风险。主要内容包括：合规举报途径；合规举报内容及受理条件；合规举报受理主体、调查流程和处理工作的职责与程序；奖惩办法以及对举报人、举报线索的保护措施等。</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1.4.5建立违规问责机制</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建立违规行为追责问责制度，进一步明确责任范围，规范认定依据，细化惩处标准，将违规行为性质、发生次数、危害程度等作为考核评价、职级评定等工作的重要依据。</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1.4.6形成合规建设总结报告</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做好宝安区卫生健康局对宝安区人民医院的合规管理验收评估工作，总结合规建设中的经验，识别并分析存在的问题，提出改进建议，形成书面合规总结报告，经医院党委会审核后报送主管部门。</w:t>
      </w:r>
    </w:p>
    <w:p>
      <w:pPr>
        <w:spacing w:line="520" w:lineRule="exact"/>
        <w:ind w:firstLine="422" w:firstLineChars="200"/>
        <w:rPr>
          <w:rFonts w:hint="eastAsia" w:ascii="黑体" w:hAnsi="黑体" w:eastAsia="黑体" w:cs="黑体"/>
          <w:b/>
          <w:bCs w:val="0"/>
          <w:sz w:val="21"/>
          <w:szCs w:val="21"/>
          <w:lang w:eastAsia="zh-CN"/>
        </w:rPr>
      </w:pPr>
      <w:r>
        <w:rPr>
          <w:rFonts w:hint="eastAsia" w:ascii="黑体" w:hAnsi="黑体" w:eastAsia="黑体" w:cs="黑体"/>
          <w:b/>
          <w:bCs w:val="0"/>
          <w:sz w:val="21"/>
          <w:szCs w:val="21"/>
          <w:lang w:eastAsia="zh-CN"/>
        </w:rPr>
        <w:t>2.培育合规文化</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培育医院合规文化是激发医院活力、提升医院软竞争力的关键所在。工作组将组织合规培训，通过合规专题学习、合规承诺、合规培训等强化全员“合规人人有责、合规创造价值”的意识，并将医院文化、愿景等价值观的内容植入合规文化建设内容，打造具有宝安区人民医院特色的合规文化品牌，助力宝安区人民医院在公立医院合规建设中取得主动权，进而做大、做强。</w:t>
      </w:r>
    </w:p>
    <w:p>
      <w:pPr>
        <w:spacing w:line="520" w:lineRule="exact"/>
        <w:ind w:firstLine="422" w:firstLineChars="200"/>
        <w:rPr>
          <w:rFonts w:hint="eastAsia" w:ascii="黑体" w:hAnsi="黑体" w:eastAsia="黑体" w:cs="黑体"/>
          <w:b/>
          <w:bCs w:val="0"/>
          <w:sz w:val="21"/>
          <w:szCs w:val="21"/>
          <w:lang w:eastAsia="zh-CN"/>
        </w:rPr>
      </w:pPr>
      <w:r>
        <w:rPr>
          <w:rFonts w:hint="eastAsia" w:ascii="黑体" w:hAnsi="黑体" w:eastAsia="黑体" w:cs="黑体"/>
          <w:b/>
          <w:bCs w:val="0"/>
          <w:sz w:val="21"/>
          <w:szCs w:val="21"/>
          <w:lang w:eastAsia="zh-CN"/>
        </w:rPr>
        <w:t>3.自行采购合规评价专项工作</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根据《宝安区公立医院合规管理试点工作方案》的相关规定，公立医院应建立合规管理监督小组，对公立医院的经营行为、服务流程、医疗质量等进行定期检查和评估，发现问题及时整改。通过自选动作与规定动作相结合，形成“业务合规+廉洁合规”的“1+N”合规管理制度体系。因此，工作团队将根据宝安区人民医院的具体需求，针对医院自行采购项目开展专项评价工作，明确操作流程和行为规范，进一步提升自行采购合规管理水平。</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3.1形成自行采购合规标准化操作规程</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为了规范和保证宝安区人民医院组织实施的自行采购活动公开、公平、公正进行，促进政府采购提质增效，工作组根据梳理的合规清单，结合实际，制定自行采购操作规程。具体包括：政府采购竞价方式标准化操作规程、网上商城直接采购标准化操作规程、评定分离事项标准化操作规程、框架协议采购事项标准化操作规程、联合体事项标准化操作规程、进口产品事项标准化操作规程、相同品牌产品和核心产品事项标准化操作规程、样品事项标准化操作规程、采购方式变更事项标准化操作规程、政府采购质疑事项标准化操作规程等。</w:t>
      </w:r>
    </w:p>
    <w:p>
      <w:pPr>
        <w:spacing w:line="520" w:lineRule="exact"/>
        <w:ind w:firstLine="420" w:firstLineChars="200"/>
        <w:rPr>
          <w:rFonts w:hint="eastAsia" w:asciiTheme="minorEastAsia" w:hAnsiTheme="minorEastAsia" w:eastAsiaTheme="minorEastAsia" w:cstheme="minorEastAsia"/>
          <w:b/>
          <w:bCs w:val="0"/>
          <w:sz w:val="21"/>
          <w:szCs w:val="21"/>
          <w:lang w:eastAsia="zh-CN"/>
        </w:rPr>
      </w:pPr>
      <w:r>
        <w:rPr>
          <w:rFonts w:hint="eastAsia" w:asciiTheme="minorEastAsia" w:hAnsiTheme="minorEastAsia" w:eastAsiaTheme="minorEastAsia" w:cstheme="minorEastAsia"/>
          <w:b/>
          <w:bCs w:val="0"/>
          <w:sz w:val="21"/>
          <w:szCs w:val="21"/>
          <w:lang w:eastAsia="zh-CN"/>
        </w:rPr>
        <w:t>3.2开展自行采购项目合规评价专项工作</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为确保宝安区人民医院自行采购项目的合规性，规范采购行为，防范采购风险，工作组将根据医院的需求组织开展自行采购项目合规评价专项工作。</w:t>
      </w:r>
    </w:p>
    <w:p>
      <w:pPr>
        <w:spacing w:line="520" w:lineRule="exact"/>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首先，对医院自行采购项目的背景、规模、流程、合同管理等进行全面梳理，明确采购项目的基本情况和存在的问题。其次，组织专项小组，深入采购流程中的关键环节，如系统运行、供应商资质审查、合同签订、验收流程等，逐一检查是否存在违规操作、管理漏洞或法律风险。最后，针对发现的问题，制定详细的整改方案，并要求相关部门按照方案要求进行整改落实，确保采购流程的合规性与规范性。</w:t>
      </w:r>
    </w:p>
    <w:p>
      <w:pPr>
        <w:widowControl/>
        <w:spacing w:before="90"/>
        <w:ind w:firstLine="301" w:firstLineChars="100"/>
        <w:jc w:val="center"/>
        <w:rPr>
          <w:b/>
          <w:bCs/>
          <w:sz w:val="30"/>
          <w:szCs w:val="30"/>
        </w:rPr>
      </w:pPr>
      <w:r>
        <w:rPr>
          <w:rFonts w:hint="eastAsia"/>
          <w:b/>
          <w:bCs/>
          <w:sz w:val="30"/>
          <w:szCs w:val="30"/>
        </w:rPr>
        <w:t>三、实质性条款</w:t>
      </w:r>
    </w:p>
    <w:tbl>
      <w:tblPr>
        <w:tblStyle w:val="19"/>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Cs w:val="21"/>
        </w:rPr>
      </w:pPr>
    </w:p>
    <w:p>
      <w:pPr>
        <w:pStyle w:val="6"/>
        <w:ind w:firstLine="0"/>
        <w:jc w:val="center"/>
        <w:rPr>
          <w:rFonts w:hint="eastAsia"/>
          <w:b/>
          <w:bCs/>
          <w:sz w:val="30"/>
          <w:szCs w:val="30"/>
        </w:rPr>
      </w:pPr>
    </w:p>
    <w:p>
      <w:pPr>
        <w:pStyle w:val="6"/>
        <w:ind w:firstLine="0"/>
        <w:jc w:val="center"/>
        <w:rPr>
          <w:b/>
          <w:bCs/>
          <w:sz w:val="30"/>
          <w:szCs w:val="30"/>
        </w:rPr>
      </w:pPr>
      <w:r>
        <w:rPr>
          <w:rFonts w:hint="eastAsia"/>
          <w:b/>
          <w:bCs/>
          <w:sz w:val="30"/>
          <w:szCs w:val="30"/>
        </w:rPr>
        <w:t>四、商务条款要求</w:t>
      </w:r>
    </w:p>
    <w:bookmarkEnd w:id="3"/>
    <w:bookmarkEnd w:id="4"/>
    <w:bookmarkEnd w:id="5"/>
    <w:p>
      <w:pPr>
        <w:ind w:firstLine="420" w:firstLineChars="200"/>
        <w:jc w:val="left"/>
        <w:rPr>
          <w:rFonts w:hint="eastAsia" w:ascii="宋体" w:hAnsi="宋体"/>
          <w:bCs/>
          <w:szCs w:val="21"/>
        </w:rPr>
      </w:pPr>
      <w:r>
        <w:rPr>
          <w:rFonts w:hint="eastAsia" w:ascii="宋体" w:hAnsi="宋体"/>
        </w:rPr>
        <w:t>1.</w:t>
      </w:r>
      <w:r>
        <w:rPr>
          <w:rFonts w:hint="eastAsia" w:ascii="宋体" w:hAnsi="宋体"/>
          <w:szCs w:val="21"/>
        </w:rPr>
        <w:t xml:space="preserve"> 服务期要求</w:t>
      </w:r>
      <w:r>
        <w:rPr>
          <w:rFonts w:hint="eastAsia" w:ascii="宋体" w:hAnsi="宋体"/>
          <w:bCs/>
          <w:szCs w:val="21"/>
        </w:rPr>
        <w:t>：</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rPr>
        <w:t>自合同签订日起一年。合同服务期满前，由采购人根据中标人提供的服务情况及自身需求，决定是否续签。合同最长可续签2次，服务期限累计不得超过36个月。</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rPr>
        <w:t xml:space="preserve">2. 服务地点： 深圳市宝安区人民医院       </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 人员要求：</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团队总人数不少于三人，其中负责人一名，需具有研究生或以上学历，从业年限不低于8年；成员不少于两名，需有至少1个深圳市内政府、事业单位或卫健系统招投标合规管理类项目工作经验。</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 成果要求：</w:t>
      </w:r>
    </w:p>
    <w:tbl>
      <w:tblPr>
        <w:tblStyle w:val="19"/>
        <w:tblW w:w="9919" w:type="dxa"/>
        <w:tblInd w:w="96" w:type="dxa"/>
        <w:tblLayout w:type="autofit"/>
        <w:tblCellMar>
          <w:top w:w="0" w:type="dxa"/>
          <w:left w:w="108" w:type="dxa"/>
          <w:bottom w:w="0" w:type="dxa"/>
          <w:right w:w="108" w:type="dxa"/>
        </w:tblCellMar>
      </w:tblPr>
      <w:tblGrid>
        <w:gridCol w:w="1599"/>
        <w:gridCol w:w="4297"/>
        <w:gridCol w:w="4023"/>
      </w:tblGrid>
      <w:tr>
        <w:tblPrEx>
          <w:tblCellMar>
            <w:top w:w="0" w:type="dxa"/>
            <w:left w:w="108" w:type="dxa"/>
            <w:bottom w:w="0" w:type="dxa"/>
            <w:right w:w="108" w:type="dxa"/>
          </w:tblCellMar>
        </w:tblPrEx>
        <w:trPr>
          <w:trHeight w:val="477" w:hRule="atLeast"/>
        </w:trPr>
        <w:tc>
          <w:tcPr>
            <w:tcW w:w="1599" w:type="dxa"/>
            <w:vMerge w:val="restart"/>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jc w:val="center"/>
              <w:rPr>
                <w:rFonts w:hint="eastAsia" w:ascii="宋体" w:hAnsi="宋体" w:eastAsia="宋体" w:cs="Times New Roman"/>
                <w:b/>
                <w:bCs/>
                <w:color w:val="auto"/>
                <w:kern w:val="0"/>
                <w:sz w:val="21"/>
                <w:szCs w:val="21"/>
                <w:lang w:val="en-US" w:eastAsia="zh-CN" w:bidi="ar-SA"/>
              </w:rPr>
            </w:pPr>
            <w:r>
              <w:rPr>
                <w:rFonts w:hint="eastAsia" w:ascii="宋体" w:hAnsi="宋体" w:eastAsia="宋体" w:cs="Times New Roman"/>
                <w:b/>
                <w:bCs/>
                <w:color w:val="auto"/>
                <w:kern w:val="0"/>
                <w:sz w:val="21"/>
                <w:szCs w:val="21"/>
                <w:lang w:val="en-US" w:eastAsia="zh-CN" w:bidi="ar-SA"/>
              </w:rPr>
              <w:t>阶段</w:t>
            </w:r>
          </w:p>
        </w:tc>
        <w:tc>
          <w:tcPr>
            <w:tcW w:w="4297" w:type="dxa"/>
            <w:vMerge w:val="restart"/>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ind w:firstLine="422" w:firstLineChars="200"/>
              <w:jc w:val="center"/>
              <w:rPr>
                <w:rFonts w:hint="eastAsia" w:ascii="宋体" w:hAnsi="宋体" w:eastAsia="宋体" w:cs="Times New Roman"/>
                <w:b/>
                <w:bCs/>
                <w:color w:val="auto"/>
                <w:kern w:val="0"/>
                <w:sz w:val="21"/>
                <w:szCs w:val="21"/>
                <w:lang w:val="en-US" w:eastAsia="zh-CN" w:bidi="ar-SA"/>
              </w:rPr>
            </w:pPr>
            <w:r>
              <w:rPr>
                <w:rFonts w:hint="eastAsia" w:ascii="宋体" w:hAnsi="宋体" w:eastAsia="宋体" w:cs="Times New Roman"/>
                <w:b/>
                <w:bCs/>
                <w:color w:val="auto"/>
                <w:kern w:val="0"/>
                <w:sz w:val="21"/>
                <w:szCs w:val="21"/>
                <w:lang w:val="en-US" w:eastAsia="zh-CN" w:bidi="ar-SA"/>
              </w:rPr>
              <w:t>主要工作内容</w:t>
            </w:r>
          </w:p>
        </w:tc>
        <w:tc>
          <w:tcPr>
            <w:tcW w:w="4023" w:type="dxa"/>
            <w:vMerge w:val="restart"/>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jc w:val="center"/>
              <w:rPr>
                <w:rFonts w:hint="eastAsia" w:ascii="宋体" w:hAnsi="宋体" w:eastAsia="宋体" w:cs="Times New Roman"/>
                <w:b/>
                <w:bCs/>
                <w:color w:val="auto"/>
                <w:kern w:val="0"/>
                <w:sz w:val="21"/>
                <w:szCs w:val="21"/>
                <w:lang w:val="en-US" w:eastAsia="zh-CN" w:bidi="ar-SA"/>
              </w:rPr>
            </w:pPr>
            <w:r>
              <w:rPr>
                <w:rFonts w:hint="eastAsia" w:ascii="宋体" w:hAnsi="宋体" w:eastAsia="宋体" w:cs="Times New Roman"/>
                <w:b/>
                <w:bCs/>
                <w:color w:val="auto"/>
                <w:kern w:val="0"/>
                <w:sz w:val="21"/>
                <w:szCs w:val="21"/>
                <w:lang w:val="en-US" w:eastAsia="zh-CN" w:bidi="ar-SA"/>
              </w:rPr>
              <w:t>交付成果</w:t>
            </w:r>
          </w:p>
        </w:tc>
      </w:tr>
      <w:tr>
        <w:tblPrEx>
          <w:tblCellMar>
            <w:top w:w="0" w:type="dxa"/>
            <w:left w:w="108" w:type="dxa"/>
            <w:bottom w:w="0" w:type="dxa"/>
            <w:right w:w="108" w:type="dxa"/>
          </w:tblCellMar>
        </w:tblPrEx>
        <w:trPr>
          <w:trHeight w:val="312" w:hRule="atLeast"/>
        </w:trPr>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c>
          <w:tcPr>
            <w:tcW w:w="4297" w:type="dxa"/>
            <w:vMerge w:val="continue"/>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c>
          <w:tcPr>
            <w:tcW w:w="4023" w:type="dxa"/>
            <w:vMerge w:val="continue"/>
            <w:tcBorders>
              <w:top w:val="single" w:color="000000" w:sz="4" w:space="0"/>
              <w:left w:val="single" w:color="000000" w:sz="4" w:space="0"/>
              <w:bottom w:val="single" w:color="000000" w:sz="4" w:space="0"/>
              <w:right w:val="single" w:color="000000" w:sz="4" w:space="0"/>
            </w:tcBorders>
            <w:shd w:val="clear" w:color="auto" w:fill="CFCECE"/>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r>
      <w:tr>
        <w:tblPrEx>
          <w:tblCellMar>
            <w:top w:w="0" w:type="dxa"/>
            <w:left w:w="108" w:type="dxa"/>
            <w:bottom w:w="0" w:type="dxa"/>
            <w:right w:w="108" w:type="dxa"/>
          </w:tblCellMar>
        </w:tblPrEx>
        <w:trPr>
          <w:trHeight w:val="960" w:hRule="atLeast"/>
        </w:trPr>
        <w:tc>
          <w:tcPr>
            <w:tcW w:w="1599" w:type="dxa"/>
            <w:vMerge w:val="restart"/>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p>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自行采购合规管理体系搭建</w:t>
            </w:r>
          </w:p>
          <w:p>
            <w:pPr>
              <w:tabs>
                <w:tab w:val="left" w:pos="567"/>
              </w:tabs>
              <w:jc w:val="center"/>
              <w:rPr>
                <w:rFonts w:hint="eastAsia" w:asciiTheme="minorEastAsia" w:hAnsiTheme="minorEastAsia" w:eastAsiaTheme="minorEastAsia" w:cstheme="minorEastAsia"/>
                <w:kern w:val="2"/>
                <w:sz w:val="21"/>
                <w:szCs w:val="21"/>
                <w:lang w:val="en-US" w:eastAsia="zh-CN" w:bidi="ar-SA"/>
              </w:rPr>
            </w:pP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摸排调研和合规建设管理实施方案建立</w:t>
            </w:r>
          </w:p>
        </w:tc>
        <w:tc>
          <w:tcPr>
            <w:tcW w:w="4023" w:type="dxa"/>
            <w:vMerge w:val="restart"/>
            <w:tcBorders>
              <w:top w:val="single" w:color="000000" w:sz="4" w:space="0"/>
              <w:left w:val="single" w:color="000000" w:sz="4" w:space="0"/>
              <w:bottom w:val="single" w:color="000000" w:sz="4" w:space="0"/>
              <w:right w:val="single" w:color="000000" w:sz="4" w:space="0"/>
            </w:tcBorders>
            <w:noWrap w:val="0"/>
            <w:vAlign w:val="center"/>
          </w:tcPr>
          <w:p>
            <w:pPr>
              <w:tabs>
                <w:tab w:val="left" w:pos="567"/>
              </w:tabs>
              <w:spacing w:line="360" w:lineRule="auto"/>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1.《合规管理实施方案》</w:t>
            </w:r>
          </w:p>
          <w:p>
            <w:pPr>
              <w:tabs>
                <w:tab w:val="left" w:pos="567"/>
              </w:tabs>
              <w:spacing w:line="360" w:lineRule="auto"/>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2.《自查工作台账》</w:t>
            </w:r>
          </w:p>
          <w:p>
            <w:pPr>
              <w:tabs>
                <w:tab w:val="left" w:pos="567"/>
              </w:tabs>
              <w:spacing w:line="360" w:lineRule="auto"/>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3.《合规管理工作台账》</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4.《合规行为准则》</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5.《合规承诺书》</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6.《合规审查与咨询指引》</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7.“三张清单”</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（1）合规风险识别清单</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（2）合规岗位职责清单</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（3）合规流程管控清单</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8.《自行采购合规检查标准流程》</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9.《自行采购合规检查报告》</w:t>
            </w:r>
          </w:p>
          <w:p>
            <w:pPr>
              <w:tabs>
                <w:tab w:val="left" w:pos="567"/>
              </w:tabs>
              <w:spacing w:line="360" w:lineRule="auto"/>
              <w:jc w:val="left"/>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Times New Roman"/>
                <w:b w:val="0"/>
                <w:bCs w:val="0"/>
                <w:kern w:val="0"/>
                <w:sz w:val="21"/>
                <w:szCs w:val="21"/>
                <w:lang w:val="en-US" w:eastAsia="zh-CN" w:bidi="ar-SA"/>
              </w:rPr>
              <w:t>10</w:t>
            </w:r>
            <w:r>
              <w:rPr>
                <w:rFonts w:hint="eastAsia" w:asciiTheme="minorEastAsia" w:hAnsiTheme="minorEastAsia" w:eastAsiaTheme="minorEastAsia" w:cstheme="minorEastAsia"/>
                <w:kern w:val="2"/>
                <w:sz w:val="21"/>
                <w:szCs w:val="21"/>
                <w:lang w:val="en-US" w:eastAsia="zh-CN" w:bidi="ar-SA"/>
              </w:rPr>
              <w:t>.组织2场合规培训</w:t>
            </w:r>
          </w:p>
        </w:tc>
      </w:tr>
      <w:tr>
        <w:tblPrEx>
          <w:tblCellMar>
            <w:top w:w="0" w:type="dxa"/>
            <w:left w:w="108" w:type="dxa"/>
            <w:bottom w:w="0" w:type="dxa"/>
            <w:right w:w="108" w:type="dxa"/>
          </w:tblCellMar>
        </w:tblPrEx>
        <w:trPr>
          <w:trHeight w:val="960" w:hRule="atLeast"/>
        </w:trPr>
        <w:tc>
          <w:tcPr>
            <w:tcW w:w="1599" w:type="dxa"/>
            <w:vMerge w:val="continue"/>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建立健全合规管理组织体系</w:t>
            </w:r>
          </w:p>
        </w:tc>
        <w:tc>
          <w:tcPr>
            <w:tcW w:w="4023" w:type="dxa"/>
            <w:vMerge w:val="continue"/>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4"/>
                <w:szCs w:val="24"/>
                <w:lang w:val="en-US" w:eastAsia="zh-CN" w:bidi="ar-SA"/>
              </w:rPr>
            </w:pPr>
          </w:p>
        </w:tc>
      </w:tr>
      <w:tr>
        <w:tblPrEx>
          <w:tblCellMar>
            <w:top w:w="0" w:type="dxa"/>
            <w:left w:w="108" w:type="dxa"/>
            <w:bottom w:w="0" w:type="dxa"/>
            <w:right w:w="108" w:type="dxa"/>
          </w:tblCellMar>
        </w:tblPrEx>
        <w:trPr>
          <w:trHeight w:val="960" w:hRule="atLeast"/>
        </w:trPr>
        <w:tc>
          <w:tcPr>
            <w:tcW w:w="15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center"/>
              <w:rPr>
                <w:rFonts w:hint="eastAsia" w:ascii="宋体" w:hAnsi="宋体" w:eastAsia="宋体" w:cs="Times New Roman"/>
                <w:b w:val="0"/>
                <w:bCs w:val="0"/>
                <w:color w:val="auto"/>
                <w:kern w:val="0"/>
                <w:sz w:val="21"/>
                <w:szCs w:val="21"/>
                <w:lang w:val="en-US" w:eastAsia="zh-CN" w:bidi="ar-SA"/>
              </w:rPr>
            </w:pP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建立健全合规管理制度体系</w:t>
            </w:r>
          </w:p>
        </w:tc>
        <w:tc>
          <w:tcPr>
            <w:tcW w:w="402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r>
      <w:tr>
        <w:tblPrEx>
          <w:tblCellMar>
            <w:top w:w="0" w:type="dxa"/>
            <w:left w:w="108" w:type="dxa"/>
            <w:bottom w:w="0" w:type="dxa"/>
            <w:right w:w="108" w:type="dxa"/>
          </w:tblCellMar>
        </w:tblPrEx>
        <w:trPr>
          <w:trHeight w:val="802" w:hRule="atLeast"/>
        </w:trPr>
        <w:tc>
          <w:tcPr>
            <w:tcW w:w="15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center"/>
              <w:rPr>
                <w:rFonts w:hint="eastAsia" w:ascii="宋体" w:hAnsi="宋体" w:eastAsia="宋体" w:cs="Times New Roman"/>
                <w:b w:val="0"/>
                <w:bCs w:val="0"/>
                <w:color w:val="auto"/>
                <w:kern w:val="0"/>
                <w:sz w:val="21"/>
                <w:szCs w:val="21"/>
                <w:lang w:val="en-US" w:eastAsia="zh-CN" w:bidi="ar-SA"/>
              </w:rPr>
            </w:pP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建立健全合规管理运行机制</w:t>
            </w:r>
          </w:p>
        </w:tc>
        <w:tc>
          <w:tcPr>
            <w:tcW w:w="402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r>
      <w:tr>
        <w:tblPrEx>
          <w:tblCellMar>
            <w:top w:w="0" w:type="dxa"/>
            <w:left w:w="108" w:type="dxa"/>
            <w:bottom w:w="0" w:type="dxa"/>
            <w:right w:w="108" w:type="dxa"/>
          </w:tblCellMar>
        </w:tblPrEx>
        <w:trPr>
          <w:trHeight w:val="515" w:hRule="atLeast"/>
        </w:trPr>
        <w:tc>
          <w:tcPr>
            <w:tcW w:w="15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center"/>
              <w:rPr>
                <w:rFonts w:hint="eastAsia" w:ascii="宋体" w:hAnsi="宋体" w:eastAsia="宋体" w:cs="Times New Roman"/>
                <w:b w:val="0"/>
                <w:bCs w:val="0"/>
                <w:color w:val="auto"/>
                <w:kern w:val="0"/>
                <w:sz w:val="21"/>
                <w:szCs w:val="21"/>
                <w:lang w:val="en-US" w:eastAsia="zh-CN" w:bidi="ar-SA"/>
              </w:rPr>
            </w:pP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培育合规文化</w:t>
            </w:r>
          </w:p>
        </w:tc>
        <w:tc>
          <w:tcPr>
            <w:tcW w:w="402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r>
      <w:tr>
        <w:tblPrEx>
          <w:tblCellMar>
            <w:top w:w="0" w:type="dxa"/>
            <w:left w:w="108" w:type="dxa"/>
            <w:bottom w:w="0" w:type="dxa"/>
            <w:right w:w="108" w:type="dxa"/>
          </w:tblCellMar>
        </w:tblPrEx>
        <w:trPr>
          <w:trHeight w:val="2893" w:hRule="atLeast"/>
        </w:trPr>
        <w:tc>
          <w:tcPr>
            <w:tcW w:w="1599"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自行采购合规评价专项工作</w:t>
            </w:r>
          </w:p>
        </w:tc>
        <w:tc>
          <w:tcPr>
            <w:tcW w:w="4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567"/>
              </w:tabs>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检查医院自行采购项目合规情况，并提出整改建议。</w:t>
            </w:r>
          </w:p>
        </w:tc>
        <w:tc>
          <w:tcPr>
            <w:tcW w:w="402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ordWrap/>
              <w:overflowPunct/>
              <w:topLinePunct w:val="0"/>
              <w:bidi w:val="0"/>
              <w:spacing w:line="560" w:lineRule="exact"/>
              <w:ind w:firstLine="420" w:firstLineChars="200"/>
              <w:jc w:val="both"/>
              <w:rPr>
                <w:rFonts w:hint="eastAsia" w:ascii="宋体" w:hAnsi="宋体" w:eastAsia="宋体" w:cs="Times New Roman"/>
                <w:b w:val="0"/>
                <w:bCs w:val="0"/>
                <w:color w:val="auto"/>
                <w:kern w:val="0"/>
                <w:sz w:val="21"/>
                <w:szCs w:val="21"/>
                <w:lang w:val="en-US" w:eastAsia="zh-CN" w:bidi="ar-SA"/>
              </w:rPr>
            </w:pPr>
          </w:p>
        </w:tc>
      </w:tr>
    </w:tbl>
    <w:p>
      <w:pPr>
        <w:pStyle w:val="3"/>
        <w:rPr>
          <w:rFonts w:hint="eastAsia" w:hAnsi="宋体" w:cs="Calibri"/>
        </w:rPr>
      </w:pPr>
      <w:r>
        <w:rPr>
          <w:rFonts w:hint="eastAsia" w:hAnsi="宋体" w:cs="Calibri"/>
        </w:rPr>
        <w:t xml:space="preserve">    </w:t>
      </w:r>
    </w:p>
    <w:p>
      <w:pPr>
        <w:numPr>
          <w:ilvl w:val="0"/>
          <w:numId w:val="2"/>
        </w:numPr>
        <w:ind w:firstLine="420" w:firstLineChars="200"/>
        <w:jc w:val="left"/>
        <w:rPr>
          <w:rFonts w:hint="eastAsia" w:ascii="宋体" w:hAnsi="宋体" w:eastAsia="宋体" w:cs="Times New Roman"/>
        </w:rPr>
      </w:pPr>
      <w:r>
        <w:rPr>
          <w:rFonts w:hint="eastAsia" w:ascii="宋体" w:hAnsi="宋体" w:eastAsia="宋体" w:cs="Times New Roman"/>
        </w:rPr>
        <w:t>报价要求：</w:t>
      </w:r>
    </w:p>
    <w:p>
      <w:pPr>
        <w:numPr>
          <w:ilvl w:val="0"/>
          <w:numId w:val="0"/>
        </w:numPr>
        <w:ind w:firstLine="420" w:firstLineChars="200"/>
        <w:jc w:val="left"/>
        <w:rPr>
          <w:rFonts w:hint="eastAsia" w:ascii="宋体" w:hAnsi="宋体" w:eastAsia="宋体" w:cs="Times New Roman"/>
        </w:rPr>
      </w:pPr>
      <w:r>
        <w:rPr>
          <w:rFonts w:hint="eastAsia" w:ascii="宋体" w:hAnsi="宋体" w:eastAsia="宋体" w:cs="Times New Roman"/>
        </w:rPr>
        <w:t>投标总价必须是完成该项目的一切费用总和，包括人工费、保险费、管理费、技术培训费、售后服务费、国家规定的各项税费等全部费用。</w:t>
      </w:r>
    </w:p>
    <w:p>
      <w:pPr>
        <w:numPr>
          <w:ilvl w:val="0"/>
          <w:numId w:val="2"/>
        </w:numPr>
        <w:ind w:left="0" w:leftChars="0" w:firstLine="420" w:firstLineChars="200"/>
        <w:jc w:val="left"/>
        <w:rPr>
          <w:rFonts w:hint="eastAsia" w:ascii="宋体" w:hAnsi="宋体" w:eastAsia="宋体" w:cs="Times New Roman"/>
          <w:lang w:val="en-US" w:eastAsia="zh-CN"/>
        </w:rPr>
      </w:pPr>
      <w:r>
        <w:rPr>
          <w:rFonts w:hint="eastAsia" w:ascii="宋体" w:hAnsi="宋体" w:eastAsia="宋体" w:cs="Times New Roman"/>
          <w:lang w:val="en-US" w:eastAsia="zh-CN"/>
        </w:rPr>
        <w:t>付款方式：</w:t>
      </w:r>
    </w:p>
    <w:p>
      <w:pPr>
        <w:numPr>
          <w:ilvl w:val="0"/>
          <w:numId w:val="0"/>
        </w:numPr>
        <w:ind w:firstLine="420" w:firstLineChars="200"/>
        <w:jc w:val="left"/>
        <w:rPr>
          <w:rFonts w:hint="default" w:ascii="宋体" w:hAnsi="宋体" w:eastAsia="宋体" w:cs="Times New Roman"/>
          <w:lang w:val="en-US" w:eastAsia="zh-CN"/>
        </w:rPr>
      </w:pPr>
      <w:r>
        <w:rPr>
          <w:rFonts w:hint="eastAsia" w:ascii="宋体" w:hAnsi="宋体" w:eastAsia="宋体" w:cs="Times New Roman"/>
          <w:lang w:val="en-US" w:eastAsia="zh-CN"/>
        </w:rPr>
        <w:t>制定工作实施方案经采购方确认后支付50%，项目完成验收后支付尾款50%。</w:t>
      </w:r>
    </w:p>
    <w:p>
      <w:pPr>
        <w:ind w:firstLine="420" w:firstLineChars="200"/>
        <w:jc w:val="left"/>
        <w:rPr>
          <w:rFonts w:hint="eastAsia" w:ascii="宋体" w:hAnsi="宋体" w:eastAsia="宋体" w:cs="Times New Roman"/>
          <w:lang w:val="en-US" w:eastAsia="zh-CN"/>
        </w:rPr>
      </w:pPr>
      <w:r>
        <w:rPr>
          <w:rFonts w:hint="eastAsia" w:ascii="宋体" w:hAnsi="宋体" w:eastAsia="宋体" w:cs="Times New Roman"/>
          <w:lang w:val="en-US" w:eastAsia="zh-CN"/>
        </w:rPr>
        <w:t>7.其他要求：</w:t>
      </w:r>
    </w:p>
    <w:p>
      <w:pPr>
        <w:ind w:firstLine="420" w:firstLineChars="200"/>
        <w:jc w:val="left"/>
        <w:rPr>
          <w:rFonts w:hint="eastAsia" w:ascii="宋体" w:hAnsi="宋体" w:eastAsia="宋体" w:cs="Times New Roman"/>
        </w:rPr>
      </w:pPr>
      <w:r>
        <w:rPr>
          <w:rFonts w:hint="eastAsia" w:ascii="宋体" w:hAnsi="宋体" w:eastAsia="宋体" w:cs="Times New Roman"/>
          <w:lang w:val="en-US" w:eastAsia="zh-CN"/>
        </w:rPr>
        <w:t>7.</w:t>
      </w:r>
      <w:r>
        <w:rPr>
          <w:rFonts w:hint="eastAsia" w:ascii="宋体" w:hAnsi="宋体" w:eastAsia="宋体" w:cs="Times New Roman"/>
        </w:rPr>
        <w:t>1中标人不得将项目非法分包或转包给任何单位和个人。否则，采购单位有权即刻终止合同，并要求中标人赔偿相应损失。</w:t>
      </w:r>
    </w:p>
    <w:p>
      <w:pPr>
        <w:ind w:firstLine="420" w:firstLineChars="200"/>
        <w:jc w:val="left"/>
        <w:rPr>
          <w:rFonts w:hint="eastAsia" w:ascii="宋体" w:hAnsi="宋体" w:eastAsia="宋体" w:cs="Times New Roman"/>
        </w:rPr>
      </w:pPr>
      <w:r>
        <w:rPr>
          <w:rFonts w:hint="eastAsia" w:ascii="宋体" w:hAnsi="宋体" w:eastAsia="宋体" w:cs="Times New Roman"/>
          <w:lang w:val="en-US" w:eastAsia="zh-CN"/>
        </w:rPr>
        <w:t>7.</w:t>
      </w:r>
      <w:r>
        <w:rPr>
          <w:rFonts w:hint="eastAsia" w:ascii="宋体" w:hAnsi="宋体" w:eastAsia="宋体" w:cs="Times New Roman"/>
        </w:rPr>
        <w:t>2投标人若认为招标文件的技术要求或其他要求有倾向性或不公正性，可在招标答疑阶段提出，以维护招标行为的公平、公正。</w:t>
      </w:r>
    </w:p>
    <w:p>
      <w:pPr>
        <w:ind w:firstLine="420" w:firstLineChars="200"/>
        <w:jc w:val="left"/>
        <w:rPr>
          <w:rFonts w:hint="eastAsia" w:ascii="宋体" w:hAnsi="宋体" w:eastAsia="宋体" w:cs="Times New Roman"/>
        </w:rPr>
      </w:pPr>
      <w:r>
        <w:rPr>
          <w:rFonts w:hint="eastAsia" w:ascii="宋体" w:hAnsi="宋体" w:eastAsia="宋体" w:cs="Times New Roman"/>
          <w:lang w:val="en-US" w:eastAsia="zh-CN"/>
        </w:rPr>
        <w:t>7.</w:t>
      </w:r>
      <w:r>
        <w:rPr>
          <w:rFonts w:hint="eastAsia" w:ascii="宋体" w:hAnsi="宋体" w:eastAsia="宋体" w:cs="Times New Roman"/>
        </w:rPr>
        <w:t>3投标人使用的标准必须是国际公认或国家、或地方政府颁布的同等或更高的标准，如投标人使用的标准低于上述标准,评标委员会将有权不予接受，投标人必须列表将明显的差异详细说明。</w:t>
      </w:r>
    </w:p>
    <w:p>
      <w:pPr>
        <w:ind w:firstLine="420" w:firstLineChars="200"/>
        <w:jc w:val="left"/>
        <w:rPr>
          <w:rFonts w:hint="eastAsia" w:ascii="宋体" w:hAnsi="宋体" w:eastAsia="宋体" w:cs="Times New Roman"/>
        </w:rPr>
      </w:pPr>
      <w:r>
        <w:rPr>
          <w:rFonts w:hint="eastAsia" w:ascii="宋体" w:hAnsi="宋体" w:eastAsia="宋体" w:cs="Times New Roman"/>
          <w:lang w:val="en-US" w:eastAsia="zh-CN"/>
        </w:rPr>
        <w:t>7.4</w:t>
      </w:r>
      <w:r>
        <w:rPr>
          <w:rFonts w:hint="eastAsia" w:ascii="宋体" w:hAnsi="宋体" w:eastAsia="宋体" w:cs="Times New Roman"/>
        </w:rPr>
        <w:t>供应商须在法定质疑期内一次性提出针对同一采购程序环节的质疑。</w:t>
      </w:r>
    </w:p>
    <w:p>
      <w:pPr>
        <w:ind w:firstLine="420" w:firstLineChars="200"/>
        <w:jc w:val="left"/>
        <w:rPr>
          <w:rFonts w:hint="eastAsia" w:ascii="宋体" w:hAnsi="宋体" w:eastAsia="宋体" w:cs="Times New Roman"/>
          <w:lang w:val="en-US" w:eastAsia="zh-CN"/>
        </w:rPr>
      </w:pPr>
    </w:p>
    <w:p>
      <w:pPr>
        <w:pStyle w:val="3"/>
        <w:ind w:firstLine="420" w:firstLineChars="200"/>
        <w:rPr>
          <w:rFonts w:hint="eastAsia" w:hAnsi="宋体"/>
        </w:rPr>
      </w:pPr>
    </w:p>
    <w:p>
      <w:pPr>
        <w:pStyle w:val="3"/>
        <w:ind w:firstLine="420" w:firstLineChars="200"/>
        <w:rPr>
          <w:rFonts w:hint="eastAsia" w:hAnsi="宋体"/>
        </w:rPr>
      </w:pPr>
    </w:p>
    <w:p>
      <w:pPr>
        <w:pStyle w:val="3"/>
        <w:rPr>
          <w:rFonts w:hint="eastAsia" w:hAnsi="宋体"/>
        </w:rPr>
      </w:pPr>
    </w:p>
    <w:p>
      <w:pPr>
        <w:pStyle w:val="3"/>
        <w:ind w:firstLine="420" w:firstLineChars="200"/>
        <w:rPr>
          <w:rFonts w:hint="eastAsia" w:hAnsi="宋体"/>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48</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48</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Fonts w:hint="eastAsia"/>
        </w:rPr>
      </w:pPr>
      <w:r>
        <w:rPr>
          <w:rStyle w:val="23"/>
          <w:rFonts w:eastAsia="宋体"/>
          <w:color w:val="000000"/>
          <w:szCs w:val="28"/>
        </w:rPr>
        <w:t>项目名称:</w:t>
      </w:r>
      <w:r>
        <w:rPr>
          <w:rFonts w:hint="eastAsia"/>
        </w:rPr>
        <w:t xml:space="preserve"> </w:t>
      </w:r>
      <w:r>
        <w:rPr>
          <w:rStyle w:val="23"/>
          <w:rFonts w:eastAsia="宋体"/>
          <w:color w:val="000000"/>
          <w:szCs w:val="28"/>
          <w:u w:val="single"/>
        </w:rPr>
        <w:t xml:space="preserve">                                 </w:t>
      </w:r>
      <w:r>
        <w:rPr>
          <w:rFonts w:hint="eastAsia"/>
        </w:rPr>
        <w:t xml:space="preserve"> </w:t>
      </w:r>
    </w:p>
    <w:p>
      <w:pPr>
        <w:widowControl/>
        <w:spacing w:line="500" w:lineRule="exact"/>
        <w:ind w:firstLine="970" w:firstLineChars="345"/>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567" w:firstLineChars="270"/>
        <w:rPr>
          <w:rStyle w:val="23"/>
          <w:rFonts w:hint="eastAsia" w:eastAsia="宋体"/>
          <w:color w:val="000000"/>
          <w:szCs w:val="28"/>
        </w:rPr>
      </w:pPr>
      <w:r>
        <w:rPr>
          <w:rFonts w:hint="eastAsia"/>
        </w:rPr>
        <w:t xml:space="preserve">    </w:t>
      </w: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Style w:val="23"/>
          <w:rFonts w:hint="eastAsia" w:cs="宋体"/>
          <w:color w:val="000000"/>
          <w:szCs w:val="28"/>
        </w:rPr>
      </w:pPr>
      <w:r>
        <w:rPr>
          <w:rStyle w:val="23"/>
          <w:rFonts w:hint="eastAsia" w:cs="宋体"/>
          <w:color w:val="000000"/>
          <w:szCs w:val="28"/>
        </w:rPr>
        <w:t>一､报名时,提交 《投标人报名材料》交至宝安区人民医院立体停车场出口对面A栋201室招标办预审,资格预审成功后立即发送PDF版文件至招标办【电子版文件包括：标题格式：2025年第X期数 投标公司名称】</w:t>
      </w:r>
    </w:p>
    <w:p>
      <w:pPr>
        <w:widowControl/>
        <w:spacing w:line="500" w:lineRule="exact"/>
        <w:jc w:val="left"/>
        <w:rPr>
          <w:rStyle w:val="23"/>
          <w:rFonts w:hint="eastAsia" w:cs="宋体"/>
          <w:color w:val="000000"/>
          <w:szCs w:val="28"/>
        </w:rPr>
      </w:pPr>
      <w:r>
        <w:rPr>
          <w:rStyle w:val="23"/>
          <w:rFonts w:hint="eastAsia" w:cs="宋体"/>
          <w:color w:val="000000"/>
          <w:szCs w:val="28"/>
        </w:rPr>
        <w:t>二、投标与评标同步进行，投标商报名成功后请自行关注我院公告信息</w:t>
      </w:r>
    </w:p>
    <w:p>
      <w:pPr>
        <w:widowControl/>
        <w:spacing w:line="500" w:lineRule="exact"/>
        <w:jc w:val="left"/>
        <w:rPr>
          <w:rStyle w:val="23"/>
          <w:rFonts w:hint="eastAsia" w:cs="宋体"/>
          <w:color w:val="000000"/>
          <w:szCs w:val="28"/>
        </w:rPr>
      </w:pPr>
      <w:r>
        <w:rPr>
          <w:rStyle w:val="23"/>
          <w:rFonts w:hint="eastAsia" w:cs="宋体"/>
          <w:color w:val="000000"/>
          <w:szCs w:val="28"/>
        </w:rPr>
        <w:t>三､谈判现场,需提交6份密封投标书（2正4副）(胶装成册)､1份密封报价单、招标文件PDF版｡</w:t>
      </w:r>
    </w:p>
    <w:p>
      <w:pPr>
        <w:widowControl/>
        <w:spacing w:line="500" w:lineRule="exact"/>
        <w:jc w:val="left"/>
        <w:rPr>
          <w:rStyle w:val="23"/>
          <w:rFonts w:hint="eastAsia" w:eastAsia="宋体"/>
          <w:color w:val="FF0000"/>
          <w:szCs w:val="28"/>
        </w:rPr>
      </w:pPr>
      <w:r>
        <w:rPr>
          <w:rStyle w:val="23"/>
          <w:rFonts w:hint="eastAsia" w:cs="宋体"/>
          <w:color w:val="000000"/>
          <w:szCs w:val="28"/>
        </w:rPr>
        <w:t>四､节约纸张,请双面打印｡</w:t>
      </w: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3"/>
        </w:numPr>
        <w:snapToGrid w:val="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hint="eastAsia" w:ascii="宋体" w:hAnsi="宋体"/>
          <w:szCs w:val="21"/>
        </w:rPr>
      </w:pPr>
      <w:r>
        <w:rPr>
          <w:rFonts w:hint="eastAsia" w:ascii="宋体" w:hAnsi="宋体"/>
          <w:szCs w:val="21"/>
        </w:rPr>
        <w:t>投标函</w:t>
      </w:r>
    </w:p>
    <w:p>
      <w:pPr>
        <w:numPr>
          <w:ilvl w:val="0"/>
          <w:numId w:val="3"/>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3"/>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3"/>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7" w:name="OLE_LINK1"/>
      <w:r>
        <w:rPr>
          <w:rFonts w:hint="eastAsia" w:ascii="宋体" w:hAnsi="宋体"/>
          <w:szCs w:val="21"/>
        </w:rPr>
        <w:t>国家企业信用信息公示系统</w:t>
      </w:r>
      <w:bookmarkEnd w:id="7"/>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73" w:leftChars="-35" w:firstLine="281" w:firstLineChars="134"/>
        <w:jc w:val="left"/>
      </w:pPr>
      <w:r>
        <w:rPr>
          <w:rFonts w:hint="eastAsia"/>
        </w:rPr>
        <w:t>4. 实质性响应条款“投标响应情况”与投标文件其它内容冲突的，以实质性响应条款“投标响应情况”为准。</w:t>
      </w:r>
    </w:p>
    <w:p>
      <w:pPr>
        <w:pStyle w:val="3"/>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pStyle w:val="3"/>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8"/>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2"/>
        <w:ind w:left="1060" w:hanging="640"/>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9" w:name="_Hlk191539109"/>
      <w:r>
        <w:rPr>
          <w:rFonts w:hint="eastAsia" w:hAnsi="宋体"/>
          <w:b/>
          <w:bCs/>
          <w:sz w:val="28"/>
          <w:szCs w:val="28"/>
        </w:rPr>
        <w:t>项目服务方案及保障措施方案</w:t>
      </w:r>
      <w:bookmarkEnd w:id="9"/>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48</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9"/>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10"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0"/>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ED7BD7A"/>
    <w:multiLevelType w:val="singleLevel"/>
    <w:tmpl w:val="1ED7BD7A"/>
    <w:lvl w:ilvl="0" w:tentative="0">
      <w:start w:val="1"/>
      <w:numFmt w:val="chineseCounting"/>
      <w:suff w:val="nothing"/>
      <w:lvlText w:val="（%1）"/>
      <w:lvlJc w:val="left"/>
      <w:rPr>
        <w:rFonts w:hint="eastAsia"/>
        <w:b/>
        <w:bCs/>
      </w:rPr>
    </w:lvl>
  </w:abstractNum>
  <w:abstractNum w:abstractNumId="2">
    <w:nsid w:val="2C4F1112"/>
    <w:multiLevelType w:val="singleLevel"/>
    <w:tmpl w:val="2C4F1112"/>
    <w:lvl w:ilvl="0" w:tentative="0">
      <w:start w:val="5"/>
      <w:numFmt w:val="decimal"/>
      <w:lvlText w:val="%1."/>
      <w:lvlJc w:val="left"/>
      <w:pPr>
        <w:tabs>
          <w:tab w:val="left" w:pos="312"/>
        </w:tabs>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C8C4337"/>
    <w:rsid w:val="145F2FE7"/>
    <w:rsid w:val="153E3549"/>
    <w:rsid w:val="168F3C34"/>
    <w:rsid w:val="1984103F"/>
    <w:rsid w:val="1A663D17"/>
    <w:rsid w:val="1E37428D"/>
    <w:rsid w:val="1E8245AD"/>
    <w:rsid w:val="252332EE"/>
    <w:rsid w:val="28321027"/>
    <w:rsid w:val="287B37A3"/>
    <w:rsid w:val="29126661"/>
    <w:rsid w:val="299D5ED5"/>
    <w:rsid w:val="29B63249"/>
    <w:rsid w:val="29F8398C"/>
    <w:rsid w:val="307C56EC"/>
    <w:rsid w:val="317F1137"/>
    <w:rsid w:val="329C76FF"/>
    <w:rsid w:val="34D7691B"/>
    <w:rsid w:val="34E13287"/>
    <w:rsid w:val="357C3327"/>
    <w:rsid w:val="39321E8F"/>
    <w:rsid w:val="3A227ADB"/>
    <w:rsid w:val="42E3216A"/>
    <w:rsid w:val="43EC179D"/>
    <w:rsid w:val="461D638C"/>
    <w:rsid w:val="49A308A5"/>
    <w:rsid w:val="49E22A33"/>
    <w:rsid w:val="4B8A7F8A"/>
    <w:rsid w:val="4D6C5536"/>
    <w:rsid w:val="4E4C7A1B"/>
    <w:rsid w:val="4E8F1C60"/>
    <w:rsid w:val="51981FF4"/>
    <w:rsid w:val="51FF032F"/>
    <w:rsid w:val="564F6EA2"/>
    <w:rsid w:val="5A3D7F5A"/>
    <w:rsid w:val="5CCC3817"/>
    <w:rsid w:val="5DFF4054"/>
    <w:rsid w:val="5F404B37"/>
    <w:rsid w:val="5F5F2503"/>
    <w:rsid w:val="5FAC1EEF"/>
    <w:rsid w:val="61187829"/>
    <w:rsid w:val="611E71C2"/>
    <w:rsid w:val="645D3BCA"/>
    <w:rsid w:val="64C45B85"/>
    <w:rsid w:val="673E09F7"/>
    <w:rsid w:val="677C37D9"/>
    <w:rsid w:val="684E7CC7"/>
    <w:rsid w:val="6A073068"/>
    <w:rsid w:val="6C3F65B3"/>
    <w:rsid w:val="6C67530A"/>
    <w:rsid w:val="6D9D4CB1"/>
    <w:rsid w:val="733C6D53"/>
    <w:rsid w:val="754D4ECA"/>
    <w:rsid w:val="7BCC3337"/>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6"/>
    <w:qFormat/>
    <w:uiPriority w:val="0"/>
    <w:rPr>
      <w:rFonts w:ascii="宋体" w:hAnsi="Courier New" w:cs="宋体"/>
      <w:szCs w:val="21"/>
    </w:rPr>
  </w:style>
  <w:style w:type="paragraph" w:styleId="6">
    <w:name w:val="Normal Indent"/>
    <w:basedOn w:val="1"/>
    <w:link w:val="25"/>
    <w:qFormat/>
    <w:uiPriority w:val="0"/>
    <w:pPr>
      <w:ind w:firstLine="420"/>
    </w:pPr>
    <w:rPr>
      <w:szCs w:val="20"/>
    </w:rPr>
  </w:style>
  <w:style w:type="paragraph" w:styleId="7">
    <w:name w:val="annotation text"/>
    <w:basedOn w:val="1"/>
    <w:link w:val="41"/>
    <w:qFormat/>
    <w:uiPriority w:val="99"/>
    <w:pPr>
      <w:jc w:val="left"/>
    </w:pPr>
  </w:style>
  <w:style w:type="paragraph" w:styleId="8">
    <w:name w:val="index 6"/>
    <w:basedOn w:val="1"/>
    <w:next w:val="1"/>
    <w:qFormat/>
    <w:uiPriority w:val="0"/>
  </w:style>
  <w:style w:type="paragraph" w:styleId="9">
    <w:name w:val="Body Text"/>
    <w:basedOn w:val="1"/>
    <w:next w:val="10"/>
    <w:link w:val="33"/>
    <w:qFormat/>
    <w:uiPriority w:val="99"/>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link w:val="55"/>
    <w:semiHidden/>
    <w:unhideWhenUsed/>
    <w:qFormat/>
    <w:uiPriority w:val="99"/>
    <w:pPr>
      <w:spacing w:after="120"/>
      <w:ind w:left="420" w:leftChars="200"/>
    </w:pPr>
  </w:style>
  <w:style w:type="paragraph" w:styleId="12">
    <w:name w:val="Date"/>
    <w:basedOn w:val="1"/>
    <w:next w:val="1"/>
    <w:link w:val="40"/>
    <w:semiHidden/>
    <w:unhideWhenUsed/>
    <w:qFormat/>
    <w:uiPriority w:val="99"/>
    <w:pPr>
      <w:ind w:left="100" w:leftChars="2500"/>
    </w:pPr>
  </w:style>
  <w:style w:type="paragraph" w:styleId="13">
    <w:name w:val="Balloon Text"/>
    <w:basedOn w:val="1"/>
    <w:link w:val="44"/>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65"/>
    <w:semiHidden/>
    <w:unhideWhenUsed/>
    <w:qFormat/>
    <w:uiPriority w:val="99"/>
    <w:pPr>
      <w:spacing w:after="120" w:line="480" w:lineRule="auto"/>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11"/>
    <w:link w:val="56"/>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1"/>
    <w:qFormat/>
    <w:uiPriority w:val="0"/>
    <w:rPr>
      <w:rFonts w:hAnsi="Courier New" w:cs="Courier New" w:asciiTheme="minorEastAsia"/>
      <w:szCs w:val="24"/>
    </w:rPr>
  </w:style>
  <w:style w:type="character" w:customStyle="1" w:styleId="25">
    <w:name w:val="正文缩进 字符"/>
    <w:basedOn w:val="21"/>
    <w:link w:val="6"/>
    <w:qFormat/>
    <w:uiPriority w:val="0"/>
    <w:rPr>
      <w:rFonts w:ascii="Times New Roman" w:hAnsi="Times New Roman" w:eastAsia="宋体" w:cs="Times New Roman"/>
      <w:szCs w:val="20"/>
    </w:rPr>
  </w:style>
  <w:style w:type="character" w:customStyle="1" w:styleId="26">
    <w:name w:val="纯文本 字符1"/>
    <w:basedOn w:val="21"/>
    <w:link w:val="3"/>
    <w:qFormat/>
    <w:uiPriority w:val="0"/>
    <w:rPr>
      <w:rFonts w:ascii="宋体" w:hAnsi="Courier New" w:eastAsia="宋体" w:cs="宋体"/>
      <w:szCs w:val="21"/>
    </w:rPr>
  </w:style>
  <w:style w:type="character" w:customStyle="1" w:styleId="27">
    <w:name w:val="页眉 字符"/>
    <w:basedOn w:val="21"/>
    <w:link w:val="15"/>
    <w:qFormat/>
    <w:uiPriority w:val="99"/>
    <w:rPr>
      <w:rFonts w:ascii="Times New Roman" w:hAnsi="Times New Roman" w:eastAsia="宋体" w:cs="Times New Roman"/>
      <w:sz w:val="18"/>
      <w:szCs w:val="18"/>
    </w:rPr>
  </w:style>
  <w:style w:type="character" w:customStyle="1" w:styleId="28">
    <w:name w:val="页脚 字符"/>
    <w:basedOn w:val="21"/>
    <w:link w:val="14"/>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1"/>
    <w:qFormat/>
    <w:uiPriority w:val="0"/>
    <w:rPr>
      <w:kern w:val="2"/>
      <w:sz w:val="21"/>
    </w:rPr>
  </w:style>
  <w:style w:type="character" w:customStyle="1" w:styleId="31">
    <w:name w:val="纯文本 Char"/>
    <w:basedOn w:val="21"/>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1"/>
    <w:link w:val="9"/>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1"/>
    <w:link w:val="12"/>
    <w:semiHidden/>
    <w:qFormat/>
    <w:uiPriority w:val="99"/>
    <w:rPr>
      <w:rFonts w:ascii="Times New Roman" w:hAnsi="Times New Roman" w:eastAsia="宋体" w:cs="Times New Roman"/>
      <w:szCs w:val="24"/>
    </w:rPr>
  </w:style>
  <w:style w:type="character" w:customStyle="1" w:styleId="41">
    <w:name w:val="批注文字 字符"/>
    <w:basedOn w:val="21"/>
    <w:link w:val="7"/>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1"/>
    <w:link w:val="13"/>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1"/>
    <w:qFormat/>
    <w:uiPriority w:val="0"/>
    <w:rPr>
      <w:rFonts w:hint="eastAsia" w:ascii="微软雅黑" w:hAnsi="微软雅黑" w:eastAsia="微软雅黑" w:cs="微软雅黑"/>
      <w:color w:val="FF0000"/>
      <w:sz w:val="24"/>
      <w:szCs w:val="24"/>
      <w:u w:val="none"/>
    </w:rPr>
  </w:style>
  <w:style w:type="character" w:customStyle="1" w:styleId="50">
    <w:name w:val="font01"/>
    <w:basedOn w:val="21"/>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1"/>
    <w:link w:val="11"/>
    <w:semiHidden/>
    <w:qFormat/>
    <w:uiPriority w:val="99"/>
    <w:rPr>
      <w:kern w:val="2"/>
      <w:sz w:val="21"/>
      <w:szCs w:val="24"/>
    </w:rPr>
  </w:style>
  <w:style w:type="character" w:customStyle="1" w:styleId="56">
    <w:name w:val="正文文本首行缩进 2 字符"/>
    <w:basedOn w:val="55"/>
    <w:link w:val="18"/>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1"/>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1"/>
    <w:link w:val="16"/>
    <w:semiHidden/>
    <w:qFormat/>
    <w:uiPriority w:val="99"/>
    <w:rPr>
      <w:kern w:val="2"/>
      <w:sz w:val="21"/>
      <w:szCs w:val="24"/>
    </w:rPr>
  </w:style>
  <w:style w:type="character" w:customStyle="1" w:styleId="66">
    <w:name w:val="Unresolved Mention"/>
    <w:basedOn w:val="21"/>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39</Pages>
  <Words>20662</Words>
  <Characters>21805</Characters>
  <Lines>169</Lines>
  <Paragraphs>47</Paragraphs>
  <TotalTime>34</TotalTime>
  <ScaleCrop>false</ScaleCrop>
  <LinksUpToDate>false</LinksUpToDate>
  <CharactersWithSpaces>24200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2025-06-03T03:26:00Z</cp:lastPrinted>
  <dcterms:modified xsi:type="dcterms:W3CDTF">2025-06-25T02:06:44Z</dcterms:modified>
  <dc:title>院内招标采购公告</dc:title>
  <cp:revision>811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736869B9EDA5416EB78115BA555F65A9</vt:lpwstr>
  </property>
  <property fmtid="{D5CDD505-2E9C-101B-9397-08002B2CF9AE}" pid="4" name="KSOTemplateDocerSaveRecord">
    <vt:lpwstr>eyJoZGlkIjoiOWZkMzE4YjE3ZTIyZGNmZWJlZjE2OGRlZTBmMmZkOGIifQ==</vt:lpwstr>
  </property>
</Properties>
</file>