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27</w:t>
      </w:r>
      <w:r>
        <w:rPr>
          <w:rFonts w:hint="eastAsia" w:ascii="宋体" w:hAnsi="宋体"/>
          <w:b/>
          <w:bCs/>
          <w:sz w:val="36"/>
          <w:szCs w:val="36"/>
        </w:rPr>
        <w:t>期姿势控制训练系统采购公告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27</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宋体" w:hAnsi="宋体" w:eastAsia="宋体"/>
                <w:kern w:val="0"/>
                <w:szCs w:val="21"/>
              </w:rPr>
              <w:t>姿势控制训练系统</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kern w:val="0"/>
                <w:szCs w:val="21"/>
              </w:rPr>
            </w:pPr>
            <w:r>
              <w:rPr>
                <w:rFonts w:hint="eastAsia" w:ascii="宋体" w:hAnsi="宋体"/>
                <w:kern w:val="0"/>
                <w:szCs w:val="21"/>
              </w:rPr>
              <w:t>/</w:t>
            </w:r>
          </w:p>
        </w:tc>
        <w:tc>
          <w:tcPr>
            <w:tcW w:w="708" w:type="dxa"/>
            <w:vAlign w:val="center"/>
          </w:tcPr>
          <w:p>
            <w:pPr>
              <w:ind w:firstLine="210" w:firstLineChars="100"/>
              <w:rPr>
                <w:rFonts w:hint="eastAsia" w:ascii="宋体" w:hAnsi="宋体"/>
                <w:kern w:val="0"/>
                <w:szCs w:val="21"/>
              </w:rPr>
            </w:pPr>
            <w:r>
              <w:rPr>
                <w:rFonts w:hint="eastAsia" w:ascii="宋体" w:hAnsi="宋体"/>
                <w:kern w:val="0"/>
                <w:szCs w:val="21"/>
              </w:rPr>
              <w:t>1</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套</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lang w:val="en-US" w:eastAsia="zh-CN"/>
        </w:rPr>
        <w:t>9</w:t>
      </w:r>
      <w:r>
        <w:rPr>
          <w:rFonts w:hint="eastAsia" w:ascii="宋体" w:hAnsi="宋体" w:cs="Arial"/>
          <w:bCs/>
          <w:color w:val="000000"/>
          <w:szCs w:val="21"/>
        </w:rPr>
        <w:t>.</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ind w:left="0" w:leftChars="0" w:firstLine="0" w:firstLineChars="0"/>
        <w:rPr>
          <w:rFonts w:hint="default" w:eastAsia="微软雅黑"/>
          <w:lang w:val="en-US" w:eastAsia="zh-CN"/>
        </w:rPr>
      </w:pP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pStyle w:val="2"/>
        <w:rPr>
          <w:rFonts w:hint="eastAsia"/>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pStyle w:val="3"/>
      </w:pPr>
    </w:p>
    <w:p>
      <w:pPr>
        <w:pStyle w:val="3"/>
      </w:pPr>
    </w:p>
    <w:p>
      <w:pPr>
        <w:pStyle w:val="3"/>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9.5</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1.29</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bookmarkStart w:id="8" w:name="_GoBack"/>
            <w:bookmarkEnd w:id="8"/>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9"/>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9"/>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9"/>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9"/>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rPr>
              <w:t>姿势控制训练系统</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7"/>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9"/>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9"/>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3"/>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2"/>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3"/>
              <w:jc w:val="center"/>
              <w:rPr>
                <w:rFonts w:hint="eastAsia" w:hAnsi="宋体"/>
                <w:b/>
                <w:kern w:val="0"/>
              </w:rPr>
            </w:pPr>
            <w:r>
              <w:rPr>
                <w:rFonts w:hint="eastAsia" w:hAnsi="宋体"/>
                <w:b/>
                <w:kern w:val="0"/>
              </w:rPr>
              <w:t>序号</w:t>
            </w:r>
          </w:p>
        </w:tc>
        <w:tc>
          <w:tcPr>
            <w:tcW w:w="2645" w:type="dxa"/>
            <w:vAlign w:val="center"/>
          </w:tcPr>
          <w:p>
            <w:pPr>
              <w:pStyle w:val="3"/>
              <w:jc w:val="center"/>
              <w:rPr>
                <w:rFonts w:hint="eastAsia" w:hAnsi="宋体"/>
                <w:b/>
                <w:kern w:val="0"/>
              </w:rPr>
            </w:pPr>
            <w:r>
              <w:rPr>
                <w:rFonts w:hint="eastAsia" w:hAnsi="宋体"/>
                <w:b/>
                <w:kern w:val="0"/>
              </w:rPr>
              <w:t>采购项目名称</w:t>
            </w:r>
          </w:p>
        </w:tc>
        <w:tc>
          <w:tcPr>
            <w:tcW w:w="878" w:type="dxa"/>
            <w:vAlign w:val="center"/>
          </w:tcPr>
          <w:p>
            <w:pPr>
              <w:pStyle w:val="3"/>
              <w:jc w:val="center"/>
              <w:rPr>
                <w:rFonts w:hint="eastAsia" w:hAnsi="宋体"/>
                <w:b/>
                <w:kern w:val="0"/>
              </w:rPr>
            </w:pPr>
            <w:r>
              <w:rPr>
                <w:rFonts w:hint="eastAsia" w:hAnsi="宋体"/>
                <w:b/>
                <w:kern w:val="0"/>
              </w:rPr>
              <w:t>数量</w:t>
            </w:r>
          </w:p>
        </w:tc>
        <w:tc>
          <w:tcPr>
            <w:tcW w:w="1801" w:type="dxa"/>
            <w:vAlign w:val="center"/>
          </w:tcPr>
          <w:p>
            <w:pPr>
              <w:pStyle w:val="3"/>
              <w:jc w:val="center"/>
              <w:rPr>
                <w:rFonts w:hint="eastAsia" w:hAnsi="宋体"/>
                <w:b/>
                <w:kern w:val="0"/>
              </w:rPr>
            </w:pPr>
            <w:r>
              <w:rPr>
                <w:rFonts w:hint="eastAsia" w:hAnsi="宋体"/>
                <w:b/>
                <w:kern w:val="0"/>
              </w:rPr>
              <w:t>单位</w:t>
            </w:r>
          </w:p>
        </w:tc>
        <w:tc>
          <w:tcPr>
            <w:tcW w:w="1875" w:type="dxa"/>
            <w:vAlign w:val="center"/>
          </w:tcPr>
          <w:p>
            <w:pPr>
              <w:pStyle w:val="3"/>
              <w:jc w:val="center"/>
              <w:rPr>
                <w:rFonts w:hint="eastAsia" w:hAnsi="宋体"/>
                <w:b/>
                <w:kern w:val="0"/>
              </w:rPr>
            </w:pPr>
            <w:r>
              <w:rPr>
                <w:rFonts w:hint="eastAsia" w:hAnsi="宋体"/>
                <w:b/>
                <w:kern w:val="0"/>
              </w:rPr>
              <w:t>预算单价（元）</w:t>
            </w:r>
          </w:p>
        </w:tc>
        <w:tc>
          <w:tcPr>
            <w:tcW w:w="1803" w:type="dxa"/>
            <w:vAlign w:val="center"/>
          </w:tcPr>
          <w:p>
            <w:pPr>
              <w:pStyle w:val="3"/>
              <w:jc w:val="center"/>
              <w:rPr>
                <w:rFonts w:hint="eastAsia" w:hAnsi="宋体"/>
                <w:b/>
                <w:kern w:val="0"/>
              </w:rPr>
            </w:pPr>
            <w:r>
              <w:rPr>
                <w:rFonts w:hint="eastAsia" w:hAnsi="宋体"/>
                <w:b/>
                <w:kern w:val="0"/>
                <w:lang w:val="en-US" w:eastAsia="zh-CN"/>
              </w:rPr>
              <w:t>最高</w:t>
            </w:r>
            <w:r>
              <w:rPr>
                <w:rFonts w:hint="eastAsia" w:hAnsi="宋体"/>
                <w:b/>
                <w:kern w:val="0"/>
              </w:rPr>
              <w:t>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3"/>
              <w:jc w:val="center"/>
              <w:rPr>
                <w:rFonts w:hint="eastAsia" w:hAnsi="宋体"/>
                <w:b/>
                <w:kern w:val="0"/>
              </w:rPr>
            </w:pPr>
            <w:r>
              <w:rPr>
                <w:rFonts w:hint="eastAsia" w:hAnsi="宋体"/>
                <w:b/>
                <w:kern w:val="0"/>
              </w:rPr>
              <w:t>1</w:t>
            </w:r>
          </w:p>
        </w:tc>
        <w:tc>
          <w:tcPr>
            <w:tcW w:w="2645" w:type="dxa"/>
            <w:vAlign w:val="center"/>
          </w:tcPr>
          <w:p>
            <w:pPr>
              <w:pStyle w:val="3"/>
              <w:jc w:val="center"/>
              <w:rPr>
                <w:rFonts w:hint="eastAsia" w:hAnsi="宋体"/>
                <w:b/>
                <w:kern w:val="0"/>
              </w:rPr>
            </w:pPr>
            <w:r>
              <w:rPr>
                <w:rFonts w:hint="eastAsia" w:ascii="宋体" w:hAnsi="宋体" w:eastAsia="宋体"/>
                <w:kern w:val="0"/>
                <w:szCs w:val="21"/>
              </w:rPr>
              <w:t>姿势控制训练系统</w:t>
            </w:r>
          </w:p>
        </w:tc>
        <w:tc>
          <w:tcPr>
            <w:tcW w:w="878" w:type="dxa"/>
            <w:vAlign w:val="center"/>
          </w:tcPr>
          <w:p>
            <w:pPr>
              <w:pStyle w:val="3"/>
              <w:jc w:val="center"/>
              <w:rPr>
                <w:rFonts w:hint="eastAsia" w:hAnsi="宋体"/>
                <w:kern w:val="0"/>
              </w:rPr>
            </w:pPr>
            <w:r>
              <w:rPr>
                <w:rFonts w:hint="eastAsia" w:hAnsi="宋体"/>
                <w:kern w:val="0"/>
              </w:rPr>
              <w:t>1</w:t>
            </w:r>
          </w:p>
        </w:tc>
        <w:tc>
          <w:tcPr>
            <w:tcW w:w="1801" w:type="dxa"/>
            <w:vAlign w:val="center"/>
          </w:tcPr>
          <w:p>
            <w:pPr>
              <w:pStyle w:val="3"/>
              <w:jc w:val="center"/>
              <w:rPr>
                <w:rFonts w:hint="eastAsia" w:hAnsi="宋体" w:eastAsia="宋体"/>
                <w:kern w:val="0"/>
                <w:lang w:eastAsia="zh-CN"/>
              </w:rPr>
            </w:pPr>
            <w:r>
              <w:rPr>
                <w:rFonts w:hint="eastAsia" w:hAnsi="宋体"/>
                <w:kern w:val="0"/>
                <w:lang w:val="en-US" w:eastAsia="zh-CN"/>
              </w:rPr>
              <w:t>套</w:t>
            </w:r>
          </w:p>
        </w:tc>
        <w:tc>
          <w:tcPr>
            <w:tcW w:w="1875" w:type="dxa"/>
            <w:vAlign w:val="center"/>
          </w:tcPr>
          <w:p>
            <w:pPr>
              <w:pStyle w:val="3"/>
              <w:jc w:val="center"/>
              <w:rPr>
                <w:rFonts w:hint="default" w:hAnsi="宋体" w:eastAsia="宋体"/>
                <w:kern w:val="0"/>
                <w:lang w:val="en-US" w:eastAsia="zh-CN"/>
              </w:rPr>
            </w:pPr>
            <w:r>
              <w:rPr>
                <w:rFonts w:hint="eastAsia" w:hAnsi="宋体"/>
                <w:kern w:val="0"/>
                <w:lang w:val="en-US" w:eastAsia="zh-CN"/>
              </w:rPr>
              <w:t>150000</w:t>
            </w:r>
          </w:p>
        </w:tc>
        <w:tc>
          <w:tcPr>
            <w:tcW w:w="1803" w:type="dxa"/>
            <w:vAlign w:val="center"/>
          </w:tcPr>
          <w:p>
            <w:pPr>
              <w:pStyle w:val="3"/>
              <w:jc w:val="center"/>
              <w:rPr>
                <w:rFonts w:hint="default" w:hAnsi="宋体" w:eastAsia="宋体"/>
                <w:kern w:val="0"/>
                <w:lang w:val="en-US" w:eastAsia="zh-CN"/>
              </w:rPr>
            </w:pPr>
            <w:r>
              <w:rPr>
                <w:rFonts w:hint="eastAsia" w:hAnsi="宋体"/>
                <w:kern w:val="0"/>
                <w:lang w:val="en-US" w:eastAsia="zh-CN"/>
              </w:rPr>
              <w:t>140000</w:t>
            </w:r>
          </w:p>
        </w:tc>
      </w:tr>
    </w:tbl>
    <w:p>
      <w:pPr>
        <w:pStyle w:val="3"/>
        <w:ind w:firstLine="420" w:firstLineChars="200"/>
        <w:rPr>
          <w:rFonts w:hint="eastAsia" w:hAnsi="宋体"/>
          <w:bCs/>
          <w:kern w:val="0"/>
        </w:rPr>
      </w:pPr>
    </w:p>
    <w:p>
      <w:pPr>
        <w:pStyle w:val="3"/>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32" w:tblpY="626"/>
        <w:tblOverlap w:val="never"/>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jc w:val="left"/>
              <w:rPr>
                <w:rFonts w:hint="eastAsia" w:ascii="宋体" w:hAnsi="宋体" w:eastAsia="宋体" w:cs="宋体"/>
                <w:b/>
                <w:bCs/>
                <w:color w:val="000000"/>
                <w:sz w:val="21"/>
                <w:szCs w:val="21"/>
              </w:rPr>
            </w:pPr>
            <w:bookmarkStart w:id="5" w:name="_Toc128884461"/>
            <w:r>
              <w:rPr>
                <w:rFonts w:hint="eastAsia" w:ascii="宋体" w:hAnsi="宋体" w:eastAsia="宋体" w:cs="宋体"/>
                <w:b/>
                <w:bCs/>
                <w:color w:val="000000"/>
                <w:sz w:val="21"/>
                <w:szCs w:val="21"/>
              </w:rPr>
              <w:t>招标技术要求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240" w:lineRule="auto"/>
              <w:jc w:val="left"/>
              <w:textAlignment w:val="auto"/>
              <w:rPr>
                <w:rFonts w:hint="eastAsia" w:ascii="宋体" w:hAnsi="宋体" w:eastAsia="宋体" w:cs="宋体"/>
                <w:b/>
                <w:bCs/>
                <w:color w:val="000000"/>
                <w:sz w:val="21"/>
                <w:szCs w:val="21"/>
              </w:rPr>
            </w:pPr>
            <w:r>
              <w:rPr>
                <w:rFonts w:hint="eastAsia" w:ascii="宋体" w:hAnsi="宋体"/>
                <w:sz w:val="24"/>
                <w:szCs w:val="24"/>
              </w:rPr>
              <w:t>▲1、</w:t>
            </w:r>
            <w:r>
              <w:rPr>
                <w:rFonts w:hint="eastAsia" w:ascii="宋体" w:hAnsi="宋体"/>
                <w:sz w:val="24"/>
                <w:szCs w:val="24"/>
                <w:lang w:val="en-US" w:eastAsia="zh-CN"/>
              </w:rPr>
              <w:t>具备</w:t>
            </w:r>
            <w:r>
              <w:rPr>
                <w:rFonts w:hint="eastAsia" w:ascii="宋体" w:hAnsi="宋体"/>
                <w:sz w:val="24"/>
                <w:szCs w:val="24"/>
              </w:rPr>
              <w:t>四点跪位、膝跪位、站立位、坐位、单脚、双脚、静态、动态平衡评估与训练功能</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rPr>
                <w:rFonts w:hint="default" w:eastAsia="宋体"/>
                <w:lang w:val="en-US" w:eastAsia="zh-CN"/>
              </w:rPr>
            </w:pPr>
            <w:r>
              <w:rPr>
                <w:rFonts w:hint="eastAsia" w:ascii="宋体" w:hAnsi="宋体"/>
                <w:sz w:val="24"/>
                <w:szCs w:val="24"/>
              </w:rPr>
              <w:t>▲2、</w:t>
            </w:r>
            <w:r>
              <w:rPr>
                <w:rFonts w:hint="eastAsia"/>
                <w:lang w:val="en-US" w:eastAsia="zh-CN"/>
              </w:rPr>
              <w:t>具有</w:t>
            </w:r>
            <w:r>
              <w:rPr>
                <w:rFonts w:hint="eastAsia" w:ascii="宋体" w:hAnsi="宋体"/>
                <w:sz w:val="24"/>
                <w:szCs w:val="24"/>
              </w:rPr>
              <w:t>自动分析判断患者平衡能力</w:t>
            </w:r>
            <w:r>
              <w:rPr>
                <w:rFonts w:hint="eastAsia" w:ascii="宋体" w:hAnsi="宋体"/>
                <w:sz w:val="24"/>
                <w:szCs w:val="24"/>
                <w:lang w:val="en-US" w:eastAsia="zh-CN"/>
              </w:rPr>
              <w:t>等级（包括但不限于</w:t>
            </w:r>
            <w:r>
              <w:rPr>
                <w:rFonts w:hint="eastAsia" w:ascii="宋体" w:hAnsi="宋体"/>
                <w:sz w:val="24"/>
                <w:szCs w:val="24"/>
              </w:rPr>
              <w:t>优秀、良好、正常、较差、差五个等级</w:t>
            </w:r>
            <w:r>
              <w:rPr>
                <w:rFonts w:hint="eastAsia" w:ascii="宋体" w:hAnsi="宋体"/>
                <w:sz w:val="24"/>
                <w:szCs w:val="24"/>
                <w:lang w:eastAsia="zh-CN"/>
              </w:rPr>
              <w:t>）</w:t>
            </w:r>
            <w:r>
              <w:rPr>
                <w:rFonts w:hint="eastAsia" w:ascii="宋体" w:hAnsi="宋体"/>
                <w:sz w:val="24"/>
                <w:szCs w:val="24"/>
                <w:lang w:val="en-US" w:eastAsia="zh-CN"/>
              </w:rPr>
              <w:t>功能</w:t>
            </w:r>
          </w:p>
          <w:p>
            <w:pPr>
              <w:keepNext w:val="0"/>
              <w:keepLines w:val="0"/>
              <w:widowControl/>
              <w:suppressLineNumbers w:val="0"/>
              <w:spacing w:line="240" w:lineRule="auto"/>
              <w:jc w:val="left"/>
              <w:textAlignment w:val="auto"/>
              <w:rPr>
                <w:rFonts w:hint="eastAsia" w:ascii="宋体" w:hAnsi="宋体" w:eastAsia="宋体" w:cs="宋体"/>
                <w:b/>
                <w:bCs/>
                <w:color w:val="000000"/>
                <w:sz w:val="21"/>
                <w:szCs w:val="21"/>
              </w:rPr>
            </w:pP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val="en-US" w:eastAsia="zh-CN"/>
              </w:rPr>
            </w:pPr>
            <w:r>
              <w:rPr>
                <w:rFonts w:hint="eastAsia" w:ascii="宋体" w:hAnsi="宋体"/>
                <w:sz w:val="24"/>
                <w:szCs w:val="24"/>
              </w:rPr>
              <w:t>3、</w:t>
            </w:r>
            <w:r>
              <w:rPr>
                <w:rFonts w:hint="eastAsia" w:ascii="宋体" w:hAnsi="宋体"/>
                <w:sz w:val="24"/>
                <w:szCs w:val="24"/>
                <w:lang w:val="en-US" w:eastAsia="zh-CN"/>
              </w:rPr>
              <w:t>具有</w:t>
            </w:r>
            <w:r>
              <w:rPr>
                <w:rFonts w:hint="eastAsia" w:ascii="宋体" w:hAnsi="宋体"/>
                <w:sz w:val="24"/>
                <w:szCs w:val="24"/>
              </w:rPr>
              <w:t>综合分析患者平衡极限稳定性，预测跌倒趋势</w:t>
            </w:r>
            <w:r>
              <w:rPr>
                <w:rFonts w:hint="eastAsia"/>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rPr>
                <w:rFonts w:hint="eastAsia" w:ascii="宋体" w:hAnsi="宋体" w:eastAsia="宋体" w:cs="宋体"/>
                <w:b/>
                <w:bCs/>
                <w:color w:val="000000"/>
                <w:sz w:val="21"/>
                <w:szCs w:val="21"/>
              </w:rPr>
            </w:pPr>
            <w:r>
              <w:rPr>
                <w:rFonts w:hint="eastAsia" w:ascii="宋体" w:hAnsi="宋体"/>
                <w:sz w:val="24"/>
                <w:szCs w:val="24"/>
              </w:rPr>
              <w:t>▲4、配备无线传感器，提供代偿提醒功能，</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rPr>
                <w:rFonts w:hint="eastAsia" w:ascii="宋体" w:hAnsi="宋体" w:eastAsia="宋体" w:cs="宋体"/>
                <w:b/>
                <w:bCs/>
                <w:color w:val="000000"/>
                <w:sz w:val="21"/>
                <w:szCs w:val="21"/>
              </w:rPr>
            </w:pPr>
            <w:r>
              <w:rPr>
                <w:rFonts w:hint="eastAsia" w:ascii="宋体" w:hAnsi="宋体"/>
                <w:sz w:val="24"/>
                <w:szCs w:val="24"/>
              </w:rPr>
              <w:t>▲5、具备双数据库功能：本地数据库与云端数据库，可双向交互信息；不联网时，本地数据库储存患者信息；联网后，自动上传患者信息至云端数据库，也可从云端数据库下载患者信息至本地数据库</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6、具备云端数据库共享功能：同一云端账号里的所有数据信息可实现共享，可在任意一台设备查看及下载</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7、平衡评估提供静态平衡能力评估、动态平衡能力评估、平衡三联检查等评估功能</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 xml:space="preserve">8、提供虚拟情景训练游戏，包括飞行运动控制训练，虚拟大鱼吃小鱼控制训练等 </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9、平衡三联检查提供睁眼、闭眼、睁眼加垫子、闭眼加垫子、5秒、10秒、30秒、60秒等评估方式，</w:t>
            </w:r>
            <w:r>
              <w:rPr>
                <w:rFonts w:hint="eastAsia" w:ascii="宋体" w:hAnsi="宋体"/>
                <w:sz w:val="24"/>
                <w:szCs w:val="24"/>
                <w:lang w:val="en-US" w:eastAsia="zh-CN"/>
              </w:rPr>
              <w:t>支持</w:t>
            </w:r>
            <w:r>
              <w:rPr>
                <w:rFonts w:hint="eastAsia" w:ascii="宋体" w:hAnsi="宋体"/>
                <w:sz w:val="24"/>
                <w:szCs w:val="24"/>
              </w:rPr>
              <w:t>分析平衡能力与本体感觉、视觉、前庭感觉之间的关系及其依赖程度</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10、评估报告具备平衡参数，</w:t>
            </w:r>
            <w:r>
              <w:rPr>
                <w:rFonts w:hint="eastAsia" w:ascii="宋体" w:hAnsi="宋体"/>
                <w:sz w:val="24"/>
                <w:szCs w:val="24"/>
                <w:lang w:val="en-US" w:eastAsia="zh-CN"/>
              </w:rPr>
              <w:t>包括但不限于</w:t>
            </w:r>
            <w:r>
              <w:rPr>
                <w:rFonts w:hint="eastAsia" w:ascii="宋体" w:hAnsi="宋体"/>
                <w:sz w:val="24"/>
                <w:szCs w:val="24"/>
              </w:rPr>
              <w:t>重心轨迹、重心移动速度、重心轨迹面积、重心轨迹长度、XY轴轨迹分布、身体压力分布、频谱分析等10余种参数</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11、评估报告支持图像、数值、表格三种显示方式</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12、评估数据支持本地储存，彩色打印，图片导出</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13、训练组合方案，可自由设置多个训练形成一个组合方案</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14、可与传统器械巴氏球结合训练</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rPr>
            </w:pPr>
            <w:r>
              <w:rPr>
                <w:rFonts w:hint="eastAsia" w:ascii="宋体" w:hAnsi="宋体"/>
                <w:sz w:val="24"/>
                <w:szCs w:val="24"/>
              </w:rPr>
              <w:t>15、传感器可监测前后向运动、左右向运动、旋转向运动</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16、防代偿功能</w:t>
            </w:r>
            <w:r>
              <w:rPr>
                <w:rFonts w:hint="eastAsia" w:ascii="宋体" w:hAnsi="宋体"/>
                <w:sz w:val="24"/>
                <w:szCs w:val="24"/>
                <w:lang w:val="en-US" w:eastAsia="zh-CN"/>
              </w:rPr>
              <w:t>可</w:t>
            </w:r>
            <w:r>
              <w:rPr>
                <w:rFonts w:hint="eastAsia" w:ascii="宋体" w:hAnsi="宋体"/>
                <w:sz w:val="24"/>
                <w:szCs w:val="24"/>
              </w:rPr>
              <w:t>通过声音、画面3D人物</w:t>
            </w:r>
            <w:r>
              <w:rPr>
                <w:rFonts w:hint="eastAsia" w:ascii="宋体" w:hAnsi="宋体"/>
                <w:sz w:val="24"/>
                <w:szCs w:val="24"/>
                <w:lang w:val="en-US" w:eastAsia="zh-CN"/>
              </w:rPr>
              <w:t>进行</w:t>
            </w:r>
            <w:r>
              <w:rPr>
                <w:rFonts w:hint="eastAsia" w:ascii="宋体" w:hAnsi="宋体"/>
                <w:sz w:val="24"/>
                <w:szCs w:val="24"/>
              </w:rPr>
              <w:t>弹窗提醒</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rPr>
            </w:pPr>
            <w:r>
              <w:rPr>
                <w:rFonts w:hint="eastAsia" w:ascii="宋体" w:hAnsi="宋体"/>
                <w:sz w:val="24"/>
                <w:szCs w:val="24"/>
              </w:rPr>
              <w:t>17、</w:t>
            </w:r>
            <w:r>
              <w:rPr>
                <w:rFonts w:hint="eastAsia"/>
                <w:lang w:val="en-US" w:eastAsia="zh-CN"/>
              </w:rPr>
              <w:t>具有安全保护站立架，配备倾斜扶手。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keepNext w:val="0"/>
              <w:keepLines w:val="0"/>
              <w:widowControl/>
              <w:suppressLineNumbers w:val="0"/>
              <w:spacing w:line="360" w:lineRule="auto"/>
              <w:jc w:val="left"/>
              <w:textAlignment w:val="center"/>
              <w:rPr>
                <w:rFonts w:hint="eastAsia" w:ascii="宋体" w:hAnsi="宋体" w:eastAsia="宋体" w:cs="宋体"/>
                <w:b/>
                <w:bCs/>
                <w:color w:val="000000"/>
                <w:sz w:val="21"/>
                <w:szCs w:val="21"/>
                <w:lang w:eastAsia="zh-CN"/>
              </w:rPr>
            </w:pPr>
            <w:r>
              <w:rPr>
                <w:rFonts w:hint="eastAsia" w:ascii="宋体" w:hAnsi="宋体"/>
                <w:sz w:val="24"/>
                <w:szCs w:val="24"/>
              </w:rPr>
              <w:t>18、配备屏幕，支持扩展至任意尺寸的投影、电视机</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45"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9091" w:type="dxa"/>
              <w:tblInd w:w="96" w:type="dxa"/>
              <w:tblLayout w:type="fixed"/>
              <w:tblCellMar>
                <w:top w:w="0" w:type="dxa"/>
                <w:left w:w="108" w:type="dxa"/>
                <w:bottom w:w="0" w:type="dxa"/>
                <w:right w:w="108" w:type="dxa"/>
              </w:tblCellMar>
            </w:tblPr>
            <w:tblGrid>
              <w:gridCol w:w="868"/>
              <w:gridCol w:w="3048"/>
              <w:gridCol w:w="945"/>
              <w:gridCol w:w="1650"/>
              <w:gridCol w:w="2580"/>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序号</w:t>
                  </w:r>
                </w:p>
              </w:tc>
              <w:tc>
                <w:tcPr>
                  <w:tcW w:w="304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left"/>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货物名称</w:t>
                  </w:r>
                </w:p>
              </w:tc>
              <w:tc>
                <w:tcPr>
                  <w:tcW w:w="94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pacing w:val="2"/>
                      <w:sz w:val="21"/>
                      <w:szCs w:val="21"/>
                    </w:rPr>
                  </w:pPr>
                  <w:r>
                    <w:rPr>
                      <w:rFonts w:hint="eastAsia" w:ascii="宋体" w:hAnsi="宋体" w:eastAsia="宋体" w:cs="宋体"/>
                      <w:b/>
                      <w:bCs/>
                      <w:i w:val="0"/>
                      <w:iCs w:val="0"/>
                      <w:color w:val="000000"/>
                      <w:kern w:val="0"/>
                      <w:sz w:val="24"/>
                      <w:szCs w:val="24"/>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sz w:val="21"/>
                      <w:szCs w:val="21"/>
                    </w:rPr>
                  </w:pPr>
                  <w:r>
                    <w:rPr>
                      <w:rFonts w:hint="eastAsia" w:ascii="宋体" w:hAnsi="宋体" w:eastAsia="宋体" w:cs="宋体"/>
                      <w:b/>
                      <w:bCs/>
                      <w:i w:val="0"/>
                      <w:iCs w:val="0"/>
                      <w:color w:val="000000"/>
                      <w:kern w:val="0"/>
                      <w:sz w:val="24"/>
                      <w:szCs w:val="24"/>
                      <w:u w:val="none"/>
                      <w:lang w:val="en-US" w:eastAsia="zh-CN" w:bidi="ar"/>
                    </w:rPr>
                    <w:t>单位</w:t>
                  </w:r>
                </w:p>
              </w:tc>
              <w:tc>
                <w:tcPr>
                  <w:tcW w:w="258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keepNext w:val="0"/>
                    <w:keepLines w:val="0"/>
                    <w:widowControl/>
                    <w:suppressLineNumbers w:val="0"/>
                    <w:jc w:val="center"/>
                    <w:textAlignment w:val="center"/>
                    <w:rPr>
                      <w:rFonts w:hint="eastAsia" w:ascii="宋体" w:hAnsi="宋体" w:eastAsia="宋体" w:cs="宋体"/>
                      <w:b/>
                      <w:color w:val="auto"/>
                      <w:kern w:val="0"/>
                      <w:sz w:val="21"/>
                      <w:szCs w:val="21"/>
                    </w:rPr>
                  </w:pPr>
                  <w:r>
                    <w:rPr>
                      <w:rFonts w:hint="eastAsia" w:ascii="宋体" w:hAnsi="宋体" w:eastAsia="宋体" w:cs="宋体"/>
                      <w:b/>
                      <w:bCs/>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000000"/>
                      <w:kern w:val="0"/>
                      <w:sz w:val="24"/>
                      <w:szCs w:val="24"/>
                      <w:u w:val="none"/>
                      <w:lang w:val="en-US" w:eastAsia="zh-CN" w:bidi="ar"/>
                    </w:rPr>
                    <w:t>分体式平衡板</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4"/>
                      <w:szCs w:val="24"/>
                      <w:u w:val="none"/>
                      <w:lang w:val="en-US" w:eastAsia="zh-CN" w:bidi="ar"/>
                    </w:rPr>
                    <w:t>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2</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坐位平衡板</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3</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无线姿态传感器</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个</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4</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软件</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5</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电脑主机</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台</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color w:val="auto"/>
                      <w:sz w:val="21"/>
                      <w:szCs w:val="21"/>
                    </w:rPr>
                  </w:pPr>
                  <w:r>
                    <w:rPr>
                      <w:rFonts w:ascii="宋体" w:hAnsi="宋体" w:eastAsia="宋体" w:cs="宋体"/>
                      <w:sz w:val="24"/>
                      <w:szCs w:val="24"/>
                    </w:rPr>
                    <w:t>内存</w:t>
                  </w:r>
                  <w:r>
                    <w:rPr>
                      <w:rFonts w:hint="eastAsia" w:ascii="宋体" w:hAnsi="宋体" w:eastAsia="宋体" w:cs="宋体"/>
                      <w:sz w:val="24"/>
                      <w:szCs w:val="24"/>
                      <w:lang w:val="en-US" w:eastAsia="zh-CN"/>
                    </w:rPr>
                    <w:t>≥</w:t>
                  </w:r>
                  <w:r>
                    <w:rPr>
                      <w:rFonts w:ascii="宋体" w:hAnsi="宋体" w:eastAsia="宋体" w:cs="宋体"/>
                      <w:sz w:val="24"/>
                      <w:szCs w:val="24"/>
                    </w:rPr>
                    <w:t>8GB；硬盘</w:t>
                  </w:r>
                  <w:r>
                    <w:rPr>
                      <w:rFonts w:hint="eastAsia" w:ascii="宋体" w:hAnsi="宋体" w:eastAsia="宋体" w:cs="宋体"/>
                      <w:sz w:val="24"/>
                      <w:szCs w:val="24"/>
                      <w:lang w:val="en-US" w:eastAsia="zh-CN"/>
                    </w:rPr>
                    <w:t>≥</w:t>
                  </w:r>
                  <w:r>
                    <w:rPr>
                      <w:rFonts w:ascii="宋体" w:hAnsi="宋体" w:eastAsia="宋体" w:cs="宋体"/>
                      <w:sz w:val="24"/>
                      <w:szCs w:val="24"/>
                    </w:rPr>
                    <w:t>256GB ；</w:t>
                  </w:r>
                  <w:r>
                    <w:rPr>
                      <w:rFonts w:ascii="宋体" w:hAnsi="宋体" w:eastAsia="宋体" w:cs="宋体"/>
                      <w:sz w:val="24"/>
                      <w:szCs w:val="24"/>
                    </w:rPr>
                    <w:br w:type="textWrapping"/>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6</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电视机</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台</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r>
                    <w:rPr>
                      <w:rFonts w:ascii="宋体" w:hAnsi="宋体" w:eastAsia="宋体" w:cs="宋体"/>
                      <w:sz w:val="24"/>
                      <w:szCs w:val="24"/>
                    </w:rPr>
                    <w:t>高清屏幕</w:t>
                  </w:r>
                  <w:r>
                    <w:rPr>
                      <w:rFonts w:hint="eastAsia"/>
                      <w:lang w:val="en-US" w:eastAsia="zh-CN"/>
                    </w:rPr>
                    <w:t>≥</w:t>
                  </w:r>
                  <w:r>
                    <w:rPr>
                      <w:rFonts w:ascii="宋体" w:hAnsi="宋体" w:eastAsia="宋体" w:cs="宋体"/>
                      <w:sz w:val="24"/>
                      <w:szCs w:val="24"/>
                    </w:rPr>
                    <w:t>43寸，分辨率</w:t>
                  </w:r>
                  <w:r>
                    <w:rPr>
                      <w:rFonts w:hint="eastAsia" w:ascii="宋体" w:hAnsi="宋体" w:eastAsia="宋体" w:cs="宋体"/>
                      <w:sz w:val="24"/>
                      <w:szCs w:val="24"/>
                      <w:lang w:val="en-US" w:eastAsia="zh-CN"/>
                    </w:rPr>
                    <w:t>≥</w:t>
                  </w:r>
                  <w:r>
                    <w:rPr>
                      <w:rFonts w:ascii="宋体" w:hAnsi="宋体" w:eastAsia="宋体" w:cs="宋体"/>
                      <w:sz w:val="24"/>
                      <w:szCs w:val="24"/>
                    </w:rPr>
                    <w:t>1920*1080</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7</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移动工作站</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台</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8</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站立架</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9</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彩色激光图文影印设备</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含四色硒鼓共12个</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4"/>
                      <w:szCs w:val="24"/>
                      <w:u w:val="none"/>
                      <w:lang w:val="en-US" w:eastAsia="zh-CN" w:bidi="ar"/>
                    </w:rPr>
                    <w:t>10</w:t>
                  </w:r>
                </w:p>
              </w:tc>
              <w:tc>
                <w:tcPr>
                  <w:tcW w:w="30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键盘鼠标</w:t>
                  </w:r>
                </w:p>
              </w:tc>
              <w:tc>
                <w:tcPr>
                  <w:tcW w:w="9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4"/>
                      <w:szCs w:val="24"/>
                      <w:u w:val="none"/>
                      <w:lang w:val="en-US" w:eastAsia="zh-CN" w:bidi="ar"/>
                    </w:rPr>
                    <w:t>套</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2"/>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7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27"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24"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27"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2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2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2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27"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2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szCs w:val="21"/>
                <w:highlight w:val="none"/>
              </w:rPr>
              <w:t>维修零配件、消耗品和延续保修合同的报价</w:t>
            </w:r>
          </w:p>
        </w:tc>
        <w:tc>
          <w:tcPr>
            <w:tcW w:w="7427"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27"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27"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szCs w:val="21"/>
                <w:highlight w:val="none"/>
              </w:rPr>
              <w:t>违约责任</w:t>
            </w:r>
          </w:p>
        </w:tc>
        <w:tc>
          <w:tcPr>
            <w:tcW w:w="742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742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szCs w:val="21"/>
                <w:highlight w:val="none"/>
              </w:rPr>
              <w:t>交货</w:t>
            </w:r>
            <w:r>
              <w:rPr>
                <w:rFonts w:hint="eastAsia"/>
                <w:szCs w:val="21"/>
                <w:highlight w:val="none"/>
                <w:lang w:val="en-US" w:eastAsia="zh-CN"/>
              </w:rPr>
              <w:t>及付款要求</w:t>
            </w:r>
          </w:p>
        </w:tc>
        <w:tc>
          <w:tcPr>
            <w:tcW w:w="7427" w:type="dxa"/>
            <w:noWrap w:val="0"/>
            <w:vAlign w:val="center"/>
          </w:tcPr>
          <w:p>
            <w:pPr>
              <w:pStyle w:val="9"/>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b/>
                <w:bCs w:val="0"/>
                <w:sz w:val="20"/>
                <w:szCs w:val="20"/>
              </w:rPr>
            </w:pPr>
          </w:p>
        </w:tc>
        <w:tc>
          <w:tcPr>
            <w:tcW w:w="7427" w:type="dxa"/>
            <w:noWrap w:val="0"/>
            <w:vAlign w:val="center"/>
          </w:tcPr>
          <w:p>
            <w:pPr>
              <w:pStyle w:val="9"/>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7427" w:type="dxa"/>
            <w:noWrap w:val="0"/>
            <w:vAlign w:val="center"/>
          </w:tcPr>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9"/>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szCs w:val="21"/>
                <w:highlight w:val="none"/>
              </w:rPr>
            </w:pPr>
            <w:r>
              <w:rPr>
                <w:rFonts w:hint="eastAsia"/>
                <w:szCs w:val="21"/>
                <w:highlight w:val="none"/>
              </w:rPr>
              <w:t>验收条件</w:t>
            </w:r>
          </w:p>
        </w:tc>
        <w:tc>
          <w:tcPr>
            <w:tcW w:w="7427" w:type="dxa"/>
            <w:noWrap w:val="0"/>
            <w:vAlign w:val="center"/>
          </w:tcPr>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9"/>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争议解决方法</w:t>
            </w:r>
          </w:p>
        </w:tc>
        <w:tc>
          <w:tcPr>
            <w:tcW w:w="7427" w:type="dxa"/>
            <w:noWrap w:val="0"/>
            <w:vAlign w:val="center"/>
          </w:tcPr>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cs="宋体"/>
                <w:b/>
                <w:bCs w:val="0"/>
                <w:color w:val="000000"/>
                <w:sz w:val="20"/>
                <w:szCs w:val="20"/>
              </w:rPr>
            </w:pPr>
          </w:p>
        </w:tc>
        <w:tc>
          <w:tcPr>
            <w:tcW w:w="7427" w:type="dxa"/>
            <w:noWrap w:val="0"/>
            <w:vAlign w:val="center"/>
          </w:tcPr>
          <w:p>
            <w:pPr>
              <w:pStyle w:val="9"/>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ascii="宋体" w:hAnsi="宋体"/>
                <w:b w:val="0"/>
                <w:bCs w:val="0"/>
                <w:color w:val="000000"/>
                <w:sz w:val="20"/>
                <w:szCs w:val="20"/>
              </w:rPr>
            </w:pPr>
            <w:r>
              <w:rPr>
                <w:rFonts w:hint="eastAsia"/>
                <w:szCs w:val="21"/>
                <w:highlight w:val="none"/>
              </w:rPr>
              <w:t>运输、安装条件</w:t>
            </w:r>
          </w:p>
        </w:tc>
        <w:tc>
          <w:tcPr>
            <w:tcW w:w="7427"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培训</w:t>
            </w:r>
          </w:p>
        </w:tc>
        <w:tc>
          <w:tcPr>
            <w:tcW w:w="742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42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知识产权</w:t>
            </w:r>
          </w:p>
        </w:tc>
        <w:tc>
          <w:tcPr>
            <w:tcW w:w="742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szCs w:val="21"/>
                <w:highlight w:val="none"/>
              </w:rPr>
            </w:pPr>
          </w:p>
        </w:tc>
        <w:tc>
          <w:tcPr>
            <w:tcW w:w="742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其他</w:t>
            </w:r>
          </w:p>
        </w:tc>
        <w:tc>
          <w:tcPr>
            <w:tcW w:w="7427"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bl>
    <w:p>
      <w:pPr>
        <w:pStyle w:val="32"/>
      </w:pPr>
    </w:p>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27</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27</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Fonts w:hint="eastAsia"/>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3"/>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2"/>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2"/>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3"/>
        <w:spacing w:line="360" w:lineRule="auto"/>
        <w:ind w:left="-955" w:leftChars="-455" w:right="-1044" w:rightChars="-497" w:firstLine="422" w:firstLineChars="200"/>
        <w:rPr>
          <w:rFonts w:hint="eastAsia" w:hAnsi="宋体"/>
          <w:b/>
        </w:rPr>
      </w:pPr>
    </w:p>
    <w:p>
      <w:pPr>
        <w:pStyle w:val="3"/>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3"/>
        <w:ind w:left="1060" w:hanging="640"/>
      </w:pPr>
    </w:p>
    <w:p>
      <w:pPr>
        <w:pStyle w:val="3"/>
        <w:ind w:left="1060" w:hanging="640"/>
      </w:pPr>
    </w:p>
    <w:p>
      <w:pPr>
        <w:pStyle w:val="3"/>
        <w:ind w:left="1060" w:hanging="640"/>
      </w:pPr>
    </w:p>
    <w:p>
      <w:pPr>
        <w:pStyle w:val="3"/>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2"/>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0" w:hanging="640"/>
      </w:pPr>
    </w:p>
    <w:p>
      <w:pPr>
        <w:pStyle w:val="3"/>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1344"/>
      </w:pPr>
    </w:p>
    <w:p>
      <w:pPr>
        <w:pStyle w:val="3"/>
        <w:ind w:left="1060" w:hanging="1344"/>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2"/>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567" w:firstLine="283"/>
        <w:jc w:val="left"/>
      </w:pPr>
    </w:p>
    <w:p>
      <w:pPr>
        <w:pStyle w:val="3"/>
        <w:ind w:left="-567" w:firstLine="283"/>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2"/>
        <w:ind w:left="1060" w:hanging="640"/>
      </w:pPr>
    </w:p>
    <w:p>
      <w:pPr>
        <w:pStyle w:val="3"/>
        <w:ind w:left="1060" w:hanging="640"/>
      </w:pPr>
    </w:p>
    <w:p>
      <w:pPr>
        <w:pStyle w:val="3"/>
        <w:ind w:left="1060" w:hanging="640"/>
      </w:pPr>
    </w:p>
    <w:p>
      <w:pPr>
        <w:pStyle w:val="3"/>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2"/>
        <w:ind w:left="1060" w:hanging="640"/>
      </w:pPr>
    </w:p>
    <w:p>
      <w:pPr>
        <w:pStyle w:val="3"/>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2"/>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6"/>
        <w:snapToGrid w:val="0"/>
        <w:ind w:firstLine="0"/>
        <w:contextualSpacing/>
        <w:rPr>
          <w:color w:val="FF0000"/>
        </w:rPr>
      </w:pPr>
      <w:r>
        <w:rPr>
          <w:rFonts w:hint="eastAsia"/>
          <w:color w:val="FF0000"/>
        </w:rPr>
        <w:t>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9"/>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5"/>
        <w:numPr>
          <w:ilvl w:val="0"/>
          <w:numId w:val="0"/>
        </w:numPr>
        <w:ind w:left="1680"/>
      </w:pPr>
    </w:p>
    <w:p>
      <w:pPr>
        <w:pStyle w:val="2"/>
        <w:ind w:left="1060" w:hanging="640"/>
      </w:pPr>
    </w:p>
    <w:p>
      <w:pPr>
        <w:pStyle w:val="3"/>
        <w:ind w:left="1060" w:hanging="640"/>
      </w:pPr>
    </w:p>
    <w:p>
      <w:pPr>
        <w:pStyle w:val="3"/>
        <w:ind w:left="1060" w:hanging="640"/>
      </w:pPr>
    </w:p>
    <w:p>
      <w:pPr>
        <w:pStyle w:val="3"/>
        <w:ind w:left="1060" w:hanging="640"/>
      </w:pPr>
    </w:p>
    <w:p>
      <w:pPr>
        <w:pStyle w:val="3"/>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2"/>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2"/>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2"/>
        <w:ind w:left="840" w:hanging="420"/>
        <w:rPr>
          <w:sz w:val="21"/>
          <w:szCs w:val="21"/>
        </w:rPr>
      </w:pPr>
    </w:p>
    <w:p>
      <w:pPr>
        <w:pStyle w:val="2"/>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2"/>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2"/>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2"/>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2"/>
        <w:ind w:left="900" w:hanging="480"/>
        <w:rPr>
          <w:sz w:val="24"/>
          <w:szCs w:val="24"/>
        </w:rPr>
      </w:pPr>
    </w:p>
    <w:p>
      <w:pPr>
        <w:pStyle w:val="3"/>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2"/>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2"/>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2"/>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3"/>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3"/>
        <w:ind w:left="902" w:hanging="902"/>
        <w:rPr>
          <w:b/>
          <w:bCs/>
          <w:sz w:val="24"/>
          <w:szCs w:val="24"/>
        </w:rPr>
      </w:pPr>
      <w:r>
        <w:rPr>
          <w:rFonts w:hint="eastAsia"/>
          <w:b/>
          <w:bCs/>
          <w:highlight w:val="yellow"/>
        </w:rPr>
        <w:t>示例图片</w:t>
      </w:r>
      <w:r>
        <w:rPr>
          <w:rFonts w:hint="eastAsia"/>
          <w:b/>
          <w:bCs/>
          <w:sz w:val="24"/>
          <w:szCs w:val="24"/>
          <w:highlight w:val="yellow"/>
        </w:rPr>
        <w:t>：</w:t>
      </w:r>
    </w:p>
    <w:p>
      <w:pPr>
        <w:pStyle w:val="3"/>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3"/>
        <w:ind w:left="902" w:hanging="482"/>
        <w:jc w:val="center"/>
        <w:rPr>
          <w:b/>
          <w:bCs/>
          <w:sz w:val="24"/>
          <w:szCs w:val="24"/>
        </w:rPr>
      </w:pPr>
    </w:p>
    <w:p>
      <w:pPr>
        <w:pStyle w:val="3"/>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2"/>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2"/>
        <w:ind w:left="1060" w:hanging="640"/>
      </w:pPr>
    </w:p>
    <w:p>
      <w:pPr>
        <w:widowControl/>
        <w:ind w:left="1"/>
        <w:jc w:val="center"/>
        <w:rPr>
          <w:rFonts w:hint="eastAsia" w:ascii="宋体" w:hAnsi="宋体" w:cs="宋体-18030"/>
          <w:b/>
          <w:bCs/>
          <w:color w:val="000000"/>
          <w:sz w:val="28"/>
          <w:szCs w:val="28"/>
        </w:rPr>
      </w:pPr>
    </w:p>
    <w:p>
      <w:pPr>
        <w:pStyle w:val="2"/>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2"/>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27</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27</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DFF"/>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0D771DB8"/>
    <w:rsid w:val="0E5D3440"/>
    <w:rsid w:val="0E9F41A8"/>
    <w:rsid w:val="102D18C3"/>
    <w:rsid w:val="10F802A5"/>
    <w:rsid w:val="11E00693"/>
    <w:rsid w:val="1659181D"/>
    <w:rsid w:val="1A1E1ABE"/>
    <w:rsid w:val="1B464D3C"/>
    <w:rsid w:val="1BAD17B9"/>
    <w:rsid w:val="233E5033"/>
    <w:rsid w:val="234D4E44"/>
    <w:rsid w:val="24E92C05"/>
    <w:rsid w:val="296E01B8"/>
    <w:rsid w:val="2B6F32B8"/>
    <w:rsid w:val="2F673356"/>
    <w:rsid w:val="2F9D401A"/>
    <w:rsid w:val="315F6D23"/>
    <w:rsid w:val="35026F4B"/>
    <w:rsid w:val="353C06AF"/>
    <w:rsid w:val="3ABB3E24"/>
    <w:rsid w:val="3E450F21"/>
    <w:rsid w:val="3EA552EE"/>
    <w:rsid w:val="4279502A"/>
    <w:rsid w:val="43360F98"/>
    <w:rsid w:val="44C40DAE"/>
    <w:rsid w:val="45567864"/>
    <w:rsid w:val="483E0A4A"/>
    <w:rsid w:val="48F556E3"/>
    <w:rsid w:val="4A885C7C"/>
    <w:rsid w:val="54113C3E"/>
    <w:rsid w:val="56646C69"/>
    <w:rsid w:val="5C8607D7"/>
    <w:rsid w:val="5E045613"/>
    <w:rsid w:val="64BE2131"/>
    <w:rsid w:val="64D072E1"/>
    <w:rsid w:val="652D6499"/>
    <w:rsid w:val="671B1107"/>
    <w:rsid w:val="682240B4"/>
    <w:rsid w:val="6F1913CC"/>
    <w:rsid w:val="76AE21CF"/>
    <w:rsid w:val="7A5255A0"/>
    <w:rsid w:val="7B1B4136"/>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70"/>
    <w:qFormat/>
    <w:uiPriority w:val="0"/>
    <w:rPr>
      <w:rFonts w:ascii="宋体" w:hAnsi="Courier New" w:cs="宋体"/>
      <w:szCs w:val="21"/>
    </w:rPr>
  </w:style>
  <w:style w:type="paragraph" w:styleId="6">
    <w:name w:val="Normal Indent"/>
    <w:basedOn w:val="1"/>
    <w:link w:val="63"/>
    <w:qFormat/>
    <w:uiPriority w:val="0"/>
    <w:pPr>
      <w:ind w:firstLine="420"/>
    </w:pPr>
    <w:rPr>
      <w:szCs w:val="20"/>
    </w:rPr>
  </w:style>
  <w:style w:type="paragraph" w:styleId="7">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
    <w:link w:val="29"/>
    <w:qFormat/>
    <w:uiPriority w:val="99"/>
    <w:pPr>
      <w:spacing w:after="120"/>
    </w:pPr>
  </w:style>
  <w:style w:type="paragraph" w:styleId="10">
    <w:name w:val="Body Text Indent"/>
    <w:basedOn w:val="1"/>
    <w:semiHidden/>
    <w:qFormat/>
    <w:uiPriority w:val="0"/>
    <w:pPr>
      <w:spacing w:line="360" w:lineRule="auto"/>
      <w:ind w:left="720" w:hanging="720" w:hangingChars="300"/>
    </w:pPr>
    <w:rPr>
      <w:sz w:val="24"/>
      <w:szCs w:val="20"/>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9"/>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6"/>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7"/>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3"/>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22435</Words>
  <Characters>23711</Characters>
  <Lines>192</Lines>
  <Paragraphs>54</Paragraphs>
  <TotalTime>5</TotalTime>
  <ScaleCrop>false</ScaleCrop>
  <LinksUpToDate>false</LinksUpToDate>
  <CharactersWithSpaces>26503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2025-06-19T08:09:00Z</cp:lastPrinted>
  <dcterms:modified xsi:type="dcterms:W3CDTF">2025-06-19T08:34:01Z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ies>
</file>