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30</w:t>
      </w:r>
      <w:r>
        <w:rPr>
          <w:rFonts w:hint="eastAsia" w:ascii="宋体" w:hAnsi="宋体"/>
          <w:b/>
          <w:bCs/>
          <w:sz w:val="36"/>
          <w:szCs w:val="36"/>
        </w:rPr>
        <w:t>期</w:t>
      </w:r>
      <w:r>
        <w:rPr>
          <w:rFonts w:hint="eastAsia" w:ascii="宋体" w:hAnsi="宋体" w:eastAsia="宋体"/>
          <w:b/>
          <w:bCs/>
          <w:sz w:val="36"/>
          <w:szCs w:val="36"/>
        </w:rPr>
        <w:t>人体成分分析仪</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30</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人体成分分析仪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2</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台</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9.5</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人体成分分析仪</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r>
              <w:rPr>
                <w:rFonts w:hint="eastAsia" w:hAnsi="宋体"/>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人体成分分析仪</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2</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台</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100000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98000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一、测量方法：生物电阻抗测试法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1、▲生物电阻抗(BIA):</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阻抗(Z)，通过≥3种不同频率(5kHz, 50kHz, 250kHz) 分别在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6个部位(全身、右下肢、左下肢、右上肢、左上肢、双脚间)进行至少18种阻抗测量</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电抗(X) ：通过≥3种不同频率(5kHz, 50kHz, 250kHz)分别在</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6个部位(全身、右下肢、左下肢、右上肢、左上肢、双脚间)进行至少18种电抗测量</w:t>
            </w:r>
          </w:p>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15" w:type="dxa"/>
            <w:noWrap w:val="0"/>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lang w:val="en-US" w:eastAsia="zh-CN"/>
              </w:rPr>
              <w:t>▲</w:t>
            </w:r>
            <w:r>
              <w:rPr>
                <w:rFonts w:hint="eastAsia" w:ascii="宋体" w:hAnsi="宋体" w:eastAsia="宋体" w:cs="宋体"/>
                <w:i w:val="0"/>
                <w:iCs w:val="0"/>
                <w:color w:val="000000"/>
                <w:kern w:val="0"/>
                <w:sz w:val="24"/>
                <w:szCs w:val="24"/>
                <w:u w:val="none"/>
                <w:lang w:val="en-US" w:eastAsia="zh-CN" w:bidi="ar"/>
              </w:rPr>
              <w:t>测量系统：6频8电极。测量频率≥5 kHz /50 kHz /250 kHz 。测量电流≤95μA  综合测试结果，自动生成测试意见和建议，特别适合体检中心。测量部分≥6个部位，左上肢、右上肢、躯干、右下肢、左下肢、全身。阻抗测量范围≥75.0-1500.00Ω(分度值0.1Ω)。体重测量系统：电阻应变式。体重最大称量：≥270kg</w:t>
            </w:r>
          </w:p>
          <w:p>
            <w:pPr>
              <w:pStyle w:val="2"/>
              <w:numPr>
                <w:numId w:val="0"/>
              </w:numPr>
              <w:rPr>
                <w:rFonts w:hint="eastAsia"/>
              </w:rPr>
            </w:pP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3、预置皮重功能。准确度等级：≥Ⅲ级。体重最小刻度(最小显示值):≥0-270 kg</w:t>
            </w:r>
            <w:r>
              <w:rPr>
                <w:rFonts w:hint="default" w:ascii="宋体" w:hAnsi="宋体" w:cs="宋体"/>
                <w:i w:val="0"/>
                <w:iCs w:val="0"/>
                <w:color w:val="000000"/>
                <w:kern w:val="0"/>
                <w:sz w:val="24"/>
                <w:szCs w:val="24"/>
                <w:u w:val="none"/>
                <w:lang w:val="en-US" w:eastAsia="zh-CN" w:bidi="ar"/>
              </w:rPr>
              <w:t>（最小显示值：0.1kg）；</w:t>
            </w:r>
            <w:r>
              <w:rPr>
                <w:rFonts w:hint="eastAsia" w:ascii="宋体" w:hAnsi="宋体" w:eastAsia="宋体" w:cs="宋体"/>
                <w:i w:val="0"/>
                <w:iCs w:val="0"/>
                <w:color w:val="000000"/>
                <w:kern w:val="0"/>
                <w:sz w:val="24"/>
                <w:szCs w:val="24"/>
                <w:u w:val="none"/>
                <w:lang w:val="en-US" w:eastAsia="zh-CN" w:bidi="ar"/>
              </w:rPr>
              <w:t>脂肪率测量范围：≥1.0-75.0%(分度值0.1%)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4、体脂肪率判定标准分年龄段说明。支持肌肉量及脂肪率分析</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5个部位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5、体型分析</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九种体形判定，根据人体内脂肪率和肌肉量可提供九种身体类型评价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6、测量速度：≤15秒钟的时间能完成全部测量，并立即得出各项测量值指标，并根据不同受试者的各项测试指标指数得出个性化的分析评定报告。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7、基础代谢年龄：评估代谢水平的量化指标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lang w:val="en-US" w:eastAsia="zh-CN"/>
              </w:rPr>
              <w:t>8、▲</w:t>
            </w:r>
            <w:r>
              <w:rPr>
                <w:rFonts w:hint="eastAsia" w:ascii="宋体" w:hAnsi="宋体" w:eastAsia="宋体" w:cs="宋体"/>
                <w:i w:val="0"/>
                <w:iCs w:val="0"/>
                <w:color w:val="000000"/>
                <w:kern w:val="0"/>
                <w:sz w:val="24"/>
                <w:szCs w:val="24"/>
                <w:u w:val="none"/>
                <w:lang w:val="en-US" w:eastAsia="zh-CN" w:bidi="ar"/>
              </w:rPr>
              <w:t>细胞营养评价指标：相位角，可提供50kHz的全身相位角，以及至少5个部位的身体节段相位角，进一步了解肌肉质量。可通过相位角绝对值大小来评估肌肉质量</w:t>
            </w:r>
          </w:p>
          <w:p>
            <w:pPr>
              <w:keepNext w:val="0"/>
              <w:keepLines w:val="0"/>
              <w:widowControl/>
              <w:suppressLineNumbers w:val="0"/>
              <w:jc w:val="left"/>
              <w:textAlignment w:val="center"/>
              <w:rPr>
                <w:rFonts w:hint="eastAsia"/>
                <w:lang w:val="en-US" w:eastAsia="zh-CN"/>
              </w:rPr>
            </w:pPr>
            <w:r>
              <w:rPr>
                <w:rFonts w:hint="eastAsia" w:ascii="宋体" w:hAnsi="宋体" w:eastAsia="宋体" w:cs="宋体"/>
                <w:i w:val="0"/>
                <w:iCs w:val="0"/>
                <w:color w:val="000000"/>
                <w:kern w:val="0"/>
                <w:sz w:val="24"/>
                <w:szCs w:val="24"/>
                <w:u w:val="none"/>
                <w:lang w:val="en-US" w:eastAsia="zh-CN" w:bidi="ar"/>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9、四肢骨骼肌质量指数(SMI)、腿部肌肉点数和身体平衡：用于跌倒风险预警和评估“肌少症”的干预效果。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numPr>
                <w:numId w:val="0"/>
              </w:numPr>
              <w:suppressLineNumbers w:val="0"/>
              <w:ind w:leftChars="0"/>
              <w:jc w:val="left"/>
              <w:textAlignment w:val="center"/>
              <w:rPr>
                <w:rFonts w:hint="eastAsia"/>
                <w:lang w:val="en-US" w:eastAsia="zh-CN"/>
              </w:rPr>
            </w:pPr>
            <w:r>
              <w:rPr>
                <w:rFonts w:hint="eastAsia"/>
                <w:lang w:val="en-US" w:eastAsia="zh-CN"/>
              </w:rPr>
              <w:t>10、▲</w:t>
            </w:r>
            <w:r>
              <w:rPr>
                <w:rFonts w:hint="eastAsia" w:ascii="宋体" w:hAnsi="宋体" w:eastAsia="宋体" w:cs="宋体"/>
                <w:kern w:val="2"/>
                <w:sz w:val="24"/>
                <w:szCs w:val="24"/>
                <w:lang w:val="en-US" w:eastAsia="zh-CN" w:bidi="ar-SA"/>
              </w:rPr>
              <w:t>测量模式：≥2种模式，至少包括普通人模式和运动员模式</w:t>
            </w:r>
          </w:p>
          <w:p>
            <w:pPr>
              <w:pStyle w:val="2"/>
              <w:numPr>
                <w:numId w:val="0"/>
              </w:numPr>
              <w:ind w:leftChars="0"/>
              <w:rPr>
                <w:rFonts w:hint="eastAsia"/>
              </w:rPr>
            </w:pP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输出值(成人报告):体重、体脂肪率、脂肪量、除脂肪重、肌肉量、骨量、体水分率、身体成分构成图显示、BMI、细胞外液、细胞内液、细胞外液率、细胞外液率平均值、内脏脂肪等级、基础代谢量、基础代谢年龄、腿部肌肉点数、各部位肌肉综合评价(图表显示)、各部位脂肪综合评价、推定骨量、肌肉平衡分析(图表显示)、体型判定(根据肌肉量与体脂肪率来 的判定体型)、目标体重、体重控制、肌肉控制、脂肪控制、显示直流电阻抗/交流电阻抗信息 (科研基础数据)。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12、输出值(儿童报告):体重、体脂肪率、脂肪量、除脂肪重、肌肉量、体水分率、身体成分 构成图显示、儿童肥胖指数、基础代谢量、各部位肌肉综合评价、各部位脂肪综合评价、健康指数评价：目标体重、体重控制、目标脂肪、脂肪控制、显示直流电阻抗/交流电阻抗信息(科 研基础数据)、肌肉量及骨量分析图、成长曲线图。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numPr>
                <w:ilvl w:val="0"/>
                <w:numId w:val="0"/>
              </w:numPr>
              <w:suppressLineNumbers w:val="0"/>
              <w:ind w:leftChars="0" w:firstLine="0" w:firstLineChars="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4"/>
                <w:szCs w:val="24"/>
                <w:u w:val="none"/>
                <w:lang w:val="en-US" w:eastAsia="zh-CN" w:bidi="ar"/>
              </w:rPr>
              <w:t>13、输出值（孕妇报告）：体重、体脂肪率、脂肪量、除脂肪重、肌肉量、体水分率、身体成分 构成图显示、儿童肥胖指数、基础代谢量、各部位肌肉综合评价、各部位脂肪综合评价、健康 指数评价：目标体重、体重控制、目标脂肪、脂肪控制、显示直流电阻抗/交流电阻抗信息(科 研基础数据)、肌肉量及骨量分析图、成长曲线图。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color w:val="auto"/>
                <w:sz w:val="21"/>
                <w:szCs w:val="21"/>
                <w:highlight w:val="none"/>
              </w:rPr>
            </w:pPr>
            <w:bookmarkStart w:id="5"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bookmarkEnd w:id="5"/>
          </w:p>
          <w:tbl>
            <w:tblPr>
              <w:tblStyle w:val="19"/>
              <w:tblW w:w="8716" w:type="dxa"/>
              <w:tblInd w:w="96" w:type="dxa"/>
              <w:tblLayout w:type="fixed"/>
              <w:tblCellMar>
                <w:top w:w="0" w:type="dxa"/>
                <w:left w:w="108" w:type="dxa"/>
                <w:bottom w:w="0" w:type="dxa"/>
                <w:right w:w="108" w:type="dxa"/>
              </w:tblCellMar>
            </w:tblPr>
            <w:tblGrid>
              <w:gridCol w:w="868"/>
              <w:gridCol w:w="2718"/>
              <w:gridCol w:w="1770"/>
              <w:gridCol w:w="1665"/>
              <w:gridCol w:w="1695"/>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271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77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单位</w:t>
                  </w:r>
                </w:p>
              </w:tc>
              <w:tc>
                <w:tcPr>
                  <w:tcW w:w="166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数量</w:t>
                  </w:r>
                </w:p>
              </w:tc>
              <w:tc>
                <w:tcPr>
                  <w:tcW w:w="169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000000"/>
                      <w:kern w:val="0"/>
                      <w:sz w:val="22"/>
                      <w:szCs w:val="22"/>
                      <w:u w:val="none"/>
                      <w:lang w:val="en-US" w:eastAsia="zh-CN" w:bidi="ar"/>
                    </w:rPr>
                    <w:t>控制台</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2</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立柱</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3</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测量台</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4</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AC电源线</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根</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5</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AC变压器</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6</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通信连接线</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根</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7</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螺丝刀</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把</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8</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2"/>
                      <w:szCs w:val="22"/>
                      <w:u w:val="none"/>
                      <w:lang w:val="en-US" w:eastAsia="zh-CN" w:bidi="ar"/>
                    </w:rPr>
                    <w:t>螺丝</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颗</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9</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狭缝面壳</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10</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操作台面壳</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2"/>
                      <w:szCs w:val="22"/>
                      <w:u w:val="none"/>
                      <w:lang w:val="en-US" w:eastAsia="zh-CN" w:bidi="ar"/>
                    </w:rPr>
                    <w:t>11</w:t>
                  </w:r>
                </w:p>
              </w:tc>
              <w:tc>
                <w:tcPr>
                  <w:tcW w:w="27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default" w:ascii="Arial" w:hAnsi="Arial" w:eastAsia="宋体" w:cs="Arial"/>
                      <w:i w:val="0"/>
                      <w:iCs w:val="0"/>
                      <w:color w:val="000000"/>
                      <w:kern w:val="0"/>
                      <w:sz w:val="21"/>
                      <w:szCs w:val="21"/>
                      <w:u w:val="none"/>
                      <w:lang w:val="en-US" w:eastAsia="zh-CN" w:bidi="ar"/>
                    </w:rPr>
                    <w:t>PC</w:t>
                  </w:r>
                  <w:r>
                    <w:rPr>
                      <w:rFonts w:hint="eastAsia" w:ascii="宋体" w:hAnsi="宋体" w:eastAsia="宋体" w:cs="宋体"/>
                      <w:i w:val="0"/>
                      <w:iCs w:val="0"/>
                      <w:color w:val="000000"/>
                      <w:kern w:val="0"/>
                      <w:sz w:val="21"/>
                      <w:szCs w:val="21"/>
                      <w:u w:val="none"/>
                      <w:lang w:val="en-US" w:eastAsia="zh-CN" w:bidi="ar"/>
                    </w:rPr>
                    <w:t>端标准工作管理软件</w:t>
                  </w:r>
                </w:p>
              </w:tc>
              <w:tc>
                <w:tcPr>
                  <w:tcW w:w="17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套</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2"/>
                      <w:szCs w:val="22"/>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bookmarkStart w:id="6" w:name="_Toc128884461"/>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6"/>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42"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39"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42"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4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6</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4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4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42"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4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eastAsia="宋体"/>
                <w:szCs w:val="21"/>
                <w:highlight w:val="none"/>
              </w:rPr>
              <w:t>维修零配件、消耗品和延续保修合同的报价</w:t>
            </w:r>
          </w:p>
        </w:tc>
        <w:tc>
          <w:tcPr>
            <w:tcW w:w="7442"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42"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42"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eastAsia="宋体"/>
                <w:szCs w:val="21"/>
                <w:highlight w:val="none"/>
              </w:rPr>
              <w:t>违约责任</w:t>
            </w:r>
          </w:p>
        </w:tc>
        <w:tc>
          <w:tcPr>
            <w:tcW w:w="744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744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eastAsia="宋体"/>
                <w:szCs w:val="21"/>
                <w:highlight w:val="none"/>
              </w:rPr>
              <w:t>交货</w:t>
            </w:r>
            <w:r>
              <w:rPr>
                <w:rFonts w:hint="eastAsia" w:eastAsia="宋体"/>
                <w:szCs w:val="21"/>
                <w:highlight w:val="none"/>
                <w:lang w:val="en-US" w:eastAsia="zh-CN"/>
              </w:rPr>
              <w:t>及付款要求</w:t>
            </w:r>
          </w:p>
        </w:tc>
        <w:tc>
          <w:tcPr>
            <w:tcW w:w="7442"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b/>
                <w:bCs w:val="0"/>
                <w:sz w:val="20"/>
                <w:szCs w:val="20"/>
              </w:rPr>
            </w:pPr>
          </w:p>
        </w:tc>
        <w:tc>
          <w:tcPr>
            <w:tcW w:w="7442"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2"/>
                <w:rFonts w:hint="eastAsia" w:ascii="宋体" w:hAnsi="宋体" w:cs="宋体"/>
                <w:b w:val="0"/>
                <w:bCs/>
                <w:color w:val="000000"/>
                <w:sz w:val="20"/>
                <w:szCs w:val="20"/>
              </w:rPr>
            </w:pPr>
            <w:r>
              <w:rPr>
                <w:rFonts w:hint="eastAsia" w:eastAsia="宋体"/>
                <w:szCs w:val="21"/>
                <w:highlight w:val="none"/>
              </w:rPr>
              <w:t>验收条件</w:t>
            </w: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争议解决方法</w:t>
            </w: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eastAsia="宋体"/>
                <w:szCs w:val="21"/>
                <w:highlight w:val="none"/>
              </w:rPr>
            </w:pPr>
            <w:r>
              <w:rPr>
                <w:rFonts w:hint="eastAsia" w:eastAsia="宋体"/>
                <w:szCs w:val="21"/>
                <w:highlight w:val="none"/>
              </w:rPr>
              <w:t>运输、安装条件</w:t>
            </w:r>
          </w:p>
        </w:tc>
        <w:tc>
          <w:tcPr>
            <w:tcW w:w="7442"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培训</w:t>
            </w:r>
          </w:p>
        </w:tc>
        <w:tc>
          <w:tcPr>
            <w:tcW w:w="744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知识产权</w:t>
            </w:r>
          </w:p>
        </w:tc>
        <w:tc>
          <w:tcPr>
            <w:tcW w:w="744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其他</w:t>
            </w:r>
          </w:p>
        </w:tc>
        <w:tc>
          <w:tcPr>
            <w:tcW w:w="7442"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42"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56"/>
      </w:pPr>
      <w:bookmarkStart w:id="8" w:name="_GoBack"/>
      <w:bookmarkEnd w:id="8"/>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30</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30</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5"/>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5"/>
        </w:numPr>
        <w:snapToGrid w:val="0"/>
        <w:contextualSpacing/>
        <w:rPr>
          <w:rFonts w:hint="eastAsia" w:ascii="宋体" w:hAnsi="宋体"/>
          <w:szCs w:val="21"/>
        </w:rPr>
      </w:pPr>
      <w:r>
        <w:rPr>
          <w:rFonts w:hint="eastAsia" w:ascii="宋体" w:hAnsi="宋体"/>
          <w:szCs w:val="21"/>
        </w:rPr>
        <w:t>投标函</w:t>
      </w:r>
    </w:p>
    <w:p>
      <w:pPr>
        <w:numPr>
          <w:ilvl w:val="0"/>
          <w:numId w:val="5"/>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5"/>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5"/>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5"/>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30</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30</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EE416C"/>
    <w:multiLevelType w:val="singleLevel"/>
    <w:tmpl w:val="AEEE416C"/>
    <w:lvl w:ilvl="0" w:tentative="0">
      <w:start w:val="2"/>
      <w:numFmt w:val="decimal"/>
      <w:suff w:val="nothing"/>
      <w:lvlText w:val="%1、"/>
      <w:lvlJc w:val="left"/>
    </w:lvl>
  </w:abstractNum>
  <w:abstractNum w:abstractNumId="1">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ED7BD7A"/>
    <w:multiLevelType w:val="singleLevel"/>
    <w:tmpl w:val="1ED7BD7A"/>
    <w:lvl w:ilvl="0" w:tentative="0">
      <w:start w:val="1"/>
      <w:numFmt w:val="chineseCounting"/>
      <w:suff w:val="nothing"/>
      <w:lvlText w:val="（%1）"/>
      <w:lvlJc w:val="left"/>
      <w:rPr>
        <w:rFonts w:hint="eastAsia"/>
        <w:b/>
        <w:bCs/>
      </w:rPr>
    </w:lvl>
  </w:abstractNum>
  <w:abstractNum w:abstractNumId="4">
    <w:nsid w:val="69E2F7AE"/>
    <w:multiLevelType w:val="singleLevel"/>
    <w:tmpl w:val="69E2F7AE"/>
    <w:lvl w:ilvl="0" w:tentative="0">
      <w:start w:val="2"/>
      <w:numFmt w:val="chineseCounting"/>
      <w:suff w:val="nothing"/>
      <w:lvlText w:val="%1、"/>
      <w:lvlJc w:val="left"/>
      <w:rPr>
        <w:rFonts w:hint="eastAsia"/>
      </w:r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102D18C3"/>
    <w:rsid w:val="10F802A5"/>
    <w:rsid w:val="11E00693"/>
    <w:rsid w:val="1659181D"/>
    <w:rsid w:val="1A1E1ABE"/>
    <w:rsid w:val="1B464D3C"/>
    <w:rsid w:val="234D4E44"/>
    <w:rsid w:val="24E92C05"/>
    <w:rsid w:val="296E01B8"/>
    <w:rsid w:val="2B6F32B8"/>
    <w:rsid w:val="2F673356"/>
    <w:rsid w:val="2F9D401A"/>
    <w:rsid w:val="30844328"/>
    <w:rsid w:val="315F6D23"/>
    <w:rsid w:val="35026F4B"/>
    <w:rsid w:val="353C06AF"/>
    <w:rsid w:val="3690645A"/>
    <w:rsid w:val="3ABB3E24"/>
    <w:rsid w:val="3E450F21"/>
    <w:rsid w:val="3EA552EE"/>
    <w:rsid w:val="3EAF66F7"/>
    <w:rsid w:val="4279502A"/>
    <w:rsid w:val="43360F98"/>
    <w:rsid w:val="44C40DAE"/>
    <w:rsid w:val="45567864"/>
    <w:rsid w:val="483E0A4A"/>
    <w:rsid w:val="48F556E3"/>
    <w:rsid w:val="4A885C7C"/>
    <w:rsid w:val="4ADF5EC1"/>
    <w:rsid w:val="54113C3E"/>
    <w:rsid w:val="56646C69"/>
    <w:rsid w:val="5C8607D7"/>
    <w:rsid w:val="5E045613"/>
    <w:rsid w:val="64BE2131"/>
    <w:rsid w:val="64D072E1"/>
    <w:rsid w:val="652D6499"/>
    <w:rsid w:val="671B1107"/>
    <w:rsid w:val="682240B4"/>
    <w:rsid w:val="6AD96315"/>
    <w:rsid w:val="6EB6428D"/>
    <w:rsid w:val="6F1913CC"/>
    <w:rsid w:val="72FE1DEA"/>
    <w:rsid w:val="73720EAF"/>
    <w:rsid w:val="76AE21CF"/>
    <w:rsid w:val="7A5255A0"/>
    <w:rsid w:val="7B1B4136"/>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22311</Words>
  <Characters>23594</Characters>
  <Lines>192</Lines>
  <Paragraphs>54</Paragraphs>
  <TotalTime>5</TotalTime>
  <ScaleCrop>false</ScaleCrop>
  <LinksUpToDate>false</LinksUpToDate>
  <CharactersWithSpaces>26409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2025-06-19T08:55:32Z</cp:lastPrinted>
  <dcterms:modified xsi:type="dcterms:W3CDTF">2025-06-19T08:55:50Z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ies>
</file>