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29</w:t>
      </w:r>
      <w:r>
        <w:rPr>
          <w:rFonts w:hint="eastAsia" w:ascii="宋体" w:hAnsi="宋体"/>
          <w:b/>
          <w:bCs/>
          <w:sz w:val="36"/>
          <w:szCs w:val="36"/>
        </w:rPr>
        <w:t>期悬吊训练系统（儿童）采购公告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29</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宋体" w:hAnsi="宋体" w:eastAsia="宋体"/>
                <w:kern w:val="0"/>
                <w:szCs w:val="21"/>
              </w:rPr>
              <w:t>悬吊训练系统（儿童）</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kern w:val="0"/>
                <w:szCs w:val="21"/>
              </w:rPr>
            </w:pPr>
            <w:r>
              <w:rPr>
                <w:rFonts w:hint="eastAsia" w:ascii="宋体" w:hAnsi="宋体"/>
                <w:kern w:val="0"/>
                <w:szCs w:val="21"/>
              </w:rPr>
              <w:t>1</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套</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6.33</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0.53</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rPr>
              <w:t>悬吊训练系统</w:t>
            </w:r>
            <w:r>
              <w:rPr>
                <w:rFonts w:hint="eastAsia" w:ascii="宋体" w:hAnsi="宋体" w:cs="宋体"/>
                <w:szCs w:val="21"/>
                <w:highlight w:val="yellow"/>
                <w:lang w:val="en-US" w:eastAsia="zh-CN"/>
              </w:rPr>
              <w:t>类型</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eastAsia="宋体"/>
                <w:kern w:val="0"/>
                <w:szCs w:val="21"/>
              </w:rPr>
              <w:t>悬吊训练系统（儿童）</w:t>
            </w:r>
          </w:p>
        </w:tc>
        <w:tc>
          <w:tcPr>
            <w:tcW w:w="878" w:type="dxa"/>
            <w:vAlign w:val="center"/>
          </w:tcPr>
          <w:p>
            <w:pPr>
              <w:pStyle w:val="10"/>
              <w:jc w:val="center"/>
              <w:rPr>
                <w:rFonts w:hint="eastAsia" w:hAnsi="宋体"/>
                <w:kern w:val="0"/>
              </w:rPr>
            </w:pPr>
            <w:r>
              <w:rPr>
                <w:rFonts w:hint="eastAsia" w:hAnsi="宋体"/>
                <w:kern w:val="0"/>
              </w:rPr>
              <w:t>1</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套</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200000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165000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bookmarkStart w:id="5" w:name="_Toc128884461"/>
            <w:r>
              <w:rPr>
                <w:rFonts w:hint="eastAsia" w:ascii="宋体" w:hAnsi="宋体" w:eastAsia="宋体" w:cs="宋体"/>
                <w:i w:val="0"/>
                <w:iCs w:val="0"/>
                <w:color w:val="000000"/>
                <w:kern w:val="0"/>
                <w:sz w:val="24"/>
                <w:szCs w:val="24"/>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1、儿童悬吊系统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1.1.具备儿童运动康复组合式平台，可针对儿童运动康复需求设计个性化运动处方的功能。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1.2.悬吊康复训练器：可调节高度并在任意高度锁定，承重</w:t>
            </w:r>
            <w:r>
              <w:rPr>
                <w:rStyle w:val="69"/>
                <w:lang w:val="en-US" w:eastAsia="zh-CN" w:bidi="ar"/>
              </w:rPr>
              <w:t>≥</w:t>
            </w:r>
            <w:r>
              <w:rPr>
                <w:rStyle w:val="78"/>
                <w:lang w:val="en-US" w:eastAsia="zh-CN" w:bidi="ar"/>
              </w:rPr>
              <w:t>200公斤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1.3.四维悬吊支撑架，尺寸：</w:t>
            </w:r>
            <w:r>
              <w:rPr>
                <w:rStyle w:val="69"/>
                <w:lang w:val="en-US" w:eastAsia="zh-CN" w:bidi="ar"/>
              </w:rPr>
              <w:t>≥</w:t>
            </w:r>
            <w:r>
              <w:rPr>
                <w:rStyle w:val="78"/>
                <w:lang w:val="en-US" w:eastAsia="zh-CN" w:bidi="ar"/>
              </w:rPr>
              <w:t>4600*2270*2350（mm）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1.4.具备四维训练网格，含有四个方向结构，提供全方位更灵活的训练空间的功能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1.5.可进行矢状面、冠状面和水平面训练及组合平面训练；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1.6.提供五种不同弹性的专业级橡胶管，不同的颜色代表着不同弹性；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1.7.早期刺激摆动装置：PE材质，尺寸：≥930.2*770.6*118.5（mm） ，可用于站立平衡训练，承重≥100公斤。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1.8.安全保护带：长度可调节，长度≥1300mm。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1.9.支撑摆动装置：PE材质，尺寸：≥632.3*380*45（mm），含手扶装置</w:t>
            </w:r>
            <w:r>
              <w:rPr>
                <w:rFonts w:hint="eastAsia"/>
                <w:lang w:val="en-US" w:eastAsia="zh-CN"/>
              </w:rPr>
              <w:t>≥</w:t>
            </w:r>
            <w:r>
              <w:rPr>
                <w:rFonts w:hint="eastAsia" w:ascii="宋体" w:hAnsi="宋体" w:eastAsia="宋体" w:cs="宋体"/>
                <w:i w:val="0"/>
                <w:iCs w:val="0"/>
                <w:color w:val="000000"/>
                <w:kern w:val="0"/>
                <w:sz w:val="24"/>
                <w:szCs w:val="24"/>
                <w:u w:val="none"/>
                <w:lang w:val="en-US" w:eastAsia="zh-CN" w:bidi="ar"/>
              </w:rPr>
              <w:t>2个，可根据手臂长短调节抓握位置，承重≥100公斤。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1.10.辅助悬吊爬行装置：尺寸≥854*250（mm），整体采用人体工学设计，内置记忆材料，具有塑形功能；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1.11.吊袋：安全稳固结构设置，具备防脱出功能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1.12.吊船：PE材质，卡通一体化设计，尺寸：≥1690*993*208（mm），用于训练儿童不同体位平衡反射、骨盆控制和重心转移能力，承重≥180公斤；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1.13.悬吊鞋：尼龙材质，带套绳凹槽，具备防滑设计功能，尺寸170*90*25（mm</w:t>
            </w:r>
            <w:r>
              <w:rPr>
                <w:rFonts w:hint="eastAsia"/>
                <w:lang w:eastAsia="zh-CN"/>
              </w:rPr>
              <w:t>，承重</w:t>
            </w:r>
            <w:r>
              <w:rPr>
                <w:rFonts w:hint="eastAsia" w:ascii="宋体" w:hAnsi="宋体" w:eastAsia="宋体" w:cs="宋体"/>
                <w:i w:val="0"/>
                <w:iCs w:val="0"/>
                <w:color w:val="000000"/>
                <w:kern w:val="0"/>
                <w:sz w:val="24"/>
                <w:szCs w:val="24"/>
                <w:u w:val="none"/>
                <w:lang w:val="en-US" w:eastAsia="zh-CN" w:bidi="ar"/>
              </w:rPr>
              <w:t>≥180公斤。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1.14.平衡凳：PE材质，卡通一体化设计，尺寸：≥1384.7*331.3*482（mm），用于训练儿童全身稳定肌、上肢肌力、平衡能力，承重≥180公斤；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1.15.十字塔：PE材质，卡通一体化设计，尺寸：≥392.7*502*117.2（mm），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1.16.绳梯：尺寸≥1700*1050（mm），带固定扣环，；配两块坐板，PE材质，尺寸≥465*337*65（mm），可同时用于站立平衡训练，承重≥100公斤。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1.17.平行棒： 带固定扣环，尺寸：</w:t>
            </w:r>
            <w:r>
              <w:rPr>
                <w:rStyle w:val="69"/>
                <w:lang w:val="en-US" w:eastAsia="zh-CN" w:bidi="ar"/>
              </w:rPr>
              <w:t>≥</w:t>
            </w:r>
            <w:r>
              <w:rPr>
                <w:rStyle w:val="78"/>
                <w:lang w:val="en-US" w:eastAsia="zh-CN" w:bidi="ar"/>
              </w:rPr>
              <w:t>1700mm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1.18.多功能棒：两端带卡绳凹槽，尺寸：</w:t>
            </w:r>
            <w:r>
              <w:rPr>
                <w:rStyle w:val="69"/>
                <w:lang w:val="en-US" w:eastAsia="zh-CN" w:bidi="ar"/>
              </w:rPr>
              <w:t>≥</w:t>
            </w:r>
            <w:r>
              <w:rPr>
                <w:rStyle w:val="78"/>
                <w:lang w:val="en-US" w:eastAsia="zh-CN" w:bidi="ar"/>
              </w:rPr>
              <w:t>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1.19.扣环窄悬带：尺寸≥880*110*5（mm）、承重≥180公斤，用于固定悬吊四肢训练；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1.20.扣环宽悬带：尺寸 ≥880*235*5（mm）、承重≥180公斤。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lang w:eastAsia="zh-CN"/>
              </w:rPr>
            </w:pPr>
            <w:r>
              <w:rPr>
                <w:rFonts w:hint="eastAsia" w:ascii="宋体" w:hAnsi="宋体" w:eastAsia="宋体" w:cs="宋体"/>
                <w:i w:val="0"/>
                <w:iCs w:val="0"/>
                <w:color w:val="000000"/>
                <w:kern w:val="0"/>
                <w:sz w:val="24"/>
                <w:szCs w:val="24"/>
                <w:u w:val="none"/>
                <w:lang w:val="en-US" w:eastAsia="zh-CN" w:bidi="ar"/>
              </w:rPr>
              <w:t>1.21.弹性辅力挂绳（黑-长）：长≥60cm、承重≥30公斤，用于低阻力的减重训练；拉伸范围对应阻力关系：拉伸范围（%） 33     50    100    150</w:t>
            </w:r>
            <w:r>
              <w:rPr>
                <w:rFonts w:hint="eastAsia"/>
                <w:lang w:eastAsia="zh-CN"/>
              </w:rPr>
              <w:t>；</w:t>
            </w:r>
            <w:r>
              <w:rPr>
                <w:rFonts w:hint="eastAsia" w:ascii="宋体" w:hAnsi="宋体" w:eastAsia="宋体" w:cs="宋体"/>
                <w:i w:val="0"/>
                <w:iCs w:val="0"/>
                <w:color w:val="000000"/>
                <w:kern w:val="0"/>
                <w:sz w:val="24"/>
                <w:szCs w:val="24"/>
                <w:u w:val="none"/>
                <w:lang w:val="en-US" w:eastAsia="zh-CN" w:bidi="ar"/>
              </w:rPr>
              <w:t>阻力（公斤） 4.0    4.7    6.7    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lang w:eastAsia="zh-CN"/>
              </w:rPr>
            </w:pPr>
            <w:r>
              <w:rPr>
                <w:rFonts w:hint="eastAsia" w:ascii="宋体" w:hAnsi="宋体" w:eastAsia="宋体" w:cs="宋体"/>
                <w:i w:val="0"/>
                <w:iCs w:val="0"/>
                <w:color w:val="000000"/>
                <w:kern w:val="0"/>
                <w:sz w:val="24"/>
                <w:szCs w:val="24"/>
                <w:u w:val="none"/>
                <w:lang w:val="en-US" w:eastAsia="zh-CN" w:bidi="ar"/>
              </w:rPr>
              <w:t>1.22.弹性辅力挂绳（红-长）：长≥60cm、承重≥50公斤，用于高阻力的减重训练；拉伸范围对应阻力关系： 拉伸范围（%） 33     50    100    150</w:t>
            </w:r>
            <w:r>
              <w:rPr>
                <w:rFonts w:hint="eastAsia"/>
                <w:lang w:eastAsia="zh-CN"/>
              </w:rPr>
              <w:t>；</w:t>
            </w:r>
            <w:r>
              <w:rPr>
                <w:rFonts w:hint="eastAsia" w:ascii="宋体" w:hAnsi="宋体" w:eastAsia="宋体" w:cs="宋体"/>
                <w:i w:val="0"/>
                <w:iCs w:val="0"/>
                <w:color w:val="000000"/>
                <w:kern w:val="0"/>
                <w:sz w:val="24"/>
                <w:szCs w:val="24"/>
                <w:u w:val="none"/>
                <w:lang w:val="en-US" w:eastAsia="zh-CN" w:bidi="ar"/>
              </w:rPr>
              <w:t>阻力（公斤）   8.0    9.2    13.0   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1.23.辅力挂绳：尺寸</w:t>
            </w:r>
            <w:r>
              <w:rPr>
                <w:rStyle w:val="69"/>
                <w:lang w:val="en-US" w:eastAsia="zh-CN" w:bidi="ar"/>
              </w:rPr>
              <w:t>≥</w:t>
            </w:r>
            <w:r>
              <w:rPr>
                <w:rStyle w:val="78"/>
                <w:lang w:val="en-US" w:eastAsia="zh-CN" w:bidi="ar"/>
              </w:rPr>
              <w:t>0.3米，滑动锁定手柄高度可调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1.24.辅力挂绳（儿童）：尺寸</w:t>
            </w:r>
            <w:r>
              <w:rPr>
                <w:rStyle w:val="69"/>
                <w:lang w:val="en-US" w:eastAsia="zh-CN" w:bidi="ar"/>
              </w:rPr>
              <w:t>≥</w:t>
            </w:r>
            <w:r>
              <w:rPr>
                <w:rStyle w:val="78"/>
                <w:lang w:val="en-US" w:eastAsia="zh-CN" w:bidi="ar"/>
              </w:rPr>
              <w:t>11.5米，滑动锁定手柄高度可调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1.25.旋转训练装置：尺寸：≥525*58（mm），碳钢加铝合金材质，承重</w:t>
            </w:r>
            <w:r>
              <w:rPr>
                <w:rStyle w:val="69"/>
                <w:lang w:val="en-US" w:eastAsia="zh-CN" w:bidi="ar"/>
              </w:rPr>
              <w:t>≥</w:t>
            </w:r>
            <w:r>
              <w:rPr>
                <w:rStyle w:val="78"/>
                <w:lang w:val="en-US" w:eastAsia="zh-CN" w:bidi="ar"/>
              </w:rPr>
              <w:t>180公斤，用于躯干、肢体的旋转训练和对角线运动；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1.26.平衡垫：直径≥330mm、高≥60mm，用于训练过程中增加不稳定性；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1.27. 悬吊调节装置：可任意选择吊点位置，用于吊点力矩和力臂的调整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1.28. 弹力训练管：数量≥5个 重量：10磅、15磅、20磅、25磅、30磅，用于做上下肢渐进式力量训练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1.29. 悬吊滚筒：尺寸：直径≥150mm，长≥450mm，滚动轴为木制，支撑面有软垫保护层，可在悬吊状态下360度旋转；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 楔形垫：各角度楔形垫支持组合使用；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1.30.1支持结合悬吊康复技术体系，建立临床治疗处方库，指导临床悬吊康复技术评估和训练；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1.30.2评估动作分为：起始动作、1级、2级、3级、4级五个级别；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default" w:eastAsia="宋体"/>
                <w:lang w:val="en-US" w:eastAsia="zh-CN"/>
              </w:rPr>
            </w:pPr>
            <w:r>
              <w:rPr>
                <w:rFonts w:hint="eastAsia" w:ascii="宋体" w:hAnsi="宋体" w:eastAsia="宋体" w:cs="宋体"/>
                <w:i w:val="0"/>
                <w:iCs w:val="0"/>
                <w:color w:val="000000"/>
                <w:kern w:val="0"/>
                <w:sz w:val="24"/>
                <w:szCs w:val="24"/>
                <w:u w:val="none"/>
                <w:lang w:val="en-US" w:eastAsia="zh-CN" w:bidi="ar"/>
              </w:rPr>
              <w:t>▲1.30.3评估训练动作每个级别可单独三维立体动画演示；</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pPr>
              <w:keepNext w:val="0"/>
              <w:keepLines w:val="0"/>
              <w:widowControl/>
              <w:suppressLineNumbers w:val="0"/>
              <w:jc w:val="both"/>
              <w:textAlignment w:val="center"/>
              <w:rPr>
                <w:rFonts w:hint="eastAsia" w:ascii="宋体" w:hAnsi="宋体" w:eastAsia="宋体" w:cs="宋体"/>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1.30.4具备评估动作指导功能，含核心稳定评估（颈椎、腰椎）和弱链测试（上肢、下肢）；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▲1.30.5所有评估训练动作三维立体动画显示；</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▲1.30.6可三维立体空间内任意位置视角观察动作；</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▲1.30.7评估动作标准有文字和动画提示</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▲1.30.8可根据评估结果分析判断，自动推荐训练处方；</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pStyle w:val="6"/>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▲1.30.9</w:t>
            </w:r>
            <w:r>
              <w:rPr>
                <w:rFonts w:hint="eastAsia"/>
                <w:lang w:val="en-US" w:eastAsia="zh-CN"/>
              </w:rPr>
              <w:t>具备</w:t>
            </w:r>
            <w:r>
              <w:rPr>
                <w:rFonts w:hint="eastAsia" w:ascii="宋体" w:hAnsi="宋体" w:eastAsia="宋体" w:cs="宋体"/>
                <w:i w:val="0"/>
                <w:iCs w:val="0"/>
                <w:color w:val="000000"/>
                <w:kern w:val="0"/>
                <w:sz w:val="24"/>
                <w:szCs w:val="24"/>
                <w:u w:val="none"/>
                <w:lang w:val="en-US" w:eastAsia="zh-CN" w:bidi="ar"/>
              </w:rPr>
              <w:t>完善的评估资料库：含常见13种体格检查动作，记录检查结果，可上传影像资料；</w:t>
            </w:r>
            <w:r>
              <w:rPr>
                <w:rFonts w:hint="eastAsia"/>
                <w:lang w:val="en-US" w:eastAsia="zh-CN"/>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 xml:space="preserve">1.30.10具有儿童悬吊模块，支持不同配件使用演示，指导儿童悬吊训练实操；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686" w:type="dxa"/>
              <w:tblInd w:w="96" w:type="dxa"/>
              <w:tblLayout w:type="fixed"/>
              <w:tblCellMar>
                <w:top w:w="0" w:type="dxa"/>
                <w:left w:w="108" w:type="dxa"/>
                <w:bottom w:w="0" w:type="dxa"/>
                <w:right w:w="108" w:type="dxa"/>
              </w:tblCellMar>
            </w:tblPr>
            <w:tblGrid>
              <w:gridCol w:w="868"/>
              <w:gridCol w:w="3378"/>
              <w:gridCol w:w="1065"/>
              <w:gridCol w:w="1305"/>
              <w:gridCol w:w="2070"/>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337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06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数量</w:t>
                  </w:r>
                </w:p>
              </w:tc>
              <w:tc>
                <w:tcPr>
                  <w:tcW w:w="130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单位</w:t>
                  </w:r>
                </w:p>
              </w:tc>
              <w:tc>
                <w:tcPr>
                  <w:tcW w:w="207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四维悬吊支撑架</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四维训练网格</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36</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片</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3</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悬吊康复训练器</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4</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悬挂绳</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5</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辅力挂绳（红-短）</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6</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辅力挂绳（儿童）</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7</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弹性辅力挂绳（红-短）</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8</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弹性辅力挂绳（黑-短）</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9</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90cm弹力训练管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（10磅、15磅、20磅、25磅、30磅）</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10</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旋转训练装置（含悬挂绳）</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11</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平衡垫</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12</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训练滑轮</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绳夹</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悬吊滚筒</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楔形垫（17度×18.5度×2）</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扣环窄悬带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扣环宽悬带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踝关节固定带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握带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早期刺激摆动装置</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辅助悬吊爬行装置</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19"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支撑摆动装置</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01"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安全保护带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483"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吊袋（含吊袋棒）</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01"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吊船</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74"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悬吊鞋</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91"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平衡凳</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82"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十字塔</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464"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绳梯（含座板）</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82"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训练握杠</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64"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平行棒</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81"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多功能棒</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81"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握棒</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根</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64"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悬吊调节装置</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754"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安装组件</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产品说明书</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份</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33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悬吊康复指导配件</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084"/>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084" w:type="dxa"/>
            <w:noWrap w:val="0"/>
            <w:vAlign w:val="center"/>
          </w:tcPr>
          <w:p>
            <w:pPr>
              <w:jc w:val="center"/>
              <w:rPr>
                <w:b/>
                <w:highlight w:val="none"/>
              </w:rPr>
            </w:pPr>
            <w:r>
              <w:rPr>
                <w:rFonts w:hint="eastAsia"/>
                <w:b/>
                <w:highlight w:val="none"/>
              </w:rPr>
              <w:t>商务需求项</w:t>
            </w:r>
          </w:p>
        </w:tc>
        <w:tc>
          <w:tcPr>
            <w:tcW w:w="7800"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24"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084" w:type="dxa"/>
            <w:noWrap w:val="0"/>
            <w:vAlign w:val="center"/>
          </w:tcPr>
          <w:p>
            <w:pPr>
              <w:jc w:val="center"/>
              <w:rPr>
                <w:highlight w:val="none"/>
              </w:rPr>
            </w:pPr>
            <w:r>
              <w:rPr>
                <w:rFonts w:hint="eastAsia"/>
                <w:highlight w:val="none"/>
              </w:rPr>
              <w:t>维修响应及故障解决时间</w:t>
            </w:r>
          </w:p>
        </w:tc>
        <w:tc>
          <w:tcPr>
            <w:tcW w:w="7800"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084"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800"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年（含所有易损件），在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084" w:type="dxa"/>
            <w:vMerge w:val="continue"/>
            <w:noWrap w:val="0"/>
            <w:vAlign w:val="center"/>
          </w:tcPr>
          <w:p>
            <w:pPr>
              <w:jc w:val="center"/>
              <w:rPr>
                <w:rFonts w:hint="eastAsia"/>
                <w:szCs w:val="21"/>
                <w:highlight w:val="none"/>
              </w:rPr>
            </w:pPr>
          </w:p>
        </w:tc>
        <w:tc>
          <w:tcPr>
            <w:tcW w:w="7800"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084" w:type="dxa"/>
            <w:vMerge w:val="continue"/>
            <w:noWrap w:val="0"/>
            <w:vAlign w:val="center"/>
          </w:tcPr>
          <w:p>
            <w:pPr>
              <w:rPr>
                <w:highlight w:val="none"/>
              </w:rPr>
            </w:pPr>
          </w:p>
        </w:tc>
        <w:tc>
          <w:tcPr>
            <w:tcW w:w="7800"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084" w:type="dxa"/>
            <w:noWrap w:val="0"/>
            <w:vAlign w:val="center"/>
          </w:tcPr>
          <w:p>
            <w:pPr>
              <w:jc w:val="center"/>
              <w:rPr>
                <w:b/>
                <w:highlight w:val="none"/>
              </w:rPr>
            </w:pPr>
            <w:r>
              <w:rPr>
                <w:rFonts w:hint="eastAsia"/>
                <w:szCs w:val="21"/>
                <w:highlight w:val="none"/>
              </w:rPr>
              <w:t>技术文件</w:t>
            </w:r>
          </w:p>
        </w:tc>
        <w:tc>
          <w:tcPr>
            <w:tcW w:w="7800"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084" w:type="dxa"/>
            <w:noWrap w:val="0"/>
            <w:vAlign w:val="center"/>
          </w:tcPr>
          <w:p>
            <w:pPr>
              <w:jc w:val="center"/>
              <w:rPr>
                <w:bCs/>
                <w:highlight w:val="none"/>
              </w:rPr>
            </w:pPr>
            <w:r>
              <w:rPr>
                <w:rFonts w:hint="eastAsia"/>
                <w:szCs w:val="21"/>
                <w:highlight w:val="none"/>
              </w:rPr>
              <w:t>安装调试</w:t>
            </w:r>
          </w:p>
        </w:tc>
        <w:tc>
          <w:tcPr>
            <w:tcW w:w="7800"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084" w:type="dxa"/>
            <w:vMerge w:val="restart"/>
            <w:noWrap w:val="0"/>
            <w:vAlign w:val="center"/>
          </w:tcPr>
          <w:p>
            <w:pPr>
              <w:spacing w:line="360" w:lineRule="exact"/>
              <w:jc w:val="center"/>
              <w:rPr>
                <w:rFonts w:ascii="宋体" w:hAnsi="宋体"/>
                <w:b/>
                <w:color w:val="000000"/>
                <w:sz w:val="20"/>
                <w:szCs w:val="20"/>
                <w:highlight w:val="none"/>
              </w:rPr>
            </w:pPr>
            <w:r>
              <w:rPr>
                <w:rFonts w:hint="eastAsia"/>
                <w:highlight w:val="none"/>
              </w:rPr>
              <w:t>维修零配件、消耗品和延续保修合同的报价</w:t>
            </w:r>
          </w:p>
        </w:tc>
        <w:tc>
          <w:tcPr>
            <w:tcW w:w="7800"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084" w:type="dxa"/>
            <w:vMerge w:val="continue"/>
            <w:noWrap w:val="0"/>
            <w:vAlign w:val="center"/>
          </w:tcPr>
          <w:p>
            <w:pPr>
              <w:spacing w:line="360" w:lineRule="exact"/>
              <w:rPr>
                <w:rStyle w:val="22"/>
                <w:rFonts w:ascii="宋体" w:hAnsi="宋体" w:cs="宋体"/>
                <w:color w:val="000000"/>
                <w:sz w:val="20"/>
                <w:szCs w:val="20"/>
              </w:rPr>
            </w:pPr>
          </w:p>
        </w:tc>
        <w:tc>
          <w:tcPr>
            <w:tcW w:w="7800"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084"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800"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084" w:type="dxa"/>
            <w:vMerge w:val="restart"/>
            <w:noWrap w:val="0"/>
            <w:vAlign w:val="center"/>
          </w:tcPr>
          <w:p>
            <w:pPr>
              <w:spacing w:line="360" w:lineRule="exact"/>
              <w:jc w:val="center"/>
              <w:rPr>
                <w:rFonts w:hint="eastAsia"/>
                <w:highlight w:val="none"/>
              </w:rPr>
            </w:pPr>
            <w:r>
              <w:rPr>
                <w:rFonts w:hint="eastAsia"/>
                <w:highlight w:val="none"/>
              </w:rPr>
              <w:t>违约责任</w:t>
            </w:r>
          </w:p>
        </w:tc>
        <w:tc>
          <w:tcPr>
            <w:tcW w:w="7800"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084" w:type="dxa"/>
            <w:vMerge w:val="continue"/>
            <w:noWrap w:val="0"/>
            <w:vAlign w:val="center"/>
          </w:tcPr>
          <w:p>
            <w:pPr>
              <w:spacing w:line="360" w:lineRule="exact"/>
              <w:jc w:val="center"/>
              <w:rPr>
                <w:rFonts w:hint="eastAsia"/>
                <w:highlight w:val="none"/>
              </w:rPr>
            </w:pPr>
          </w:p>
        </w:tc>
        <w:tc>
          <w:tcPr>
            <w:tcW w:w="7800"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084" w:type="dxa"/>
            <w:vMerge w:val="restart"/>
            <w:noWrap w:val="0"/>
            <w:vAlign w:val="center"/>
          </w:tcPr>
          <w:p>
            <w:pPr>
              <w:spacing w:line="360" w:lineRule="exact"/>
              <w:jc w:val="center"/>
              <w:rPr>
                <w:rFonts w:hint="default"/>
                <w:highlight w:val="none"/>
                <w:lang w:val="en-US" w:eastAsia="zh-CN"/>
              </w:rPr>
            </w:pPr>
            <w:r>
              <w:rPr>
                <w:rFonts w:hint="eastAsia"/>
                <w:highlight w:val="none"/>
              </w:rPr>
              <w:t>交货</w:t>
            </w:r>
            <w:r>
              <w:rPr>
                <w:rFonts w:hint="eastAsia"/>
                <w:highlight w:val="none"/>
                <w:lang w:val="en-US" w:eastAsia="zh-CN"/>
              </w:rPr>
              <w:t>及付款要求</w:t>
            </w:r>
          </w:p>
        </w:tc>
        <w:tc>
          <w:tcPr>
            <w:tcW w:w="7800"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084" w:type="dxa"/>
            <w:vMerge w:val="continue"/>
            <w:noWrap w:val="0"/>
            <w:vAlign w:val="center"/>
          </w:tcPr>
          <w:p>
            <w:pPr>
              <w:spacing w:line="360" w:lineRule="exact"/>
              <w:jc w:val="center"/>
              <w:rPr>
                <w:rFonts w:hint="eastAsia" w:ascii="宋体" w:hAnsi="宋体"/>
                <w:b/>
                <w:bCs w:val="0"/>
                <w:sz w:val="20"/>
                <w:szCs w:val="20"/>
              </w:rPr>
            </w:pPr>
          </w:p>
        </w:tc>
        <w:tc>
          <w:tcPr>
            <w:tcW w:w="7800"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084" w:type="dxa"/>
            <w:vMerge w:val="continue"/>
            <w:noWrap w:val="0"/>
            <w:vAlign w:val="center"/>
          </w:tcPr>
          <w:p>
            <w:pPr>
              <w:spacing w:line="360" w:lineRule="exact"/>
              <w:jc w:val="center"/>
              <w:rPr>
                <w:rFonts w:ascii="宋体" w:hAnsi="宋体"/>
                <w:b/>
                <w:bCs w:val="0"/>
                <w:sz w:val="20"/>
                <w:szCs w:val="20"/>
              </w:rPr>
            </w:pPr>
          </w:p>
        </w:tc>
        <w:tc>
          <w:tcPr>
            <w:tcW w:w="7800"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084" w:type="dxa"/>
            <w:noWrap w:val="0"/>
            <w:vAlign w:val="center"/>
          </w:tcPr>
          <w:p>
            <w:pPr>
              <w:spacing w:line="360" w:lineRule="exact"/>
              <w:jc w:val="center"/>
              <w:rPr>
                <w:rStyle w:val="22"/>
                <w:rFonts w:hint="eastAsia" w:ascii="宋体" w:hAnsi="宋体" w:cs="宋体"/>
                <w:b w:val="0"/>
                <w:bCs/>
                <w:color w:val="000000"/>
                <w:sz w:val="20"/>
                <w:szCs w:val="20"/>
              </w:rPr>
            </w:pPr>
            <w:r>
              <w:rPr>
                <w:rFonts w:hint="eastAsia"/>
                <w:highlight w:val="none"/>
              </w:rPr>
              <w:t>验收条件</w:t>
            </w:r>
          </w:p>
        </w:tc>
        <w:tc>
          <w:tcPr>
            <w:tcW w:w="7800"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084" w:type="dxa"/>
            <w:vMerge w:val="restart"/>
            <w:noWrap w:val="0"/>
            <w:vAlign w:val="center"/>
          </w:tcPr>
          <w:p>
            <w:pPr>
              <w:spacing w:line="360" w:lineRule="exact"/>
              <w:jc w:val="center"/>
              <w:rPr>
                <w:rStyle w:val="22"/>
                <w:rFonts w:hint="eastAsia" w:ascii="宋体" w:hAnsi="宋体" w:cs="宋体"/>
                <w:b w:val="0"/>
                <w:bCs/>
                <w:color w:val="000000"/>
                <w:sz w:val="20"/>
                <w:szCs w:val="20"/>
              </w:rPr>
            </w:pPr>
            <w:r>
              <w:rPr>
                <w:rFonts w:hint="eastAsia"/>
                <w:highlight w:val="none"/>
              </w:rPr>
              <w:t>争议解决方法</w:t>
            </w:r>
          </w:p>
        </w:tc>
        <w:tc>
          <w:tcPr>
            <w:tcW w:w="7800"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084" w:type="dxa"/>
            <w:vMerge w:val="continue"/>
            <w:noWrap w:val="0"/>
            <w:vAlign w:val="center"/>
          </w:tcPr>
          <w:p>
            <w:pPr>
              <w:spacing w:line="360" w:lineRule="exact"/>
              <w:jc w:val="center"/>
              <w:rPr>
                <w:rFonts w:hint="eastAsia" w:ascii="宋体" w:hAnsi="宋体" w:cs="宋体"/>
                <w:b/>
                <w:bCs w:val="0"/>
                <w:color w:val="000000"/>
                <w:sz w:val="20"/>
                <w:szCs w:val="20"/>
              </w:rPr>
            </w:pPr>
          </w:p>
        </w:tc>
        <w:tc>
          <w:tcPr>
            <w:tcW w:w="7800"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084" w:type="dxa"/>
            <w:noWrap w:val="0"/>
            <w:vAlign w:val="center"/>
          </w:tcPr>
          <w:p>
            <w:pPr>
              <w:spacing w:line="360" w:lineRule="exact"/>
              <w:jc w:val="center"/>
              <w:rPr>
                <w:rFonts w:hint="eastAsia"/>
                <w:highlight w:val="none"/>
              </w:rPr>
            </w:pPr>
            <w:r>
              <w:rPr>
                <w:rFonts w:hint="eastAsia"/>
                <w:highlight w:val="none"/>
              </w:rPr>
              <w:t>运输、安装条件</w:t>
            </w:r>
          </w:p>
        </w:tc>
        <w:tc>
          <w:tcPr>
            <w:tcW w:w="7800"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084" w:type="dxa"/>
            <w:vMerge w:val="restart"/>
            <w:noWrap w:val="0"/>
            <w:vAlign w:val="center"/>
          </w:tcPr>
          <w:p>
            <w:pPr>
              <w:spacing w:line="360" w:lineRule="exact"/>
              <w:jc w:val="center"/>
              <w:rPr>
                <w:rFonts w:hint="eastAsia"/>
                <w:highlight w:val="none"/>
              </w:rPr>
            </w:pPr>
            <w:r>
              <w:rPr>
                <w:rFonts w:hint="eastAsia"/>
                <w:highlight w:val="none"/>
              </w:rPr>
              <w:t>培训</w:t>
            </w:r>
          </w:p>
        </w:tc>
        <w:tc>
          <w:tcPr>
            <w:tcW w:w="7800"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084" w:type="dxa"/>
            <w:vMerge w:val="continue"/>
            <w:noWrap w:val="0"/>
            <w:vAlign w:val="center"/>
          </w:tcPr>
          <w:p>
            <w:pPr>
              <w:spacing w:line="360" w:lineRule="exact"/>
              <w:jc w:val="center"/>
              <w:rPr>
                <w:rFonts w:hint="eastAsia"/>
                <w:highlight w:val="none"/>
              </w:rPr>
            </w:pPr>
          </w:p>
        </w:tc>
        <w:tc>
          <w:tcPr>
            <w:tcW w:w="7800"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084" w:type="dxa"/>
            <w:vMerge w:val="restart"/>
            <w:noWrap w:val="0"/>
            <w:vAlign w:val="center"/>
          </w:tcPr>
          <w:p>
            <w:pPr>
              <w:spacing w:line="360" w:lineRule="exact"/>
              <w:jc w:val="center"/>
              <w:rPr>
                <w:rFonts w:hint="eastAsia"/>
                <w:highlight w:val="none"/>
              </w:rPr>
            </w:pPr>
            <w:r>
              <w:rPr>
                <w:rFonts w:hint="eastAsia"/>
                <w:highlight w:val="none"/>
              </w:rPr>
              <w:t>知识产权</w:t>
            </w:r>
          </w:p>
        </w:tc>
        <w:tc>
          <w:tcPr>
            <w:tcW w:w="7800"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084" w:type="dxa"/>
            <w:vMerge w:val="continue"/>
            <w:noWrap w:val="0"/>
            <w:vAlign w:val="center"/>
          </w:tcPr>
          <w:p>
            <w:pPr>
              <w:spacing w:line="360" w:lineRule="exact"/>
              <w:rPr>
                <w:rFonts w:ascii="宋体" w:hAnsi="宋体"/>
                <w:b/>
              </w:rPr>
            </w:pPr>
          </w:p>
        </w:tc>
        <w:tc>
          <w:tcPr>
            <w:tcW w:w="7800"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084" w:type="dxa"/>
            <w:vMerge w:val="restart"/>
            <w:noWrap w:val="0"/>
            <w:vAlign w:val="center"/>
          </w:tcPr>
          <w:p>
            <w:pPr>
              <w:spacing w:line="360" w:lineRule="exact"/>
              <w:jc w:val="center"/>
              <w:rPr>
                <w:rFonts w:ascii="宋体" w:hAnsi="宋体"/>
                <w:b/>
              </w:rPr>
            </w:pPr>
            <w:r>
              <w:rPr>
                <w:rFonts w:hint="eastAsia"/>
                <w:highlight w:val="none"/>
              </w:rPr>
              <w:t>其他</w:t>
            </w:r>
          </w:p>
        </w:tc>
        <w:tc>
          <w:tcPr>
            <w:tcW w:w="7800"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084" w:type="dxa"/>
            <w:vMerge w:val="continue"/>
            <w:noWrap w:val="0"/>
            <w:vAlign w:val="center"/>
          </w:tcPr>
          <w:p>
            <w:pPr>
              <w:spacing w:line="360" w:lineRule="exact"/>
              <w:jc w:val="center"/>
              <w:rPr>
                <w:rFonts w:ascii="宋体" w:hAnsi="宋体"/>
                <w:b/>
                <w:color w:val="0000FF"/>
                <w:sz w:val="20"/>
                <w:szCs w:val="20"/>
              </w:rPr>
            </w:pPr>
          </w:p>
        </w:tc>
        <w:tc>
          <w:tcPr>
            <w:tcW w:w="7800"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084" w:type="dxa"/>
            <w:vMerge w:val="continue"/>
            <w:noWrap w:val="0"/>
            <w:vAlign w:val="center"/>
          </w:tcPr>
          <w:p>
            <w:pPr>
              <w:spacing w:line="360" w:lineRule="exact"/>
              <w:jc w:val="center"/>
              <w:rPr>
                <w:rFonts w:ascii="宋体" w:hAnsi="宋体"/>
                <w:b/>
                <w:color w:val="0000FF"/>
                <w:sz w:val="20"/>
                <w:szCs w:val="20"/>
              </w:rPr>
            </w:pPr>
          </w:p>
        </w:tc>
        <w:tc>
          <w:tcPr>
            <w:tcW w:w="7800"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084" w:type="dxa"/>
            <w:vMerge w:val="continue"/>
            <w:noWrap w:val="0"/>
            <w:vAlign w:val="center"/>
          </w:tcPr>
          <w:p>
            <w:pPr>
              <w:spacing w:line="360" w:lineRule="exact"/>
              <w:jc w:val="center"/>
              <w:rPr>
                <w:rFonts w:ascii="宋体" w:hAnsi="宋体"/>
                <w:b/>
                <w:color w:val="0000FF"/>
                <w:sz w:val="20"/>
                <w:szCs w:val="20"/>
              </w:rPr>
            </w:pPr>
          </w:p>
        </w:tc>
        <w:tc>
          <w:tcPr>
            <w:tcW w:w="7800"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084" w:type="dxa"/>
            <w:vMerge w:val="continue"/>
            <w:noWrap w:val="0"/>
            <w:vAlign w:val="center"/>
          </w:tcPr>
          <w:p>
            <w:pPr>
              <w:spacing w:line="360" w:lineRule="exact"/>
              <w:jc w:val="center"/>
              <w:rPr>
                <w:rFonts w:ascii="宋体" w:hAnsi="宋体"/>
                <w:b/>
                <w:color w:val="0000FF"/>
                <w:sz w:val="20"/>
                <w:szCs w:val="20"/>
              </w:rPr>
            </w:pPr>
          </w:p>
        </w:tc>
        <w:tc>
          <w:tcPr>
            <w:tcW w:w="7800"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084"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800"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29</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29</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29</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29</w:t>
      </w:r>
      <w:bookmarkStart w:id="8" w:name="_GoBack"/>
      <w:bookmarkEnd w:id="8"/>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0E9F41A8"/>
    <w:rsid w:val="102D18C3"/>
    <w:rsid w:val="10F802A5"/>
    <w:rsid w:val="11E00693"/>
    <w:rsid w:val="1659181D"/>
    <w:rsid w:val="1A1E1ABE"/>
    <w:rsid w:val="1B464D3C"/>
    <w:rsid w:val="234D4E44"/>
    <w:rsid w:val="24E92C05"/>
    <w:rsid w:val="296E01B8"/>
    <w:rsid w:val="2B6F32B8"/>
    <w:rsid w:val="2F673356"/>
    <w:rsid w:val="2F9D401A"/>
    <w:rsid w:val="30844328"/>
    <w:rsid w:val="315F6D23"/>
    <w:rsid w:val="35026F4B"/>
    <w:rsid w:val="353C06AF"/>
    <w:rsid w:val="3ABB3E24"/>
    <w:rsid w:val="3E450F21"/>
    <w:rsid w:val="3EA552EE"/>
    <w:rsid w:val="3EAF66F7"/>
    <w:rsid w:val="4279502A"/>
    <w:rsid w:val="43360F98"/>
    <w:rsid w:val="44C40DAE"/>
    <w:rsid w:val="45567864"/>
    <w:rsid w:val="483E0A4A"/>
    <w:rsid w:val="48F556E3"/>
    <w:rsid w:val="4A885C7C"/>
    <w:rsid w:val="54113C3E"/>
    <w:rsid w:val="56646C69"/>
    <w:rsid w:val="5C8607D7"/>
    <w:rsid w:val="5E045613"/>
    <w:rsid w:val="64BE2131"/>
    <w:rsid w:val="64D072E1"/>
    <w:rsid w:val="652D6499"/>
    <w:rsid w:val="671B1107"/>
    <w:rsid w:val="682240B4"/>
    <w:rsid w:val="6ACA4C23"/>
    <w:rsid w:val="6F1913CC"/>
    <w:rsid w:val="72FE1DEA"/>
    <w:rsid w:val="73720EAF"/>
    <w:rsid w:val="76AE21CF"/>
    <w:rsid w:val="7A5255A0"/>
    <w:rsid w:val="7B1B4136"/>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24049</Words>
  <Characters>25791</Characters>
  <Lines>192</Lines>
  <Paragraphs>54</Paragraphs>
  <TotalTime>4</TotalTime>
  <ScaleCrop>false</ScaleCrop>
  <LinksUpToDate>false</LinksUpToDate>
  <CharactersWithSpaces>28651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2025-06-19T08:17:36Z</cp:lastPrinted>
  <dcterms:modified xsi:type="dcterms:W3CDTF">2025-06-19T08:18:04Z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ies>
</file>