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6F543">
      <w:pPr>
        <w:jc w:val="center"/>
        <w:rPr>
          <w:rFonts w:hint="eastAsia" w:ascii="宋体" w:hAnsi="宋体" w:cs="宋体"/>
          <w:b/>
          <w:bCs/>
          <w:sz w:val="44"/>
        </w:rPr>
      </w:pPr>
      <w:r>
        <w:rPr>
          <w:rFonts w:hint="eastAsia" w:ascii="宋体" w:hAnsi="宋体" w:cs="宋体"/>
          <w:b/>
          <w:bCs/>
          <w:sz w:val="44"/>
        </w:rPr>
        <w:t>人类遗传资源审批/备案事项确认表</w:t>
      </w:r>
    </w:p>
    <w:tbl>
      <w:tblPr>
        <w:tblStyle w:val="6"/>
        <w:tblpPr w:leftFromText="180" w:rightFromText="180" w:vertAnchor="text" w:horzAnchor="page" w:tblpX="1527" w:tblpY="532"/>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00"/>
        <w:gridCol w:w="675"/>
        <w:gridCol w:w="532"/>
        <w:gridCol w:w="2058"/>
        <w:gridCol w:w="1724"/>
        <w:gridCol w:w="1462"/>
        <w:gridCol w:w="1701"/>
      </w:tblGrid>
      <w:tr w14:paraId="0920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5" w:type="dxa"/>
            <w:gridSpan w:val="3"/>
            <w:vAlign w:val="center"/>
          </w:tcPr>
          <w:p w14:paraId="7CC86B71">
            <w:pPr>
              <w:numPr>
                <w:ilvl w:val="255"/>
                <w:numId w:val="0"/>
              </w:numPr>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项目名称</w:t>
            </w:r>
          </w:p>
        </w:tc>
        <w:tc>
          <w:tcPr>
            <w:tcW w:w="7477" w:type="dxa"/>
            <w:gridSpan w:val="5"/>
            <w:vAlign w:val="center"/>
          </w:tcPr>
          <w:p w14:paraId="4E2D0FAC">
            <w:pPr>
              <w:numPr>
                <w:ilvl w:val="255"/>
                <w:numId w:val="0"/>
              </w:numPr>
              <w:rPr>
                <w:rFonts w:ascii="仿宋" w:hAnsi="仿宋" w:eastAsia="仿宋" w:cs="仿宋"/>
                <w:color w:val="000000" w:themeColor="text1"/>
                <w:kern w:val="0"/>
                <w:sz w:val="24"/>
                <w14:textFill>
                  <w14:solidFill>
                    <w14:schemeClr w14:val="tx1"/>
                  </w14:solidFill>
                </w14:textFill>
              </w:rPr>
            </w:pPr>
          </w:p>
        </w:tc>
      </w:tr>
      <w:tr w14:paraId="053F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5" w:type="dxa"/>
            <w:gridSpan w:val="3"/>
            <w:vAlign w:val="center"/>
          </w:tcPr>
          <w:p w14:paraId="4D586307">
            <w:pPr>
              <w:numPr>
                <w:ilvl w:val="255"/>
                <w:numId w:val="0"/>
              </w:numPr>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申办者、电话</w:t>
            </w:r>
          </w:p>
        </w:tc>
        <w:tc>
          <w:tcPr>
            <w:tcW w:w="7477" w:type="dxa"/>
            <w:gridSpan w:val="5"/>
            <w:vAlign w:val="center"/>
          </w:tcPr>
          <w:p w14:paraId="1736DEB0">
            <w:pPr>
              <w:numPr>
                <w:ilvl w:val="255"/>
                <w:numId w:val="0"/>
              </w:numPr>
              <w:rPr>
                <w:rFonts w:ascii="仿宋" w:hAnsi="仿宋" w:eastAsia="仿宋" w:cs="仿宋"/>
                <w:color w:val="000000" w:themeColor="text1"/>
                <w:kern w:val="0"/>
                <w:sz w:val="24"/>
                <w14:textFill>
                  <w14:solidFill>
                    <w14:schemeClr w14:val="tx1"/>
                  </w14:solidFill>
                </w14:textFill>
              </w:rPr>
            </w:pPr>
          </w:p>
        </w:tc>
      </w:tr>
      <w:tr w14:paraId="4D9D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5" w:type="dxa"/>
            <w:gridSpan w:val="3"/>
            <w:vAlign w:val="center"/>
          </w:tcPr>
          <w:p w14:paraId="7778C6D1">
            <w:pPr>
              <w:numPr>
                <w:ilvl w:val="255"/>
                <w:numId w:val="0"/>
              </w:numPr>
              <w:jc w:val="center"/>
              <w:rPr>
                <w:rFonts w:eastAsia="仿宋"/>
                <w:color w:val="000000" w:themeColor="text1"/>
                <w:kern w:val="0"/>
                <w:sz w:val="24"/>
                <w14:textFill>
                  <w14:solidFill>
                    <w14:schemeClr w14:val="tx1"/>
                  </w14:solidFill>
                </w14:textFill>
              </w:rPr>
            </w:pPr>
            <w:r>
              <w:rPr>
                <w:rFonts w:hint="eastAsia" w:ascii="仿宋" w:hAnsi="仿宋" w:eastAsia="仿宋" w:cs="仿宋"/>
                <w:sz w:val="24"/>
              </w:rPr>
              <w:t>CRO</w:t>
            </w:r>
            <w:r>
              <w:rPr>
                <w:rFonts w:hint="eastAsia" w:ascii="仿宋" w:hAnsi="仿宋" w:eastAsia="仿宋" w:cs="仿宋"/>
                <w:color w:val="000000" w:themeColor="text1"/>
                <w:kern w:val="0"/>
                <w:sz w:val="24"/>
                <w14:textFill>
                  <w14:solidFill>
                    <w14:schemeClr w14:val="tx1"/>
                  </w14:solidFill>
                </w14:textFill>
              </w:rPr>
              <w:t>、电话</w:t>
            </w:r>
          </w:p>
        </w:tc>
        <w:tc>
          <w:tcPr>
            <w:tcW w:w="7477" w:type="dxa"/>
            <w:gridSpan w:val="5"/>
            <w:vAlign w:val="center"/>
          </w:tcPr>
          <w:p w14:paraId="7645D0A2">
            <w:pPr>
              <w:numPr>
                <w:ilvl w:val="255"/>
                <w:numId w:val="0"/>
              </w:numPr>
              <w:rPr>
                <w:rFonts w:eastAsia="仿宋"/>
                <w:color w:val="000000" w:themeColor="text1"/>
                <w:kern w:val="0"/>
                <w:sz w:val="24"/>
                <w14:textFill>
                  <w14:solidFill>
                    <w14:schemeClr w14:val="tx1"/>
                  </w14:solidFill>
                </w14:textFill>
              </w:rPr>
            </w:pPr>
          </w:p>
        </w:tc>
      </w:tr>
      <w:tr w14:paraId="16D6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5" w:type="dxa"/>
            <w:gridSpan w:val="3"/>
            <w:vAlign w:val="center"/>
          </w:tcPr>
          <w:p w14:paraId="455E1C03">
            <w:pPr>
              <w:numPr>
                <w:ilvl w:val="255"/>
                <w:numId w:val="0"/>
              </w:numPr>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承担</w:t>
            </w:r>
            <w:r>
              <w:rPr>
                <w:rFonts w:hint="eastAsia" w:eastAsia="仿宋"/>
                <w:color w:val="000000" w:themeColor="text1"/>
                <w:kern w:val="0"/>
                <w:sz w:val="24"/>
                <w14:textFill>
                  <w14:solidFill>
                    <w14:schemeClr w14:val="tx1"/>
                  </w14:solidFill>
                </w14:textFill>
              </w:rPr>
              <w:t>专业组</w:t>
            </w:r>
          </w:p>
        </w:tc>
        <w:tc>
          <w:tcPr>
            <w:tcW w:w="2590" w:type="dxa"/>
            <w:gridSpan w:val="2"/>
            <w:vAlign w:val="center"/>
          </w:tcPr>
          <w:p w14:paraId="248DFDD4">
            <w:pPr>
              <w:numPr>
                <w:ilvl w:val="255"/>
                <w:numId w:val="0"/>
              </w:numPr>
              <w:rPr>
                <w:rFonts w:eastAsia="仿宋"/>
                <w:color w:val="000000" w:themeColor="text1"/>
                <w:kern w:val="0"/>
                <w:sz w:val="24"/>
                <w14:textFill>
                  <w14:solidFill>
                    <w14:schemeClr w14:val="tx1"/>
                  </w14:solidFill>
                </w14:textFill>
              </w:rPr>
            </w:pPr>
          </w:p>
        </w:tc>
        <w:tc>
          <w:tcPr>
            <w:tcW w:w="1724" w:type="dxa"/>
            <w:vAlign w:val="center"/>
          </w:tcPr>
          <w:p w14:paraId="4B829D7E">
            <w:pPr>
              <w:numPr>
                <w:ilvl w:val="255"/>
                <w:numId w:val="0"/>
              </w:numPr>
              <w:jc w:val="center"/>
              <w:rPr>
                <w:rFonts w:eastAsia="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PI</w:t>
            </w:r>
            <w:r>
              <w:rPr>
                <w:rFonts w:eastAsia="仿宋"/>
                <w:color w:val="000000" w:themeColor="text1"/>
                <w:kern w:val="0"/>
                <w:sz w:val="24"/>
                <w14:textFill>
                  <w14:solidFill>
                    <w14:schemeClr w14:val="tx1"/>
                  </w14:solidFill>
                </w14:textFill>
              </w:rPr>
              <w:t>及联系电话</w:t>
            </w:r>
          </w:p>
        </w:tc>
        <w:tc>
          <w:tcPr>
            <w:tcW w:w="3163" w:type="dxa"/>
            <w:gridSpan w:val="2"/>
            <w:vAlign w:val="center"/>
          </w:tcPr>
          <w:p w14:paraId="5BEE4661">
            <w:pPr>
              <w:numPr>
                <w:ilvl w:val="255"/>
                <w:numId w:val="0"/>
              </w:numPr>
              <w:rPr>
                <w:rFonts w:eastAsia="仿宋"/>
                <w:color w:val="000000" w:themeColor="text1"/>
                <w:kern w:val="0"/>
                <w:sz w:val="24"/>
                <w14:textFill>
                  <w14:solidFill>
                    <w14:schemeClr w14:val="tx1"/>
                  </w14:solidFill>
                </w14:textFill>
              </w:rPr>
            </w:pPr>
          </w:p>
        </w:tc>
      </w:tr>
      <w:tr w14:paraId="7B45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52" w:type="dxa"/>
            <w:gridSpan w:val="8"/>
            <w:vAlign w:val="center"/>
          </w:tcPr>
          <w:p w14:paraId="66620BF5">
            <w:pPr>
              <w:numPr>
                <w:ilvl w:val="255"/>
                <w:numId w:val="0"/>
              </w:numPr>
              <w:rPr>
                <w:rFonts w:eastAsia="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请核对下列内容，确定本项目是否涉及人类遗传资源审批/备案：</w:t>
            </w:r>
          </w:p>
        </w:tc>
      </w:tr>
      <w:tr w14:paraId="22D8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0" w:type="dxa"/>
            <w:gridSpan w:val="2"/>
            <w:vAlign w:val="center"/>
          </w:tcPr>
          <w:p w14:paraId="3C0CECF3">
            <w:pPr>
              <w:numPr>
                <w:ilvl w:val="255"/>
                <w:numId w:val="0"/>
              </w:numPr>
              <w:jc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是否涉及</w:t>
            </w:r>
          </w:p>
        </w:tc>
        <w:tc>
          <w:tcPr>
            <w:tcW w:w="1207" w:type="dxa"/>
            <w:gridSpan w:val="2"/>
            <w:vAlign w:val="center"/>
          </w:tcPr>
          <w:p w14:paraId="424FCF6E">
            <w:pPr>
              <w:numPr>
                <w:ilvl w:val="255"/>
                <w:numId w:val="0"/>
              </w:numPr>
              <w:jc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涉及类别</w:t>
            </w:r>
          </w:p>
        </w:tc>
        <w:tc>
          <w:tcPr>
            <w:tcW w:w="5244" w:type="dxa"/>
            <w:gridSpan w:val="3"/>
            <w:vAlign w:val="center"/>
          </w:tcPr>
          <w:p w14:paraId="250F5F37">
            <w:pPr>
              <w:numPr>
                <w:ilvl w:val="255"/>
                <w:numId w:val="0"/>
              </w:numPr>
              <w:jc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涉及内容</w:t>
            </w:r>
          </w:p>
        </w:tc>
        <w:tc>
          <w:tcPr>
            <w:tcW w:w="1701" w:type="dxa"/>
            <w:vAlign w:val="center"/>
          </w:tcPr>
          <w:p w14:paraId="48E24CE8">
            <w:pPr>
              <w:numPr>
                <w:ilvl w:val="255"/>
                <w:numId w:val="0"/>
              </w:numPr>
              <w:jc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涉及事项说明</w:t>
            </w:r>
          </w:p>
        </w:tc>
      </w:tr>
      <w:tr w14:paraId="3B11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700" w:type="dxa"/>
            <w:vAlign w:val="center"/>
          </w:tcPr>
          <w:p w14:paraId="34F23C6A">
            <w:pPr>
              <w:spacing w:line="264" w:lineRule="auto"/>
              <w:rPr>
                <w:rFonts w:eastAsia="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是□</w:t>
            </w:r>
          </w:p>
        </w:tc>
        <w:tc>
          <w:tcPr>
            <w:tcW w:w="700" w:type="dxa"/>
            <w:vAlign w:val="center"/>
          </w:tcPr>
          <w:p w14:paraId="5E44A9FC">
            <w:pPr>
              <w:spacing w:line="264"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否□</w:t>
            </w:r>
          </w:p>
        </w:tc>
        <w:tc>
          <w:tcPr>
            <w:tcW w:w="1207" w:type="dxa"/>
            <w:gridSpan w:val="2"/>
            <w:vMerge w:val="restart"/>
            <w:vAlign w:val="center"/>
          </w:tcPr>
          <w:p w14:paraId="45B706DF">
            <w:pPr>
              <w:numPr>
                <w:ilvl w:val="255"/>
                <w:numId w:val="0"/>
              </w:numPr>
              <w:rPr>
                <w:rFonts w:eastAsia="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中国人类</w:t>
            </w:r>
            <w:r>
              <w:rPr>
                <w:rFonts w:hint="eastAsia" w:ascii="仿宋" w:hAnsi="仿宋" w:eastAsia="仿宋" w:cs="仿宋"/>
                <w:color w:val="000000" w:themeColor="text1"/>
                <w:kern w:val="0"/>
                <w:sz w:val="24"/>
                <w14:textFill>
                  <w14:solidFill>
                    <w14:schemeClr w14:val="tx1"/>
                  </w14:solidFill>
                </w14:textFill>
              </w:rPr>
              <w:t>遗传资源采集</w:t>
            </w:r>
            <w:r>
              <w:rPr>
                <w:rFonts w:ascii="仿宋" w:hAnsi="仿宋" w:eastAsia="仿宋" w:cs="仿宋"/>
                <w:color w:val="000000" w:themeColor="text1"/>
                <w:kern w:val="0"/>
                <w:sz w:val="24"/>
                <w14:textFill>
                  <w14:solidFill>
                    <w14:schemeClr w14:val="tx1"/>
                  </w14:solidFill>
                </w14:textFill>
              </w:rPr>
              <w:t>审批</w:t>
            </w:r>
          </w:p>
        </w:tc>
        <w:tc>
          <w:tcPr>
            <w:tcW w:w="5244" w:type="dxa"/>
            <w:gridSpan w:val="3"/>
            <w:vAlign w:val="center"/>
          </w:tcPr>
          <w:p w14:paraId="7F2B577F">
            <w:pPr>
              <w:numPr>
                <w:ilvl w:val="255"/>
                <w:numId w:val="0"/>
              </w:numP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重要遗传家系人类遗传资源采集活动。</w:t>
            </w:r>
          </w:p>
          <w:p w14:paraId="49EDB91E">
            <w:pPr>
              <w:numPr>
                <w:ilvl w:val="255"/>
                <w:numId w:val="0"/>
              </w:numPr>
              <w:rPr>
                <w:rFonts w:hint="eastAsia" w:eastAsia="仿宋"/>
                <w:color w:val="000000" w:themeColor="text1"/>
                <w:kern w:val="0"/>
                <w:sz w:val="24"/>
                <w:lang w:eastAsia="zh-CN"/>
                <w14:textFill>
                  <w14:solidFill>
                    <w14:schemeClr w14:val="tx1"/>
                  </w14:solidFill>
                </w14:textFill>
              </w:rPr>
            </w:pPr>
            <w:r>
              <w:rPr>
                <w:rFonts w:eastAsia="仿宋"/>
                <w:color w:val="000000" w:themeColor="text1"/>
                <w:kern w:val="0"/>
                <w:sz w:val="24"/>
                <w14:textFill>
                  <w14:solidFill>
                    <w14:schemeClr w14:val="tx1"/>
                  </w14:solidFill>
                </w14:textFill>
              </w:rPr>
              <w:t>重要遗传家系是指患有遗传性疾病、具有遗传性特殊体质或者生理特征的有血缘关系的群体，且该群体中患有遗传性疾病、具有遗传性特殊体质或者生理特征的成员涉及三代或者三代以上，高血压、糖尿病、红绿色盲、血友病等</w:t>
            </w:r>
            <w:r>
              <w:rPr>
                <w:rFonts w:hint="eastAsia" w:eastAsia="仿宋"/>
                <w:color w:val="000000" w:themeColor="text1"/>
                <w:kern w:val="0"/>
                <w:sz w:val="24"/>
                <w:lang w:val="en-US" w:eastAsia="zh-CN"/>
                <w14:textFill>
                  <w14:solidFill>
                    <w14:schemeClr w14:val="tx1"/>
                  </w14:solidFill>
                </w14:textFill>
              </w:rPr>
              <w:t>常</w:t>
            </w:r>
            <w:r>
              <w:rPr>
                <w:rFonts w:eastAsia="仿宋"/>
                <w:color w:val="000000" w:themeColor="text1"/>
                <w:kern w:val="0"/>
                <w:sz w:val="24"/>
                <w14:textFill>
                  <w14:solidFill>
                    <w14:schemeClr w14:val="tx1"/>
                  </w14:solidFill>
                </w14:textFill>
              </w:rPr>
              <w:t>见疾病不在此列</w:t>
            </w:r>
            <w:r>
              <w:rPr>
                <w:rFonts w:hint="eastAsia" w:eastAsia="仿宋"/>
                <w:color w:val="000000" w:themeColor="text1"/>
                <w:kern w:val="0"/>
                <w:sz w:val="24"/>
                <w:lang w:eastAsia="zh-CN"/>
                <w14:textFill>
                  <w14:solidFill>
                    <w14:schemeClr w14:val="tx1"/>
                  </w14:solidFill>
                </w14:textFill>
              </w:rPr>
              <w:t>。</w:t>
            </w:r>
          </w:p>
        </w:tc>
        <w:tc>
          <w:tcPr>
            <w:tcW w:w="1701" w:type="dxa"/>
            <w:vAlign w:val="center"/>
          </w:tcPr>
          <w:p w14:paraId="671FCAC7">
            <w:pPr>
              <w:numPr>
                <w:ilvl w:val="255"/>
                <w:numId w:val="0"/>
              </w:numPr>
              <w:rPr>
                <w:rFonts w:eastAsia="仿宋"/>
                <w:color w:val="000000" w:themeColor="text1"/>
                <w:kern w:val="0"/>
                <w:sz w:val="24"/>
                <w14:textFill>
                  <w14:solidFill>
                    <w14:schemeClr w14:val="tx1"/>
                  </w14:solidFill>
                </w14:textFill>
              </w:rPr>
            </w:pPr>
          </w:p>
        </w:tc>
      </w:tr>
      <w:tr w14:paraId="4542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700" w:type="dxa"/>
            <w:vAlign w:val="center"/>
          </w:tcPr>
          <w:p w14:paraId="47BB2C37">
            <w:pPr>
              <w:spacing w:line="264"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是□</w:t>
            </w:r>
          </w:p>
        </w:tc>
        <w:tc>
          <w:tcPr>
            <w:tcW w:w="700" w:type="dxa"/>
            <w:vAlign w:val="center"/>
          </w:tcPr>
          <w:p w14:paraId="1BB8A82B">
            <w:pPr>
              <w:spacing w:line="264"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否□</w:t>
            </w:r>
          </w:p>
        </w:tc>
        <w:tc>
          <w:tcPr>
            <w:tcW w:w="1207" w:type="dxa"/>
            <w:gridSpan w:val="2"/>
            <w:vMerge w:val="continue"/>
            <w:vAlign w:val="center"/>
          </w:tcPr>
          <w:p w14:paraId="19EED187">
            <w:pPr>
              <w:numPr>
                <w:ilvl w:val="255"/>
                <w:numId w:val="0"/>
              </w:numPr>
              <w:rPr>
                <w:rFonts w:ascii="仿宋" w:hAnsi="仿宋" w:eastAsia="仿宋" w:cs="仿宋"/>
                <w:color w:val="000000" w:themeColor="text1"/>
                <w:kern w:val="0"/>
                <w:sz w:val="24"/>
                <w14:textFill>
                  <w14:solidFill>
                    <w14:schemeClr w14:val="tx1"/>
                  </w14:solidFill>
                </w14:textFill>
              </w:rPr>
            </w:pPr>
          </w:p>
        </w:tc>
        <w:tc>
          <w:tcPr>
            <w:tcW w:w="5244" w:type="dxa"/>
            <w:gridSpan w:val="3"/>
            <w:vAlign w:val="center"/>
          </w:tcPr>
          <w:p w14:paraId="6D9A25F8">
            <w:pPr>
              <w:numPr>
                <w:ilvl w:val="255"/>
                <w:numId w:val="0"/>
              </w:numP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特定地区人类遗传资源采集活动。</w:t>
            </w:r>
          </w:p>
          <w:p w14:paraId="50DEB621">
            <w:pPr>
              <w:numPr>
                <w:ilvl w:val="255"/>
                <w:numId w:val="0"/>
              </w:numP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特定地区人类遗传资源是指在隔离或者特殊环境下长期生活，并具有特殊体质特征或者在生理体征方面有适应性性状发生的人类遗传资源。特定地区不以是否为少数民族聚居区为划分依据。</w:t>
            </w:r>
          </w:p>
        </w:tc>
        <w:tc>
          <w:tcPr>
            <w:tcW w:w="1701" w:type="dxa"/>
            <w:vAlign w:val="center"/>
          </w:tcPr>
          <w:p w14:paraId="5F7D4181">
            <w:pPr>
              <w:numPr>
                <w:ilvl w:val="255"/>
                <w:numId w:val="0"/>
              </w:numPr>
              <w:rPr>
                <w:rFonts w:ascii="仿宋" w:hAnsi="仿宋" w:eastAsia="仿宋" w:cs="仿宋"/>
                <w:color w:val="000000" w:themeColor="text1"/>
                <w:kern w:val="0"/>
                <w:sz w:val="24"/>
                <w14:textFill>
                  <w14:solidFill>
                    <w14:schemeClr w14:val="tx1"/>
                  </w14:solidFill>
                </w14:textFill>
              </w:rPr>
            </w:pPr>
          </w:p>
        </w:tc>
      </w:tr>
      <w:tr w14:paraId="6683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700" w:type="dxa"/>
            <w:vAlign w:val="center"/>
          </w:tcPr>
          <w:p w14:paraId="7EB83443">
            <w:pPr>
              <w:spacing w:line="264"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是□</w:t>
            </w:r>
          </w:p>
        </w:tc>
        <w:tc>
          <w:tcPr>
            <w:tcW w:w="700" w:type="dxa"/>
            <w:vAlign w:val="center"/>
          </w:tcPr>
          <w:p w14:paraId="75E8A818">
            <w:pPr>
              <w:spacing w:line="264"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否□</w:t>
            </w:r>
          </w:p>
        </w:tc>
        <w:tc>
          <w:tcPr>
            <w:tcW w:w="1207" w:type="dxa"/>
            <w:gridSpan w:val="2"/>
            <w:vMerge w:val="continue"/>
            <w:vAlign w:val="center"/>
          </w:tcPr>
          <w:p w14:paraId="40F6DF2D">
            <w:pPr>
              <w:numPr>
                <w:ilvl w:val="255"/>
                <w:numId w:val="0"/>
              </w:numPr>
              <w:rPr>
                <w:rFonts w:ascii="仿宋" w:hAnsi="仿宋" w:eastAsia="仿宋" w:cs="仿宋"/>
                <w:color w:val="000000" w:themeColor="text1"/>
                <w:kern w:val="0"/>
                <w:sz w:val="24"/>
                <w14:textFill>
                  <w14:solidFill>
                    <w14:schemeClr w14:val="tx1"/>
                  </w14:solidFill>
                </w14:textFill>
              </w:rPr>
            </w:pPr>
          </w:p>
        </w:tc>
        <w:tc>
          <w:tcPr>
            <w:tcW w:w="5244" w:type="dxa"/>
            <w:gridSpan w:val="3"/>
            <w:vAlign w:val="center"/>
          </w:tcPr>
          <w:p w14:paraId="1E95FB71">
            <w:pPr>
              <w:numPr>
                <w:ilvl w:val="255"/>
                <w:numId w:val="0"/>
              </w:numP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用于大规模人群研究且人数大于3000例的人类遗传资源采集活动。</w:t>
            </w:r>
          </w:p>
          <w:p w14:paraId="58E47149">
            <w:pPr>
              <w:numPr>
                <w:ilvl w:val="255"/>
                <w:numId w:val="0"/>
              </w:numP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大规模人群研究包括但不限于队列研究、横断面研究、临床研究、体质学研究等。为取得相关药品和医疗器械在我国上市许可的临床试验涉及的人类遗传资源采集活动不在此列，无需申请人类遗传资源采集行政许可。</w:t>
            </w:r>
          </w:p>
        </w:tc>
        <w:tc>
          <w:tcPr>
            <w:tcW w:w="1701" w:type="dxa"/>
            <w:vAlign w:val="center"/>
          </w:tcPr>
          <w:p w14:paraId="21016ABF">
            <w:pPr>
              <w:numPr>
                <w:ilvl w:val="255"/>
                <w:numId w:val="0"/>
              </w:numPr>
              <w:rPr>
                <w:rFonts w:ascii="仿宋" w:hAnsi="仿宋" w:eastAsia="仿宋" w:cs="仿宋"/>
                <w:color w:val="000000" w:themeColor="text1"/>
                <w:kern w:val="0"/>
                <w:sz w:val="24"/>
                <w14:textFill>
                  <w14:solidFill>
                    <w14:schemeClr w14:val="tx1"/>
                  </w14:solidFill>
                </w14:textFill>
              </w:rPr>
            </w:pPr>
          </w:p>
        </w:tc>
      </w:tr>
      <w:tr w14:paraId="182C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700" w:type="dxa"/>
            <w:vAlign w:val="center"/>
          </w:tcPr>
          <w:p w14:paraId="2098F086">
            <w:pPr>
              <w:spacing w:line="264"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是□</w:t>
            </w:r>
          </w:p>
        </w:tc>
        <w:tc>
          <w:tcPr>
            <w:tcW w:w="700" w:type="dxa"/>
            <w:vAlign w:val="center"/>
          </w:tcPr>
          <w:p w14:paraId="4267C64B">
            <w:pPr>
              <w:spacing w:line="264"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否□</w:t>
            </w:r>
          </w:p>
        </w:tc>
        <w:tc>
          <w:tcPr>
            <w:tcW w:w="1207" w:type="dxa"/>
            <w:gridSpan w:val="2"/>
            <w:vAlign w:val="center"/>
          </w:tcPr>
          <w:p w14:paraId="17F075A0">
            <w:pPr>
              <w:numPr>
                <w:ilvl w:val="255"/>
                <w:numId w:val="0"/>
              </w:numPr>
              <w:rPr>
                <w:rFonts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中国人类遗传资源保藏审批</w:t>
            </w:r>
          </w:p>
        </w:tc>
        <w:tc>
          <w:tcPr>
            <w:tcW w:w="5244" w:type="dxa"/>
            <w:gridSpan w:val="3"/>
            <w:vAlign w:val="center"/>
          </w:tcPr>
          <w:p w14:paraId="42EE14CD">
            <w:pPr>
              <w:numPr>
                <w:ilvl w:val="255"/>
                <w:numId w:val="0"/>
              </w:numPr>
              <w:rPr>
                <w:rFonts w:hint="eastAsia"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涉及将有合法来源的人类遗传资源保存在适宜环境条件下，保证其质量和安全，用于未来科学研究的行为需做保藏审批</w:t>
            </w:r>
            <w:r>
              <w:rPr>
                <w:rFonts w:hint="eastAsia" w:ascii="仿宋" w:hAnsi="仿宋" w:eastAsia="仿宋" w:cs="仿宋"/>
                <w:color w:val="000000" w:themeColor="text1"/>
                <w:kern w:val="0"/>
                <w:sz w:val="24"/>
                <w14:textFill>
                  <w14:solidFill>
                    <w14:schemeClr w14:val="tx1"/>
                  </w14:solidFill>
                </w14:textFill>
              </w:rPr>
              <w:t>。</w:t>
            </w:r>
          </w:p>
          <w:p w14:paraId="52CDCE94">
            <w:pPr>
              <w:numPr>
                <w:ilvl w:val="255"/>
                <w:numId w:val="0"/>
              </w:numP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不包以教学为目的、在实验室检测后按照法律法规要求或者临床研究方案约定的临时存储行为。</w:t>
            </w:r>
          </w:p>
        </w:tc>
        <w:tc>
          <w:tcPr>
            <w:tcW w:w="1701" w:type="dxa"/>
            <w:vAlign w:val="center"/>
          </w:tcPr>
          <w:p w14:paraId="4C76669D">
            <w:pPr>
              <w:numPr>
                <w:ilvl w:val="255"/>
                <w:numId w:val="0"/>
              </w:numPr>
              <w:rPr>
                <w:rFonts w:ascii="仿宋" w:hAnsi="仿宋" w:eastAsia="仿宋" w:cs="仿宋"/>
                <w:color w:val="000000" w:themeColor="text1"/>
                <w:kern w:val="0"/>
                <w:sz w:val="24"/>
                <w14:textFill>
                  <w14:solidFill>
                    <w14:schemeClr w14:val="tx1"/>
                  </w14:solidFill>
                </w14:textFill>
              </w:rPr>
            </w:pPr>
          </w:p>
        </w:tc>
      </w:tr>
      <w:tr w14:paraId="3129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700" w:type="dxa"/>
            <w:vAlign w:val="center"/>
          </w:tcPr>
          <w:p w14:paraId="2C6BF2F9">
            <w:pPr>
              <w:spacing w:line="264"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是□</w:t>
            </w:r>
          </w:p>
        </w:tc>
        <w:tc>
          <w:tcPr>
            <w:tcW w:w="700" w:type="dxa"/>
            <w:vAlign w:val="center"/>
          </w:tcPr>
          <w:p w14:paraId="0BBD7F6B">
            <w:pPr>
              <w:spacing w:line="264"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否□</w:t>
            </w:r>
          </w:p>
        </w:tc>
        <w:tc>
          <w:tcPr>
            <w:tcW w:w="1207" w:type="dxa"/>
            <w:gridSpan w:val="2"/>
            <w:vAlign w:val="center"/>
          </w:tcPr>
          <w:p w14:paraId="0F4CB994">
            <w:pPr>
              <w:numPr>
                <w:ilvl w:val="255"/>
                <w:numId w:val="0"/>
              </w:numPr>
              <w:rPr>
                <w:rFonts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中国人类遗传资源国际合作科学研究审批</w:t>
            </w:r>
          </w:p>
        </w:tc>
        <w:tc>
          <w:tcPr>
            <w:tcW w:w="5244" w:type="dxa"/>
            <w:gridSpan w:val="3"/>
            <w:vAlign w:val="center"/>
          </w:tcPr>
          <w:p w14:paraId="2911CD03">
            <w:pPr>
              <w:numPr>
                <w:ilvl w:val="255"/>
                <w:numId w:val="0"/>
              </w:numPr>
              <w:rPr>
                <w:rFonts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利用中国人类遗传资源开展的国际合作科学研究应提交审批。</w:t>
            </w:r>
          </w:p>
          <w:p w14:paraId="5C55E58E">
            <w:pPr>
              <w:numPr>
                <w:ilvl w:val="255"/>
                <w:numId w:val="0"/>
              </w:numPr>
              <w:rPr>
                <w:rFonts w:hint="eastAsia"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国际合作包括与境外组织</w:t>
            </w:r>
            <w:r>
              <w:rPr>
                <w:rFonts w:hint="eastAsia" w:ascii="仿宋" w:hAnsi="仿宋" w:eastAsia="仿宋" w:cs="仿宋"/>
                <w:color w:val="000000" w:themeColor="text1"/>
                <w:kern w:val="0"/>
                <w:sz w:val="24"/>
                <w14:textFill>
                  <w14:solidFill>
                    <w14:schemeClr w14:val="tx1"/>
                  </w14:solidFill>
                </w14:textFill>
              </w:rPr>
              <w:t>，境外组织</w:t>
            </w:r>
            <w:r>
              <w:rPr>
                <w:rFonts w:ascii="仿宋" w:hAnsi="仿宋" w:eastAsia="仿宋" w:cs="仿宋"/>
                <w:color w:val="000000" w:themeColor="text1"/>
                <w:kern w:val="0"/>
                <w:sz w:val="24"/>
                <w14:textFill>
                  <w14:solidFill>
                    <w14:schemeClr w14:val="tx1"/>
                  </w14:solidFill>
                </w14:textFill>
              </w:rPr>
              <w:t>、个人设立或者实际控制的机构开展的合作科学研究</w:t>
            </w:r>
            <w:r>
              <w:rPr>
                <w:rFonts w:hint="eastAsia" w:ascii="仿宋" w:hAnsi="仿宋" w:eastAsia="仿宋" w:cs="仿宋"/>
                <w:color w:val="000000" w:themeColor="text1"/>
                <w:kern w:val="0"/>
                <w:sz w:val="24"/>
                <w14:textFill>
                  <w14:solidFill>
                    <w14:schemeClr w14:val="tx1"/>
                  </w14:solidFill>
                </w14:textFill>
              </w:rPr>
              <w:t>。</w:t>
            </w:r>
          </w:p>
          <w:p w14:paraId="6F20F7D4">
            <w:pPr>
              <w:numPr>
                <w:ilvl w:val="255"/>
                <w:numId w:val="0"/>
              </w:numP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为取得相关药品和医疗器械在我国上市许可的临床试验涉及的探索性研究部分，应当申请人类遗传资源国际科学研究合作行政许可审批。</w:t>
            </w:r>
          </w:p>
        </w:tc>
        <w:tc>
          <w:tcPr>
            <w:tcW w:w="1701" w:type="dxa"/>
            <w:vAlign w:val="center"/>
          </w:tcPr>
          <w:p w14:paraId="77FD0A14">
            <w:pPr>
              <w:numPr>
                <w:ilvl w:val="255"/>
                <w:numId w:val="0"/>
              </w:numPr>
              <w:rPr>
                <w:rFonts w:ascii="仿宋" w:hAnsi="仿宋" w:eastAsia="仿宋" w:cs="仿宋"/>
                <w:color w:val="000000" w:themeColor="text1"/>
                <w:kern w:val="0"/>
                <w:sz w:val="24"/>
                <w14:textFill>
                  <w14:solidFill>
                    <w14:schemeClr w14:val="tx1"/>
                  </w14:solidFill>
                </w14:textFill>
              </w:rPr>
            </w:pPr>
          </w:p>
        </w:tc>
      </w:tr>
      <w:tr w14:paraId="403F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jc w:val="center"/>
        </w:trPr>
        <w:tc>
          <w:tcPr>
            <w:tcW w:w="700" w:type="dxa"/>
            <w:vAlign w:val="center"/>
          </w:tcPr>
          <w:p w14:paraId="3E65957A">
            <w:pPr>
              <w:spacing w:line="264"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是□</w:t>
            </w:r>
          </w:p>
        </w:tc>
        <w:tc>
          <w:tcPr>
            <w:tcW w:w="700" w:type="dxa"/>
            <w:vAlign w:val="center"/>
          </w:tcPr>
          <w:p w14:paraId="3500D001">
            <w:pPr>
              <w:spacing w:line="264"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否□</w:t>
            </w:r>
          </w:p>
        </w:tc>
        <w:tc>
          <w:tcPr>
            <w:tcW w:w="1207" w:type="dxa"/>
            <w:gridSpan w:val="2"/>
            <w:vAlign w:val="center"/>
          </w:tcPr>
          <w:p w14:paraId="181B2F40">
            <w:pPr>
              <w:numPr>
                <w:ilvl w:val="255"/>
                <w:numId w:val="0"/>
              </w:numPr>
              <w:rPr>
                <w:rFonts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中国人类遗传资源材料出境审批</w:t>
            </w:r>
          </w:p>
        </w:tc>
        <w:tc>
          <w:tcPr>
            <w:tcW w:w="5244" w:type="dxa"/>
            <w:gridSpan w:val="3"/>
            <w:vAlign w:val="center"/>
          </w:tcPr>
          <w:p w14:paraId="5BEDBBB6">
            <w:pPr>
              <w:numPr>
                <w:ilvl w:val="255"/>
                <w:numId w:val="0"/>
              </w:numPr>
              <w:rPr>
                <w:rFonts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利用中国人类遗传资源开展国际合作科学研究，或者因其他特殊情况确需将中国人类遗传资源材料运送、邮寄、携带出境的，应当做出境审批。</w:t>
            </w:r>
          </w:p>
          <w:p w14:paraId="70CB1B16">
            <w:pPr>
              <w:numPr>
                <w:ilvl w:val="255"/>
                <w:numId w:val="0"/>
              </w:numP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其</w:t>
            </w:r>
            <w:r>
              <w:rPr>
                <w:rFonts w:ascii="仿宋" w:hAnsi="仿宋" w:eastAsia="仿宋" w:cs="仿宋"/>
                <w:color w:val="000000" w:themeColor="text1"/>
                <w:kern w:val="0"/>
                <w:sz w:val="24"/>
                <w14:textFill>
                  <w14:solidFill>
                    <w14:schemeClr w14:val="tx1"/>
                  </w14:solidFill>
                </w14:textFill>
              </w:rPr>
              <w:t>来源应符合人类遗传资源采集审批规定的条件，并可以在国际合作科学研究申请中列明出境计划，一并提出申请。</w:t>
            </w:r>
          </w:p>
          <w:p w14:paraId="28F2D6D9">
            <w:pPr>
              <w:numPr>
                <w:ilvl w:val="255"/>
                <w:numId w:val="0"/>
              </w:numPr>
              <w:rPr>
                <w:rFonts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为临床诊疗、采供血服务、查处违法犯罪、兴奋剂检测和殡葬等活动需要，对外提供人类遗传资源材料的，依照国家相关法律法规管理，不涉及中国人类遗传资源材料出境审批。</w:t>
            </w:r>
          </w:p>
        </w:tc>
        <w:tc>
          <w:tcPr>
            <w:tcW w:w="1701" w:type="dxa"/>
            <w:vAlign w:val="center"/>
          </w:tcPr>
          <w:p w14:paraId="337552FD">
            <w:pPr>
              <w:numPr>
                <w:ilvl w:val="255"/>
                <w:numId w:val="0"/>
              </w:numPr>
              <w:rPr>
                <w:rFonts w:ascii="仿宋" w:hAnsi="仿宋" w:eastAsia="仿宋" w:cs="仿宋"/>
                <w:color w:val="000000" w:themeColor="text1"/>
                <w:kern w:val="0"/>
                <w:sz w:val="24"/>
                <w14:textFill>
                  <w14:solidFill>
                    <w14:schemeClr w14:val="tx1"/>
                  </w14:solidFill>
                </w14:textFill>
              </w:rPr>
            </w:pPr>
          </w:p>
        </w:tc>
      </w:tr>
      <w:tr w14:paraId="3170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jc w:val="center"/>
        </w:trPr>
        <w:tc>
          <w:tcPr>
            <w:tcW w:w="700" w:type="dxa"/>
            <w:vAlign w:val="center"/>
          </w:tcPr>
          <w:p w14:paraId="58060231">
            <w:pPr>
              <w:spacing w:line="264"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是□</w:t>
            </w:r>
          </w:p>
        </w:tc>
        <w:tc>
          <w:tcPr>
            <w:tcW w:w="700" w:type="dxa"/>
            <w:vAlign w:val="center"/>
          </w:tcPr>
          <w:p w14:paraId="089ED5B1">
            <w:pPr>
              <w:spacing w:line="264"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否□</w:t>
            </w:r>
          </w:p>
        </w:tc>
        <w:tc>
          <w:tcPr>
            <w:tcW w:w="1207" w:type="dxa"/>
            <w:gridSpan w:val="2"/>
            <w:vAlign w:val="center"/>
          </w:tcPr>
          <w:p w14:paraId="3737C1E7">
            <w:pPr>
              <w:numPr>
                <w:ilvl w:val="255"/>
                <w:numId w:val="0"/>
              </w:numPr>
              <w:rPr>
                <w:rFonts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中国人类遗传资源国际合作临床试验备案</w:t>
            </w:r>
          </w:p>
        </w:tc>
        <w:tc>
          <w:tcPr>
            <w:tcW w:w="5244" w:type="dxa"/>
            <w:gridSpan w:val="3"/>
            <w:vAlign w:val="center"/>
          </w:tcPr>
          <w:p w14:paraId="369C1FB8">
            <w:pPr>
              <w:numPr>
                <w:ilvl w:val="255"/>
                <w:numId w:val="0"/>
              </w:numPr>
              <w:rPr>
                <w:rFonts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以获得上市许可为目的的药物和医疗器械临床试验项目，在机构利用我国人类遗传资源开展国际合作临床试验，</w:t>
            </w:r>
            <w:r>
              <w:rPr>
                <w:rFonts w:hint="eastAsia" w:ascii="仿宋" w:hAnsi="仿宋" w:eastAsia="仿宋" w:cs="仿宋"/>
                <w:color w:val="000000" w:themeColor="text1"/>
                <w:kern w:val="0"/>
                <w:sz w:val="24"/>
                <w14:textFill>
                  <w14:solidFill>
                    <w14:schemeClr w14:val="tx1"/>
                  </w14:solidFill>
                </w14:textFill>
              </w:rPr>
              <w:t>不涉及人类遗传材料出境的，且符合下列情况之一，</w:t>
            </w:r>
            <w:r>
              <w:rPr>
                <w:rFonts w:ascii="仿宋" w:hAnsi="仿宋" w:eastAsia="仿宋" w:cs="仿宋"/>
                <w:color w:val="000000" w:themeColor="text1"/>
                <w:kern w:val="0"/>
                <w:sz w:val="24"/>
                <w14:textFill>
                  <w14:solidFill>
                    <w14:schemeClr w14:val="tx1"/>
                  </w14:solidFill>
                </w14:textFill>
              </w:rPr>
              <w:t>合作双方应在开展临床试验前将拟使用的人类遗传资源种类、数量及其用途向国务院科学技术行政部门备案</w:t>
            </w:r>
            <w:r>
              <w:rPr>
                <w:rFonts w:hint="eastAsia" w:ascii="仿宋" w:hAnsi="仿宋" w:eastAsia="仿宋" w:cs="仿宋"/>
                <w:color w:val="000000" w:themeColor="text1"/>
                <w:kern w:val="0"/>
                <w:sz w:val="24"/>
                <w14:textFill>
                  <w14:solidFill>
                    <w14:schemeClr w14:val="tx1"/>
                  </w14:solidFill>
                </w14:textFill>
              </w:rPr>
              <w:t>。</w:t>
            </w:r>
          </w:p>
          <w:p w14:paraId="68424747">
            <w:pPr>
              <w:numPr>
                <w:ilvl w:val="255"/>
                <w:numId w:val="0"/>
              </w:numPr>
              <w:rPr>
                <w:rFonts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涉及的人类遗传资源采集、检测、分析和剩余人类遗传资源材料处理等在临床医疗卫生机构内进行；</w:t>
            </w:r>
          </w:p>
          <w:p w14:paraId="27639F6D">
            <w:pPr>
              <w:numPr>
                <w:ilvl w:val="255"/>
                <w:numId w:val="0"/>
              </w:numPr>
              <w:rPr>
                <w:rFonts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涉及的人类遗传资源在临床医疗卫生机构内采集，并由相关药品和医疗器械上市许可临床试验方案指定的境内单位进行检测、分</w:t>
            </w:r>
            <w:r>
              <w:rPr>
                <w:rFonts w:hint="eastAsia" w:ascii="仿宋" w:hAnsi="仿宋" w:eastAsia="仿宋" w:cs="仿宋"/>
                <w:color w:val="000000" w:themeColor="text1"/>
                <w:kern w:val="0"/>
                <w:sz w:val="24"/>
                <w14:textFill>
                  <w14:solidFill>
                    <w14:schemeClr w14:val="tx1"/>
                  </w14:solidFill>
                </w14:textFill>
              </w:rPr>
              <w:t>析</w:t>
            </w:r>
            <w:r>
              <w:rPr>
                <w:rFonts w:ascii="仿宋" w:hAnsi="仿宋" w:eastAsia="仿宋" w:cs="仿宋"/>
                <w:color w:val="000000" w:themeColor="text1"/>
                <w:kern w:val="0"/>
                <w:sz w:val="24"/>
                <w14:textFill>
                  <w14:solidFill>
                    <w14:schemeClr w14:val="tx1"/>
                  </w14:solidFill>
                </w14:textFill>
              </w:rPr>
              <w:t>和剩余样本处理</w:t>
            </w:r>
            <w:r>
              <w:rPr>
                <w:rFonts w:hint="eastAsia" w:ascii="仿宋" w:hAnsi="仿宋" w:eastAsia="仿宋" w:cs="仿宋"/>
                <w:color w:val="000000" w:themeColor="text1"/>
                <w:kern w:val="0"/>
                <w:sz w:val="24"/>
                <w:lang w:eastAsia="zh-CN"/>
                <w14:textFill>
                  <w14:solidFill>
                    <w14:schemeClr w14:val="tx1"/>
                  </w14:solidFill>
                </w14:textFill>
              </w:rPr>
              <w:t>。</w:t>
            </w:r>
          </w:p>
        </w:tc>
        <w:tc>
          <w:tcPr>
            <w:tcW w:w="1701" w:type="dxa"/>
            <w:vAlign w:val="center"/>
          </w:tcPr>
          <w:p w14:paraId="4662FAB4">
            <w:pPr>
              <w:numPr>
                <w:ilvl w:val="255"/>
                <w:numId w:val="0"/>
              </w:numPr>
              <w:rPr>
                <w:rFonts w:ascii="仿宋" w:hAnsi="仿宋" w:eastAsia="仿宋" w:cs="仿宋"/>
                <w:color w:val="000000" w:themeColor="text1"/>
                <w:kern w:val="0"/>
                <w:sz w:val="24"/>
                <w14:textFill>
                  <w14:solidFill>
                    <w14:schemeClr w14:val="tx1"/>
                  </w14:solidFill>
                </w14:textFill>
              </w:rPr>
            </w:pPr>
          </w:p>
        </w:tc>
      </w:tr>
      <w:tr w14:paraId="2FE1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700" w:type="dxa"/>
            <w:vAlign w:val="center"/>
          </w:tcPr>
          <w:p w14:paraId="51153C12">
            <w:pPr>
              <w:spacing w:line="264"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是□</w:t>
            </w:r>
          </w:p>
        </w:tc>
        <w:tc>
          <w:tcPr>
            <w:tcW w:w="700" w:type="dxa"/>
            <w:vAlign w:val="center"/>
          </w:tcPr>
          <w:p w14:paraId="64DB4079">
            <w:pPr>
              <w:spacing w:line="264"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否□</w:t>
            </w:r>
          </w:p>
        </w:tc>
        <w:tc>
          <w:tcPr>
            <w:tcW w:w="1207" w:type="dxa"/>
            <w:gridSpan w:val="2"/>
            <w:vAlign w:val="center"/>
          </w:tcPr>
          <w:p w14:paraId="1621CEDC">
            <w:pPr>
              <w:numPr>
                <w:ilvl w:val="255"/>
                <w:numId w:val="0"/>
              </w:numPr>
              <w:rPr>
                <w:rFonts w:hint="eastAsia" w:ascii="仿宋" w:hAnsi="仿宋" w:eastAsia="仿宋" w:cs="仿宋"/>
                <w:color w:val="000000" w:themeColor="text1"/>
                <w:kern w:val="0"/>
                <w:sz w:val="24"/>
                <w:lang w:val="en-US" w:eastAsia="zh-CN"/>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中国人类遗传资源信息对外提供或开放使用</w:t>
            </w:r>
            <w:r>
              <w:rPr>
                <w:rFonts w:hint="eastAsia" w:ascii="仿宋" w:hAnsi="仿宋" w:eastAsia="仿宋" w:cs="仿宋"/>
                <w:color w:val="000000" w:themeColor="text1"/>
                <w:kern w:val="0"/>
                <w:sz w:val="24"/>
                <w:lang w:val="en-US" w:eastAsia="zh-CN"/>
                <w14:textFill>
                  <w14:solidFill>
                    <w14:schemeClr w14:val="tx1"/>
                  </w14:solidFill>
                </w14:textFill>
              </w:rPr>
              <w:t>事先报告</w:t>
            </w:r>
          </w:p>
        </w:tc>
        <w:tc>
          <w:tcPr>
            <w:tcW w:w="5244" w:type="dxa"/>
            <w:gridSpan w:val="3"/>
            <w:vAlign w:val="center"/>
          </w:tcPr>
          <w:p w14:paraId="06C9E304">
            <w:pPr>
              <w:numPr>
                <w:ilvl w:val="255"/>
                <w:numId w:val="0"/>
              </w:numPr>
              <w:rPr>
                <w:rFonts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将人类遗传资源向外国组织、个人及其设立或者实际控制的机构提供或开放使用时</w:t>
            </w:r>
            <w:r>
              <w:rPr>
                <w:rFonts w:hint="eastAsia" w:ascii="仿宋" w:hAnsi="仿宋" w:eastAsia="仿宋" w:cs="仿宋"/>
                <w:color w:val="000000" w:themeColor="text1"/>
                <w:kern w:val="0"/>
                <w:sz w:val="24"/>
                <w14:textFill>
                  <w14:solidFill>
                    <w14:schemeClr w14:val="tx1"/>
                  </w14:solidFill>
                </w14:textFill>
              </w:rPr>
              <w:t>。</w:t>
            </w:r>
            <w:r>
              <w:rPr>
                <w:rFonts w:ascii="仿宋" w:hAnsi="仿宋" w:eastAsia="仿宋" w:cs="仿宋"/>
                <w:color w:val="000000" w:themeColor="text1"/>
                <w:kern w:val="0"/>
                <w:sz w:val="24"/>
                <w14:textFill>
                  <w14:solidFill>
                    <w14:schemeClr w14:val="tx1"/>
                  </w14:solidFill>
                </w14:textFill>
              </w:rPr>
              <w:t>例如发表相关论文，境外杂志社要求提供原始数据时；研究项目为中方单位，但使用的EDC系统提供商为外方单位时。</w:t>
            </w:r>
          </w:p>
        </w:tc>
        <w:tc>
          <w:tcPr>
            <w:tcW w:w="1701" w:type="dxa"/>
            <w:vAlign w:val="center"/>
          </w:tcPr>
          <w:p w14:paraId="413AD05D">
            <w:pPr>
              <w:numPr>
                <w:ilvl w:val="255"/>
                <w:numId w:val="0"/>
              </w:numPr>
              <w:rPr>
                <w:rFonts w:ascii="仿宋" w:hAnsi="仿宋" w:eastAsia="仿宋" w:cs="仿宋"/>
                <w:color w:val="000000" w:themeColor="text1"/>
                <w:kern w:val="0"/>
                <w:sz w:val="24"/>
                <w14:textFill>
                  <w14:solidFill>
                    <w14:schemeClr w14:val="tx1"/>
                  </w14:solidFill>
                </w14:textFill>
              </w:rPr>
            </w:pPr>
          </w:p>
        </w:tc>
      </w:tr>
      <w:tr w14:paraId="6AB1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52" w:type="dxa"/>
            <w:gridSpan w:val="8"/>
            <w:vAlign w:val="center"/>
          </w:tcPr>
          <w:p w14:paraId="12337E2F">
            <w:pPr>
              <w:numPr>
                <w:ilvl w:val="255"/>
                <w:numId w:val="0"/>
              </w:numPr>
              <w:spacing w:line="288" w:lineRule="auto"/>
              <w:ind w:firstLine="240" w:firstLineChars="100"/>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申办者/CRO名称：</w:t>
            </w:r>
          </w:p>
          <w:p w14:paraId="6160C9FA">
            <w:pPr>
              <w:numPr>
                <w:ilvl w:val="255"/>
                <w:numId w:val="0"/>
              </w:numPr>
              <w:spacing w:line="288" w:lineRule="auto"/>
              <w:ind w:firstLine="240" w:firstLineChars="1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申请人签</w:t>
            </w:r>
            <w:r>
              <w:rPr>
                <w:rFonts w:hint="eastAsia" w:ascii="仿宋" w:hAnsi="仿宋" w:eastAsia="仿宋" w:cs="仿宋"/>
                <w:color w:val="000000" w:themeColor="text1"/>
                <w:kern w:val="0"/>
                <w:sz w:val="24"/>
                <w:lang w:val="en-US" w:eastAsia="zh-CN"/>
                <w14:textFill>
                  <w14:solidFill>
                    <w14:schemeClr w14:val="tx1"/>
                  </w14:solidFill>
                </w14:textFill>
              </w:rPr>
              <w:t>章</w:t>
            </w:r>
            <w:r>
              <w:rPr>
                <w:rFonts w:hint="eastAsia" w:ascii="仿宋" w:hAnsi="仿宋" w:eastAsia="仿宋" w:cs="仿宋"/>
                <w:color w:val="000000" w:themeColor="text1"/>
                <w:kern w:val="0"/>
                <w:sz w:val="24"/>
                <w14:textFill>
                  <w14:solidFill>
                    <w14:schemeClr w14:val="tx1"/>
                  </w14:solidFill>
                </w14:textFill>
              </w:rPr>
              <w:t>：                                   日期：     年   月   日</w:t>
            </w:r>
          </w:p>
        </w:tc>
      </w:tr>
    </w:tbl>
    <w:p w14:paraId="0A96AC4C">
      <w:pPr>
        <w:pStyle w:val="9"/>
        <w:widowControl/>
        <w:numPr>
          <w:ilvl w:val="255"/>
          <w:numId w:val="0"/>
        </w:numPr>
        <w:autoSpaceDE/>
        <w:autoSpaceDN/>
        <w:adjustRightInd/>
        <w:spacing w:line="560" w:lineRule="exact"/>
        <w:ind w:firstLine="560" w:firstLineChars="200"/>
        <w:jc w:val="both"/>
        <w:rPr>
          <w:rFonts w:hint="eastAsia" w:ascii="仿宋" w:hAnsi="仿宋" w:eastAsia="仿宋" w:cs="仿宋"/>
          <w:color w:val="auto"/>
          <w:kern w:val="2"/>
          <w:sz w:val="28"/>
          <w:szCs w:val="28"/>
        </w:rPr>
      </w:pPr>
    </w:p>
    <w:p w14:paraId="21906DDB">
      <w:pPr>
        <w:pStyle w:val="9"/>
        <w:widowControl/>
        <w:numPr>
          <w:ilvl w:val="255"/>
          <w:numId w:val="0"/>
        </w:numPr>
        <w:autoSpaceDE/>
        <w:autoSpaceDN/>
        <w:adjustRightInd/>
        <w:spacing w:line="560" w:lineRule="exact"/>
        <w:ind w:firstLine="560" w:firstLineChars="200"/>
        <w:jc w:val="both"/>
        <w:rPr>
          <w:rFonts w:hint="eastAsia" w:ascii="仿宋" w:hAnsi="仿宋" w:eastAsia="仿宋" w:cs="仿宋"/>
          <w:color w:val="auto"/>
          <w:kern w:val="2"/>
          <w:sz w:val="28"/>
          <w:szCs w:val="28"/>
        </w:rPr>
      </w:pPr>
    </w:p>
    <w:p w14:paraId="06BD1184">
      <w:pPr>
        <w:pStyle w:val="9"/>
        <w:widowControl/>
        <w:numPr>
          <w:ilvl w:val="255"/>
          <w:numId w:val="0"/>
        </w:numPr>
        <w:autoSpaceDE/>
        <w:autoSpaceDN/>
        <w:adjustRightInd/>
        <w:spacing w:line="560" w:lineRule="exact"/>
        <w:ind w:firstLine="560" w:firstLineChars="200"/>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注：</w:t>
      </w:r>
    </w:p>
    <w:p w14:paraId="32F1235F">
      <w:pPr>
        <w:pStyle w:val="9"/>
        <w:numPr>
          <w:ilvl w:val="0"/>
          <w:numId w:val="1"/>
        </w:numPr>
        <w:spacing w:line="560" w:lineRule="exact"/>
        <w:ind w:firstLineChars="150"/>
        <w:jc w:val="both"/>
        <w:rPr>
          <w:rFonts w:ascii="楷体" w:hAnsi="楷体" w:eastAsia="楷体" w:cs="楷体"/>
          <w:color w:val="auto"/>
          <w:kern w:val="2"/>
          <w:sz w:val="28"/>
          <w:szCs w:val="28"/>
        </w:rPr>
      </w:pPr>
      <w:r>
        <w:rPr>
          <w:rFonts w:ascii="楷体" w:hAnsi="楷体" w:eastAsia="楷体" w:cs="楷体"/>
          <w:color w:val="auto"/>
          <w:kern w:val="2"/>
          <w:sz w:val="28"/>
          <w:szCs w:val="28"/>
        </w:rPr>
        <w:t>人类遗传资源包括：</w:t>
      </w:r>
    </w:p>
    <w:p w14:paraId="03A53A3E">
      <w:pPr>
        <w:pStyle w:val="9"/>
        <w:keepNext w:val="0"/>
        <w:keepLines w:val="0"/>
        <w:pageBreakBefore w:val="0"/>
        <w:widowControl/>
        <w:numPr>
          <w:ilvl w:val="0"/>
          <w:numId w:val="2"/>
        </w:numPr>
        <w:tabs>
          <w:tab w:val="left" w:pos="0"/>
        </w:tabs>
        <w:kinsoku/>
        <w:wordWrap/>
        <w:overflowPunct/>
        <w:topLinePunct w:val="0"/>
        <w:autoSpaceDE/>
        <w:autoSpaceDN/>
        <w:bidi w:val="0"/>
        <w:adjustRightInd/>
        <w:snapToGrid/>
        <w:spacing w:line="560" w:lineRule="exact"/>
        <w:ind w:firstLine="560" w:firstLineChars="200"/>
        <w:jc w:val="both"/>
        <w:textAlignment w:val="auto"/>
        <w:rPr>
          <w:rFonts w:ascii="Times New Roman" w:hAnsi="Times New Roman" w:eastAsia="仿宋" w:cs="Times New Roman"/>
          <w:color w:val="auto"/>
          <w:kern w:val="2"/>
          <w:sz w:val="28"/>
          <w:szCs w:val="28"/>
        </w:rPr>
      </w:pPr>
      <w:r>
        <w:rPr>
          <w:rFonts w:ascii="Times New Roman" w:hAnsi="Times New Roman" w:eastAsia="仿宋" w:cs="Times New Roman"/>
          <w:color w:val="auto"/>
          <w:kern w:val="2"/>
          <w:sz w:val="28"/>
          <w:szCs w:val="28"/>
        </w:rPr>
        <w:t>人类遗传资源材料</w:t>
      </w:r>
    </w:p>
    <w:p w14:paraId="7025108F">
      <w:pPr>
        <w:pStyle w:val="9"/>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auto"/>
          <w:kern w:val="2"/>
          <w:sz w:val="28"/>
          <w:szCs w:val="28"/>
        </w:rPr>
      </w:pPr>
      <w:r>
        <w:rPr>
          <w:rFonts w:hint="eastAsia" w:ascii="仿宋" w:hAnsi="仿宋" w:eastAsia="仿宋" w:cs="仿宋"/>
          <w:color w:val="auto"/>
          <w:kern w:val="2"/>
          <w:sz w:val="28"/>
          <w:szCs w:val="28"/>
        </w:rPr>
        <w:t>含有人体基因组、基因等遗传物质的器官、组织、细胞等遗传材料。</w:t>
      </w:r>
    </w:p>
    <w:p w14:paraId="19627F27">
      <w:pPr>
        <w:pStyle w:val="9"/>
        <w:keepNext w:val="0"/>
        <w:keepLines w:val="0"/>
        <w:pageBreakBefore w:val="0"/>
        <w:widowControl/>
        <w:numPr>
          <w:ilvl w:val="0"/>
          <w:numId w:val="2"/>
        </w:numPr>
        <w:tabs>
          <w:tab w:val="left" w:pos="0"/>
        </w:tabs>
        <w:kinsoku/>
        <w:wordWrap/>
        <w:overflowPunct/>
        <w:topLinePunct w:val="0"/>
        <w:autoSpaceDE/>
        <w:autoSpaceDN/>
        <w:bidi w:val="0"/>
        <w:adjustRightInd/>
        <w:snapToGrid/>
        <w:spacing w:line="560" w:lineRule="exact"/>
        <w:ind w:firstLine="560" w:firstLineChars="200"/>
        <w:jc w:val="both"/>
        <w:textAlignment w:val="auto"/>
        <w:rPr>
          <w:rFonts w:ascii="Times New Roman" w:hAnsi="Times New Roman" w:eastAsia="仿宋" w:cs="Times New Roman"/>
          <w:color w:val="auto"/>
          <w:kern w:val="2"/>
          <w:sz w:val="28"/>
          <w:szCs w:val="28"/>
        </w:rPr>
      </w:pPr>
      <w:r>
        <w:rPr>
          <w:rFonts w:ascii="Times New Roman" w:hAnsi="Times New Roman" w:eastAsia="仿宋" w:cs="Times New Roman"/>
          <w:color w:val="auto"/>
          <w:kern w:val="2"/>
          <w:sz w:val="28"/>
          <w:szCs w:val="28"/>
        </w:rPr>
        <w:t>人类遗传资源信息</w:t>
      </w:r>
    </w:p>
    <w:p w14:paraId="1AD86D77">
      <w:pPr>
        <w:pStyle w:val="9"/>
        <w:keepNext w:val="0"/>
        <w:keepLines w:val="0"/>
        <w:pageBreakBefore w:val="0"/>
        <w:widowControl/>
        <w:numPr>
          <w:ilvl w:val="255"/>
          <w:numId w:val="0"/>
        </w:numPr>
        <w:tabs>
          <w:tab w:val="left" w:pos="0"/>
        </w:tabs>
        <w:kinsoku/>
        <w:wordWrap/>
        <w:overflowPunct/>
        <w:topLinePunct w:val="0"/>
        <w:autoSpaceDE/>
        <w:autoSpaceDN/>
        <w:bidi w:val="0"/>
        <w:adjustRightInd/>
        <w:snapToGrid/>
        <w:spacing w:line="560" w:lineRule="exact"/>
        <w:ind w:firstLine="560" w:firstLineChars="200"/>
        <w:jc w:val="left"/>
        <w:textAlignment w:val="auto"/>
        <w:outlineLvl w:val="2"/>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利用人类遗传资源材料产生的人类基因、基因组数据等信息资料，不包括临床数据、影像数据、蛋白质数据和代谢数据。</w:t>
      </w:r>
      <w:bookmarkStart w:id="1" w:name="_GoBack"/>
      <w:bookmarkEnd w:id="1"/>
    </w:p>
    <w:p w14:paraId="7AB39D5D">
      <w:pPr>
        <w:pStyle w:val="9"/>
        <w:keepNext w:val="0"/>
        <w:keepLines w:val="0"/>
        <w:pageBreakBefore w:val="0"/>
        <w:numPr>
          <w:ilvl w:val="0"/>
          <w:numId w:val="1"/>
        </w:numPr>
        <w:kinsoku/>
        <w:wordWrap/>
        <w:overflowPunct/>
        <w:topLinePunct w:val="0"/>
        <w:bidi w:val="0"/>
        <w:snapToGrid/>
        <w:spacing w:line="560" w:lineRule="exact"/>
        <w:ind w:firstLineChars="150"/>
        <w:jc w:val="both"/>
        <w:textAlignment w:val="auto"/>
        <w:rPr>
          <w:rFonts w:ascii="楷体" w:hAnsi="楷体" w:eastAsia="楷体" w:cs="楷体"/>
          <w:color w:val="auto"/>
          <w:kern w:val="2"/>
          <w:sz w:val="28"/>
          <w:szCs w:val="28"/>
        </w:rPr>
      </w:pPr>
      <w:r>
        <w:rPr>
          <w:rFonts w:ascii="楷体" w:hAnsi="楷体" w:eastAsia="楷体" w:cs="楷体"/>
          <w:color w:val="auto"/>
          <w:kern w:val="2"/>
          <w:sz w:val="28"/>
          <w:szCs w:val="28"/>
        </w:rPr>
        <w:t>※如项目实施过程中出现涉及上述类别的情况，例如：原申办者/CRO</w:t>
      </w:r>
      <w:r>
        <w:rPr>
          <w:rFonts w:hint="eastAsia" w:ascii="楷体" w:hAnsi="楷体" w:eastAsia="楷体" w:cs="楷体"/>
          <w:color w:val="auto"/>
          <w:kern w:val="2"/>
          <w:sz w:val="28"/>
          <w:szCs w:val="28"/>
          <w:lang w:val="en-US" w:eastAsia="zh-CN"/>
        </w:rPr>
        <w:t>等参与单位</w:t>
      </w:r>
      <w:r>
        <w:rPr>
          <w:rFonts w:ascii="楷体" w:hAnsi="楷体" w:eastAsia="楷体" w:cs="楷体"/>
          <w:color w:val="auto"/>
          <w:kern w:val="2"/>
          <w:sz w:val="28"/>
          <w:szCs w:val="28"/>
        </w:rPr>
        <w:t>由境内企业变为境外组织及境外组织、个人设立或者实际控制的机构等，应及时反馈机构办公室，进行人类遗传资源审批/备案。</w:t>
      </w:r>
      <w:bookmarkStart w:id="0" w:name="OLE_LINK1"/>
    </w:p>
    <w:p w14:paraId="4E8CE010">
      <w:pPr>
        <w:pStyle w:val="9"/>
        <w:keepNext w:val="0"/>
        <w:keepLines w:val="0"/>
        <w:pageBreakBefore w:val="0"/>
        <w:numPr>
          <w:ilvl w:val="0"/>
          <w:numId w:val="1"/>
        </w:numPr>
        <w:kinsoku/>
        <w:wordWrap/>
        <w:overflowPunct/>
        <w:topLinePunct w:val="0"/>
        <w:bidi w:val="0"/>
        <w:snapToGrid/>
        <w:spacing w:line="560" w:lineRule="exact"/>
        <w:ind w:firstLineChars="150"/>
        <w:jc w:val="both"/>
        <w:textAlignment w:val="auto"/>
        <w:rPr>
          <w:rFonts w:ascii="楷体" w:hAnsi="楷体" w:eastAsia="楷体" w:cs="楷体"/>
          <w:color w:val="auto"/>
          <w:kern w:val="2"/>
          <w:sz w:val="28"/>
          <w:szCs w:val="28"/>
        </w:rPr>
      </w:pPr>
      <w:r>
        <w:rPr>
          <w:rFonts w:ascii="楷体" w:hAnsi="楷体" w:eastAsia="楷体" w:cs="楷体"/>
          <w:color w:val="auto"/>
          <w:kern w:val="2"/>
          <w:sz w:val="28"/>
          <w:szCs w:val="28"/>
        </w:rPr>
        <w:t>境外组织、个人设立或者实际控制的机构包括：</w:t>
      </w:r>
    </w:p>
    <w:p w14:paraId="42F17D4D">
      <w:pPr>
        <w:pStyle w:val="9"/>
        <w:keepNext w:val="0"/>
        <w:keepLines w:val="0"/>
        <w:pageBreakBefore w:val="0"/>
        <w:numPr>
          <w:ilvl w:val="1"/>
          <w:numId w:val="1"/>
        </w:numPr>
        <w:kinsoku/>
        <w:wordWrap/>
        <w:overflowPunct/>
        <w:topLinePunct w:val="0"/>
        <w:bidi w:val="0"/>
        <w:snapToGrid/>
        <w:spacing w:line="560" w:lineRule="exact"/>
        <w:ind w:firstLine="420" w:firstLineChars="150"/>
        <w:jc w:val="both"/>
        <w:textAlignment w:val="auto"/>
        <w:rPr>
          <w:rFonts w:ascii="仿宋" w:hAnsi="仿宋" w:eastAsia="仿宋" w:cs="仿宋"/>
          <w:color w:val="auto"/>
          <w:kern w:val="2"/>
          <w:sz w:val="28"/>
          <w:szCs w:val="28"/>
        </w:rPr>
      </w:pPr>
      <w:r>
        <w:rPr>
          <w:rFonts w:hint="eastAsia" w:ascii="仿宋" w:hAnsi="仿宋" w:eastAsia="仿宋" w:cs="仿宋"/>
          <w:color w:val="auto"/>
          <w:kern w:val="2"/>
          <w:sz w:val="28"/>
          <w:szCs w:val="28"/>
        </w:rPr>
        <w:t>境外组织、个人持有或者间接持有机构百分之五十以上的股份、股权、表决权、财产份额或者其他类似权益；</w:t>
      </w:r>
    </w:p>
    <w:p w14:paraId="4E231F01">
      <w:pPr>
        <w:pStyle w:val="9"/>
        <w:keepNext w:val="0"/>
        <w:keepLines w:val="0"/>
        <w:pageBreakBefore w:val="0"/>
        <w:numPr>
          <w:ilvl w:val="1"/>
          <w:numId w:val="1"/>
        </w:numPr>
        <w:kinsoku/>
        <w:wordWrap/>
        <w:overflowPunct/>
        <w:topLinePunct w:val="0"/>
        <w:bidi w:val="0"/>
        <w:snapToGrid/>
        <w:spacing w:line="560" w:lineRule="exact"/>
        <w:ind w:firstLine="420" w:firstLineChars="150"/>
        <w:jc w:val="both"/>
        <w:textAlignment w:val="auto"/>
        <w:rPr>
          <w:rFonts w:ascii="仿宋" w:hAnsi="仿宋" w:eastAsia="仿宋" w:cs="仿宋"/>
          <w:color w:val="auto"/>
          <w:kern w:val="2"/>
          <w:sz w:val="28"/>
          <w:szCs w:val="28"/>
        </w:rPr>
      </w:pPr>
      <w:r>
        <w:rPr>
          <w:rFonts w:hint="eastAsia" w:ascii="仿宋" w:hAnsi="仿宋" w:eastAsia="仿宋" w:cs="仿宋"/>
          <w:color w:val="auto"/>
          <w:kern w:val="2"/>
          <w:sz w:val="28"/>
          <w:szCs w:val="28"/>
        </w:rPr>
        <w:t>境外组织、个人持有或者间接持有机构的股份、股权、表决权、财产份额或者其他类似权益不足百分之五十，但其所享有的表决权或者其他权益足以对机构的决策、管理等行为进行支配或者施加重大影响；</w:t>
      </w:r>
    </w:p>
    <w:p w14:paraId="4BE637C9">
      <w:pPr>
        <w:pStyle w:val="9"/>
        <w:keepNext w:val="0"/>
        <w:keepLines w:val="0"/>
        <w:pageBreakBefore w:val="0"/>
        <w:numPr>
          <w:ilvl w:val="1"/>
          <w:numId w:val="1"/>
        </w:numPr>
        <w:kinsoku/>
        <w:wordWrap/>
        <w:overflowPunct/>
        <w:topLinePunct w:val="0"/>
        <w:bidi w:val="0"/>
        <w:snapToGrid/>
        <w:spacing w:line="560" w:lineRule="exact"/>
        <w:ind w:firstLine="420" w:firstLineChars="150"/>
        <w:jc w:val="both"/>
        <w:textAlignment w:val="auto"/>
        <w:rPr>
          <w:rFonts w:ascii="仿宋" w:hAnsi="仿宋" w:eastAsia="仿宋" w:cs="仿宋"/>
          <w:color w:val="auto"/>
          <w:kern w:val="2"/>
          <w:sz w:val="28"/>
          <w:szCs w:val="28"/>
        </w:rPr>
      </w:pPr>
      <w:r>
        <w:rPr>
          <w:rFonts w:hint="eastAsia" w:ascii="仿宋" w:hAnsi="仿宋" w:eastAsia="仿宋" w:cs="仿宋"/>
          <w:color w:val="auto"/>
          <w:kern w:val="2"/>
          <w:sz w:val="28"/>
          <w:szCs w:val="28"/>
        </w:rPr>
        <w:t>境外组织、个人通过投资关系、协议或者其他安排，足以对机构的决策、管理等行为进行支配或者施加重大影响；</w:t>
      </w:r>
    </w:p>
    <w:p w14:paraId="29BA9BEE">
      <w:pPr>
        <w:pStyle w:val="9"/>
        <w:keepNext w:val="0"/>
        <w:keepLines w:val="0"/>
        <w:pageBreakBefore w:val="0"/>
        <w:numPr>
          <w:ilvl w:val="1"/>
          <w:numId w:val="1"/>
        </w:numPr>
        <w:kinsoku/>
        <w:wordWrap/>
        <w:overflowPunct/>
        <w:topLinePunct w:val="0"/>
        <w:bidi w:val="0"/>
        <w:snapToGrid/>
        <w:spacing w:line="560" w:lineRule="exact"/>
        <w:ind w:firstLine="420" w:firstLineChars="150"/>
        <w:jc w:val="both"/>
        <w:textAlignment w:val="auto"/>
        <w:rPr>
          <w:rFonts w:ascii="仿宋" w:hAnsi="仿宋" w:eastAsia="仿宋" w:cs="仿宋"/>
          <w:color w:val="auto"/>
          <w:kern w:val="2"/>
          <w:sz w:val="28"/>
          <w:szCs w:val="28"/>
        </w:rPr>
      </w:pPr>
      <w:r>
        <w:rPr>
          <w:rFonts w:hint="eastAsia" w:ascii="仿宋" w:hAnsi="仿宋" w:eastAsia="仿宋" w:cs="仿宋"/>
          <w:color w:val="auto"/>
          <w:kern w:val="2"/>
          <w:sz w:val="28"/>
          <w:szCs w:val="28"/>
        </w:rPr>
        <w:t>法律、行政法规、规章规定的其他情形。</w:t>
      </w:r>
      <w:bookmarkEnd w:id="0"/>
    </w:p>
    <w:p w14:paraId="521FACF7">
      <w:pPr>
        <w:pStyle w:val="9"/>
        <w:keepNext w:val="0"/>
        <w:keepLines w:val="0"/>
        <w:pageBreakBefore w:val="0"/>
        <w:kinsoku/>
        <w:wordWrap/>
        <w:overflowPunct/>
        <w:topLinePunct w:val="0"/>
        <w:bidi w:val="0"/>
        <w:snapToGrid/>
        <w:spacing w:line="560" w:lineRule="exact"/>
        <w:jc w:val="both"/>
        <w:textAlignment w:val="auto"/>
        <w:rPr>
          <w:rFonts w:ascii="楷体" w:hAnsi="楷体" w:eastAsia="楷体" w:cs="楷体"/>
          <w:color w:val="auto"/>
          <w:kern w:val="2"/>
          <w:sz w:val="28"/>
          <w:szCs w:val="28"/>
        </w:rPr>
      </w:pPr>
    </w:p>
    <w:p w14:paraId="7AF923B5">
      <w:pPr>
        <w:pStyle w:val="9"/>
        <w:spacing w:line="560" w:lineRule="exact"/>
        <w:jc w:val="both"/>
        <w:rPr>
          <w:rFonts w:ascii="楷体" w:hAnsi="楷体" w:eastAsia="楷体" w:cs="楷体"/>
          <w:color w:val="auto"/>
          <w:kern w:val="2"/>
          <w:sz w:val="28"/>
          <w:szCs w:val="28"/>
        </w:rPr>
      </w:pPr>
    </w:p>
    <w:sectPr>
      <w:headerReference r:id="rId3" w:type="default"/>
      <w:footerReference r:id="rId4"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5904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60AAD">
                          <w:pPr>
                            <w:pStyle w:val="4"/>
                            <w:rPr>
                              <w:rFonts w:ascii="仿宋" w:hAnsi="仿宋" w:eastAsia="仿宋" w:cs="仿宋"/>
                              <w:bCs/>
                              <w:sz w:val="28"/>
                              <w:szCs w:val="28"/>
                            </w:rPr>
                          </w:pPr>
                          <w:r>
                            <w:rPr>
                              <w:rFonts w:hint="eastAsia" w:ascii="仿宋" w:hAnsi="仿宋" w:eastAsia="仿宋" w:cs="仿宋"/>
                              <w:bCs/>
                              <w:sz w:val="28"/>
                              <w:szCs w:val="28"/>
                            </w:rPr>
                            <w:t>第</w:t>
                          </w:r>
                          <w:r>
                            <w:rPr>
                              <w:rFonts w:hint="eastAsia" w:ascii="仿宋" w:hAnsi="仿宋" w:eastAsia="仿宋" w:cs="仿宋"/>
                            </w:rPr>
                            <w:t xml:space="preserve"> </w:t>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  \* MERGEFORMAT </w:instrText>
                          </w:r>
                          <w:r>
                            <w:rPr>
                              <w:rFonts w:hint="eastAsia" w:ascii="仿宋" w:hAnsi="仿宋" w:eastAsia="仿宋" w:cs="仿宋"/>
                              <w:bCs/>
                              <w:sz w:val="28"/>
                              <w:szCs w:val="28"/>
                            </w:rPr>
                            <w:fldChar w:fldCharType="separate"/>
                          </w:r>
                          <w:r>
                            <w:rPr>
                              <w:rFonts w:ascii="仿宋" w:hAnsi="仿宋" w:eastAsia="仿宋" w:cs="仿宋"/>
                              <w:bCs/>
                              <w:sz w:val="28"/>
                              <w:szCs w:val="28"/>
                            </w:rPr>
                            <w:t>3</w:t>
                          </w:r>
                          <w:r>
                            <w:rPr>
                              <w:rFonts w:hint="eastAsia" w:ascii="仿宋" w:hAnsi="仿宋" w:eastAsia="仿宋" w:cs="仿宋"/>
                              <w:bCs/>
                              <w:sz w:val="28"/>
                              <w:szCs w:val="28"/>
                            </w:rPr>
                            <w:fldChar w:fldCharType="end"/>
                          </w:r>
                          <w:r>
                            <w:rPr>
                              <w:rFonts w:hint="eastAsia" w:ascii="仿宋" w:hAnsi="仿宋" w:eastAsia="仿宋" w:cs="仿宋"/>
                              <w:bCs/>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8860AAD">
                    <w:pPr>
                      <w:pStyle w:val="4"/>
                      <w:rPr>
                        <w:rFonts w:ascii="仿宋" w:hAnsi="仿宋" w:eastAsia="仿宋" w:cs="仿宋"/>
                        <w:bCs/>
                        <w:sz w:val="28"/>
                        <w:szCs w:val="28"/>
                      </w:rPr>
                    </w:pPr>
                    <w:r>
                      <w:rPr>
                        <w:rFonts w:hint="eastAsia" w:ascii="仿宋" w:hAnsi="仿宋" w:eastAsia="仿宋" w:cs="仿宋"/>
                        <w:bCs/>
                        <w:sz w:val="28"/>
                        <w:szCs w:val="28"/>
                      </w:rPr>
                      <w:t>第</w:t>
                    </w:r>
                    <w:r>
                      <w:rPr>
                        <w:rFonts w:hint="eastAsia" w:ascii="仿宋" w:hAnsi="仿宋" w:eastAsia="仿宋" w:cs="仿宋"/>
                      </w:rPr>
                      <w:t xml:space="preserve"> </w:t>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  \* MERGEFORMAT </w:instrText>
                    </w:r>
                    <w:r>
                      <w:rPr>
                        <w:rFonts w:hint="eastAsia" w:ascii="仿宋" w:hAnsi="仿宋" w:eastAsia="仿宋" w:cs="仿宋"/>
                        <w:bCs/>
                        <w:sz w:val="28"/>
                        <w:szCs w:val="28"/>
                      </w:rPr>
                      <w:fldChar w:fldCharType="separate"/>
                    </w:r>
                    <w:r>
                      <w:rPr>
                        <w:rFonts w:ascii="仿宋" w:hAnsi="仿宋" w:eastAsia="仿宋" w:cs="仿宋"/>
                        <w:bCs/>
                        <w:sz w:val="28"/>
                        <w:szCs w:val="28"/>
                      </w:rPr>
                      <w:t>3</w:t>
                    </w:r>
                    <w:r>
                      <w:rPr>
                        <w:rFonts w:hint="eastAsia" w:ascii="仿宋" w:hAnsi="仿宋" w:eastAsia="仿宋" w:cs="仿宋"/>
                        <w:bCs/>
                        <w:sz w:val="28"/>
                        <w:szCs w:val="28"/>
                      </w:rPr>
                      <w:fldChar w:fldCharType="end"/>
                    </w:r>
                    <w:r>
                      <w:rPr>
                        <w:rFonts w:hint="eastAsia" w:ascii="仿宋" w:hAnsi="仿宋" w:eastAsia="仿宋" w:cs="仿宋"/>
                        <w:bCs/>
                        <w:sz w:val="28"/>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C71A8">
    <w:pPr>
      <w:pStyle w:val="5"/>
      <w:keepNext w:val="0"/>
      <w:keepLines w:val="0"/>
      <w:pageBreakBefore w:val="0"/>
      <w:widowControl w:val="0"/>
      <w:pBdr>
        <w:bottom w:val="single" w:color="auto" w:sz="4" w:space="1"/>
      </w:pBdr>
      <w:kinsoku/>
      <w:wordWrap/>
      <w:overflowPunct/>
      <w:topLinePunct w:val="0"/>
      <w:bidi w:val="0"/>
      <w:adjustRightInd/>
      <w:snapToGrid w:val="0"/>
      <w:jc w:val="left"/>
      <w:textAlignment w:val="auto"/>
      <w:rPr>
        <w:rFonts w:ascii="仿宋" w:hAnsi="仿宋" w:eastAsia="仿宋" w:cs="仿宋"/>
        <w:b w:val="0"/>
        <w:bCs w:val="0"/>
        <w:sz w:val="21"/>
        <w:szCs w:val="21"/>
      </w:rPr>
    </w:pPr>
    <w:r>
      <w:rPr>
        <w:rFonts w:hint="eastAsia" w:ascii="仿宋" w:hAnsi="仿宋" w:eastAsia="仿宋" w:cs="仿宋"/>
        <w:b w:val="0"/>
        <w:bCs w:val="0"/>
        <w:sz w:val="21"/>
        <w:szCs w:val="21"/>
        <w:lang w:val="en-US" w:eastAsia="zh-CN"/>
      </w:rPr>
      <w:drawing>
        <wp:anchor distT="0" distB="0" distL="114300" distR="114300" simplePos="0" relativeHeight="251660288" behindDoc="1" locked="0" layoutInCell="1" allowOverlap="1">
          <wp:simplePos x="0" y="0"/>
          <wp:positionH relativeFrom="column">
            <wp:posOffset>4211320</wp:posOffset>
          </wp:positionH>
          <wp:positionV relativeFrom="paragraph">
            <wp:posOffset>-152400</wp:posOffset>
          </wp:positionV>
          <wp:extent cx="1475105" cy="144145"/>
          <wp:effectExtent l="0" t="0" r="10795" b="8255"/>
          <wp:wrapNone/>
          <wp:docPr id="2" name="图片 2" descr="7f4da42ceab3026bb4335103dac32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f4da42ceab3026bb4335103dac322d"/>
                  <pic:cNvPicPr>
                    <a:picLocks noChangeAspect="1"/>
                  </pic:cNvPicPr>
                </pic:nvPicPr>
                <pic:blipFill>
                  <a:blip r:embed="rId1"/>
                  <a:stretch>
                    <a:fillRect/>
                  </a:stretch>
                </pic:blipFill>
                <pic:spPr>
                  <a:xfrm>
                    <a:off x="0" y="0"/>
                    <a:ext cx="1475105" cy="144145"/>
                  </a:xfrm>
                  <a:prstGeom prst="rect">
                    <a:avLst/>
                  </a:prstGeom>
                </pic:spPr>
              </pic:pic>
            </a:graphicData>
          </a:graphic>
        </wp:anchor>
      </w:drawing>
    </w:r>
    <w:r>
      <w:rPr>
        <w:rFonts w:hint="eastAsia" w:ascii="仿宋" w:hAnsi="仿宋" w:eastAsia="仿宋" w:cs="仿宋"/>
        <w:b w:val="0"/>
        <w:bCs w:val="0"/>
        <w:sz w:val="21"/>
        <w:szCs w:val="21"/>
        <w:lang w:val="en-US" w:eastAsia="zh-CN"/>
      </w:rPr>
      <w:drawing>
        <wp:anchor distT="0" distB="0" distL="114300" distR="114300" simplePos="0" relativeHeight="251661312" behindDoc="1" locked="0" layoutInCell="1" allowOverlap="1">
          <wp:simplePos x="0" y="0"/>
          <wp:positionH relativeFrom="column">
            <wp:posOffset>-33020</wp:posOffset>
          </wp:positionH>
          <wp:positionV relativeFrom="paragraph">
            <wp:posOffset>-210820</wp:posOffset>
          </wp:positionV>
          <wp:extent cx="1592580" cy="241300"/>
          <wp:effectExtent l="0" t="0" r="7620" b="6350"/>
          <wp:wrapTight wrapText="bothSides">
            <wp:wrapPolygon>
              <wp:start x="258" y="0"/>
              <wp:lineTo x="0" y="1648"/>
              <wp:lineTo x="0" y="16484"/>
              <wp:lineTo x="258" y="19781"/>
              <wp:lineTo x="2842" y="19781"/>
              <wp:lineTo x="21445" y="19781"/>
              <wp:lineTo x="21445" y="0"/>
              <wp:lineTo x="2842" y="0"/>
              <wp:lineTo x="258" y="0"/>
            </wp:wrapPolygon>
          </wp:wrapTight>
          <wp:docPr id="3" name="图片 3" descr="C:/Users/dell/Desktop/微信图片_20241031085908.png微信图片_20241031085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dell/Desktop/微信图片_20241031085908.png微信图片_20241031085908"/>
                  <pic:cNvPicPr>
                    <a:picLocks noChangeAspect="1"/>
                  </pic:cNvPicPr>
                </pic:nvPicPr>
                <pic:blipFill>
                  <a:blip r:embed="rId2"/>
                  <a:srcRect t="80" b="80"/>
                  <a:stretch>
                    <a:fillRect/>
                  </a:stretch>
                </pic:blipFill>
                <pic:spPr>
                  <a:xfrm>
                    <a:off x="0" y="0"/>
                    <a:ext cx="1592580" cy="241300"/>
                  </a:xfrm>
                  <a:prstGeom prst="rect">
                    <a:avLst/>
                  </a:prstGeom>
                </pic:spPr>
              </pic:pic>
            </a:graphicData>
          </a:graphic>
        </wp:anchor>
      </w:drawing>
    </w:r>
    <w:r>
      <w:rPr>
        <w:rFonts w:hint="eastAsia" w:ascii="仿宋" w:hAnsi="仿宋" w:eastAsia="仿宋" w:cs="仿宋"/>
        <w:b w:val="0"/>
        <w:bCs w:val="0"/>
        <w:sz w:val="21"/>
        <w:szCs w:val="21"/>
      </w:rPr>
      <w:t>文件编码：F-JG-QX-01-CZGC-38-1-</w:t>
    </w:r>
    <w:r>
      <w:rPr>
        <w:rFonts w:hint="eastAsia" w:ascii="仿宋" w:hAnsi="仿宋" w:eastAsia="仿宋" w:cs="仿宋"/>
        <w:b w:val="0"/>
        <w:bCs w:val="0"/>
        <w:sz w:val="21"/>
        <w:szCs w:val="21"/>
        <w:lang w:val="en-US" w:eastAsia="zh-CN"/>
      </w:rPr>
      <w:t>1</w:t>
    </w:r>
    <w:r>
      <w:rPr>
        <w:rFonts w:hint="eastAsia" w:ascii="仿宋" w:hAnsi="仿宋" w:eastAsia="仿宋" w:cs="仿宋"/>
        <w:b w:val="0"/>
        <w:bCs w:val="0"/>
        <w:sz w:val="21"/>
        <w:szCs w:val="21"/>
      </w:rPr>
      <w:t xml:space="preserve"> 发布日期：</w:t>
    </w:r>
    <w:r>
      <w:rPr>
        <w:rFonts w:hint="eastAsia" w:ascii="仿宋" w:hAnsi="仿宋" w:eastAsia="仿宋" w:cs="仿宋"/>
        <w:b w:val="0"/>
        <w:bCs w:val="0"/>
        <w:sz w:val="21"/>
        <w:szCs w:val="21"/>
        <w:lang w:eastAsia="zh-CN"/>
      </w:rPr>
      <w:t>2</w:t>
    </w:r>
    <w:r>
      <w:rPr>
        <w:rFonts w:hint="eastAsia" w:ascii="仿宋" w:hAnsi="仿宋" w:eastAsia="仿宋" w:cs="仿宋"/>
        <w:b w:val="0"/>
        <w:bCs w:val="0"/>
        <w:sz w:val="21"/>
        <w:szCs w:val="21"/>
        <w:lang w:val="en-US" w:eastAsia="zh-CN"/>
      </w:rPr>
      <w:t>024</w:t>
    </w:r>
    <w:r>
      <w:rPr>
        <w:rFonts w:hint="eastAsia" w:ascii="仿宋" w:hAnsi="仿宋" w:eastAsia="仿宋" w:cs="仿宋"/>
        <w:b w:val="0"/>
        <w:bCs w:val="0"/>
        <w:sz w:val="21"/>
        <w:szCs w:val="21"/>
      </w:rPr>
      <w:t>年</w:t>
    </w:r>
    <w:r>
      <w:rPr>
        <w:rFonts w:hint="eastAsia" w:ascii="仿宋" w:hAnsi="仿宋" w:eastAsia="仿宋" w:cs="仿宋"/>
        <w:b w:val="0"/>
        <w:bCs w:val="0"/>
        <w:sz w:val="21"/>
        <w:szCs w:val="21"/>
        <w:lang w:eastAsia="zh-CN"/>
      </w:rPr>
      <w:t>9</w:t>
    </w:r>
    <w:r>
      <w:rPr>
        <w:rFonts w:hint="eastAsia" w:ascii="仿宋" w:hAnsi="仿宋" w:eastAsia="仿宋" w:cs="仿宋"/>
        <w:b w:val="0"/>
        <w:bCs w:val="0"/>
        <w:sz w:val="21"/>
        <w:szCs w:val="21"/>
      </w:rPr>
      <w:t>月</w:t>
    </w:r>
    <w:r>
      <w:rPr>
        <w:rFonts w:hint="eastAsia" w:ascii="仿宋" w:hAnsi="仿宋" w:eastAsia="仿宋" w:cs="仿宋"/>
        <w:b w:val="0"/>
        <w:bCs w:val="0"/>
        <w:sz w:val="21"/>
        <w:szCs w:val="21"/>
        <w:lang w:eastAsia="zh-CN"/>
      </w:rPr>
      <w:t>1</w:t>
    </w:r>
    <w:r>
      <w:rPr>
        <w:rFonts w:hint="eastAsia" w:ascii="仿宋" w:hAnsi="仿宋" w:eastAsia="仿宋" w:cs="仿宋"/>
        <w:b w:val="0"/>
        <w:bCs w:val="0"/>
        <w:sz w:val="21"/>
        <w:szCs w:val="21"/>
        <w:lang w:val="en-US" w:eastAsia="zh-CN"/>
      </w:rPr>
      <w:t>2</w:t>
    </w:r>
    <w:r>
      <w:rPr>
        <w:rFonts w:hint="eastAsia" w:ascii="仿宋" w:hAnsi="仿宋" w:eastAsia="仿宋" w:cs="仿宋"/>
        <w:b w:val="0"/>
        <w:bCs w:val="0"/>
        <w:sz w:val="21"/>
        <w:szCs w:val="21"/>
      </w:rPr>
      <w:t>日</w:t>
    </w:r>
    <w:r>
      <w:rPr>
        <w:rFonts w:ascii="仿宋" w:hAnsi="仿宋" w:eastAsia="仿宋" w:cs="仿宋"/>
        <w:b w:val="0"/>
        <w:bCs w:val="0"/>
        <w:sz w:val="21"/>
        <w:szCs w:val="21"/>
      </w:rPr>
      <w:t xml:space="preserve"> </w:t>
    </w:r>
    <w:r>
      <w:rPr>
        <w:rFonts w:hint="eastAsia" w:ascii="仿宋" w:hAnsi="仿宋" w:eastAsia="仿宋" w:cs="仿宋"/>
        <w:b w:val="0"/>
        <w:bCs w:val="0"/>
        <w:sz w:val="21"/>
        <w:szCs w:val="21"/>
      </w:rPr>
      <w:t>生效日期：</w:t>
    </w:r>
    <w:r>
      <w:rPr>
        <w:rFonts w:hint="eastAsia" w:ascii="仿宋" w:hAnsi="仿宋" w:eastAsia="仿宋" w:cs="仿宋"/>
        <w:b w:val="0"/>
        <w:bCs w:val="0"/>
        <w:sz w:val="21"/>
        <w:szCs w:val="21"/>
        <w:lang w:eastAsia="zh-CN"/>
      </w:rPr>
      <w:t>2</w:t>
    </w:r>
    <w:r>
      <w:rPr>
        <w:rFonts w:hint="eastAsia" w:ascii="仿宋" w:hAnsi="仿宋" w:eastAsia="仿宋" w:cs="仿宋"/>
        <w:b w:val="0"/>
        <w:bCs w:val="0"/>
        <w:sz w:val="21"/>
        <w:szCs w:val="21"/>
        <w:lang w:val="en-US" w:eastAsia="zh-CN"/>
      </w:rPr>
      <w:t>024</w:t>
    </w:r>
    <w:r>
      <w:rPr>
        <w:rFonts w:hint="eastAsia" w:ascii="仿宋" w:hAnsi="仿宋" w:eastAsia="仿宋" w:cs="仿宋"/>
        <w:b w:val="0"/>
        <w:bCs w:val="0"/>
        <w:sz w:val="21"/>
        <w:szCs w:val="21"/>
      </w:rPr>
      <w:t>年</w:t>
    </w:r>
    <w:r>
      <w:rPr>
        <w:rFonts w:hint="eastAsia" w:ascii="仿宋" w:hAnsi="仿宋" w:eastAsia="仿宋" w:cs="仿宋"/>
        <w:b w:val="0"/>
        <w:bCs w:val="0"/>
        <w:sz w:val="21"/>
        <w:szCs w:val="21"/>
        <w:lang w:eastAsia="zh-CN"/>
      </w:rPr>
      <w:t>1</w:t>
    </w:r>
    <w:r>
      <w:rPr>
        <w:rFonts w:hint="eastAsia" w:ascii="仿宋" w:hAnsi="仿宋" w:eastAsia="仿宋" w:cs="仿宋"/>
        <w:b w:val="0"/>
        <w:bCs w:val="0"/>
        <w:sz w:val="21"/>
        <w:szCs w:val="21"/>
        <w:lang w:val="en-US" w:eastAsia="zh-CN"/>
      </w:rPr>
      <w:t>0</w:t>
    </w:r>
    <w:r>
      <w:rPr>
        <w:rFonts w:hint="eastAsia" w:ascii="仿宋" w:hAnsi="仿宋" w:eastAsia="仿宋" w:cs="仿宋"/>
        <w:b w:val="0"/>
        <w:bCs w:val="0"/>
        <w:sz w:val="21"/>
        <w:szCs w:val="21"/>
      </w:rPr>
      <w:t>月</w:t>
    </w:r>
    <w:r>
      <w:rPr>
        <w:rFonts w:hint="eastAsia" w:ascii="仿宋" w:hAnsi="仿宋" w:eastAsia="仿宋" w:cs="仿宋"/>
        <w:b w:val="0"/>
        <w:bCs w:val="0"/>
        <w:sz w:val="21"/>
        <w:szCs w:val="21"/>
        <w:lang w:eastAsia="zh-CN"/>
      </w:rPr>
      <w:t>3</w:t>
    </w:r>
    <w:r>
      <w:rPr>
        <w:rFonts w:hint="eastAsia" w:ascii="仿宋" w:hAnsi="仿宋" w:eastAsia="仿宋" w:cs="仿宋"/>
        <w:b w:val="0"/>
        <w:bCs w:val="0"/>
        <w:sz w:val="21"/>
        <w:szCs w:val="21"/>
        <w:lang w:val="en-US" w:eastAsia="zh-CN"/>
      </w:rPr>
      <w:t>0</w:t>
    </w:r>
    <w:r>
      <w:rPr>
        <w:rFonts w:hint="eastAsia" w:ascii="仿宋" w:hAnsi="仿宋" w:eastAsia="仿宋" w:cs="仿宋"/>
        <w:b w:val="0"/>
        <w:bCs w:val="0"/>
        <w:sz w:val="21"/>
        <w:szCs w:val="21"/>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001A0"/>
    <w:multiLevelType w:val="multilevel"/>
    <w:tmpl w:val="B70001A0"/>
    <w:lvl w:ilvl="0" w:tentative="0">
      <w:start w:val="1"/>
      <w:numFmt w:val="chineseCounting"/>
      <w:suff w:val="nothing"/>
      <w:lvlText w:val="（%1）"/>
      <w:lvlJc w:val="left"/>
      <w:pPr>
        <w:ind w:left="0" w:firstLine="420"/>
      </w:pPr>
      <w:rPr>
        <w:rFonts w:hint="eastAsia" w:ascii="楷体" w:hAnsi="楷体" w:eastAsia="楷体" w:cs="楷体"/>
      </w:rPr>
    </w:lvl>
    <w:lvl w:ilvl="1" w:tentative="0">
      <w:start w:val="1"/>
      <w:numFmt w:val="decimal"/>
      <w:suff w:val="nothing"/>
      <w:lvlText w:val="%2．"/>
      <w:lvlJc w:val="left"/>
      <w:pPr>
        <w:ind w:left="0" w:firstLine="420"/>
      </w:pPr>
      <w:rPr>
        <w:rFonts w:hint="default" w:ascii="仿宋" w:hAnsi="仿宋" w:eastAsia="仿宋" w:cs="仿宋"/>
      </w:rPr>
    </w:lvl>
    <w:lvl w:ilvl="2" w:tentative="0">
      <w:start w:val="1"/>
      <w:numFmt w:val="decimal"/>
      <w:suff w:val="nothing"/>
      <w:lvlText w:val="（%3）"/>
      <w:lvlJc w:val="left"/>
      <w:pPr>
        <w:ind w:left="0" w:firstLine="420"/>
      </w:pPr>
      <w:rPr>
        <w:rFonts w:hint="eastAsia" w:ascii="楷体" w:hAnsi="楷体" w:eastAsia="楷体" w:cs="楷体"/>
      </w:rPr>
    </w:lvl>
    <w:lvl w:ilvl="3" w:tentative="0">
      <w:start w:val="1"/>
      <w:numFmt w:val="decimalEnclosedCircleChinese"/>
      <w:suff w:val="nothing"/>
      <w:lvlText w:val="%4"/>
      <w:lvlJc w:val="left"/>
      <w:pPr>
        <w:ind w:left="0" w:firstLine="420"/>
      </w:pPr>
      <w:rPr>
        <w:rFonts w:hint="eastAsia" w:ascii="楷体" w:hAnsi="楷体" w:eastAsia="楷体" w:cs="楷体"/>
      </w:rPr>
    </w:lvl>
    <w:lvl w:ilvl="4" w:tentative="0">
      <w:start w:val="1"/>
      <w:numFmt w:val="decimal"/>
      <w:suff w:val="nothing"/>
      <w:lvlText w:val="%5）"/>
      <w:lvlJc w:val="left"/>
      <w:pPr>
        <w:ind w:left="0" w:firstLine="420"/>
      </w:pPr>
      <w:rPr>
        <w:rFonts w:hint="eastAsia" w:ascii="楷体" w:hAnsi="楷体" w:eastAsia="楷体" w:cs="楷体"/>
      </w:rPr>
    </w:lvl>
    <w:lvl w:ilvl="5" w:tentative="0">
      <w:start w:val="1"/>
      <w:numFmt w:val="lowerLetter"/>
      <w:suff w:val="nothing"/>
      <w:lvlText w:val="%6．"/>
      <w:lvlJc w:val="left"/>
      <w:pPr>
        <w:ind w:left="0" w:firstLine="420"/>
      </w:pPr>
      <w:rPr>
        <w:rFonts w:hint="eastAsia" w:ascii="楷体" w:hAnsi="楷体" w:eastAsia="楷体" w:cs="楷体"/>
      </w:rPr>
    </w:lvl>
    <w:lvl w:ilvl="6" w:tentative="0">
      <w:start w:val="1"/>
      <w:numFmt w:val="lowerLetter"/>
      <w:suff w:val="nothing"/>
      <w:lvlText w:val="%7）"/>
      <w:lvlJc w:val="left"/>
      <w:pPr>
        <w:ind w:left="0" w:firstLine="420"/>
      </w:pPr>
      <w:rPr>
        <w:rFonts w:hint="eastAsia" w:ascii="楷体" w:hAnsi="楷体" w:eastAsia="楷体" w:cs="楷体"/>
      </w:rPr>
    </w:lvl>
    <w:lvl w:ilvl="7" w:tentative="0">
      <w:start w:val="1"/>
      <w:numFmt w:val="lowerRoman"/>
      <w:suff w:val="nothing"/>
      <w:lvlText w:val="%8．"/>
      <w:lvlJc w:val="left"/>
      <w:pPr>
        <w:ind w:left="0" w:firstLine="420"/>
      </w:pPr>
      <w:rPr>
        <w:rFonts w:hint="eastAsia" w:ascii="楷体" w:hAnsi="楷体" w:eastAsia="楷体" w:cs="楷体"/>
      </w:rPr>
    </w:lvl>
    <w:lvl w:ilvl="8" w:tentative="0">
      <w:start w:val="1"/>
      <w:numFmt w:val="lowerRoman"/>
      <w:suff w:val="nothing"/>
      <w:lvlText w:val="%9）"/>
      <w:lvlJc w:val="left"/>
      <w:pPr>
        <w:ind w:left="0" w:firstLine="420"/>
      </w:pPr>
      <w:rPr>
        <w:rFonts w:hint="eastAsia" w:ascii="楷体" w:hAnsi="楷体" w:eastAsia="楷体" w:cs="楷体"/>
      </w:rPr>
    </w:lvl>
  </w:abstractNum>
  <w:abstractNum w:abstractNumId="1">
    <w:nsid w:val="DB863BAC"/>
    <w:multiLevelType w:val="singleLevel"/>
    <w:tmpl w:val="DB863BAC"/>
    <w:lvl w:ilvl="0" w:tentative="0">
      <w:start w:val="1"/>
      <w:numFmt w:val="decimal"/>
      <w:suff w:val="nothing"/>
      <w:lvlText w:val="%1．"/>
      <w:lvlJc w:val="left"/>
      <w:pPr>
        <w:ind w:left="0" w:firstLine="400"/>
      </w:pPr>
      <w:rPr>
        <w:rFonts w:hint="default" w:ascii="仿宋" w:hAnsi="仿宋" w:eastAsia="仿宋" w:cs="仿宋"/>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ZTdjNmYyOWFlYWY2YmVhMDBmZjI3ODM0MWI4MWQifQ=="/>
    <w:docVar w:name="KSO_WPS_MARK_KEY" w:val="27ac6a63-8cdf-4837-93e2-2deda497946d"/>
  </w:docVars>
  <w:rsids>
    <w:rsidRoot w:val="0E0C237F"/>
    <w:rsid w:val="00490F46"/>
    <w:rsid w:val="008A6777"/>
    <w:rsid w:val="00E11184"/>
    <w:rsid w:val="025C1016"/>
    <w:rsid w:val="03E56A12"/>
    <w:rsid w:val="04222D8E"/>
    <w:rsid w:val="04793E7D"/>
    <w:rsid w:val="05BF4C39"/>
    <w:rsid w:val="097906FF"/>
    <w:rsid w:val="0ABC0D59"/>
    <w:rsid w:val="0BAC5360"/>
    <w:rsid w:val="0E0C237F"/>
    <w:rsid w:val="10DE353E"/>
    <w:rsid w:val="11561356"/>
    <w:rsid w:val="124F1D83"/>
    <w:rsid w:val="1277465D"/>
    <w:rsid w:val="12C25E51"/>
    <w:rsid w:val="132847B2"/>
    <w:rsid w:val="141E524B"/>
    <w:rsid w:val="156926D6"/>
    <w:rsid w:val="1A8C400A"/>
    <w:rsid w:val="1B151874"/>
    <w:rsid w:val="1B530817"/>
    <w:rsid w:val="1B903686"/>
    <w:rsid w:val="1BBA1125"/>
    <w:rsid w:val="1BDE2644"/>
    <w:rsid w:val="1C9C79D6"/>
    <w:rsid w:val="1EB77B79"/>
    <w:rsid w:val="1F713C08"/>
    <w:rsid w:val="1F854330"/>
    <w:rsid w:val="20296C34"/>
    <w:rsid w:val="204333BD"/>
    <w:rsid w:val="20725B53"/>
    <w:rsid w:val="20B17E5B"/>
    <w:rsid w:val="229B128E"/>
    <w:rsid w:val="23E02DEF"/>
    <w:rsid w:val="245320CC"/>
    <w:rsid w:val="249D141C"/>
    <w:rsid w:val="25497AEB"/>
    <w:rsid w:val="26B24DF9"/>
    <w:rsid w:val="28B52E72"/>
    <w:rsid w:val="290457A6"/>
    <w:rsid w:val="29466F18"/>
    <w:rsid w:val="2BAA32CD"/>
    <w:rsid w:val="2BF25CAC"/>
    <w:rsid w:val="2CD62A28"/>
    <w:rsid w:val="2D3227EF"/>
    <w:rsid w:val="2E612B18"/>
    <w:rsid w:val="2E785326"/>
    <w:rsid w:val="2F4F3E22"/>
    <w:rsid w:val="30780AB2"/>
    <w:rsid w:val="317128DF"/>
    <w:rsid w:val="31C0736A"/>
    <w:rsid w:val="31D40F72"/>
    <w:rsid w:val="331C1F78"/>
    <w:rsid w:val="33376EF8"/>
    <w:rsid w:val="33D740F0"/>
    <w:rsid w:val="34896DB5"/>
    <w:rsid w:val="353D49BC"/>
    <w:rsid w:val="371F21FC"/>
    <w:rsid w:val="37362DA2"/>
    <w:rsid w:val="37F87E46"/>
    <w:rsid w:val="396014D3"/>
    <w:rsid w:val="3AA03D3A"/>
    <w:rsid w:val="3D006466"/>
    <w:rsid w:val="3E4405D4"/>
    <w:rsid w:val="3F1A0FB4"/>
    <w:rsid w:val="3F1E7746"/>
    <w:rsid w:val="40812326"/>
    <w:rsid w:val="44093E52"/>
    <w:rsid w:val="44F434EC"/>
    <w:rsid w:val="45E70B63"/>
    <w:rsid w:val="47401F23"/>
    <w:rsid w:val="483E2DB0"/>
    <w:rsid w:val="486A57A6"/>
    <w:rsid w:val="48BF4AE2"/>
    <w:rsid w:val="492108C6"/>
    <w:rsid w:val="49A55B2B"/>
    <w:rsid w:val="4A9546D7"/>
    <w:rsid w:val="4B271DE1"/>
    <w:rsid w:val="4BC114B6"/>
    <w:rsid w:val="4DE90850"/>
    <w:rsid w:val="4E564C83"/>
    <w:rsid w:val="51FE294B"/>
    <w:rsid w:val="52E77A54"/>
    <w:rsid w:val="52E9339F"/>
    <w:rsid w:val="52F15388"/>
    <w:rsid w:val="53353394"/>
    <w:rsid w:val="53C40A96"/>
    <w:rsid w:val="569D7B4A"/>
    <w:rsid w:val="57C378D2"/>
    <w:rsid w:val="593908DE"/>
    <w:rsid w:val="5CDA4186"/>
    <w:rsid w:val="5CDF12FD"/>
    <w:rsid w:val="5CE46DB3"/>
    <w:rsid w:val="5E77229B"/>
    <w:rsid w:val="5EB6613C"/>
    <w:rsid w:val="5F711F16"/>
    <w:rsid w:val="5FE1582B"/>
    <w:rsid w:val="60F17CF0"/>
    <w:rsid w:val="61572249"/>
    <w:rsid w:val="61D24B0F"/>
    <w:rsid w:val="624E5AC5"/>
    <w:rsid w:val="62A47617"/>
    <w:rsid w:val="640A4FF7"/>
    <w:rsid w:val="66DF7510"/>
    <w:rsid w:val="677855D8"/>
    <w:rsid w:val="683747EF"/>
    <w:rsid w:val="68683D96"/>
    <w:rsid w:val="6C6C6A21"/>
    <w:rsid w:val="70074E3A"/>
    <w:rsid w:val="709C3000"/>
    <w:rsid w:val="717A5DDC"/>
    <w:rsid w:val="725B321B"/>
    <w:rsid w:val="73924EBE"/>
    <w:rsid w:val="74307324"/>
    <w:rsid w:val="762A6F04"/>
    <w:rsid w:val="76516E0F"/>
    <w:rsid w:val="769D3E02"/>
    <w:rsid w:val="76E97048"/>
    <w:rsid w:val="7959376B"/>
    <w:rsid w:val="7A5C705D"/>
    <w:rsid w:val="7ABD2CC5"/>
    <w:rsid w:val="7B1B23B6"/>
    <w:rsid w:val="7F2A3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仿宋_GB2312" w:hAnsi="宋体" w:eastAsia="仿宋_GB2312" w:cs="宋体"/>
      <w:color w:val="000000"/>
      <w:kern w:val="0"/>
      <w:sz w:val="30"/>
      <w:szCs w:val="30"/>
    </w:rPr>
  </w:style>
  <w:style w:type="paragraph" w:styleId="3">
    <w:name w:val="Balloon Text"/>
    <w:basedOn w:val="1"/>
    <w:link w:val="10"/>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autoRedefine/>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10">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1830</Words>
  <Characters>1854</Characters>
  <Lines>15</Lines>
  <Paragraphs>4</Paragraphs>
  <TotalTime>1</TotalTime>
  <ScaleCrop>false</ScaleCrop>
  <LinksUpToDate>false</LinksUpToDate>
  <CharactersWithSpaces>1902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2019-08-07T10:10:00Z</dcterms:created>
  <dc:creator>俊伟</dc:creator>
  <cp:lastModifiedBy>机构办2</cp:lastModifiedBy>
  <dcterms:modified xsi:type="dcterms:W3CDTF">2025-06-03T02:21:25Z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DA2CF6D07AD148FEA8411F1CFD808D28_13</vt:lpwstr>
  </property>
  <property fmtid="{D5CDD505-2E9C-101B-9397-08002B2CF9AE}" pid="4" name="KSOTemplateDocerSaveRecord">
    <vt:lpwstr>eyJoZGlkIjoiMDVhZTdjNmYyOWFlYWY2YmVhMDBmZjI3ODM0MWI4MWQiLCJ1c2VySWQiOiIyMjczNjYzODAifQ==</vt:lpwstr>
  </property>
</Properties>
</file>