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443A8">
      <w:pPr>
        <w:spacing w:line="360" w:lineRule="auto"/>
        <w:ind w:firstLine="420" w:firstLineChars="200"/>
        <w:rPr>
          <w:rFonts w:hint="eastAsia" w:eastAsiaTheme="minorEastAsia"/>
          <w:color w:val="auto"/>
          <w:highlight w:val="none"/>
          <w:lang w:eastAsia="zh-CN"/>
        </w:rPr>
      </w:pPr>
    </w:p>
    <w:p w14:paraId="3A6458A0">
      <w:pPr>
        <w:spacing w:line="360" w:lineRule="auto"/>
        <w:ind w:firstLine="420" w:firstLineChars="200"/>
        <w:rPr>
          <w:color w:val="auto"/>
          <w:highlight w:val="none"/>
        </w:rPr>
      </w:pPr>
    </w:p>
    <w:p w14:paraId="36A8CEBD">
      <w:pPr>
        <w:spacing w:line="360" w:lineRule="auto"/>
        <w:ind w:firstLine="420" w:firstLineChars="200"/>
        <w:rPr>
          <w:color w:val="auto"/>
          <w:highlight w:val="none"/>
        </w:rPr>
      </w:pPr>
    </w:p>
    <w:p w14:paraId="050FEF9F">
      <w:pPr>
        <w:spacing w:line="360" w:lineRule="auto"/>
        <w:ind w:firstLine="420" w:firstLineChars="200"/>
        <w:rPr>
          <w:color w:val="auto"/>
          <w:highlight w:val="none"/>
        </w:rPr>
      </w:pPr>
    </w:p>
    <w:p w14:paraId="716EC6ED">
      <w:pPr>
        <w:jc w:val="center"/>
        <w:rPr>
          <w:b/>
          <w:color w:val="auto"/>
          <w:sz w:val="30"/>
          <w:szCs w:val="30"/>
          <w:highlight w:val="none"/>
        </w:rPr>
      </w:pPr>
      <w:r>
        <w:rPr>
          <w:rFonts w:hint="eastAsia"/>
          <w:b/>
          <w:color w:val="auto"/>
          <w:sz w:val="44"/>
          <w:szCs w:val="44"/>
          <w:highlight w:val="none"/>
        </w:rPr>
        <w:t>疫苗安全管理平台2025年度维护项目</w:t>
      </w:r>
    </w:p>
    <w:p w14:paraId="41D25501">
      <w:pPr>
        <w:jc w:val="center"/>
        <w:rPr>
          <w:rFonts w:hint="default" w:eastAsiaTheme="minorEastAsia"/>
          <w:b/>
          <w:color w:val="auto"/>
          <w:sz w:val="30"/>
          <w:szCs w:val="30"/>
          <w:highlight w:val="none"/>
          <w:lang w:val="en-US" w:eastAsia="zh-CN"/>
        </w:rPr>
      </w:pPr>
      <w:r>
        <w:rPr>
          <w:rFonts w:hint="eastAsia"/>
          <w:b/>
          <w:color w:val="auto"/>
          <w:sz w:val="30"/>
          <w:szCs w:val="30"/>
          <w:highlight w:val="none"/>
        </w:rPr>
        <w:t>项目编号：</w:t>
      </w:r>
      <w:r>
        <w:rPr>
          <w:b/>
          <w:color w:val="auto"/>
          <w:sz w:val="30"/>
          <w:szCs w:val="30"/>
          <w:highlight w:val="none"/>
        </w:rPr>
        <w:t xml:space="preserve"> BACDCCG202</w:t>
      </w:r>
      <w:r>
        <w:rPr>
          <w:rFonts w:hint="eastAsia"/>
          <w:b/>
          <w:color w:val="auto"/>
          <w:sz w:val="30"/>
          <w:szCs w:val="30"/>
          <w:highlight w:val="none"/>
          <w:lang w:val="en-US" w:eastAsia="zh-CN"/>
        </w:rPr>
        <w:t>5</w:t>
      </w:r>
      <w:r>
        <w:rPr>
          <w:b/>
          <w:color w:val="auto"/>
          <w:sz w:val="30"/>
          <w:szCs w:val="30"/>
          <w:highlight w:val="none"/>
        </w:rPr>
        <w:t>0</w:t>
      </w:r>
      <w:r>
        <w:rPr>
          <w:rFonts w:hint="eastAsia"/>
          <w:b/>
          <w:color w:val="auto"/>
          <w:sz w:val="30"/>
          <w:szCs w:val="30"/>
          <w:highlight w:val="none"/>
          <w:lang w:val="en-US" w:eastAsia="zh-CN"/>
        </w:rPr>
        <w:t>04</w:t>
      </w:r>
    </w:p>
    <w:p w14:paraId="3D13D836">
      <w:pPr>
        <w:spacing w:line="360" w:lineRule="auto"/>
        <w:ind w:firstLine="420" w:firstLineChars="200"/>
        <w:rPr>
          <w:color w:val="auto"/>
          <w:highlight w:val="none"/>
        </w:rPr>
      </w:pPr>
    </w:p>
    <w:p w14:paraId="3D5A6915">
      <w:pPr>
        <w:spacing w:line="360" w:lineRule="auto"/>
        <w:ind w:firstLine="420" w:firstLineChars="200"/>
        <w:rPr>
          <w:color w:val="auto"/>
          <w:highlight w:val="none"/>
        </w:rPr>
      </w:pPr>
    </w:p>
    <w:p w14:paraId="507E1FD2">
      <w:pPr>
        <w:spacing w:line="360" w:lineRule="auto"/>
        <w:ind w:firstLine="420" w:firstLineChars="200"/>
        <w:rPr>
          <w:color w:val="auto"/>
          <w:highlight w:val="none"/>
        </w:rPr>
      </w:pPr>
    </w:p>
    <w:p w14:paraId="1197A949">
      <w:pPr>
        <w:spacing w:line="360" w:lineRule="auto"/>
        <w:ind w:firstLine="420" w:firstLineChars="200"/>
        <w:rPr>
          <w:color w:val="auto"/>
          <w:highlight w:val="none"/>
        </w:rPr>
      </w:pPr>
    </w:p>
    <w:p w14:paraId="024621E0">
      <w:pPr>
        <w:spacing w:line="360" w:lineRule="auto"/>
        <w:ind w:firstLine="420" w:firstLineChars="200"/>
        <w:rPr>
          <w:color w:val="auto"/>
          <w:highlight w:val="none"/>
        </w:rPr>
      </w:pPr>
    </w:p>
    <w:p w14:paraId="578E455F">
      <w:pPr>
        <w:spacing w:line="360" w:lineRule="auto"/>
        <w:ind w:firstLine="420" w:firstLineChars="200"/>
        <w:rPr>
          <w:color w:val="auto"/>
          <w:highlight w:val="none"/>
        </w:rPr>
      </w:pPr>
    </w:p>
    <w:p w14:paraId="080833CB">
      <w:pPr>
        <w:spacing w:line="360" w:lineRule="auto"/>
        <w:jc w:val="center"/>
        <w:rPr>
          <w:b/>
          <w:color w:val="auto"/>
          <w:sz w:val="72"/>
          <w:szCs w:val="72"/>
          <w:highlight w:val="none"/>
        </w:rPr>
      </w:pPr>
      <w:r>
        <w:rPr>
          <w:rFonts w:hint="eastAsia"/>
          <w:b/>
          <w:color w:val="auto"/>
          <w:sz w:val="72"/>
          <w:szCs w:val="72"/>
          <w:highlight w:val="none"/>
        </w:rPr>
        <w:t>招标文件</w:t>
      </w:r>
    </w:p>
    <w:p w14:paraId="3DB7BAE7">
      <w:pPr>
        <w:spacing w:line="360" w:lineRule="auto"/>
        <w:ind w:firstLine="420" w:firstLineChars="200"/>
        <w:rPr>
          <w:color w:val="auto"/>
          <w:highlight w:val="none"/>
        </w:rPr>
      </w:pPr>
    </w:p>
    <w:p w14:paraId="4C8A06AF">
      <w:pPr>
        <w:spacing w:line="360" w:lineRule="auto"/>
        <w:ind w:firstLine="420" w:firstLineChars="200"/>
        <w:rPr>
          <w:color w:val="auto"/>
          <w:highlight w:val="none"/>
        </w:rPr>
      </w:pPr>
    </w:p>
    <w:p w14:paraId="662F4E73">
      <w:pPr>
        <w:spacing w:line="360" w:lineRule="auto"/>
        <w:ind w:firstLine="420" w:firstLineChars="200"/>
        <w:rPr>
          <w:color w:val="auto"/>
          <w:highlight w:val="none"/>
        </w:rPr>
      </w:pPr>
    </w:p>
    <w:p w14:paraId="3FE17AAD">
      <w:pPr>
        <w:spacing w:line="360" w:lineRule="auto"/>
        <w:ind w:firstLine="420" w:firstLineChars="200"/>
        <w:rPr>
          <w:color w:val="auto"/>
          <w:highlight w:val="none"/>
        </w:rPr>
      </w:pPr>
    </w:p>
    <w:p w14:paraId="482C2413">
      <w:pPr>
        <w:spacing w:line="360" w:lineRule="auto"/>
        <w:ind w:firstLine="420" w:firstLineChars="200"/>
        <w:rPr>
          <w:color w:val="auto"/>
          <w:highlight w:val="none"/>
        </w:rPr>
      </w:pPr>
    </w:p>
    <w:p w14:paraId="6070D5F3">
      <w:pPr>
        <w:spacing w:line="360" w:lineRule="auto"/>
        <w:rPr>
          <w:color w:val="auto"/>
          <w:highlight w:val="none"/>
        </w:rPr>
      </w:pPr>
    </w:p>
    <w:p w14:paraId="63CCBE71">
      <w:pPr>
        <w:spacing w:line="360" w:lineRule="auto"/>
        <w:rPr>
          <w:color w:val="auto"/>
          <w:highlight w:val="none"/>
        </w:rPr>
      </w:pPr>
    </w:p>
    <w:p w14:paraId="40B2D5DC">
      <w:pPr>
        <w:spacing w:line="360" w:lineRule="auto"/>
        <w:ind w:firstLine="420" w:firstLineChars="200"/>
        <w:rPr>
          <w:color w:val="auto"/>
          <w:highlight w:val="none"/>
        </w:rPr>
      </w:pPr>
    </w:p>
    <w:p w14:paraId="2975D251">
      <w:pPr>
        <w:spacing w:line="360" w:lineRule="auto"/>
        <w:jc w:val="center"/>
        <w:rPr>
          <w:rFonts w:hint="eastAsia"/>
          <w:b/>
          <w:color w:val="auto"/>
          <w:sz w:val="30"/>
          <w:szCs w:val="30"/>
          <w:highlight w:val="none"/>
        </w:rPr>
      </w:pPr>
      <w:r>
        <w:rPr>
          <w:rFonts w:hint="eastAsia"/>
          <w:b/>
          <w:color w:val="auto"/>
          <w:sz w:val="30"/>
          <w:szCs w:val="30"/>
          <w:highlight w:val="none"/>
        </w:rPr>
        <w:t>深圳市宝安区疾病预防控制中心</w:t>
      </w:r>
    </w:p>
    <w:p w14:paraId="27C32679">
      <w:pPr>
        <w:spacing w:line="360" w:lineRule="auto"/>
        <w:jc w:val="center"/>
        <w:rPr>
          <w:rFonts w:hint="eastAsia" w:eastAsiaTheme="minorEastAsia"/>
          <w:b/>
          <w:color w:val="auto"/>
          <w:sz w:val="30"/>
          <w:szCs w:val="30"/>
          <w:highlight w:val="none"/>
          <w:lang w:eastAsia="zh-CN"/>
        </w:rPr>
      </w:pPr>
      <w:r>
        <w:rPr>
          <w:rFonts w:hint="eastAsia"/>
          <w:b/>
          <w:color w:val="auto"/>
          <w:sz w:val="30"/>
          <w:szCs w:val="30"/>
          <w:highlight w:val="none"/>
          <w:lang w:eastAsia="zh-CN"/>
        </w:rPr>
        <w:t>（</w:t>
      </w:r>
      <w:r>
        <w:rPr>
          <w:rFonts w:hint="eastAsia"/>
          <w:b/>
          <w:color w:val="auto"/>
          <w:sz w:val="30"/>
          <w:szCs w:val="30"/>
          <w:highlight w:val="none"/>
          <w:lang w:val="en-US" w:eastAsia="zh-CN"/>
        </w:rPr>
        <w:t>深圳市宝安区卫生监督所</w:t>
      </w:r>
      <w:r>
        <w:rPr>
          <w:rFonts w:hint="eastAsia"/>
          <w:b/>
          <w:color w:val="auto"/>
          <w:sz w:val="30"/>
          <w:szCs w:val="30"/>
          <w:highlight w:val="none"/>
          <w:lang w:eastAsia="zh-CN"/>
        </w:rPr>
        <w:t>）</w:t>
      </w:r>
    </w:p>
    <w:p w14:paraId="04A7C9BA">
      <w:pPr>
        <w:spacing w:line="360" w:lineRule="auto"/>
        <w:jc w:val="center"/>
        <w:rPr>
          <w:b/>
          <w:color w:val="auto"/>
          <w:sz w:val="30"/>
          <w:szCs w:val="30"/>
          <w:highlight w:val="none"/>
        </w:rPr>
      </w:pPr>
      <w:r>
        <w:rPr>
          <w:rFonts w:hint="eastAsia"/>
          <w:b/>
          <w:color w:val="auto"/>
          <w:sz w:val="30"/>
          <w:szCs w:val="30"/>
          <w:highlight w:val="none"/>
        </w:rPr>
        <w:t>二〇二</w:t>
      </w:r>
      <w:r>
        <w:rPr>
          <w:rFonts w:hint="eastAsia"/>
          <w:b/>
          <w:color w:val="auto"/>
          <w:sz w:val="30"/>
          <w:szCs w:val="30"/>
          <w:highlight w:val="none"/>
          <w:lang w:val="en-US" w:eastAsia="zh-CN"/>
        </w:rPr>
        <w:t>五</w:t>
      </w:r>
      <w:r>
        <w:rPr>
          <w:rFonts w:hint="eastAsia"/>
          <w:b/>
          <w:color w:val="auto"/>
          <w:sz w:val="30"/>
          <w:szCs w:val="30"/>
          <w:highlight w:val="none"/>
        </w:rPr>
        <w:t>年</w:t>
      </w:r>
      <w:r>
        <w:rPr>
          <w:rFonts w:hint="eastAsia"/>
          <w:b/>
          <w:color w:val="auto"/>
          <w:sz w:val="30"/>
          <w:szCs w:val="30"/>
          <w:highlight w:val="none"/>
          <w:lang w:val="en-US" w:eastAsia="zh-CN"/>
        </w:rPr>
        <w:t>五</w:t>
      </w:r>
      <w:r>
        <w:rPr>
          <w:rFonts w:hint="eastAsia"/>
          <w:b/>
          <w:color w:val="auto"/>
          <w:sz w:val="30"/>
          <w:szCs w:val="30"/>
          <w:highlight w:val="none"/>
        </w:rPr>
        <w:t>月</w:t>
      </w:r>
    </w:p>
    <w:p w14:paraId="33F288E9">
      <w:pPr>
        <w:spacing w:line="360" w:lineRule="auto"/>
        <w:ind w:firstLine="420" w:firstLineChars="200"/>
        <w:rPr>
          <w:color w:val="auto"/>
          <w:highlight w:val="none"/>
        </w:rPr>
      </w:pPr>
    </w:p>
    <w:p w14:paraId="7A7B3027">
      <w:pPr>
        <w:spacing w:line="360" w:lineRule="auto"/>
        <w:ind w:firstLine="420" w:firstLineChars="200"/>
        <w:rPr>
          <w:color w:val="auto"/>
          <w:highlight w:val="none"/>
        </w:rPr>
        <w:sectPr>
          <w:footerReference r:id="rId5" w:type="first"/>
          <w:headerReference r:id="rId3" w:type="default"/>
          <w:footerReference r:id="rId4" w:type="default"/>
          <w:pgSz w:w="11906" w:h="16838"/>
          <w:pgMar w:top="1418" w:right="1474" w:bottom="1418" w:left="1474"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highlight w:val="none"/>
          <w:lang w:val="zh-CN"/>
        </w:rPr>
        <w:id w:val="31701681"/>
        <w:docPartObj>
          <w:docPartGallery w:val="Table of Contents"/>
          <w:docPartUnique/>
        </w:docPartObj>
      </w:sdtPr>
      <w:sdtEndPr>
        <w:rPr>
          <w:rFonts w:asciiTheme="minorHAnsi" w:hAnsiTheme="minorHAnsi" w:eastAsiaTheme="minorEastAsia" w:cstheme="minorBidi"/>
          <w:b w:val="0"/>
          <w:bCs w:val="0"/>
          <w:color w:val="auto"/>
          <w:kern w:val="2"/>
          <w:sz w:val="21"/>
          <w:szCs w:val="22"/>
          <w:highlight w:val="none"/>
          <w:lang w:val="en-US"/>
        </w:rPr>
      </w:sdtEndPr>
      <w:sdtContent>
        <w:p w14:paraId="62F33C61">
          <w:pPr>
            <w:pStyle w:val="26"/>
            <w:jc w:val="center"/>
            <w:rPr>
              <w:color w:val="auto"/>
              <w:sz w:val="44"/>
              <w:szCs w:val="44"/>
              <w:highlight w:val="none"/>
            </w:rPr>
          </w:pPr>
          <w:r>
            <w:rPr>
              <w:color w:val="auto"/>
              <w:sz w:val="44"/>
              <w:szCs w:val="44"/>
              <w:highlight w:val="none"/>
              <w:lang w:val="zh-CN"/>
            </w:rPr>
            <w:t>目</w:t>
          </w:r>
          <w:r>
            <w:rPr>
              <w:rFonts w:hint="eastAsia"/>
              <w:color w:val="auto"/>
              <w:sz w:val="44"/>
              <w:szCs w:val="44"/>
              <w:highlight w:val="none"/>
              <w:lang w:val="zh-CN"/>
            </w:rPr>
            <w:t xml:space="preserve">  </w:t>
          </w:r>
          <w:r>
            <w:rPr>
              <w:color w:val="auto"/>
              <w:sz w:val="44"/>
              <w:szCs w:val="44"/>
              <w:highlight w:val="none"/>
              <w:lang w:val="zh-CN"/>
            </w:rPr>
            <w:t>录</w:t>
          </w:r>
        </w:p>
        <w:p w14:paraId="0A2FA35C">
          <w:pPr>
            <w:pStyle w:val="12"/>
            <w:tabs>
              <w:tab w:val="right" w:leader="dot" w:pos="8958"/>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_Toc28932 </w:instrText>
          </w:r>
          <w:r>
            <w:rPr>
              <w:color w:val="auto"/>
              <w:highlight w:val="none"/>
            </w:rPr>
            <w:fldChar w:fldCharType="separate"/>
          </w:r>
          <w:r>
            <w:rPr>
              <w:rFonts w:hint="eastAsia"/>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_Toc28932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C41FDA0">
          <w:pPr>
            <w:pStyle w:val="12"/>
            <w:tabs>
              <w:tab w:val="right" w:leader="dot" w:pos="8958"/>
            </w:tabs>
            <w:rPr>
              <w:color w:val="auto"/>
              <w:highlight w:val="none"/>
            </w:rPr>
          </w:pPr>
          <w:r>
            <w:rPr>
              <w:color w:val="auto"/>
              <w:highlight w:val="none"/>
            </w:rPr>
            <w:fldChar w:fldCharType="begin"/>
          </w:r>
          <w:r>
            <w:rPr>
              <w:color w:val="auto"/>
              <w:highlight w:val="none"/>
            </w:rPr>
            <w:instrText xml:space="preserve"> HYPERLINK \l _Toc18329 </w:instrText>
          </w:r>
          <w:r>
            <w:rPr>
              <w:color w:val="auto"/>
              <w:highlight w:val="none"/>
            </w:rPr>
            <w:fldChar w:fldCharType="separate"/>
          </w:r>
          <w:r>
            <w:rPr>
              <w:rFonts w:hint="eastAsia"/>
              <w:color w:val="auto"/>
              <w:highlight w:val="none"/>
            </w:rPr>
            <w:t>第二章  用户需求书</w:t>
          </w:r>
          <w:r>
            <w:rPr>
              <w:color w:val="auto"/>
              <w:highlight w:val="none"/>
            </w:rPr>
            <w:tab/>
          </w:r>
          <w:r>
            <w:rPr>
              <w:color w:val="auto"/>
              <w:highlight w:val="none"/>
            </w:rPr>
            <w:fldChar w:fldCharType="begin"/>
          </w:r>
          <w:r>
            <w:rPr>
              <w:color w:val="auto"/>
              <w:highlight w:val="none"/>
            </w:rPr>
            <w:instrText xml:space="preserve"> PAGEREF _Toc18329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91A66FC">
          <w:pPr>
            <w:pStyle w:val="12"/>
            <w:tabs>
              <w:tab w:val="right" w:leader="dot" w:pos="8958"/>
            </w:tabs>
            <w:rPr>
              <w:color w:val="auto"/>
              <w:highlight w:val="none"/>
            </w:rPr>
          </w:pPr>
          <w:r>
            <w:rPr>
              <w:color w:val="auto"/>
              <w:highlight w:val="none"/>
            </w:rPr>
            <w:fldChar w:fldCharType="begin"/>
          </w:r>
          <w:r>
            <w:rPr>
              <w:color w:val="auto"/>
              <w:highlight w:val="none"/>
            </w:rPr>
            <w:instrText xml:space="preserve"> HYPERLINK \l _Toc28824 </w:instrText>
          </w:r>
          <w:r>
            <w:rPr>
              <w:color w:val="auto"/>
              <w:highlight w:val="none"/>
            </w:rPr>
            <w:fldChar w:fldCharType="separate"/>
          </w:r>
          <w:r>
            <w:rPr>
              <w:rFonts w:hint="eastAsia"/>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_Toc28824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F965D02">
          <w:pPr>
            <w:pStyle w:val="12"/>
            <w:tabs>
              <w:tab w:val="right" w:leader="dot" w:pos="8958"/>
            </w:tabs>
            <w:rPr>
              <w:color w:val="auto"/>
              <w:highlight w:val="none"/>
            </w:rPr>
          </w:pPr>
          <w:r>
            <w:rPr>
              <w:color w:val="auto"/>
              <w:highlight w:val="none"/>
            </w:rPr>
            <w:fldChar w:fldCharType="begin"/>
          </w:r>
          <w:r>
            <w:rPr>
              <w:color w:val="auto"/>
              <w:highlight w:val="none"/>
            </w:rPr>
            <w:instrText xml:space="preserve"> HYPERLINK \l _Toc14418 </w:instrText>
          </w:r>
          <w:r>
            <w:rPr>
              <w:color w:val="auto"/>
              <w:highlight w:val="none"/>
            </w:rPr>
            <w:fldChar w:fldCharType="separate"/>
          </w:r>
          <w:r>
            <w:rPr>
              <w:rFonts w:hint="eastAsia"/>
              <w:color w:val="auto"/>
              <w:highlight w:val="none"/>
            </w:rPr>
            <w:t>第四章  附件－投标文件格式</w:t>
          </w:r>
          <w:r>
            <w:rPr>
              <w:color w:val="auto"/>
              <w:highlight w:val="none"/>
            </w:rPr>
            <w:tab/>
          </w:r>
          <w:r>
            <w:rPr>
              <w:color w:val="auto"/>
              <w:highlight w:val="none"/>
            </w:rPr>
            <w:fldChar w:fldCharType="begin"/>
          </w:r>
          <w:r>
            <w:rPr>
              <w:color w:val="auto"/>
              <w:highlight w:val="none"/>
            </w:rPr>
            <w:instrText xml:space="preserve"> PAGEREF _Toc14418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804BF4B">
          <w:pPr>
            <w:rPr>
              <w:color w:val="auto"/>
              <w:highlight w:val="none"/>
            </w:rPr>
          </w:pPr>
          <w:r>
            <w:rPr>
              <w:color w:val="auto"/>
              <w:highlight w:val="none"/>
            </w:rPr>
            <w:fldChar w:fldCharType="end"/>
          </w:r>
        </w:p>
      </w:sdtContent>
    </w:sdt>
    <w:p w14:paraId="292B73B8">
      <w:pPr>
        <w:spacing w:line="360" w:lineRule="auto"/>
        <w:rPr>
          <w:color w:val="auto"/>
          <w:highlight w:val="none"/>
        </w:rPr>
      </w:pPr>
    </w:p>
    <w:p w14:paraId="03031AA9">
      <w:pPr>
        <w:spacing w:line="360" w:lineRule="auto"/>
        <w:ind w:firstLine="420" w:firstLineChars="200"/>
        <w:rPr>
          <w:color w:val="auto"/>
          <w:highlight w:val="none"/>
        </w:rPr>
        <w:sectPr>
          <w:pgSz w:w="11906" w:h="16838"/>
          <w:pgMar w:top="1418" w:right="1474" w:bottom="1418" w:left="1474" w:header="851" w:footer="992" w:gutter="0"/>
          <w:cols w:space="425" w:num="1"/>
          <w:docGrid w:type="lines" w:linePitch="312" w:charSpace="0"/>
        </w:sectPr>
      </w:pPr>
    </w:p>
    <w:p w14:paraId="29227D71">
      <w:pPr>
        <w:pStyle w:val="3"/>
        <w:rPr>
          <w:color w:val="auto"/>
          <w:highlight w:val="none"/>
        </w:rPr>
      </w:pPr>
      <w:bookmarkStart w:id="0" w:name="_Toc61539108"/>
      <w:bookmarkStart w:id="1" w:name="_Toc28932"/>
      <w:r>
        <w:rPr>
          <w:rFonts w:hint="eastAsia"/>
          <w:color w:val="auto"/>
          <w:highlight w:val="none"/>
        </w:rPr>
        <w:t xml:space="preserve">第一章  </w:t>
      </w:r>
      <w:bookmarkEnd w:id="0"/>
      <w:r>
        <w:rPr>
          <w:rFonts w:hint="eastAsia"/>
          <w:color w:val="auto"/>
          <w:highlight w:val="none"/>
        </w:rPr>
        <w:t>招标公告</w:t>
      </w:r>
      <w:bookmarkEnd w:id="1"/>
    </w:p>
    <w:p w14:paraId="2B332CCC">
      <w:pPr>
        <w:spacing w:line="360" w:lineRule="auto"/>
        <w:ind w:firstLine="420" w:firstLineChars="200"/>
        <w:rPr>
          <w:color w:val="auto"/>
          <w:highlight w:val="none"/>
        </w:rPr>
      </w:pPr>
      <w:bookmarkStart w:id="2" w:name="_Hlk69568487"/>
      <w:r>
        <w:rPr>
          <w:rFonts w:hint="eastAsia"/>
          <w:color w:val="auto"/>
          <w:highlight w:val="none"/>
        </w:rPr>
        <w:t>深圳市宝安区疾病预防控制中心</w:t>
      </w:r>
      <w:bookmarkEnd w:id="2"/>
      <w:r>
        <w:rPr>
          <w:rFonts w:hint="eastAsia"/>
          <w:color w:val="auto"/>
          <w:highlight w:val="none"/>
        </w:rPr>
        <w:t>就疫苗安全管理平台2025年度维护项目</w:t>
      </w:r>
      <w:bookmarkStart w:id="189" w:name="_GoBack"/>
      <w:bookmarkEnd w:id="189"/>
      <w:r>
        <w:rPr>
          <w:rFonts w:hint="eastAsia"/>
          <w:color w:val="auto"/>
          <w:highlight w:val="none"/>
        </w:rPr>
        <w:t>接受以下投标人提交密封投标文件。有关事项如下：</w:t>
      </w:r>
    </w:p>
    <w:p w14:paraId="654A694C">
      <w:pPr>
        <w:pStyle w:val="5"/>
        <w:ind w:firstLine="482"/>
        <w:rPr>
          <w:color w:val="auto"/>
          <w:highlight w:val="none"/>
        </w:rPr>
      </w:pPr>
      <w:bookmarkStart w:id="3" w:name="_Hlk69568538"/>
      <w:r>
        <w:rPr>
          <w:rFonts w:hint="eastAsia"/>
          <w:color w:val="auto"/>
          <w:highlight w:val="none"/>
        </w:rPr>
        <w:t>一、项目基本信息</w:t>
      </w:r>
    </w:p>
    <w:p w14:paraId="72B6649E">
      <w:pPr>
        <w:spacing w:line="360" w:lineRule="auto"/>
        <w:ind w:firstLine="420" w:firstLineChars="200"/>
        <w:rPr>
          <w:color w:val="auto"/>
          <w:highlight w:val="none"/>
        </w:rPr>
      </w:pPr>
      <w:r>
        <w:rPr>
          <w:rFonts w:hint="eastAsia"/>
          <w:color w:val="auto"/>
          <w:highlight w:val="none"/>
        </w:rPr>
        <w:t>1、项目名称：疫苗安全管理平台2025年度维护项目</w:t>
      </w:r>
    </w:p>
    <w:p w14:paraId="5A3F03B3">
      <w:pPr>
        <w:spacing w:line="360" w:lineRule="auto"/>
        <w:ind w:firstLine="420" w:firstLineChars="200"/>
        <w:rPr>
          <w:rFonts w:hint="default" w:eastAsiaTheme="minorEastAsia"/>
          <w:color w:val="auto"/>
          <w:highlight w:val="none"/>
          <w:lang w:val="en-US" w:eastAsia="zh-CN"/>
        </w:rPr>
      </w:pPr>
      <w:r>
        <w:rPr>
          <w:rFonts w:hint="eastAsia"/>
          <w:color w:val="auto"/>
          <w:highlight w:val="none"/>
        </w:rPr>
        <w:t>2、</w:t>
      </w:r>
      <w:r>
        <w:rPr>
          <w:color w:val="auto"/>
          <w:highlight w:val="none"/>
        </w:rPr>
        <w:t>项目编号：BACDCCG202</w:t>
      </w:r>
      <w:r>
        <w:rPr>
          <w:rFonts w:hint="eastAsia"/>
          <w:color w:val="auto"/>
          <w:highlight w:val="none"/>
          <w:lang w:val="en-US" w:eastAsia="zh-CN"/>
        </w:rPr>
        <w:t>5</w:t>
      </w:r>
      <w:r>
        <w:rPr>
          <w:color w:val="auto"/>
          <w:highlight w:val="none"/>
        </w:rPr>
        <w:t>0</w:t>
      </w:r>
      <w:r>
        <w:rPr>
          <w:rFonts w:hint="eastAsia"/>
          <w:color w:val="auto"/>
          <w:highlight w:val="none"/>
          <w:lang w:val="en-US" w:eastAsia="zh-CN"/>
        </w:rPr>
        <w:t>04</w:t>
      </w:r>
    </w:p>
    <w:p w14:paraId="3E7DBF12">
      <w:pPr>
        <w:spacing w:line="360" w:lineRule="auto"/>
        <w:ind w:firstLine="420" w:firstLineChars="200"/>
        <w:rPr>
          <w:color w:val="auto"/>
          <w:highlight w:val="none"/>
        </w:rPr>
      </w:pPr>
      <w:r>
        <w:rPr>
          <w:rFonts w:hint="eastAsia"/>
          <w:color w:val="auto"/>
          <w:highlight w:val="none"/>
        </w:rPr>
        <w:t>3、项目类别：服务类</w:t>
      </w:r>
    </w:p>
    <w:p w14:paraId="7917F598">
      <w:pPr>
        <w:spacing w:line="360" w:lineRule="auto"/>
        <w:ind w:firstLine="420" w:firstLineChars="200"/>
        <w:rPr>
          <w:rFonts w:hint="eastAsia" w:eastAsiaTheme="minorEastAsia"/>
          <w:color w:val="auto"/>
          <w:highlight w:val="none"/>
          <w:lang w:eastAsia="zh-CN"/>
        </w:rPr>
      </w:pPr>
      <w:r>
        <w:rPr>
          <w:color w:val="auto"/>
          <w:highlight w:val="none"/>
        </w:rPr>
        <w:t>4</w:t>
      </w:r>
      <w:r>
        <w:rPr>
          <w:rFonts w:hint="eastAsia"/>
          <w:color w:val="auto"/>
          <w:highlight w:val="none"/>
        </w:rPr>
        <w:t>、</w:t>
      </w:r>
      <w:r>
        <w:rPr>
          <w:color w:val="auto"/>
          <w:highlight w:val="none"/>
        </w:rPr>
        <w:t>采购单位：</w:t>
      </w:r>
      <w:r>
        <w:rPr>
          <w:rFonts w:hint="eastAsia"/>
          <w:color w:val="auto"/>
          <w:highlight w:val="none"/>
        </w:rPr>
        <w:t>深圳市宝安区疾病预防控制中心</w:t>
      </w:r>
    </w:p>
    <w:p w14:paraId="2735C32E">
      <w:pPr>
        <w:spacing w:line="360" w:lineRule="auto"/>
        <w:ind w:firstLine="420" w:firstLineChars="200"/>
        <w:rPr>
          <w:color w:val="auto"/>
          <w:highlight w:val="none"/>
        </w:rPr>
      </w:pPr>
      <w:r>
        <w:rPr>
          <w:color w:val="auto"/>
          <w:highlight w:val="none"/>
        </w:rPr>
        <w:t>5</w:t>
      </w:r>
      <w:r>
        <w:rPr>
          <w:rFonts w:hint="eastAsia"/>
          <w:color w:val="auto"/>
          <w:highlight w:val="none"/>
        </w:rPr>
        <w:t>、采购方式：公开招标</w:t>
      </w:r>
    </w:p>
    <w:p w14:paraId="548D7208">
      <w:pPr>
        <w:spacing w:line="360" w:lineRule="auto"/>
        <w:ind w:firstLine="422" w:firstLineChars="200"/>
        <w:rPr>
          <w:b/>
          <w:color w:val="auto"/>
          <w:highlight w:val="none"/>
        </w:rPr>
      </w:pPr>
      <w:r>
        <w:rPr>
          <w:b/>
          <w:color w:val="auto"/>
          <w:highlight w:val="none"/>
        </w:rPr>
        <w:t>6</w:t>
      </w:r>
      <w:r>
        <w:rPr>
          <w:rFonts w:hint="eastAsia"/>
          <w:b/>
          <w:color w:val="auto"/>
          <w:highlight w:val="none"/>
        </w:rPr>
        <w:t>、评标方法：</w:t>
      </w:r>
      <w:r>
        <w:rPr>
          <w:rFonts w:hint="eastAsia"/>
          <w:b/>
          <w:color w:val="auto"/>
          <w:highlight w:val="none"/>
          <w:lang w:val="en-US" w:eastAsia="zh-CN"/>
        </w:rPr>
        <w:t>综合评分</w:t>
      </w:r>
      <w:r>
        <w:rPr>
          <w:rFonts w:hint="eastAsia"/>
          <w:b/>
          <w:color w:val="auto"/>
          <w:highlight w:val="none"/>
        </w:rPr>
        <w:t>法</w:t>
      </w:r>
    </w:p>
    <w:bookmarkEnd w:id="3"/>
    <w:p w14:paraId="515C9132">
      <w:pPr>
        <w:pStyle w:val="5"/>
        <w:ind w:firstLine="482"/>
        <w:rPr>
          <w:color w:val="auto"/>
          <w:highlight w:val="none"/>
        </w:rPr>
      </w:pPr>
      <w:r>
        <w:rPr>
          <w:rFonts w:hint="eastAsia"/>
          <w:color w:val="auto"/>
          <w:highlight w:val="none"/>
        </w:rPr>
        <w:t>二、采购预算</w:t>
      </w:r>
    </w:p>
    <w:p w14:paraId="673B0168">
      <w:pPr>
        <w:spacing w:line="360" w:lineRule="auto"/>
        <w:ind w:firstLine="420" w:firstLineChars="200"/>
        <w:rPr>
          <w:color w:val="auto"/>
          <w:highlight w:val="none"/>
        </w:rPr>
      </w:pPr>
      <w:r>
        <w:rPr>
          <w:rFonts w:hint="eastAsia"/>
          <w:color w:val="auto"/>
          <w:highlight w:val="none"/>
        </w:rPr>
        <w:t>本项目采购预算金额为</w:t>
      </w:r>
      <w:r>
        <w:rPr>
          <w:rFonts w:hint="eastAsia"/>
          <w:color w:val="auto"/>
          <w:highlight w:val="none"/>
          <w:lang w:val="en-US" w:eastAsia="zh-CN"/>
        </w:rPr>
        <w:t>94</w:t>
      </w:r>
      <w:r>
        <w:rPr>
          <w:rFonts w:hint="eastAsia"/>
          <w:color w:val="auto"/>
          <w:highlight w:val="none"/>
        </w:rPr>
        <w:t>，</w:t>
      </w:r>
      <w:r>
        <w:rPr>
          <w:rFonts w:hint="eastAsia"/>
          <w:color w:val="auto"/>
          <w:highlight w:val="none"/>
          <w:lang w:val="en-US" w:eastAsia="zh-CN"/>
        </w:rPr>
        <w:t>8</w:t>
      </w:r>
      <w:r>
        <w:rPr>
          <w:color w:val="auto"/>
          <w:highlight w:val="none"/>
        </w:rPr>
        <w:t>00</w:t>
      </w:r>
      <w:r>
        <w:rPr>
          <w:rFonts w:hint="eastAsia"/>
          <w:color w:val="auto"/>
          <w:highlight w:val="none"/>
        </w:rPr>
        <w:t>.00元整。</w:t>
      </w:r>
    </w:p>
    <w:p w14:paraId="5DB1CF3E">
      <w:pPr>
        <w:pStyle w:val="5"/>
        <w:ind w:firstLine="482"/>
        <w:rPr>
          <w:color w:val="auto"/>
          <w:highlight w:val="none"/>
        </w:rPr>
      </w:pPr>
      <w:bookmarkStart w:id="4" w:name="_Hlk69568757"/>
      <w:r>
        <w:rPr>
          <w:rFonts w:hint="eastAsia"/>
          <w:color w:val="auto"/>
          <w:highlight w:val="none"/>
        </w:rPr>
        <w:t>三、需落实的采购政策</w:t>
      </w:r>
    </w:p>
    <w:p w14:paraId="09685CE9">
      <w:pPr>
        <w:spacing w:line="360" w:lineRule="auto"/>
        <w:ind w:firstLine="420" w:firstLineChars="200"/>
        <w:rPr>
          <w:color w:val="auto"/>
          <w:highlight w:val="none"/>
        </w:rPr>
      </w:pPr>
      <w:r>
        <w:rPr>
          <w:rFonts w:hint="eastAsia"/>
          <w:color w:val="auto"/>
          <w:highlight w:val="none"/>
        </w:rPr>
        <w:t>按照相关规定执行，详见采购需求标准。</w:t>
      </w:r>
    </w:p>
    <w:p w14:paraId="03C112E4">
      <w:pPr>
        <w:pStyle w:val="5"/>
        <w:ind w:firstLine="482"/>
        <w:rPr>
          <w:color w:val="auto"/>
          <w:highlight w:val="none"/>
        </w:rPr>
      </w:pPr>
      <w:r>
        <w:rPr>
          <w:rFonts w:hint="eastAsia"/>
          <w:color w:val="auto"/>
          <w:highlight w:val="none"/>
        </w:rPr>
        <w:t>四、供应商资格要求</w:t>
      </w:r>
    </w:p>
    <w:p w14:paraId="79B92040">
      <w:pPr>
        <w:spacing w:line="360" w:lineRule="auto"/>
        <w:ind w:firstLine="420" w:firstLineChars="200"/>
        <w:rPr>
          <w:color w:val="auto"/>
          <w:highlight w:val="none"/>
        </w:rPr>
      </w:pPr>
      <w:r>
        <w:rPr>
          <w:rFonts w:hint="eastAsia"/>
          <w:color w:val="auto"/>
          <w:highlight w:val="none"/>
        </w:rPr>
        <w:t>1、</w:t>
      </w:r>
      <w:bookmarkStart w:id="5" w:name="_Hlk145674892"/>
      <w:r>
        <w:rPr>
          <w:rFonts w:hint="eastAsia"/>
          <w:color w:val="auto"/>
          <w:highlight w:val="none"/>
        </w:rPr>
        <w:t>投标人</w:t>
      </w:r>
      <w:bookmarkEnd w:id="5"/>
      <w:r>
        <w:rPr>
          <w:rFonts w:hint="eastAsia"/>
          <w:color w:val="auto"/>
          <w:highlight w:val="none"/>
        </w:rPr>
        <w:t>必须是在中华人民共和国境内注册的独立法人或其他组织</w:t>
      </w:r>
      <w:bookmarkStart w:id="6" w:name="_Hlk145674976"/>
      <w:r>
        <w:rPr>
          <w:rFonts w:hint="eastAsia"/>
          <w:color w:val="auto"/>
          <w:highlight w:val="none"/>
        </w:rPr>
        <w:t>（提供营业执照复印件）；</w:t>
      </w:r>
      <w:bookmarkEnd w:id="6"/>
    </w:p>
    <w:p w14:paraId="5B2DC76C">
      <w:pPr>
        <w:spacing w:line="360" w:lineRule="auto"/>
        <w:ind w:firstLine="420" w:firstLineChars="200"/>
        <w:rPr>
          <w:color w:val="auto"/>
          <w:highlight w:val="none"/>
        </w:rPr>
      </w:pPr>
      <w:r>
        <w:rPr>
          <w:rFonts w:hint="eastAsia"/>
          <w:color w:val="auto"/>
          <w:highlight w:val="none"/>
        </w:rPr>
        <w:t>2、投标人参加本次政府采购活动前3年内在经营活动中没有重大违法记录（提供声明函）；</w:t>
      </w:r>
    </w:p>
    <w:p w14:paraId="06484DEF">
      <w:pPr>
        <w:spacing w:line="360" w:lineRule="auto"/>
        <w:ind w:firstLine="420" w:firstLineChars="200"/>
        <w:rPr>
          <w:color w:val="auto"/>
          <w:highlight w:val="none"/>
        </w:rPr>
      </w:pPr>
      <w:r>
        <w:rPr>
          <w:rFonts w:hint="eastAsia"/>
          <w:color w:val="auto"/>
          <w:highlight w:val="none"/>
        </w:rPr>
        <w:t>3、截至开标时间为止，未被深圳市各级政府采购主管部门行政处罚（指禁止参与政府采购活动且在有效期内）的投标人；</w:t>
      </w:r>
    </w:p>
    <w:p w14:paraId="1EE2792E">
      <w:pPr>
        <w:spacing w:line="360" w:lineRule="auto"/>
        <w:ind w:firstLine="420" w:firstLineChars="200"/>
        <w:rPr>
          <w:color w:val="auto"/>
          <w:highlight w:val="none"/>
        </w:rPr>
      </w:pPr>
      <w:r>
        <w:rPr>
          <w:rFonts w:hint="eastAsia"/>
          <w:color w:val="auto"/>
          <w:highlight w:val="none"/>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现场网上查询)；</w:t>
      </w:r>
    </w:p>
    <w:p w14:paraId="714FABC1">
      <w:pPr>
        <w:spacing w:line="360" w:lineRule="auto"/>
        <w:ind w:firstLine="420" w:firstLineChars="200"/>
        <w:rPr>
          <w:color w:val="auto"/>
          <w:highlight w:val="none"/>
        </w:rPr>
      </w:pPr>
      <w:r>
        <w:rPr>
          <w:rFonts w:hint="eastAsia"/>
          <w:color w:val="auto"/>
          <w:highlight w:val="none"/>
        </w:rPr>
        <w:t>5、本项目不接受联合体投标。</w:t>
      </w:r>
    </w:p>
    <w:p w14:paraId="187D0759">
      <w:pPr>
        <w:pStyle w:val="5"/>
        <w:ind w:firstLine="482"/>
        <w:rPr>
          <w:color w:val="auto"/>
          <w:highlight w:val="none"/>
        </w:rPr>
      </w:pPr>
      <w:r>
        <w:rPr>
          <w:rFonts w:hint="eastAsia"/>
          <w:color w:val="auto"/>
          <w:highlight w:val="none"/>
        </w:rPr>
        <w:t>五、获取招标文件的时间、地点及方式</w:t>
      </w:r>
    </w:p>
    <w:bookmarkEnd w:id="4"/>
    <w:p w14:paraId="434AD16E">
      <w:pPr>
        <w:spacing w:line="360" w:lineRule="auto"/>
        <w:ind w:firstLine="420" w:firstLineChars="200"/>
        <w:rPr>
          <w:rFonts w:hint="eastAsia"/>
          <w:color w:val="auto"/>
          <w:highlight w:val="none"/>
        </w:rPr>
      </w:pPr>
      <w:r>
        <w:rPr>
          <w:rFonts w:hint="eastAsia"/>
          <w:color w:val="auto"/>
          <w:highlight w:val="none"/>
        </w:rPr>
        <w:t>1、获取招标文件时间：202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7</w:t>
      </w:r>
      <w:r>
        <w:rPr>
          <w:rFonts w:hint="eastAsia"/>
          <w:color w:val="auto"/>
          <w:highlight w:val="none"/>
        </w:rPr>
        <w:t>日起至202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13</w:t>
      </w:r>
      <w:r>
        <w:rPr>
          <w:rFonts w:hint="eastAsia"/>
          <w:color w:val="auto"/>
          <w:highlight w:val="none"/>
        </w:rPr>
        <w:t>日</w:t>
      </w:r>
    </w:p>
    <w:p w14:paraId="133E1003">
      <w:pPr>
        <w:spacing w:line="360" w:lineRule="auto"/>
        <w:ind w:firstLine="420" w:firstLineChars="200"/>
        <w:rPr>
          <w:rFonts w:hint="default" w:eastAsiaTheme="minorEastAsia"/>
          <w:color w:val="auto"/>
          <w:highlight w:val="none"/>
          <w:lang w:val="en-US" w:eastAsia="zh-CN"/>
        </w:rPr>
      </w:pPr>
      <w:r>
        <w:rPr>
          <w:rFonts w:hint="eastAsia"/>
          <w:color w:val="auto"/>
          <w:highlight w:val="none"/>
        </w:rPr>
        <w:t>2、获取招标文件地点：</w:t>
      </w:r>
      <w:r>
        <w:rPr>
          <w:rFonts w:hint="eastAsia"/>
          <w:color w:val="auto"/>
          <w:highlight w:val="none"/>
          <w:lang w:val="en-US" w:eastAsia="zh-CN"/>
        </w:rPr>
        <w:t>线上下载</w:t>
      </w:r>
    </w:p>
    <w:p w14:paraId="2BD0B0C9">
      <w:pPr>
        <w:spacing w:line="360" w:lineRule="auto"/>
        <w:ind w:firstLine="420" w:firstLineChars="200"/>
        <w:rPr>
          <w:color w:val="auto"/>
          <w:highlight w:val="none"/>
        </w:rPr>
      </w:pPr>
      <w:r>
        <w:rPr>
          <w:rFonts w:hint="eastAsia"/>
          <w:color w:val="auto"/>
          <w:highlight w:val="none"/>
          <w:lang w:val="en-US" w:eastAsia="zh-CN"/>
        </w:rPr>
        <w:t>3</w:t>
      </w:r>
      <w:r>
        <w:rPr>
          <w:rFonts w:hint="eastAsia"/>
          <w:color w:val="auto"/>
          <w:highlight w:val="none"/>
        </w:rPr>
        <w:t>、联系人：</w:t>
      </w:r>
      <w:r>
        <w:rPr>
          <w:rFonts w:hint="eastAsia"/>
          <w:color w:val="auto"/>
          <w:highlight w:val="none"/>
          <w:lang w:val="en-US" w:eastAsia="zh-CN"/>
        </w:rPr>
        <w:t>姜</w:t>
      </w:r>
      <w:r>
        <w:rPr>
          <w:rFonts w:hint="eastAsia"/>
          <w:color w:val="auto"/>
          <w:highlight w:val="none"/>
        </w:rPr>
        <w:t>工</w:t>
      </w:r>
    </w:p>
    <w:p w14:paraId="001ACD70">
      <w:pPr>
        <w:spacing w:line="360" w:lineRule="auto"/>
        <w:ind w:firstLine="420" w:firstLineChars="200"/>
        <w:rPr>
          <w:rFonts w:hint="eastAsia" w:eastAsiaTheme="minorEastAsia"/>
          <w:color w:val="auto"/>
          <w:highlight w:val="none"/>
          <w:lang w:eastAsia="zh-CN"/>
        </w:rPr>
      </w:pPr>
      <w:r>
        <w:rPr>
          <w:rFonts w:hint="eastAsia"/>
          <w:color w:val="auto"/>
          <w:highlight w:val="none"/>
        </w:rPr>
        <w:t>5、联系电话：</w:t>
      </w:r>
      <w:r>
        <w:rPr>
          <w:color w:val="auto"/>
          <w:highlight w:val="none"/>
        </w:rPr>
        <w:t xml:space="preserve">0755- </w:t>
      </w:r>
      <w:r>
        <w:rPr>
          <w:rFonts w:hint="eastAsia"/>
          <w:color w:val="auto"/>
          <w:highlight w:val="none"/>
          <w:lang w:eastAsia="zh-CN"/>
        </w:rPr>
        <w:t>27751586</w:t>
      </w:r>
    </w:p>
    <w:p w14:paraId="1F4800EE">
      <w:pPr>
        <w:pStyle w:val="5"/>
        <w:ind w:firstLine="482"/>
        <w:rPr>
          <w:color w:val="auto"/>
          <w:highlight w:val="none"/>
        </w:rPr>
      </w:pPr>
      <w:r>
        <w:rPr>
          <w:rFonts w:hint="eastAsia"/>
          <w:color w:val="auto"/>
          <w:highlight w:val="none"/>
        </w:rPr>
        <w:t>六、投标截止时间</w:t>
      </w:r>
    </w:p>
    <w:p w14:paraId="285869A1">
      <w:pPr>
        <w:spacing w:line="360" w:lineRule="auto"/>
        <w:ind w:firstLine="420" w:firstLineChars="200"/>
        <w:rPr>
          <w:color w:val="auto"/>
          <w:highlight w:val="none"/>
        </w:rPr>
      </w:pPr>
      <w:r>
        <w:rPr>
          <w:rFonts w:hint="eastAsia"/>
          <w:color w:val="auto"/>
          <w:highlight w:val="none"/>
        </w:rPr>
        <w:t>1、递交投标文件时间：202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13</w:t>
      </w:r>
      <w:r>
        <w:rPr>
          <w:rFonts w:hint="eastAsia"/>
          <w:color w:val="auto"/>
          <w:highlight w:val="none"/>
        </w:rPr>
        <w:t>日下午1</w:t>
      </w:r>
      <w:r>
        <w:rPr>
          <w:rFonts w:hint="eastAsia"/>
          <w:color w:val="auto"/>
          <w:highlight w:val="none"/>
          <w:lang w:val="en-US" w:eastAsia="zh-CN"/>
        </w:rPr>
        <w:t>8</w:t>
      </w:r>
      <w:r>
        <w:rPr>
          <w:rFonts w:hint="eastAsia"/>
          <w:color w:val="auto"/>
          <w:highlight w:val="none"/>
        </w:rPr>
        <w:t>：</w:t>
      </w:r>
      <w:r>
        <w:rPr>
          <w:color w:val="auto"/>
          <w:highlight w:val="none"/>
        </w:rPr>
        <w:t>0</w:t>
      </w:r>
      <w:r>
        <w:rPr>
          <w:rFonts w:hint="eastAsia"/>
          <w:color w:val="auto"/>
          <w:highlight w:val="none"/>
        </w:rPr>
        <w:t>0前（可快递，以签收时间为准）。</w:t>
      </w:r>
    </w:p>
    <w:p w14:paraId="62D90C12">
      <w:pPr>
        <w:spacing w:line="360" w:lineRule="auto"/>
        <w:ind w:firstLine="420" w:firstLineChars="200"/>
        <w:rPr>
          <w:color w:val="auto"/>
          <w:highlight w:val="none"/>
        </w:rPr>
      </w:pPr>
      <w:r>
        <w:rPr>
          <w:color w:val="auto"/>
          <w:highlight w:val="none"/>
        </w:rPr>
        <w:t>2</w:t>
      </w:r>
      <w:r>
        <w:rPr>
          <w:rFonts w:hint="eastAsia"/>
          <w:color w:val="auto"/>
          <w:highlight w:val="none"/>
        </w:rPr>
        <w:t>、递交投标文件地点：深圳市宝安区海秀路3号（深圳市宝安区疾病预防控制中心）</w:t>
      </w:r>
      <w:r>
        <w:rPr>
          <w:rFonts w:hint="eastAsia"/>
          <w:color w:val="auto"/>
          <w:highlight w:val="none"/>
          <w:lang w:val="en-US" w:eastAsia="zh-CN"/>
        </w:rPr>
        <w:t>525，</w:t>
      </w:r>
      <w:r>
        <w:rPr>
          <w:rFonts w:hint="eastAsia"/>
          <w:color w:val="auto"/>
          <w:highlight w:val="none"/>
        </w:rPr>
        <w:t>如无法进入大楼可放置保安室。</w:t>
      </w:r>
    </w:p>
    <w:p w14:paraId="3BB0EC6D">
      <w:pPr>
        <w:pStyle w:val="5"/>
        <w:ind w:firstLine="482"/>
        <w:rPr>
          <w:color w:val="auto"/>
          <w:highlight w:val="none"/>
        </w:rPr>
      </w:pPr>
      <w:r>
        <w:rPr>
          <w:rFonts w:hint="eastAsia"/>
          <w:color w:val="auto"/>
          <w:highlight w:val="none"/>
        </w:rPr>
        <w:t>七、采购公告查询：</w:t>
      </w:r>
    </w:p>
    <w:p w14:paraId="0D6ADBEE">
      <w:pPr>
        <w:spacing w:line="360" w:lineRule="auto"/>
        <w:ind w:firstLine="420" w:firstLineChars="200"/>
        <w:rPr>
          <w:color w:val="auto"/>
          <w:highlight w:val="none"/>
        </w:rPr>
      </w:pPr>
      <w:r>
        <w:rPr>
          <w:rFonts w:hint="eastAsia"/>
          <w:color w:val="auto"/>
          <w:highlight w:val="none"/>
        </w:rPr>
        <w:t>https://www.bawjxt.net/baqjbyfkzzx/(深圳市宝安区疾病预防控制中心官网)</w:t>
      </w:r>
    </w:p>
    <w:p w14:paraId="5783F421">
      <w:pPr>
        <w:spacing w:line="360" w:lineRule="auto"/>
        <w:ind w:firstLine="420" w:firstLineChars="200"/>
        <w:rPr>
          <w:color w:val="auto"/>
          <w:highlight w:val="none"/>
        </w:rPr>
      </w:pPr>
    </w:p>
    <w:p w14:paraId="7C397871">
      <w:pPr>
        <w:spacing w:line="360" w:lineRule="auto"/>
        <w:ind w:firstLine="420" w:firstLineChars="200"/>
        <w:rPr>
          <w:color w:val="auto"/>
          <w:highlight w:val="none"/>
        </w:rPr>
      </w:pPr>
    </w:p>
    <w:p w14:paraId="4FBE17F7">
      <w:pPr>
        <w:spacing w:line="360" w:lineRule="auto"/>
        <w:ind w:firstLine="5460" w:firstLineChars="2600"/>
        <w:rPr>
          <w:rFonts w:hint="eastAsia"/>
          <w:color w:val="auto"/>
          <w:highlight w:val="none"/>
        </w:rPr>
      </w:pPr>
      <w:r>
        <w:rPr>
          <w:rFonts w:hint="eastAsia"/>
          <w:color w:val="auto"/>
          <w:highlight w:val="none"/>
        </w:rPr>
        <w:t>深圳市宝安区疾病预防控制中心</w:t>
      </w:r>
    </w:p>
    <w:p w14:paraId="43CE7AD1">
      <w:pPr>
        <w:spacing w:line="360" w:lineRule="auto"/>
        <w:ind w:firstLine="5460" w:firstLineChars="2600"/>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深圳市宝安区卫生监督所</w:t>
      </w:r>
      <w:r>
        <w:rPr>
          <w:rFonts w:hint="eastAsia"/>
          <w:color w:val="auto"/>
          <w:highlight w:val="none"/>
          <w:lang w:eastAsia="zh-CN"/>
        </w:rPr>
        <w:t>）</w:t>
      </w:r>
    </w:p>
    <w:p w14:paraId="634A6FD4">
      <w:pPr>
        <w:spacing w:line="360" w:lineRule="auto"/>
        <w:ind w:firstLine="5880" w:firstLineChars="2800"/>
        <w:rPr>
          <w:color w:val="auto"/>
          <w:highlight w:val="none"/>
        </w:rPr>
      </w:pPr>
      <w:r>
        <w:rPr>
          <w:rFonts w:hint="eastAsia"/>
          <w:color w:val="auto"/>
          <w:highlight w:val="none"/>
        </w:rPr>
        <w:t>2</w:t>
      </w:r>
      <w:r>
        <w:rPr>
          <w:color w:val="auto"/>
          <w:highlight w:val="none"/>
        </w:rPr>
        <w:t>02</w:t>
      </w:r>
      <w:r>
        <w:rPr>
          <w:rFonts w:hint="default"/>
          <w:color w:val="auto"/>
          <w:highlight w:val="none"/>
          <w:lang w:val="en-US"/>
        </w:rPr>
        <w:t>5</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7</w:t>
      </w:r>
      <w:r>
        <w:rPr>
          <w:rFonts w:hint="eastAsia"/>
          <w:color w:val="auto"/>
          <w:highlight w:val="none"/>
        </w:rPr>
        <w:t>日</w:t>
      </w:r>
    </w:p>
    <w:p w14:paraId="39B0F1EE">
      <w:pPr>
        <w:spacing w:line="360" w:lineRule="auto"/>
        <w:ind w:firstLine="420" w:firstLineChars="200"/>
        <w:rPr>
          <w:color w:val="auto"/>
          <w:highlight w:val="none"/>
        </w:rPr>
        <w:sectPr>
          <w:pgSz w:w="11906" w:h="16838"/>
          <w:pgMar w:top="1418" w:right="1474" w:bottom="1418" w:left="1474" w:header="851" w:footer="992" w:gutter="0"/>
          <w:cols w:space="425" w:num="1"/>
          <w:docGrid w:type="lines" w:linePitch="312" w:charSpace="0"/>
        </w:sectPr>
      </w:pPr>
    </w:p>
    <w:p w14:paraId="543E101A">
      <w:pPr>
        <w:pStyle w:val="3"/>
        <w:rPr>
          <w:color w:val="auto"/>
          <w:highlight w:val="none"/>
        </w:rPr>
      </w:pPr>
      <w:bookmarkStart w:id="7" w:name="_Toc61539109"/>
      <w:bookmarkStart w:id="8" w:name="_Toc18329"/>
      <w:r>
        <w:rPr>
          <w:rFonts w:hint="eastAsia"/>
          <w:color w:val="auto"/>
          <w:highlight w:val="none"/>
        </w:rPr>
        <w:t>第二章  用户需求书</w:t>
      </w:r>
      <w:bookmarkEnd w:id="7"/>
      <w:bookmarkEnd w:id="8"/>
    </w:p>
    <w:p w14:paraId="71BEAA59">
      <w:pPr>
        <w:numPr>
          <w:ilvl w:val="0"/>
          <w:numId w:val="1"/>
        </w:numPr>
        <w:spacing w:line="360" w:lineRule="auto"/>
        <w:ind w:firstLine="480" w:firstLineChars="200"/>
        <w:jc w:val="left"/>
        <w:rPr>
          <w:rFonts w:hint="eastAsia" w:ascii="宋体" w:hAnsi="宋体"/>
          <w:color w:val="FF0000"/>
          <w:sz w:val="24"/>
          <w:highlight w:val="none"/>
        </w:rPr>
      </w:pPr>
      <w:bookmarkStart w:id="9" w:name="_Toc56436164"/>
      <w:bookmarkStart w:id="10" w:name="_Toc55548486"/>
      <w:bookmarkStart w:id="11" w:name="_Toc61539110"/>
      <w:bookmarkStart w:id="12" w:name="_Toc61880306"/>
      <w:r>
        <w:rPr>
          <w:rFonts w:hint="eastAsia" w:ascii="宋体" w:hAnsi="宋体"/>
          <w:color w:val="FF0000"/>
          <w:sz w:val="24"/>
          <w:highlight w:val="none"/>
        </w:rPr>
        <w:t>项目概括：通过本项目的实施，完善和巩固疾控</w:t>
      </w:r>
      <w:r>
        <w:rPr>
          <w:rFonts w:hint="eastAsia" w:ascii="宋体" w:hAnsi="宋体"/>
          <w:color w:val="FF0000"/>
          <w:sz w:val="24"/>
          <w:highlight w:val="none"/>
          <w:lang w:val="en-US" w:eastAsia="zh-CN"/>
        </w:rPr>
        <w:t>业务信息系统维护</w:t>
      </w:r>
      <w:r>
        <w:rPr>
          <w:rFonts w:hint="eastAsia" w:ascii="宋体" w:hAnsi="宋体"/>
          <w:color w:val="FF0000"/>
          <w:sz w:val="24"/>
          <w:highlight w:val="none"/>
        </w:rPr>
        <w:t>服务，保障信息化系统及相关设备的稳定，数据的可靠，信息的安全性，信息传递的高效，不间断运行等。提高系统业务的流畅性，系统的优化及使用体验，降低适应系统的难度，不必要的信息处理。确保各项业务工作能迅速且正常开展，提供强有力的运行服务支撑。</w:t>
      </w:r>
    </w:p>
    <w:p w14:paraId="2F305BCA">
      <w:pPr>
        <w:numPr>
          <w:ilvl w:val="0"/>
          <w:numId w:val="0"/>
        </w:numPr>
        <w:spacing w:line="360" w:lineRule="auto"/>
        <w:ind w:firstLine="480" w:firstLineChars="200"/>
        <w:jc w:val="left"/>
        <w:rPr>
          <w:rFonts w:ascii="宋体" w:hAnsi="宋体"/>
          <w:color w:val="FF0000"/>
          <w:sz w:val="24"/>
          <w:highlight w:val="none"/>
        </w:rPr>
      </w:pPr>
      <w:r>
        <w:rPr>
          <w:rFonts w:hint="eastAsia" w:ascii="宋体" w:hAnsi="宋体"/>
          <w:color w:val="FF0000"/>
          <w:sz w:val="24"/>
          <w:highlight w:val="none"/>
        </w:rPr>
        <w:t>疫苗信息安全管理平台</w:t>
      </w:r>
      <w:r>
        <w:rPr>
          <w:rFonts w:hint="eastAsia" w:ascii="宋体" w:hAnsi="宋体"/>
          <w:color w:val="FF0000"/>
          <w:sz w:val="24"/>
          <w:highlight w:val="none"/>
          <w:lang w:val="en-US" w:eastAsia="zh-CN"/>
        </w:rPr>
        <w:t>是</w:t>
      </w:r>
      <w:r>
        <w:rPr>
          <w:rFonts w:hint="eastAsia" w:ascii="宋体" w:hAnsi="宋体"/>
          <w:color w:val="FF0000"/>
          <w:sz w:val="24"/>
          <w:highlight w:val="none"/>
        </w:rPr>
        <w:t>犬伤门诊接种管理全程信息溯源，本系统承担了全区8个犬伤接种门诊的犬伤疫苗库存与接种管理业务信息接种功能。疫苗预约管理实现了向全区公众开放各个疫苗接种门诊的网上预约服务，以微信公众号为入口，公众可以在系统上完成指定疫苗接种门诊指定疫苗的接种预约。</w:t>
      </w:r>
    </w:p>
    <w:p w14:paraId="3EC2124B">
      <w:pPr>
        <w:numPr>
          <w:ilvl w:val="0"/>
          <w:numId w:val="1"/>
        </w:numPr>
        <w:spacing w:line="360" w:lineRule="auto"/>
        <w:ind w:firstLine="480" w:firstLineChars="200"/>
        <w:jc w:val="left"/>
        <w:rPr>
          <w:rFonts w:ascii="宋体" w:hAnsi="宋体"/>
          <w:color w:val="FF0000"/>
          <w:sz w:val="24"/>
          <w:highlight w:val="none"/>
        </w:rPr>
      </w:pPr>
      <w:r>
        <w:rPr>
          <w:rFonts w:hint="eastAsia" w:ascii="宋体" w:hAnsi="宋体"/>
          <w:color w:val="FF0000"/>
          <w:sz w:val="24"/>
          <w:highlight w:val="none"/>
        </w:rPr>
        <w:t>服务范围：保障疫苗安全管理平台的稳定不间断运行，数据处理，包含疫苗安全管理基础库存管理，疫苗预约管理系统，疫苗犬伤门诊接种管理的维护服务的相关工作。</w:t>
      </w:r>
    </w:p>
    <w:p w14:paraId="3A341A77">
      <w:pPr>
        <w:numPr>
          <w:ilvl w:val="0"/>
          <w:numId w:val="1"/>
        </w:num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服务内容及要求：</w:t>
      </w:r>
    </w:p>
    <w:p w14:paraId="098B4CBF">
      <w:pPr>
        <w:spacing w:line="360" w:lineRule="auto"/>
        <w:ind w:left="420" w:firstLine="42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在维护服务期内，提供服务内容包括但不限于以下三个部分：功能应用维护、数据维护及其他服务，详见</w:t>
      </w:r>
      <w:r>
        <w:rPr>
          <w:rFonts w:hint="eastAsia" w:ascii="宋体" w:hAnsi="宋体" w:eastAsia="宋体" w:cs="宋体"/>
          <w:color w:val="auto"/>
          <w:sz w:val="24"/>
          <w:szCs w:val="24"/>
          <w:highlight w:val="none"/>
        </w:rPr>
        <w:t>下</w:t>
      </w:r>
      <w:r>
        <w:rPr>
          <w:rFonts w:hint="eastAsia" w:ascii="宋体" w:hAnsi="宋体" w:eastAsia="宋体" w:cs="宋体"/>
          <w:color w:val="auto"/>
          <w:sz w:val="24"/>
          <w:szCs w:val="24"/>
          <w:highlight w:val="none"/>
          <w:lang w:val="zh-CN"/>
        </w:rPr>
        <w:t>表。</w:t>
      </w:r>
    </w:p>
    <w:p w14:paraId="0F2CDF2C">
      <w:pPr>
        <w:pStyle w:val="2"/>
        <w:ind w:firstLine="420"/>
        <w:jc w:val="center"/>
        <w:rPr>
          <w:rFonts w:hint="eastAsia"/>
          <w:color w:val="auto"/>
          <w:sz w:val="24"/>
          <w:szCs w:val="24"/>
          <w:highlight w:val="none"/>
          <w:lang w:val="zh-CN"/>
        </w:rPr>
      </w:pPr>
      <w:r>
        <w:rPr>
          <w:rFonts w:hint="eastAsia" w:ascii="宋体" w:hAnsi="宋体" w:cs="宋体"/>
          <w:b/>
          <w:color w:val="auto"/>
          <w:sz w:val="24"/>
          <w:szCs w:val="24"/>
          <w:highlight w:val="none"/>
          <w:lang w:val="zh-CN"/>
        </w:rPr>
        <w:t>服务内容一览表</w:t>
      </w:r>
    </w:p>
    <w:tbl>
      <w:tblPr>
        <w:tblStyle w:val="14"/>
        <w:tblW w:w="8643" w:type="dxa"/>
        <w:jc w:val="center"/>
        <w:tblLayout w:type="fixed"/>
        <w:tblCellMar>
          <w:top w:w="0" w:type="dxa"/>
          <w:left w:w="28" w:type="dxa"/>
          <w:bottom w:w="0" w:type="dxa"/>
          <w:right w:w="28" w:type="dxa"/>
        </w:tblCellMar>
      </w:tblPr>
      <w:tblGrid>
        <w:gridCol w:w="645"/>
        <w:gridCol w:w="1185"/>
        <w:gridCol w:w="5155"/>
        <w:gridCol w:w="1658"/>
      </w:tblGrid>
      <w:tr w14:paraId="44215704">
        <w:trPr>
          <w:trHeight w:val="19" w:hRule="atLeast"/>
          <w:jc w:val="center"/>
        </w:trPr>
        <w:tc>
          <w:tcPr>
            <w:tcW w:w="8643" w:type="dxa"/>
            <w:gridSpan w:val="4"/>
            <w:tcBorders>
              <w:top w:val="single" w:color="000000" w:sz="12" w:space="0"/>
              <w:left w:val="single" w:color="000000" w:sz="12" w:space="0"/>
              <w:right w:val="single" w:color="000000" w:sz="6" w:space="0"/>
            </w:tcBorders>
            <w:noWrap w:val="0"/>
            <w:vAlign w:val="center"/>
          </w:tcPr>
          <w:p w14:paraId="521D97A7">
            <w:pPr>
              <w:spacing w:line="360" w:lineRule="auto"/>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zh-CN"/>
              </w:rPr>
              <w:t>功能应用维护</w:t>
            </w:r>
          </w:p>
        </w:tc>
      </w:tr>
      <w:tr w14:paraId="352A2272">
        <w:tblPrEx>
          <w:tblCellMar>
            <w:top w:w="0" w:type="dxa"/>
            <w:left w:w="28" w:type="dxa"/>
            <w:bottom w:w="0" w:type="dxa"/>
            <w:right w:w="28" w:type="dxa"/>
          </w:tblCellMar>
        </w:tblPrEx>
        <w:trPr>
          <w:trHeight w:val="19" w:hRule="atLeast"/>
          <w:jc w:val="center"/>
        </w:trPr>
        <w:tc>
          <w:tcPr>
            <w:tcW w:w="645" w:type="dxa"/>
            <w:tcBorders>
              <w:top w:val="single" w:color="000000" w:sz="12" w:space="0"/>
              <w:left w:val="single" w:color="000000" w:sz="12" w:space="0"/>
              <w:right w:val="single" w:color="auto" w:sz="4" w:space="0"/>
            </w:tcBorders>
            <w:noWrap w:val="0"/>
            <w:vAlign w:val="center"/>
          </w:tcPr>
          <w:p w14:paraId="578DF16A">
            <w:pPr>
              <w:spacing w:line="360" w:lineRule="auto"/>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5" w:type="dxa"/>
            <w:tcBorders>
              <w:top w:val="single" w:color="000000" w:sz="12" w:space="0"/>
              <w:left w:val="single" w:color="auto" w:sz="4" w:space="0"/>
              <w:right w:val="single" w:color="auto" w:sz="4" w:space="0"/>
            </w:tcBorders>
            <w:noWrap w:val="0"/>
            <w:vAlign w:val="center"/>
          </w:tcPr>
          <w:p w14:paraId="40C76AEE">
            <w:pPr>
              <w:spacing w:line="360" w:lineRule="auto"/>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服务项目</w:t>
            </w:r>
          </w:p>
        </w:tc>
        <w:tc>
          <w:tcPr>
            <w:tcW w:w="5155" w:type="dxa"/>
            <w:tcBorders>
              <w:top w:val="single" w:color="000000" w:sz="12" w:space="0"/>
              <w:left w:val="single" w:color="000000" w:sz="6" w:space="0"/>
              <w:right w:val="single" w:color="000000" w:sz="6" w:space="0"/>
            </w:tcBorders>
            <w:noWrap w:val="0"/>
            <w:vAlign w:val="center"/>
          </w:tcPr>
          <w:p w14:paraId="2CFEBB18">
            <w:pPr>
              <w:spacing w:line="360" w:lineRule="auto"/>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w:t>
            </w:r>
          </w:p>
        </w:tc>
        <w:tc>
          <w:tcPr>
            <w:tcW w:w="1658" w:type="dxa"/>
            <w:tcBorders>
              <w:top w:val="single" w:color="000000" w:sz="12" w:space="0"/>
              <w:left w:val="single" w:color="000000" w:sz="6" w:space="0"/>
              <w:right w:val="single" w:color="000000" w:sz="6" w:space="0"/>
            </w:tcBorders>
            <w:noWrap w:val="0"/>
            <w:vAlign w:val="center"/>
          </w:tcPr>
          <w:p w14:paraId="6484282E">
            <w:pPr>
              <w:spacing w:line="360" w:lineRule="auto"/>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响应时间</w:t>
            </w:r>
          </w:p>
        </w:tc>
      </w:tr>
      <w:tr w14:paraId="06A5DF71">
        <w:tblPrEx>
          <w:tblCellMar>
            <w:top w:w="0" w:type="dxa"/>
            <w:left w:w="28" w:type="dxa"/>
            <w:bottom w:w="0" w:type="dxa"/>
            <w:right w:w="28" w:type="dxa"/>
          </w:tblCellMar>
        </w:tblPrEx>
        <w:trPr>
          <w:trHeight w:val="19" w:hRule="atLeast"/>
          <w:jc w:val="center"/>
        </w:trPr>
        <w:tc>
          <w:tcPr>
            <w:tcW w:w="645" w:type="dxa"/>
            <w:tcBorders>
              <w:top w:val="single" w:color="000000" w:sz="12" w:space="0"/>
              <w:left w:val="single" w:color="000000" w:sz="12" w:space="0"/>
              <w:right w:val="single" w:color="auto" w:sz="4" w:space="0"/>
            </w:tcBorders>
            <w:noWrap w:val="0"/>
            <w:vAlign w:val="center"/>
          </w:tcPr>
          <w:p w14:paraId="2B92E642">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5" w:type="dxa"/>
            <w:tcBorders>
              <w:top w:val="single" w:color="000000" w:sz="12" w:space="0"/>
              <w:left w:val="single" w:color="auto" w:sz="4" w:space="0"/>
              <w:right w:val="single" w:color="auto" w:sz="4" w:space="0"/>
            </w:tcBorders>
            <w:noWrap w:val="0"/>
            <w:vAlign w:val="center"/>
          </w:tcPr>
          <w:p w14:paraId="628ED446">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咨询服务</w:t>
            </w:r>
          </w:p>
        </w:tc>
        <w:tc>
          <w:tcPr>
            <w:tcW w:w="5155" w:type="dxa"/>
            <w:tcBorders>
              <w:top w:val="single" w:color="000000" w:sz="12" w:space="0"/>
              <w:left w:val="single" w:color="000000" w:sz="6" w:space="0"/>
              <w:right w:val="single" w:color="000000" w:sz="6" w:space="0"/>
            </w:tcBorders>
            <w:noWrap w:val="0"/>
            <w:vAlign w:val="center"/>
          </w:tcPr>
          <w:p w14:paraId="4C2AFCA0">
            <w:pPr>
              <w:spacing w:line="24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软件功能的应用咨询</w:t>
            </w:r>
          </w:p>
        </w:tc>
        <w:tc>
          <w:tcPr>
            <w:tcW w:w="1658" w:type="dxa"/>
            <w:tcBorders>
              <w:top w:val="single" w:color="000000" w:sz="12" w:space="0"/>
              <w:left w:val="single" w:color="000000" w:sz="6" w:space="0"/>
              <w:right w:val="single" w:color="000000" w:sz="6" w:space="0"/>
            </w:tcBorders>
            <w:noWrap w:val="0"/>
            <w:vAlign w:val="center"/>
          </w:tcPr>
          <w:p w14:paraId="0AFB781F">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2小时内响应</w:t>
            </w:r>
          </w:p>
        </w:tc>
      </w:tr>
      <w:tr w14:paraId="38DD66C3">
        <w:tblPrEx>
          <w:tblCellMar>
            <w:top w:w="0" w:type="dxa"/>
            <w:left w:w="28" w:type="dxa"/>
            <w:bottom w:w="0" w:type="dxa"/>
            <w:right w:w="28" w:type="dxa"/>
          </w:tblCellMar>
        </w:tblPrEx>
        <w:trPr>
          <w:trHeight w:val="19" w:hRule="atLeast"/>
          <w:jc w:val="center"/>
        </w:trPr>
        <w:tc>
          <w:tcPr>
            <w:tcW w:w="645" w:type="dxa"/>
            <w:tcBorders>
              <w:top w:val="single" w:color="000000" w:sz="12" w:space="0"/>
              <w:left w:val="single" w:color="000000" w:sz="12" w:space="0"/>
              <w:right w:val="single" w:color="auto" w:sz="4" w:space="0"/>
            </w:tcBorders>
            <w:noWrap w:val="0"/>
            <w:vAlign w:val="center"/>
          </w:tcPr>
          <w:p w14:paraId="07BB9163">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85" w:type="dxa"/>
            <w:tcBorders>
              <w:top w:val="single" w:color="000000" w:sz="12" w:space="0"/>
              <w:left w:val="single" w:color="auto" w:sz="4" w:space="0"/>
              <w:right w:val="single" w:color="auto" w:sz="4" w:space="0"/>
            </w:tcBorders>
            <w:noWrap w:val="0"/>
            <w:vAlign w:val="center"/>
          </w:tcPr>
          <w:p w14:paraId="4389A1FD">
            <w:pPr>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故障排除</w:t>
            </w:r>
          </w:p>
        </w:tc>
        <w:tc>
          <w:tcPr>
            <w:tcW w:w="5155" w:type="dxa"/>
            <w:tcBorders>
              <w:top w:val="single" w:color="000000" w:sz="12" w:space="0"/>
              <w:left w:val="single" w:color="000000" w:sz="6" w:space="0"/>
              <w:right w:val="single" w:color="000000" w:sz="6" w:space="0"/>
            </w:tcBorders>
            <w:noWrap w:val="0"/>
            <w:vAlign w:val="center"/>
          </w:tcPr>
          <w:p w14:paraId="2D4BF404">
            <w:pPr>
              <w:spacing w:line="24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软件应用过程中出现功能错误时，协助查找、排除及修复软件故障，保证系统正常运行。</w:t>
            </w:r>
          </w:p>
        </w:tc>
        <w:tc>
          <w:tcPr>
            <w:tcW w:w="1658" w:type="dxa"/>
            <w:tcBorders>
              <w:top w:val="single" w:color="000000" w:sz="12" w:space="0"/>
              <w:left w:val="single" w:color="000000" w:sz="6" w:space="0"/>
              <w:right w:val="single" w:color="000000" w:sz="6" w:space="0"/>
            </w:tcBorders>
            <w:noWrap w:val="0"/>
            <w:vAlign w:val="center"/>
          </w:tcPr>
          <w:p w14:paraId="26E607CB">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2小时内响应</w:t>
            </w:r>
          </w:p>
        </w:tc>
      </w:tr>
      <w:tr w14:paraId="2EB3D1AD">
        <w:tblPrEx>
          <w:tblCellMar>
            <w:top w:w="0" w:type="dxa"/>
            <w:left w:w="28" w:type="dxa"/>
            <w:bottom w:w="0" w:type="dxa"/>
            <w:right w:w="28" w:type="dxa"/>
          </w:tblCellMar>
        </w:tblPrEx>
        <w:trPr>
          <w:trHeight w:val="19" w:hRule="atLeast"/>
          <w:jc w:val="center"/>
        </w:trPr>
        <w:tc>
          <w:tcPr>
            <w:tcW w:w="645" w:type="dxa"/>
            <w:tcBorders>
              <w:top w:val="single" w:color="000000" w:sz="12" w:space="0"/>
              <w:left w:val="single" w:color="000000" w:sz="12" w:space="0"/>
              <w:right w:val="single" w:color="auto" w:sz="4" w:space="0"/>
            </w:tcBorders>
            <w:noWrap w:val="0"/>
            <w:vAlign w:val="center"/>
          </w:tcPr>
          <w:p w14:paraId="2C6B54B2">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85" w:type="dxa"/>
            <w:tcBorders>
              <w:top w:val="single" w:color="000000" w:sz="12" w:space="0"/>
              <w:left w:val="single" w:color="auto" w:sz="4" w:space="0"/>
              <w:right w:val="single" w:color="auto" w:sz="4" w:space="0"/>
            </w:tcBorders>
            <w:noWrap w:val="0"/>
            <w:vAlign w:val="center"/>
          </w:tcPr>
          <w:p w14:paraId="7351CCC6">
            <w:pPr>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报表维护</w:t>
            </w:r>
          </w:p>
        </w:tc>
        <w:tc>
          <w:tcPr>
            <w:tcW w:w="5155" w:type="dxa"/>
            <w:tcBorders>
              <w:top w:val="single" w:color="000000" w:sz="12" w:space="0"/>
              <w:left w:val="single" w:color="000000" w:sz="6" w:space="0"/>
              <w:right w:val="single" w:color="000000" w:sz="6" w:space="0"/>
            </w:tcBorders>
            <w:noWrap w:val="0"/>
            <w:vAlign w:val="center"/>
          </w:tcPr>
          <w:p w14:paraId="4F2C6555">
            <w:pPr>
              <w:spacing w:line="24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现有报表格式、数据调整、修改；</w:t>
            </w:r>
          </w:p>
          <w:p w14:paraId="54C46D06">
            <w:pPr>
              <w:spacing w:line="24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从系统现有数据中新增报表或根据需求导出数据，报表数据需要从第三方系统中提取的，需要评估工作量，并由甲方协调第三方人员配合。</w:t>
            </w:r>
          </w:p>
        </w:tc>
        <w:tc>
          <w:tcPr>
            <w:tcW w:w="1658" w:type="dxa"/>
            <w:tcBorders>
              <w:top w:val="single" w:color="000000" w:sz="12" w:space="0"/>
              <w:left w:val="single" w:color="000000" w:sz="6" w:space="0"/>
              <w:right w:val="single" w:color="000000" w:sz="6" w:space="0"/>
            </w:tcBorders>
            <w:noWrap w:val="0"/>
            <w:vAlign w:val="center"/>
          </w:tcPr>
          <w:p w14:paraId="255F256A">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2小时内响应</w:t>
            </w:r>
          </w:p>
        </w:tc>
      </w:tr>
      <w:tr w14:paraId="10C924D2">
        <w:tblPrEx>
          <w:tblCellMar>
            <w:top w:w="0" w:type="dxa"/>
            <w:left w:w="28" w:type="dxa"/>
            <w:bottom w:w="0" w:type="dxa"/>
            <w:right w:w="28" w:type="dxa"/>
          </w:tblCellMar>
        </w:tblPrEx>
        <w:trPr>
          <w:trHeight w:val="19" w:hRule="atLeast"/>
          <w:jc w:val="center"/>
        </w:trPr>
        <w:tc>
          <w:tcPr>
            <w:tcW w:w="645" w:type="dxa"/>
            <w:tcBorders>
              <w:top w:val="single" w:color="000000" w:sz="12" w:space="0"/>
              <w:left w:val="single" w:color="000000" w:sz="12" w:space="0"/>
              <w:bottom w:val="single" w:color="000000" w:sz="12" w:space="0"/>
              <w:right w:val="single" w:color="auto" w:sz="4" w:space="0"/>
            </w:tcBorders>
            <w:noWrap w:val="0"/>
            <w:vAlign w:val="center"/>
          </w:tcPr>
          <w:p w14:paraId="2A48BE69">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85" w:type="dxa"/>
            <w:tcBorders>
              <w:top w:val="single" w:color="000000" w:sz="12" w:space="0"/>
              <w:left w:val="single" w:color="auto" w:sz="4" w:space="0"/>
              <w:bottom w:val="single" w:color="000000" w:sz="12" w:space="0"/>
              <w:right w:val="single" w:color="auto" w:sz="4" w:space="0"/>
            </w:tcBorders>
            <w:noWrap w:val="0"/>
            <w:vAlign w:val="center"/>
          </w:tcPr>
          <w:p w14:paraId="3979F93F">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需求变更</w:t>
            </w:r>
          </w:p>
        </w:tc>
        <w:tc>
          <w:tcPr>
            <w:tcW w:w="5155" w:type="dxa"/>
            <w:tcBorders>
              <w:top w:val="single" w:color="000000" w:sz="12" w:space="0"/>
              <w:left w:val="single" w:color="000000" w:sz="6" w:space="0"/>
              <w:bottom w:val="single" w:color="000000" w:sz="12" w:space="0"/>
              <w:right w:val="single" w:color="000000" w:sz="6" w:space="0"/>
            </w:tcBorders>
            <w:noWrap w:val="0"/>
            <w:vAlign w:val="center"/>
          </w:tcPr>
          <w:p w14:paraId="3B602CE1">
            <w:pPr>
              <w:spacing w:line="24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在已应用模块范围内的功能需求调整、修改，不涉及功能改造；</w:t>
            </w:r>
          </w:p>
        </w:tc>
        <w:tc>
          <w:tcPr>
            <w:tcW w:w="1658" w:type="dxa"/>
            <w:tcBorders>
              <w:top w:val="single" w:color="000000" w:sz="12" w:space="0"/>
              <w:left w:val="single" w:color="000000" w:sz="6" w:space="0"/>
              <w:bottom w:val="single" w:color="000000" w:sz="12" w:space="0"/>
              <w:right w:val="single" w:color="000000" w:sz="6" w:space="0"/>
            </w:tcBorders>
            <w:noWrap w:val="0"/>
            <w:vAlign w:val="center"/>
          </w:tcPr>
          <w:p w14:paraId="6D5CABE9">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2小时内响应</w:t>
            </w:r>
          </w:p>
        </w:tc>
      </w:tr>
      <w:tr w14:paraId="5C414EEE">
        <w:tblPrEx>
          <w:tblCellMar>
            <w:top w:w="0" w:type="dxa"/>
            <w:left w:w="28" w:type="dxa"/>
            <w:bottom w:w="0" w:type="dxa"/>
            <w:right w:w="28" w:type="dxa"/>
          </w:tblCellMar>
        </w:tblPrEx>
        <w:trPr>
          <w:trHeight w:val="19" w:hRule="atLeast"/>
          <w:jc w:val="center"/>
        </w:trPr>
        <w:tc>
          <w:tcPr>
            <w:tcW w:w="645" w:type="dxa"/>
            <w:tcBorders>
              <w:top w:val="single" w:color="000000" w:sz="12" w:space="0"/>
              <w:left w:val="single" w:color="000000" w:sz="12" w:space="0"/>
              <w:bottom w:val="single" w:color="auto" w:sz="4" w:space="0"/>
              <w:right w:val="single" w:color="auto" w:sz="4" w:space="0"/>
            </w:tcBorders>
            <w:noWrap w:val="0"/>
            <w:vAlign w:val="center"/>
          </w:tcPr>
          <w:p w14:paraId="35136CFA">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85" w:type="dxa"/>
            <w:tcBorders>
              <w:top w:val="single" w:color="000000" w:sz="12" w:space="0"/>
              <w:left w:val="single" w:color="auto" w:sz="4" w:space="0"/>
              <w:bottom w:val="single" w:color="auto" w:sz="4" w:space="0"/>
              <w:right w:val="single" w:color="auto" w:sz="4" w:space="0"/>
            </w:tcBorders>
            <w:noWrap w:val="0"/>
            <w:vAlign w:val="center"/>
          </w:tcPr>
          <w:p w14:paraId="0BF5844E">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日常维护</w:t>
            </w:r>
          </w:p>
        </w:tc>
        <w:tc>
          <w:tcPr>
            <w:tcW w:w="5155" w:type="dxa"/>
            <w:tcBorders>
              <w:top w:val="single" w:color="000000" w:sz="12" w:space="0"/>
              <w:left w:val="single" w:color="000000" w:sz="6" w:space="0"/>
              <w:bottom w:val="single" w:color="auto" w:sz="4" w:space="0"/>
              <w:right w:val="single" w:color="000000" w:sz="6" w:space="0"/>
            </w:tcBorders>
            <w:noWrap w:val="0"/>
            <w:vAlign w:val="center"/>
          </w:tcPr>
          <w:p w14:paraId="7947E10A">
            <w:pPr>
              <w:spacing w:line="24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协助甲方</w:t>
            </w:r>
            <w:r>
              <w:rPr>
                <w:rFonts w:hint="eastAsia" w:ascii="宋体" w:hAnsi="宋体" w:eastAsia="宋体" w:cs="宋体"/>
                <w:color w:val="auto"/>
                <w:sz w:val="24"/>
                <w:szCs w:val="24"/>
                <w:highlight w:val="none"/>
                <w:lang w:val="zh-CN"/>
              </w:rPr>
              <w:t>建立日常维护记录，定期与</w:t>
            </w:r>
            <w:r>
              <w:rPr>
                <w:rFonts w:hint="eastAsia" w:ascii="宋体" w:hAnsi="宋体" w:eastAsia="宋体" w:cs="宋体"/>
                <w:bCs/>
                <w:color w:val="auto"/>
                <w:sz w:val="24"/>
                <w:szCs w:val="24"/>
                <w:highlight w:val="none"/>
              </w:rPr>
              <w:t>甲方</w:t>
            </w:r>
            <w:r>
              <w:rPr>
                <w:rFonts w:hint="eastAsia" w:ascii="宋体" w:hAnsi="宋体" w:eastAsia="宋体" w:cs="宋体"/>
                <w:color w:val="auto"/>
                <w:sz w:val="24"/>
                <w:szCs w:val="24"/>
                <w:highlight w:val="none"/>
                <w:lang w:val="zh-CN"/>
              </w:rPr>
              <w:t>系统管理人员共同检查系统运行情况，并形成系统维护记录</w:t>
            </w:r>
          </w:p>
        </w:tc>
        <w:tc>
          <w:tcPr>
            <w:tcW w:w="1658" w:type="dxa"/>
            <w:tcBorders>
              <w:top w:val="single" w:color="000000" w:sz="12" w:space="0"/>
              <w:left w:val="single" w:color="000000" w:sz="6" w:space="0"/>
              <w:bottom w:val="single" w:color="auto" w:sz="4" w:space="0"/>
              <w:right w:val="single" w:color="000000" w:sz="6" w:space="0"/>
            </w:tcBorders>
            <w:noWrap w:val="0"/>
            <w:vAlign w:val="center"/>
          </w:tcPr>
          <w:p w14:paraId="4B3CB404">
            <w:pPr>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2小时内响应</w:t>
            </w:r>
          </w:p>
        </w:tc>
      </w:tr>
      <w:tr w14:paraId="6E53CDA1">
        <w:tblPrEx>
          <w:tblCellMar>
            <w:top w:w="0" w:type="dxa"/>
            <w:left w:w="28" w:type="dxa"/>
            <w:bottom w:w="0" w:type="dxa"/>
            <w:right w:w="28" w:type="dxa"/>
          </w:tblCellMar>
        </w:tblPrEx>
        <w:trPr>
          <w:trHeight w:val="19" w:hRule="atLeast"/>
          <w:jc w:val="center"/>
        </w:trPr>
        <w:tc>
          <w:tcPr>
            <w:tcW w:w="645" w:type="dxa"/>
            <w:tcBorders>
              <w:top w:val="single" w:color="000000" w:sz="12" w:space="0"/>
              <w:left w:val="single" w:color="000000" w:sz="12" w:space="0"/>
              <w:bottom w:val="single" w:color="auto" w:sz="4" w:space="0"/>
              <w:right w:val="single" w:color="auto" w:sz="4" w:space="0"/>
            </w:tcBorders>
            <w:noWrap w:val="0"/>
            <w:vAlign w:val="center"/>
          </w:tcPr>
          <w:p w14:paraId="2F0E8B3F">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185" w:type="dxa"/>
            <w:tcBorders>
              <w:top w:val="single" w:color="000000" w:sz="12" w:space="0"/>
              <w:left w:val="single" w:color="auto" w:sz="4" w:space="0"/>
              <w:bottom w:val="single" w:color="auto" w:sz="4" w:space="0"/>
              <w:right w:val="single" w:color="auto" w:sz="4" w:space="0"/>
            </w:tcBorders>
            <w:noWrap w:val="0"/>
            <w:vAlign w:val="center"/>
          </w:tcPr>
          <w:p w14:paraId="1E2FDD71">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软件升级</w:t>
            </w:r>
          </w:p>
        </w:tc>
        <w:tc>
          <w:tcPr>
            <w:tcW w:w="5155" w:type="dxa"/>
            <w:tcBorders>
              <w:top w:val="single" w:color="000000" w:sz="12" w:space="0"/>
              <w:left w:val="single" w:color="000000" w:sz="6" w:space="0"/>
              <w:bottom w:val="single" w:color="auto" w:sz="4" w:space="0"/>
              <w:right w:val="single" w:color="000000" w:sz="6" w:space="0"/>
            </w:tcBorders>
            <w:noWrap w:val="0"/>
            <w:vAlign w:val="center"/>
          </w:tcPr>
          <w:p w14:paraId="0F59C922">
            <w:pPr>
              <w:spacing w:line="24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在维护过程中所涉及软件系统定期升级到</w:t>
            </w:r>
            <w:r>
              <w:rPr>
                <w:rFonts w:hint="eastAsia" w:ascii="宋体" w:hAnsi="宋体" w:eastAsia="宋体" w:cs="宋体"/>
                <w:color w:val="auto"/>
                <w:sz w:val="24"/>
                <w:szCs w:val="24"/>
                <w:highlight w:val="none"/>
              </w:rPr>
              <w:t>原合同功能范围内的最新版本</w:t>
            </w:r>
            <w:r>
              <w:rPr>
                <w:rFonts w:hint="eastAsia" w:ascii="宋体" w:hAnsi="宋体" w:eastAsia="宋体" w:cs="宋体"/>
                <w:bCs/>
                <w:color w:val="auto"/>
                <w:sz w:val="24"/>
                <w:szCs w:val="24"/>
                <w:highlight w:val="none"/>
              </w:rPr>
              <w:t>，以及对软件系统进行预防性维护。</w:t>
            </w:r>
          </w:p>
        </w:tc>
        <w:tc>
          <w:tcPr>
            <w:tcW w:w="1658" w:type="dxa"/>
            <w:tcBorders>
              <w:top w:val="single" w:color="000000" w:sz="12" w:space="0"/>
              <w:left w:val="single" w:color="000000" w:sz="6" w:space="0"/>
              <w:bottom w:val="single" w:color="auto" w:sz="4" w:space="0"/>
              <w:right w:val="single" w:color="000000" w:sz="6" w:space="0"/>
            </w:tcBorders>
            <w:noWrap w:val="0"/>
            <w:vAlign w:val="center"/>
          </w:tcPr>
          <w:p w14:paraId="1A871661">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法定工作日预约</w:t>
            </w:r>
          </w:p>
        </w:tc>
      </w:tr>
      <w:tr w14:paraId="37F122E6">
        <w:tblPrEx>
          <w:tblCellMar>
            <w:top w:w="0" w:type="dxa"/>
            <w:left w:w="28" w:type="dxa"/>
            <w:bottom w:w="0" w:type="dxa"/>
            <w:right w:w="28" w:type="dxa"/>
          </w:tblCellMar>
        </w:tblPrEx>
        <w:trPr>
          <w:trHeight w:val="19" w:hRule="atLeast"/>
          <w:jc w:val="center"/>
        </w:trPr>
        <w:tc>
          <w:tcPr>
            <w:tcW w:w="645" w:type="dxa"/>
            <w:tcBorders>
              <w:top w:val="single" w:color="000000" w:sz="12" w:space="0"/>
              <w:left w:val="single" w:color="000000" w:sz="12" w:space="0"/>
              <w:bottom w:val="single" w:color="000000" w:sz="12" w:space="0"/>
              <w:right w:val="single" w:color="auto" w:sz="4" w:space="0"/>
            </w:tcBorders>
            <w:noWrap w:val="0"/>
            <w:vAlign w:val="center"/>
          </w:tcPr>
          <w:p w14:paraId="51F8C9B9">
            <w:pPr>
              <w:spacing w:line="360" w:lineRule="auto"/>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5" w:type="dxa"/>
            <w:tcBorders>
              <w:top w:val="single" w:color="000000" w:sz="12" w:space="0"/>
              <w:left w:val="single" w:color="auto" w:sz="4" w:space="0"/>
              <w:bottom w:val="single" w:color="000000" w:sz="12" w:space="0"/>
              <w:right w:val="single" w:color="auto" w:sz="4" w:space="0"/>
            </w:tcBorders>
            <w:noWrap w:val="0"/>
            <w:vAlign w:val="center"/>
          </w:tcPr>
          <w:p w14:paraId="677425A2">
            <w:pPr>
              <w:spacing w:line="360" w:lineRule="auto"/>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服务项目</w:t>
            </w:r>
          </w:p>
        </w:tc>
        <w:tc>
          <w:tcPr>
            <w:tcW w:w="5155" w:type="dxa"/>
            <w:tcBorders>
              <w:top w:val="single" w:color="000000" w:sz="12" w:space="0"/>
              <w:left w:val="single" w:color="000000" w:sz="6" w:space="0"/>
              <w:bottom w:val="single" w:color="000000" w:sz="12" w:space="0"/>
              <w:right w:val="single" w:color="000000" w:sz="6" w:space="0"/>
            </w:tcBorders>
            <w:noWrap w:val="0"/>
            <w:vAlign w:val="center"/>
          </w:tcPr>
          <w:p w14:paraId="08ECF671">
            <w:pPr>
              <w:spacing w:line="360" w:lineRule="auto"/>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w:t>
            </w:r>
          </w:p>
        </w:tc>
        <w:tc>
          <w:tcPr>
            <w:tcW w:w="1658" w:type="dxa"/>
            <w:tcBorders>
              <w:top w:val="single" w:color="000000" w:sz="12" w:space="0"/>
              <w:left w:val="single" w:color="000000" w:sz="6" w:space="0"/>
              <w:bottom w:val="single" w:color="000000" w:sz="12" w:space="0"/>
              <w:right w:val="single" w:color="000000" w:sz="6" w:space="0"/>
            </w:tcBorders>
            <w:noWrap w:val="0"/>
            <w:vAlign w:val="center"/>
          </w:tcPr>
          <w:p w14:paraId="78F1906E">
            <w:pPr>
              <w:spacing w:line="360" w:lineRule="auto"/>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响应时间</w:t>
            </w:r>
          </w:p>
        </w:tc>
      </w:tr>
      <w:tr w14:paraId="3689583B">
        <w:tblPrEx>
          <w:tblCellMar>
            <w:top w:w="0" w:type="dxa"/>
            <w:left w:w="28" w:type="dxa"/>
            <w:bottom w:w="0" w:type="dxa"/>
            <w:right w:w="28" w:type="dxa"/>
          </w:tblCellMar>
        </w:tblPrEx>
        <w:trPr>
          <w:trHeight w:val="19" w:hRule="atLeast"/>
          <w:jc w:val="center"/>
        </w:trPr>
        <w:tc>
          <w:tcPr>
            <w:tcW w:w="645" w:type="dxa"/>
            <w:tcBorders>
              <w:top w:val="single" w:color="000000" w:sz="12" w:space="0"/>
              <w:left w:val="single" w:color="000000" w:sz="12" w:space="0"/>
              <w:bottom w:val="single" w:color="auto" w:sz="4" w:space="0"/>
              <w:right w:val="single" w:color="auto" w:sz="4" w:space="0"/>
            </w:tcBorders>
            <w:noWrap w:val="0"/>
            <w:vAlign w:val="center"/>
          </w:tcPr>
          <w:p w14:paraId="37CEEB53">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85" w:type="dxa"/>
            <w:tcBorders>
              <w:top w:val="single" w:color="000000" w:sz="12" w:space="0"/>
              <w:left w:val="single" w:color="auto" w:sz="4" w:space="0"/>
              <w:bottom w:val="single" w:color="auto" w:sz="4" w:space="0"/>
              <w:right w:val="single" w:color="auto" w:sz="4" w:space="0"/>
            </w:tcBorders>
            <w:noWrap w:val="0"/>
            <w:vAlign w:val="center"/>
          </w:tcPr>
          <w:p w14:paraId="1A22130E">
            <w:pPr>
              <w:spacing w:line="360" w:lineRule="auto"/>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数据恢复</w:t>
            </w:r>
          </w:p>
        </w:tc>
        <w:tc>
          <w:tcPr>
            <w:tcW w:w="5155" w:type="dxa"/>
            <w:tcBorders>
              <w:top w:val="single" w:color="000000" w:sz="12" w:space="0"/>
              <w:left w:val="single" w:color="000000" w:sz="6" w:space="0"/>
              <w:bottom w:val="single" w:color="auto" w:sz="4" w:space="0"/>
              <w:right w:val="single" w:color="000000" w:sz="6" w:space="0"/>
            </w:tcBorders>
            <w:noWrap w:val="0"/>
            <w:vAlign w:val="center"/>
          </w:tcPr>
          <w:p w14:paraId="7FB7ADF7">
            <w:pPr>
              <w:spacing w:line="24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因</w:t>
            </w:r>
            <w:r>
              <w:rPr>
                <w:rFonts w:hint="eastAsia" w:ascii="宋体" w:hAnsi="宋体" w:eastAsia="宋体" w:cs="宋体"/>
                <w:bCs/>
                <w:color w:val="auto"/>
                <w:sz w:val="24"/>
                <w:szCs w:val="24"/>
                <w:highlight w:val="none"/>
              </w:rPr>
              <w:t>甲方人员</w:t>
            </w:r>
            <w:r>
              <w:rPr>
                <w:rFonts w:hint="eastAsia" w:ascii="宋体" w:hAnsi="宋体" w:eastAsia="宋体" w:cs="宋体"/>
                <w:color w:val="auto"/>
                <w:sz w:val="24"/>
                <w:szCs w:val="24"/>
                <w:highlight w:val="none"/>
              </w:rPr>
              <w:t>操作不当或其它原因导致</w:t>
            </w:r>
            <w:r>
              <w:rPr>
                <w:rFonts w:hint="eastAsia" w:ascii="宋体" w:hAnsi="宋体" w:eastAsia="宋体" w:cs="宋体"/>
                <w:bCs/>
                <w:color w:val="auto"/>
                <w:sz w:val="24"/>
                <w:szCs w:val="24"/>
                <w:highlight w:val="none"/>
              </w:rPr>
              <w:t>系统数据丢失，协助甲方系统维护人员恢复系统数据。</w:t>
            </w:r>
          </w:p>
        </w:tc>
        <w:tc>
          <w:tcPr>
            <w:tcW w:w="1658" w:type="dxa"/>
            <w:tcBorders>
              <w:top w:val="single" w:color="000000" w:sz="12" w:space="0"/>
              <w:left w:val="single" w:color="000000" w:sz="6" w:space="0"/>
              <w:bottom w:val="single" w:color="auto" w:sz="4" w:space="0"/>
              <w:right w:val="single" w:color="000000" w:sz="6" w:space="0"/>
            </w:tcBorders>
            <w:noWrap w:val="0"/>
            <w:vAlign w:val="center"/>
          </w:tcPr>
          <w:p w14:paraId="372EE5B7">
            <w:pPr>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2小时内响应</w:t>
            </w:r>
          </w:p>
        </w:tc>
      </w:tr>
      <w:tr w14:paraId="280735A5">
        <w:tblPrEx>
          <w:tblCellMar>
            <w:top w:w="0" w:type="dxa"/>
            <w:left w:w="28" w:type="dxa"/>
            <w:bottom w:w="0" w:type="dxa"/>
            <w:right w:w="28" w:type="dxa"/>
          </w:tblCellMar>
        </w:tblPrEx>
        <w:trPr>
          <w:trHeight w:val="19" w:hRule="atLeast"/>
          <w:jc w:val="center"/>
        </w:trPr>
        <w:tc>
          <w:tcPr>
            <w:tcW w:w="645" w:type="dxa"/>
            <w:tcBorders>
              <w:top w:val="single" w:color="auto" w:sz="4" w:space="0"/>
              <w:left w:val="single" w:color="000000" w:sz="12" w:space="0"/>
              <w:right w:val="single" w:color="auto" w:sz="4" w:space="0"/>
            </w:tcBorders>
            <w:noWrap w:val="0"/>
            <w:vAlign w:val="center"/>
          </w:tcPr>
          <w:p w14:paraId="4B00DE15">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85" w:type="dxa"/>
            <w:tcBorders>
              <w:top w:val="single" w:color="auto" w:sz="4" w:space="0"/>
              <w:left w:val="single" w:color="auto" w:sz="4" w:space="0"/>
              <w:right w:val="single" w:color="auto" w:sz="4" w:space="0"/>
            </w:tcBorders>
            <w:noWrap w:val="0"/>
            <w:vAlign w:val="center"/>
          </w:tcPr>
          <w:p w14:paraId="6004E863">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数据调整</w:t>
            </w:r>
          </w:p>
        </w:tc>
        <w:tc>
          <w:tcPr>
            <w:tcW w:w="5155" w:type="dxa"/>
            <w:tcBorders>
              <w:top w:val="single" w:color="auto" w:sz="4" w:space="0"/>
              <w:left w:val="single" w:color="000000" w:sz="6" w:space="0"/>
              <w:right w:val="single" w:color="000000" w:sz="6" w:space="0"/>
            </w:tcBorders>
            <w:noWrap w:val="0"/>
            <w:vAlign w:val="center"/>
          </w:tcPr>
          <w:p w14:paraId="192C8AB4">
            <w:pPr>
              <w:spacing w:line="24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r>
              <w:rPr>
                <w:rFonts w:hint="eastAsia" w:ascii="宋体" w:hAnsi="宋体" w:eastAsia="宋体" w:cs="宋体"/>
                <w:bCs/>
                <w:color w:val="auto"/>
                <w:sz w:val="24"/>
                <w:szCs w:val="24"/>
                <w:highlight w:val="none"/>
              </w:rPr>
              <w:t>甲方人员</w:t>
            </w:r>
            <w:r>
              <w:rPr>
                <w:rFonts w:hint="eastAsia" w:ascii="宋体" w:hAnsi="宋体" w:eastAsia="宋体" w:cs="宋体"/>
                <w:color w:val="auto"/>
                <w:sz w:val="24"/>
                <w:szCs w:val="24"/>
                <w:highlight w:val="none"/>
              </w:rPr>
              <w:t>操作不当或其它原因造成患者数据出现部分或全部错误，协助</w:t>
            </w:r>
            <w:r>
              <w:rPr>
                <w:rFonts w:hint="eastAsia" w:ascii="宋体" w:hAnsi="宋体" w:eastAsia="宋体" w:cs="宋体"/>
                <w:bCs/>
                <w:color w:val="auto"/>
                <w:sz w:val="24"/>
                <w:szCs w:val="24"/>
                <w:highlight w:val="none"/>
              </w:rPr>
              <w:t>甲方人员</w:t>
            </w:r>
            <w:r>
              <w:rPr>
                <w:rFonts w:hint="eastAsia" w:ascii="宋体" w:hAnsi="宋体" w:eastAsia="宋体" w:cs="宋体"/>
                <w:color w:val="auto"/>
                <w:sz w:val="24"/>
                <w:szCs w:val="24"/>
                <w:highlight w:val="none"/>
              </w:rPr>
              <w:t>系统维护人员进行数据调整。</w:t>
            </w:r>
          </w:p>
        </w:tc>
        <w:tc>
          <w:tcPr>
            <w:tcW w:w="1658" w:type="dxa"/>
            <w:tcBorders>
              <w:top w:val="single" w:color="auto" w:sz="4" w:space="0"/>
              <w:left w:val="single" w:color="000000" w:sz="6" w:space="0"/>
              <w:right w:val="single" w:color="000000" w:sz="6" w:space="0"/>
            </w:tcBorders>
            <w:noWrap w:val="0"/>
            <w:vAlign w:val="center"/>
          </w:tcPr>
          <w:p w14:paraId="550C038C">
            <w:pPr>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2小时内响应</w:t>
            </w:r>
          </w:p>
        </w:tc>
      </w:tr>
      <w:tr w14:paraId="743245F1">
        <w:tblPrEx>
          <w:tblCellMar>
            <w:top w:w="0" w:type="dxa"/>
            <w:left w:w="28" w:type="dxa"/>
            <w:bottom w:w="0" w:type="dxa"/>
            <w:right w:w="28" w:type="dxa"/>
          </w:tblCellMar>
        </w:tblPrEx>
        <w:trPr>
          <w:trHeight w:val="19" w:hRule="atLeast"/>
          <w:jc w:val="center"/>
        </w:trPr>
        <w:tc>
          <w:tcPr>
            <w:tcW w:w="645" w:type="dxa"/>
            <w:tcBorders>
              <w:top w:val="single" w:color="000000" w:sz="12" w:space="0"/>
              <w:left w:val="single" w:color="000000" w:sz="12" w:space="0"/>
              <w:right w:val="single" w:color="auto" w:sz="4" w:space="0"/>
            </w:tcBorders>
            <w:noWrap w:val="0"/>
            <w:vAlign w:val="center"/>
          </w:tcPr>
          <w:p w14:paraId="65CEEDA1">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185" w:type="dxa"/>
            <w:tcBorders>
              <w:top w:val="single" w:color="000000" w:sz="12" w:space="0"/>
              <w:left w:val="single" w:color="auto" w:sz="4" w:space="0"/>
              <w:right w:val="single" w:color="auto" w:sz="4" w:space="0"/>
            </w:tcBorders>
            <w:noWrap w:val="0"/>
            <w:vAlign w:val="center"/>
          </w:tcPr>
          <w:p w14:paraId="354F9003">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特殊服务</w:t>
            </w:r>
          </w:p>
        </w:tc>
        <w:tc>
          <w:tcPr>
            <w:tcW w:w="5155" w:type="dxa"/>
            <w:tcBorders>
              <w:top w:val="single" w:color="000000" w:sz="12" w:space="0"/>
              <w:left w:val="single" w:color="000000" w:sz="6" w:space="0"/>
              <w:right w:val="single" w:color="000000" w:sz="6" w:space="0"/>
            </w:tcBorders>
            <w:noWrap w:val="0"/>
            <w:vAlign w:val="center"/>
          </w:tcPr>
          <w:p w14:paraId="4864C0FD">
            <w:pPr>
              <w:spacing w:line="24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系统灾难发生时，乙方承诺立即响应，减少数据损失，降低灾难对整个系统正常运行的影响。</w:t>
            </w:r>
          </w:p>
        </w:tc>
        <w:tc>
          <w:tcPr>
            <w:tcW w:w="1658" w:type="dxa"/>
            <w:tcBorders>
              <w:top w:val="single" w:color="000000" w:sz="12" w:space="0"/>
              <w:left w:val="single" w:color="000000" w:sz="6" w:space="0"/>
              <w:right w:val="single" w:color="000000" w:sz="6" w:space="0"/>
            </w:tcBorders>
            <w:noWrap w:val="0"/>
            <w:vAlign w:val="center"/>
          </w:tcPr>
          <w:p w14:paraId="7CBA98FA">
            <w:pPr>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立即响应</w:t>
            </w:r>
          </w:p>
        </w:tc>
      </w:tr>
      <w:tr w14:paraId="0B32E057">
        <w:tblPrEx>
          <w:tblCellMar>
            <w:top w:w="0" w:type="dxa"/>
            <w:left w:w="28" w:type="dxa"/>
            <w:bottom w:w="0" w:type="dxa"/>
            <w:right w:w="28" w:type="dxa"/>
          </w:tblCellMar>
        </w:tblPrEx>
        <w:trPr>
          <w:trHeight w:val="19" w:hRule="atLeast"/>
          <w:jc w:val="center"/>
        </w:trPr>
        <w:tc>
          <w:tcPr>
            <w:tcW w:w="645" w:type="dxa"/>
            <w:tcBorders>
              <w:top w:val="single" w:color="000000" w:sz="12" w:space="0"/>
              <w:left w:val="single" w:color="000000" w:sz="12" w:space="0"/>
              <w:right w:val="single" w:color="auto" w:sz="4" w:space="0"/>
            </w:tcBorders>
            <w:noWrap w:val="0"/>
            <w:vAlign w:val="center"/>
          </w:tcPr>
          <w:p w14:paraId="5157F0B6">
            <w:pPr>
              <w:spacing w:line="360" w:lineRule="auto"/>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5" w:type="dxa"/>
            <w:tcBorders>
              <w:top w:val="single" w:color="000000" w:sz="12" w:space="0"/>
              <w:left w:val="single" w:color="auto" w:sz="4" w:space="0"/>
              <w:right w:val="single" w:color="auto" w:sz="4" w:space="0"/>
            </w:tcBorders>
            <w:noWrap w:val="0"/>
            <w:vAlign w:val="center"/>
          </w:tcPr>
          <w:p w14:paraId="5F049302">
            <w:pPr>
              <w:spacing w:line="360" w:lineRule="auto"/>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服务项目</w:t>
            </w:r>
          </w:p>
        </w:tc>
        <w:tc>
          <w:tcPr>
            <w:tcW w:w="5155" w:type="dxa"/>
            <w:tcBorders>
              <w:top w:val="single" w:color="000000" w:sz="12" w:space="0"/>
              <w:left w:val="single" w:color="000000" w:sz="6" w:space="0"/>
              <w:right w:val="single" w:color="000000" w:sz="6" w:space="0"/>
            </w:tcBorders>
            <w:noWrap w:val="0"/>
            <w:vAlign w:val="center"/>
          </w:tcPr>
          <w:p w14:paraId="539D190A">
            <w:pPr>
              <w:spacing w:line="360" w:lineRule="auto"/>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w:t>
            </w:r>
          </w:p>
        </w:tc>
        <w:tc>
          <w:tcPr>
            <w:tcW w:w="1658" w:type="dxa"/>
            <w:tcBorders>
              <w:top w:val="single" w:color="000000" w:sz="12" w:space="0"/>
              <w:left w:val="single" w:color="000000" w:sz="6" w:space="0"/>
              <w:right w:val="single" w:color="000000" w:sz="6" w:space="0"/>
            </w:tcBorders>
            <w:noWrap w:val="0"/>
            <w:vAlign w:val="center"/>
          </w:tcPr>
          <w:p w14:paraId="311C2856">
            <w:pPr>
              <w:spacing w:line="360" w:lineRule="auto"/>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响应时间</w:t>
            </w:r>
          </w:p>
        </w:tc>
      </w:tr>
      <w:tr w14:paraId="479B3D49">
        <w:tblPrEx>
          <w:tblCellMar>
            <w:top w:w="0" w:type="dxa"/>
            <w:left w:w="28" w:type="dxa"/>
            <w:bottom w:w="0" w:type="dxa"/>
            <w:right w:w="28" w:type="dxa"/>
          </w:tblCellMar>
        </w:tblPrEx>
        <w:trPr>
          <w:trHeight w:val="19" w:hRule="atLeast"/>
          <w:jc w:val="center"/>
        </w:trPr>
        <w:tc>
          <w:tcPr>
            <w:tcW w:w="645" w:type="dxa"/>
            <w:tcBorders>
              <w:top w:val="single" w:color="000000" w:sz="12" w:space="0"/>
              <w:left w:val="single" w:color="000000" w:sz="12" w:space="0"/>
              <w:right w:val="single" w:color="auto" w:sz="4" w:space="0"/>
            </w:tcBorders>
            <w:noWrap w:val="0"/>
            <w:vAlign w:val="center"/>
          </w:tcPr>
          <w:p w14:paraId="586BA85A">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185" w:type="dxa"/>
            <w:tcBorders>
              <w:top w:val="single" w:color="000000" w:sz="12" w:space="0"/>
              <w:left w:val="single" w:color="auto" w:sz="4" w:space="0"/>
              <w:right w:val="single" w:color="auto" w:sz="4" w:space="0"/>
            </w:tcBorders>
            <w:noWrap w:val="0"/>
            <w:vAlign w:val="center"/>
          </w:tcPr>
          <w:p w14:paraId="7AB007A8">
            <w:pPr>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管理培训</w:t>
            </w:r>
          </w:p>
        </w:tc>
        <w:tc>
          <w:tcPr>
            <w:tcW w:w="5155" w:type="dxa"/>
            <w:tcBorders>
              <w:top w:val="single" w:color="000000" w:sz="12" w:space="0"/>
              <w:left w:val="single" w:color="000000" w:sz="6" w:space="0"/>
              <w:right w:val="single" w:color="000000" w:sz="6" w:space="0"/>
            </w:tcBorders>
            <w:noWrap w:val="0"/>
            <w:vAlign w:val="center"/>
          </w:tcPr>
          <w:p w14:paraId="3D0B7F46">
            <w:pPr>
              <w:spacing w:line="24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bCs/>
                <w:color w:val="auto"/>
                <w:sz w:val="24"/>
                <w:szCs w:val="24"/>
                <w:highlight w:val="none"/>
              </w:rPr>
              <w:t>甲方</w:t>
            </w:r>
            <w:r>
              <w:rPr>
                <w:rFonts w:hint="eastAsia" w:ascii="宋体" w:hAnsi="宋体" w:eastAsia="宋体" w:cs="宋体"/>
                <w:color w:val="auto"/>
                <w:sz w:val="24"/>
                <w:szCs w:val="24"/>
                <w:highlight w:val="none"/>
              </w:rPr>
              <w:t>管理人员或相关负责人进行系统的管理思想、管理流程统一培训。</w:t>
            </w:r>
          </w:p>
        </w:tc>
        <w:tc>
          <w:tcPr>
            <w:tcW w:w="1658" w:type="dxa"/>
            <w:tcBorders>
              <w:top w:val="single" w:color="000000" w:sz="12" w:space="0"/>
              <w:left w:val="single" w:color="000000" w:sz="6" w:space="0"/>
              <w:right w:val="single" w:color="000000" w:sz="6" w:space="0"/>
            </w:tcBorders>
            <w:noWrap w:val="0"/>
            <w:vAlign w:val="center"/>
          </w:tcPr>
          <w:p w14:paraId="0889F30E">
            <w:pPr>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法定工作日预约</w:t>
            </w:r>
          </w:p>
        </w:tc>
      </w:tr>
      <w:tr w14:paraId="58294699">
        <w:tblPrEx>
          <w:tblCellMar>
            <w:top w:w="0" w:type="dxa"/>
            <w:left w:w="28" w:type="dxa"/>
            <w:bottom w:w="0" w:type="dxa"/>
            <w:right w:w="28" w:type="dxa"/>
          </w:tblCellMar>
        </w:tblPrEx>
        <w:trPr>
          <w:trHeight w:val="19" w:hRule="atLeast"/>
          <w:jc w:val="center"/>
        </w:trPr>
        <w:tc>
          <w:tcPr>
            <w:tcW w:w="645" w:type="dxa"/>
            <w:tcBorders>
              <w:top w:val="single" w:color="000000" w:sz="12" w:space="0"/>
              <w:left w:val="single" w:color="000000" w:sz="12" w:space="0"/>
              <w:bottom w:val="single" w:color="000000" w:sz="12" w:space="0"/>
              <w:right w:val="single" w:color="auto" w:sz="4" w:space="0"/>
            </w:tcBorders>
            <w:noWrap w:val="0"/>
            <w:vAlign w:val="center"/>
          </w:tcPr>
          <w:p w14:paraId="231FC791">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185" w:type="dxa"/>
            <w:tcBorders>
              <w:top w:val="single" w:color="000000" w:sz="12" w:space="0"/>
              <w:left w:val="single" w:color="auto" w:sz="4" w:space="0"/>
              <w:bottom w:val="single" w:color="000000" w:sz="12" w:space="0"/>
              <w:right w:val="single" w:color="auto" w:sz="4" w:space="0"/>
            </w:tcBorders>
            <w:noWrap w:val="0"/>
            <w:vAlign w:val="center"/>
          </w:tcPr>
          <w:p w14:paraId="3FC35121">
            <w:pPr>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维护培训</w:t>
            </w:r>
          </w:p>
        </w:tc>
        <w:tc>
          <w:tcPr>
            <w:tcW w:w="5155" w:type="dxa"/>
            <w:tcBorders>
              <w:top w:val="single" w:color="000000" w:sz="12" w:space="0"/>
              <w:left w:val="single" w:color="000000" w:sz="6" w:space="0"/>
              <w:bottom w:val="single" w:color="000000" w:sz="12" w:space="0"/>
              <w:right w:val="single" w:color="000000" w:sz="6" w:space="0"/>
            </w:tcBorders>
            <w:noWrap w:val="0"/>
            <w:vAlign w:val="center"/>
          </w:tcPr>
          <w:p w14:paraId="0BE3CA4E">
            <w:pPr>
              <w:spacing w:line="240" w:lineRule="auto"/>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因</w:t>
            </w:r>
            <w:r>
              <w:rPr>
                <w:rFonts w:hint="eastAsia" w:ascii="宋体" w:hAnsi="宋体" w:eastAsia="宋体" w:cs="宋体"/>
                <w:bCs/>
                <w:color w:val="auto"/>
                <w:sz w:val="24"/>
                <w:szCs w:val="24"/>
                <w:highlight w:val="none"/>
              </w:rPr>
              <w:t>甲方</w:t>
            </w:r>
            <w:r>
              <w:rPr>
                <w:rFonts w:hint="eastAsia" w:ascii="宋体" w:hAnsi="宋体" w:eastAsia="宋体" w:cs="宋体"/>
                <w:color w:val="auto"/>
                <w:sz w:val="24"/>
                <w:szCs w:val="24"/>
                <w:highlight w:val="none"/>
              </w:rPr>
              <w:t>人员离职或岗位调动需要进行培训的系统维护人员。</w:t>
            </w:r>
          </w:p>
        </w:tc>
        <w:tc>
          <w:tcPr>
            <w:tcW w:w="1658" w:type="dxa"/>
            <w:tcBorders>
              <w:top w:val="single" w:color="000000" w:sz="12" w:space="0"/>
              <w:left w:val="single" w:color="000000" w:sz="6" w:space="0"/>
              <w:bottom w:val="single" w:color="000000" w:sz="12" w:space="0"/>
              <w:right w:val="single" w:color="000000" w:sz="6" w:space="0"/>
            </w:tcBorders>
            <w:noWrap w:val="0"/>
            <w:vAlign w:val="center"/>
          </w:tcPr>
          <w:p w14:paraId="1BE71BD8">
            <w:pPr>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法定工作日预约</w:t>
            </w:r>
          </w:p>
        </w:tc>
      </w:tr>
      <w:tr w14:paraId="5E9962E5">
        <w:tblPrEx>
          <w:tblCellMar>
            <w:top w:w="0" w:type="dxa"/>
            <w:left w:w="28" w:type="dxa"/>
            <w:bottom w:w="0" w:type="dxa"/>
            <w:right w:w="28" w:type="dxa"/>
          </w:tblCellMar>
        </w:tblPrEx>
        <w:trPr>
          <w:trHeight w:val="19" w:hRule="atLeast"/>
          <w:jc w:val="center"/>
        </w:trPr>
        <w:tc>
          <w:tcPr>
            <w:tcW w:w="645" w:type="dxa"/>
            <w:tcBorders>
              <w:top w:val="single" w:color="000000" w:sz="12" w:space="0"/>
              <w:left w:val="single" w:color="000000" w:sz="12" w:space="0"/>
              <w:bottom w:val="single" w:color="000000" w:sz="12" w:space="0"/>
              <w:right w:val="single" w:color="auto" w:sz="4" w:space="0"/>
            </w:tcBorders>
            <w:noWrap w:val="0"/>
            <w:vAlign w:val="center"/>
          </w:tcPr>
          <w:p w14:paraId="787F67D7">
            <w:pPr>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185" w:type="dxa"/>
            <w:tcBorders>
              <w:top w:val="single" w:color="000000" w:sz="12" w:space="0"/>
              <w:left w:val="single" w:color="auto" w:sz="4" w:space="0"/>
              <w:bottom w:val="single" w:color="000000" w:sz="12" w:space="0"/>
              <w:right w:val="single" w:color="auto" w:sz="4" w:space="0"/>
            </w:tcBorders>
            <w:noWrap w:val="0"/>
            <w:vAlign w:val="center"/>
          </w:tcPr>
          <w:p w14:paraId="1A6B7582">
            <w:pPr>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巡检服务</w:t>
            </w:r>
          </w:p>
        </w:tc>
        <w:tc>
          <w:tcPr>
            <w:tcW w:w="5155" w:type="dxa"/>
            <w:tcBorders>
              <w:top w:val="single" w:color="000000" w:sz="12" w:space="0"/>
              <w:left w:val="single" w:color="000000" w:sz="6" w:space="0"/>
              <w:bottom w:val="single" w:color="000000" w:sz="12" w:space="0"/>
              <w:right w:val="single" w:color="000000" w:sz="6" w:space="0"/>
            </w:tcBorders>
            <w:noWrap w:val="0"/>
            <w:vAlign w:val="center"/>
          </w:tcPr>
          <w:p w14:paraId="5274E2D2">
            <w:pPr>
              <w:spacing w:line="24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提供对系统的数据库服务器及应用层服务器的巡检，检查系统各模块运行情况，与</w:t>
            </w:r>
            <w:r>
              <w:rPr>
                <w:rFonts w:hint="eastAsia" w:ascii="宋体" w:hAnsi="宋体" w:eastAsia="宋体" w:cs="宋体"/>
                <w:bCs/>
                <w:color w:val="auto"/>
                <w:sz w:val="24"/>
                <w:szCs w:val="24"/>
                <w:highlight w:val="none"/>
              </w:rPr>
              <w:t>甲方</w:t>
            </w:r>
            <w:r>
              <w:rPr>
                <w:rFonts w:hint="eastAsia" w:ascii="宋体" w:hAnsi="宋体" w:eastAsia="宋体" w:cs="宋体"/>
                <w:color w:val="auto"/>
                <w:sz w:val="24"/>
                <w:szCs w:val="24"/>
                <w:highlight w:val="none"/>
              </w:rPr>
              <w:t>维护人员沟通，对巡检存在的问题提供解决优化。</w:t>
            </w:r>
          </w:p>
        </w:tc>
        <w:tc>
          <w:tcPr>
            <w:tcW w:w="1658" w:type="dxa"/>
            <w:tcBorders>
              <w:top w:val="single" w:color="000000" w:sz="12" w:space="0"/>
              <w:left w:val="single" w:color="000000" w:sz="6" w:space="0"/>
              <w:bottom w:val="single" w:color="000000" w:sz="12" w:space="0"/>
              <w:right w:val="single" w:color="000000" w:sz="6" w:space="0"/>
            </w:tcBorders>
            <w:noWrap w:val="0"/>
            <w:vAlign w:val="center"/>
          </w:tcPr>
          <w:p w14:paraId="05F660D4">
            <w:pPr>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法定工作日预约</w:t>
            </w:r>
          </w:p>
        </w:tc>
      </w:tr>
    </w:tbl>
    <w:p w14:paraId="1CDAE227">
      <w:pPr>
        <w:pStyle w:val="2"/>
        <w:rPr>
          <w:color w:val="auto"/>
          <w:highlight w:val="none"/>
        </w:rPr>
      </w:pPr>
    </w:p>
    <w:p w14:paraId="15293B04">
      <w:pPr>
        <w:numPr>
          <w:ilvl w:val="0"/>
          <w:numId w:val="1"/>
        </w:num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人员及其他要求：</w:t>
      </w:r>
    </w:p>
    <w:p w14:paraId="2C261973">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安排维护本项目人员必须熟悉各个系统且人员不低于</w:t>
      </w:r>
      <w:r>
        <w:rPr>
          <w:rFonts w:hint="eastAsia" w:ascii="宋体" w:hAnsi="宋体" w:eastAsia="宋体" w:cs="宋体"/>
          <w:color w:val="FF0000"/>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人。</w:t>
      </w:r>
    </w:p>
    <w:p w14:paraId="28204BBF">
      <w:pPr>
        <w:numPr>
          <w:ilvl w:val="0"/>
          <w:numId w:val="1"/>
        </w:num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设备要求：自行根据项目工作量配置，可以达到采购人工作质量要求。</w:t>
      </w:r>
    </w:p>
    <w:p w14:paraId="4742FEDA">
      <w:pPr>
        <w:pStyle w:val="2"/>
        <w:ind w:firstLine="420"/>
        <w:jc w:val="center"/>
        <w:rPr>
          <w:rFonts w:hint="eastAsia"/>
          <w:color w:val="auto"/>
          <w:highlight w:val="none"/>
        </w:rPr>
      </w:pPr>
      <w:r>
        <w:rPr>
          <w:rFonts w:hint="eastAsia" w:ascii="宋体" w:hAnsi="宋体" w:cs="宋体"/>
          <w:b/>
          <w:color w:val="auto"/>
          <w:sz w:val="24"/>
          <w:szCs w:val="24"/>
          <w:highlight w:val="none"/>
          <w:lang w:val="zh-CN"/>
        </w:rPr>
        <w:t>商务要求（根据项目情况自行填写）：</w:t>
      </w:r>
    </w:p>
    <w:p w14:paraId="2021D3B6">
      <w:pPr>
        <w:numPr>
          <w:ilvl w:val="0"/>
          <w:numId w:val="2"/>
        </w:num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服务期限：系指合同签订之日起至服务结束的时间期限。自合同签订之日起一年。本项目为长期服务项目，合同履行期限最长不得超过三十六个月。服务期满后采购人可根据履约情况续签合同，最多续签两次，合同一年一签。如采购人对履约情况不满意或者中标人在合同履行期间因违法行为被禁止参与政府采购活动或者存在其他重大违法行为的，采购人不再续约。</w:t>
      </w:r>
    </w:p>
    <w:p w14:paraId="566B3CA7">
      <w:pPr>
        <w:numPr>
          <w:ilvl w:val="0"/>
          <w:numId w:val="2"/>
        </w:numPr>
        <w:spacing w:line="360" w:lineRule="auto"/>
        <w:ind w:firstLine="480"/>
        <w:jc w:val="left"/>
        <w:rPr>
          <w:rFonts w:ascii="宋体" w:hAnsi="宋体"/>
          <w:color w:val="auto"/>
          <w:sz w:val="24"/>
          <w:highlight w:val="none"/>
        </w:rPr>
      </w:pPr>
      <w:bookmarkStart w:id="13" w:name="_Hlk114838009"/>
      <w:r>
        <w:rPr>
          <w:rFonts w:hint="eastAsia" w:ascii="宋体" w:hAnsi="宋体"/>
          <w:color w:val="auto"/>
          <w:sz w:val="24"/>
          <w:highlight w:val="none"/>
        </w:rPr>
        <w:t>报价要求：</w:t>
      </w:r>
    </w:p>
    <w:p w14:paraId="5C8D83E2">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（1）本项目预算控制金额及最高投标限价为人民币</w:t>
      </w:r>
      <w:r>
        <w:rPr>
          <w:rFonts w:hint="default" w:ascii="Arial" w:hAnsi="Arial" w:cs="Arial"/>
          <w:color w:val="auto"/>
          <w:sz w:val="24"/>
          <w:highlight w:val="none"/>
        </w:rPr>
        <w:t>¥</w:t>
      </w:r>
      <w:r>
        <w:rPr>
          <w:rFonts w:hint="eastAsia" w:ascii="宋体" w:hAnsi="宋体"/>
          <w:color w:val="auto"/>
          <w:sz w:val="24"/>
          <w:highlight w:val="none"/>
          <w:lang w:val="en-US" w:eastAsia="zh-CN"/>
        </w:rPr>
        <w:t>94,800</w:t>
      </w:r>
      <w:r>
        <w:rPr>
          <w:rFonts w:hint="eastAsia" w:ascii="宋体" w:hAnsi="宋体"/>
          <w:color w:val="auto"/>
          <w:sz w:val="24"/>
          <w:highlight w:val="none"/>
        </w:rPr>
        <w:t>.00。超出此预算控制金额或最高投标限价的作无效投标处理；</w:t>
      </w:r>
    </w:p>
    <w:p w14:paraId="15F66D6E">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（2）本次采购报价币种为人民币，单位为元；</w:t>
      </w:r>
    </w:p>
    <w:p w14:paraId="728EF135">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14:paraId="620B66D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bookmarkEnd w:id="13"/>
    <w:p w14:paraId="195DDFF2">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付款方式：</w:t>
      </w:r>
      <w:r>
        <w:rPr>
          <w:rFonts w:hint="eastAsia" w:asciiTheme="minorEastAsia" w:hAnsiTheme="minorEastAsia" w:eastAsiaTheme="minorEastAsia" w:cstheme="minorEastAsia"/>
          <w:color w:val="FF0000"/>
          <w:sz w:val="24"/>
          <w:szCs w:val="24"/>
          <w:highlight w:val="none"/>
        </w:rPr>
        <w:t>合同签订后支付50%，</w:t>
      </w:r>
      <w:r>
        <w:rPr>
          <w:rFonts w:hint="eastAsia" w:asciiTheme="minorEastAsia" w:hAnsiTheme="minorEastAsia" w:cstheme="minorEastAsia"/>
          <w:color w:val="FF0000"/>
          <w:sz w:val="24"/>
          <w:szCs w:val="24"/>
          <w:highlight w:val="none"/>
          <w:lang w:val="en-US" w:eastAsia="zh-CN"/>
        </w:rPr>
        <w:t>提供维护</w:t>
      </w:r>
      <w:r>
        <w:rPr>
          <w:rFonts w:hint="eastAsia" w:asciiTheme="minorEastAsia" w:hAnsiTheme="minorEastAsia" w:eastAsiaTheme="minorEastAsia" w:cstheme="minorEastAsia"/>
          <w:color w:val="FF0000"/>
          <w:sz w:val="24"/>
          <w:szCs w:val="24"/>
          <w:highlight w:val="none"/>
        </w:rPr>
        <w:t>服务</w:t>
      </w:r>
      <w:r>
        <w:rPr>
          <w:rFonts w:hint="eastAsia" w:asciiTheme="minorEastAsia" w:hAnsiTheme="minorEastAsia" w:cstheme="minorEastAsia"/>
          <w:color w:val="FF0000"/>
          <w:sz w:val="24"/>
          <w:szCs w:val="24"/>
          <w:highlight w:val="none"/>
          <w:lang w:val="en-US" w:eastAsia="zh-CN"/>
        </w:rPr>
        <w:t>报告</w:t>
      </w:r>
      <w:r>
        <w:rPr>
          <w:rFonts w:hint="eastAsia" w:asciiTheme="minorEastAsia" w:hAnsiTheme="minorEastAsia" w:eastAsiaTheme="minorEastAsia" w:cstheme="minorEastAsia"/>
          <w:color w:val="FF0000"/>
          <w:sz w:val="24"/>
          <w:szCs w:val="24"/>
          <w:highlight w:val="none"/>
        </w:rPr>
        <w:t>后支付50%尾款</w:t>
      </w:r>
      <w:r>
        <w:rPr>
          <w:rFonts w:hint="eastAsia" w:asciiTheme="minorEastAsia" w:hAnsiTheme="minorEastAsia" w:eastAsiaTheme="minorEastAsia" w:cstheme="minorEastAsia"/>
          <w:color w:val="auto"/>
          <w:sz w:val="24"/>
          <w:szCs w:val="24"/>
          <w:highlight w:val="none"/>
        </w:rPr>
        <w:t>，采购单位在收到中标人提供相应有效发票后15个工作日内支付。</w:t>
      </w:r>
    </w:p>
    <w:p w14:paraId="2BC32584">
      <w:pPr>
        <w:numPr>
          <w:ilvl w:val="0"/>
          <w:numId w:val="2"/>
        </w:num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考核办法/验收方式：</w:t>
      </w:r>
    </w:p>
    <w:p w14:paraId="0DE287CD">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（1）服务经过双方检验认可后，采购人指定专人签署验收报告；</w:t>
      </w:r>
    </w:p>
    <w:p w14:paraId="7C8CD26E">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（2）当满足以下条件时，采购人才向中标人签发验收报告；</w:t>
      </w:r>
    </w:p>
    <w:p w14:paraId="3D6EC577">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a、中标人已按照合同规定提供了全部技术资料；</w:t>
      </w:r>
    </w:p>
    <w:p w14:paraId="20A4EBE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b、服务项目符合招标文件的服务要求。</w:t>
      </w:r>
    </w:p>
    <w:p w14:paraId="6D1851CF">
      <w:pPr>
        <w:numPr>
          <w:ilvl w:val="0"/>
          <w:numId w:val="2"/>
        </w:num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违约要求：</w:t>
      </w:r>
    </w:p>
    <w:p w14:paraId="1BA699D2">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（1）如投标人未按照投标文件中承诺的时间交货或提供服务，投标人应承担延期交货和延期服务的违约责任，并赔偿采购人因此造成的实际经济损失。实际经济损失超出履约保证金额，采购人有权终止合同；</w:t>
      </w:r>
    </w:p>
    <w:p w14:paraId="6AD3B1B2">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（2）投标人不能交付服务的，投标人向采购人偿付项目采购金额百分之十的违约金；造成严重后果的，根据《深圳经济特区政府采购条例》第五十七条第（二）款规定，由主管部门对中标人进行处罚。</w:t>
      </w:r>
    </w:p>
    <w:p w14:paraId="4D512E0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（3）中标单位需根据《深圳经济特区政府采购条例》要求，中标公示期结束后10个工作日内与采购单位签订合同，否则采购单位有权终止合作并不承担法律责任。</w:t>
      </w:r>
    </w:p>
    <w:p w14:paraId="6773DA9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w:t>
      </w:r>
      <w:r>
        <w:rPr>
          <w:rFonts w:hint="eastAsia" w:ascii="宋体" w:hAnsi="宋体"/>
          <w:color w:val="auto"/>
          <w:sz w:val="24"/>
          <w:highlight w:val="none"/>
        </w:rPr>
        <w:t>其他要求：样品、现场踏勘等</w:t>
      </w:r>
    </w:p>
    <w:p w14:paraId="3DB54D75">
      <w:pPr>
        <w:pStyle w:val="5"/>
        <w:ind w:firstLine="482"/>
        <w:rPr>
          <w:rFonts w:hint="eastAsia" w:eastAsiaTheme="minorEastAsia"/>
          <w:color w:val="auto"/>
          <w:highlight w:val="none"/>
          <w:lang w:eastAsia="zh-CN"/>
        </w:rPr>
      </w:pP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其他要求：</w:t>
      </w:r>
      <w:r>
        <w:rPr>
          <w:rFonts w:hint="eastAsia" w:hAnsi="宋体"/>
          <w:b w:val="0"/>
          <w:bCs/>
          <w:color w:val="auto"/>
          <w:highlight w:val="none"/>
          <w:lang w:val="en-US" w:eastAsia="zh-CN"/>
        </w:rPr>
        <w:t>投标人免费提供系统接口与采购人相关的信息系统相互兼容，完成数据完整对接，同时系统均能平稳正常运行，提供</w:t>
      </w:r>
      <w:r>
        <w:rPr>
          <w:rFonts w:hint="eastAsia"/>
          <w:color w:val="auto"/>
          <w:highlight w:val="none"/>
          <w:lang w:val="en-US" w:eastAsia="zh-CN"/>
        </w:rPr>
        <w:t>承诺函</w:t>
      </w:r>
      <w:r>
        <w:rPr>
          <w:color w:val="auto"/>
          <w:highlight w:val="none"/>
        </w:rPr>
        <w:t>、</w:t>
      </w:r>
      <w:r>
        <w:rPr>
          <w:rFonts w:hint="eastAsia"/>
          <w:color w:val="auto"/>
          <w:highlight w:val="none"/>
        </w:rPr>
        <w:t>综合评分法评分因素和权重分值</w:t>
      </w:r>
      <w:bookmarkEnd w:id="9"/>
      <w:bookmarkEnd w:id="10"/>
      <w:r>
        <w:rPr>
          <w:rFonts w:hint="eastAsia"/>
          <w:color w:val="auto"/>
          <w:highlight w:val="none"/>
          <w:lang w:eastAsia="zh-CN"/>
        </w:rPr>
        <w:t>。</w:t>
      </w:r>
    </w:p>
    <w:p w14:paraId="0C8D933C">
      <w:pPr>
        <w:pStyle w:val="6"/>
        <w:spacing w:line="360" w:lineRule="auto"/>
        <w:rPr>
          <w:color w:val="auto"/>
          <w:highlight w:val="none"/>
        </w:rPr>
      </w:pPr>
      <w:r>
        <w:rPr>
          <w:rFonts w:hint="eastAsia"/>
          <w:color w:val="auto"/>
          <w:highlight w:val="none"/>
        </w:rPr>
        <w:t>综合评分法，是指投标文件满足招标文件全部实质性要求，且按照评审因素的量化指标评审得分最高的投标人为中标候选人的评标方法。</w:t>
      </w:r>
    </w:p>
    <w:p w14:paraId="4CBC54AC">
      <w:pPr>
        <w:pStyle w:val="6"/>
        <w:spacing w:line="360" w:lineRule="auto"/>
        <w:rPr>
          <w:color w:val="auto"/>
          <w:highlight w:val="none"/>
        </w:rPr>
      </w:pPr>
      <w:r>
        <w:rPr>
          <w:rFonts w:hint="eastAsia"/>
          <w:color w:val="auto"/>
          <w:highlight w:val="none"/>
        </w:rPr>
        <w:t>价格分计算方法：</w:t>
      </w:r>
    </w:p>
    <w:p w14:paraId="32F805EF">
      <w:pPr>
        <w:pStyle w:val="6"/>
        <w:spacing w:line="360" w:lineRule="auto"/>
        <w:rPr>
          <w:color w:val="auto"/>
          <w:highlight w:val="none"/>
        </w:rPr>
      </w:pPr>
      <w:r>
        <w:rPr>
          <w:rFonts w:hint="eastAsia"/>
          <w:color w:val="auto"/>
          <w:highlight w:val="none"/>
        </w:rPr>
        <w:t>价格分应当采用低价优先法计算，即满足招标文件要求且投标价格最低的投标报价为评标基准价，其价格分为满分。其他投标人的价格分统一按照下列公式计算：</w:t>
      </w:r>
    </w:p>
    <w:p w14:paraId="6C069C29">
      <w:pPr>
        <w:pStyle w:val="6"/>
        <w:spacing w:line="360" w:lineRule="auto"/>
        <w:rPr>
          <w:color w:val="auto"/>
          <w:highlight w:val="none"/>
        </w:rPr>
      </w:pPr>
      <w:r>
        <w:rPr>
          <w:rFonts w:hint="eastAsia"/>
          <w:color w:val="auto"/>
          <w:highlight w:val="none"/>
        </w:rPr>
        <w:t>投标报价得分=(评标基准价／投标报价)×100</w:t>
      </w:r>
    </w:p>
    <w:p w14:paraId="58136CD8">
      <w:pPr>
        <w:pStyle w:val="6"/>
        <w:spacing w:line="360" w:lineRule="auto"/>
        <w:rPr>
          <w:color w:val="auto"/>
          <w:highlight w:val="none"/>
        </w:rPr>
      </w:pPr>
      <w:r>
        <w:rPr>
          <w:rFonts w:hint="eastAsia"/>
          <w:color w:val="auto"/>
          <w:highlight w:val="none"/>
        </w:rPr>
        <w:t>评标总得分＝F1×A1＋F2×A2＋……＋Fn×An</w:t>
      </w:r>
    </w:p>
    <w:p w14:paraId="581CC54E">
      <w:pPr>
        <w:pStyle w:val="6"/>
        <w:spacing w:line="360" w:lineRule="auto"/>
        <w:rPr>
          <w:color w:val="auto"/>
          <w:highlight w:val="none"/>
        </w:rPr>
      </w:pPr>
      <w:r>
        <w:rPr>
          <w:rFonts w:hint="eastAsia"/>
          <w:color w:val="auto"/>
          <w:highlight w:val="none"/>
        </w:rPr>
        <w:t>F1、F2……Fn分别为各项评审因素的得分；</w:t>
      </w:r>
    </w:p>
    <w:p w14:paraId="28D44B5C">
      <w:pPr>
        <w:pStyle w:val="6"/>
        <w:spacing w:line="360" w:lineRule="auto"/>
        <w:rPr>
          <w:color w:val="auto"/>
          <w:highlight w:val="none"/>
        </w:rPr>
      </w:pPr>
      <w:r>
        <w:rPr>
          <w:rFonts w:hint="eastAsia"/>
          <w:color w:val="auto"/>
          <w:highlight w:val="none"/>
        </w:rPr>
        <w:t>A1、A2、……An分别为各项评审因素所占的权重(A1＋A2＋……＋An＝1)。</w:t>
      </w:r>
    </w:p>
    <w:p w14:paraId="30195B13">
      <w:pPr>
        <w:pStyle w:val="6"/>
        <w:spacing w:line="360" w:lineRule="auto"/>
        <w:rPr>
          <w:color w:val="auto"/>
          <w:highlight w:val="none"/>
        </w:rPr>
      </w:pPr>
      <w:r>
        <w:rPr>
          <w:rFonts w:hint="eastAsia"/>
          <w:color w:val="auto"/>
          <w:highlight w:val="none"/>
        </w:rPr>
        <w:t>评标过程中，不得去掉报价中的最高报价和最低报价。</w:t>
      </w:r>
    </w:p>
    <w:p w14:paraId="6C3DBD2D">
      <w:pPr>
        <w:pStyle w:val="6"/>
        <w:spacing w:line="360" w:lineRule="auto"/>
        <w:rPr>
          <w:color w:val="auto"/>
          <w:highlight w:val="none"/>
        </w:rPr>
      </w:pPr>
      <w:r>
        <w:rPr>
          <w:rFonts w:hint="eastAsia"/>
          <w:color w:val="auto"/>
          <w:highlight w:val="none"/>
        </w:rPr>
        <w:t>此方法适用于货物类、服务类、工程类项目。</w:t>
      </w:r>
    </w:p>
    <w:tbl>
      <w:tblPr>
        <w:tblStyle w:val="14"/>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457"/>
        <w:gridCol w:w="457"/>
        <w:gridCol w:w="996"/>
        <w:gridCol w:w="580"/>
        <w:gridCol w:w="6680"/>
      </w:tblGrid>
      <w:tr w14:paraId="6DB455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0" w:hRule="atLeast"/>
          <w:jc w:val="center"/>
        </w:trPr>
        <w:tc>
          <w:tcPr>
            <w:tcW w:w="209"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78CDBA3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122"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761B11B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w:t>
            </w:r>
          </w:p>
        </w:tc>
        <w:tc>
          <w:tcPr>
            <w:tcW w:w="3667"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3EE8F5B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权重</w:t>
            </w:r>
          </w:p>
        </w:tc>
      </w:tr>
      <w:tr w14:paraId="560848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0" w:hRule="atLeast"/>
          <w:jc w:val="center"/>
        </w:trPr>
        <w:tc>
          <w:tcPr>
            <w:tcW w:w="209" w:type="pct"/>
            <w:vMerge w:val="restart"/>
            <w:tcBorders>
              <w:top w:val="single" w:color="000000" w:sz="8" w:space="0"/>
              <w:left w:val="single" w:color="000000" w:sz="8" w:space="0"/>
              <w:bottom w:val="single" w:color="000000" w:sz="8" w:space="0"/>
              <w:right w:val="single" w:color="000000" w:sz="8" w:space="0"/>
            </w:tcBorders>
            <w:vAlign w:val="center"/>
          </w:tcPr>
          <w:p w14:paraId="0BF7FDF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122" w:type="pct"/>
            <w:gridSpan w:val="3"/>
            <w:tcBorders>
              <w:top w:val="single" w:color="000000" w:sz="8" w:space="0"/>
              <w:left w:val="single" w:color="000000" w:sz="8" w:space="0"/>
              <w:bottom w:val="single" w:color="000000" w:sz="8" w:space="0"/>
              <w:right w:val="single" w:color="000000" w:sz="8" w:space="0"/>
            </w:tcBorders>
            <w:vAlign w:val="center"/>
          </w:tcPr>
          <w:p w14:paraId="4CA061D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价格</w:t>
            </w:r>
          </w:p>
        </w:tc>
        <w:tc>
          <w:tcPr>
            <w:tcW w:w="3667" w:type="pct"/>
            <w:tcBorders>
              <w:top w:val="single" w:color="000000" w:sz="8" w:space="0"/>
              <w:left w:val="single" w:color="000000" w:sz="8" w:space="0"/>
              <w:bottom w:val="single" w:color="000000" w:sz="8" w:space="0"/>
              <w:right w:val="single" w:color="000000" w:sz="8" w:space="0"/>
            </w:tcBorders>
            <w:vAlign w:val="center"/>
          </w:tcPr>
          <w:p w14:paraId="7C9E0FB9">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5</w:t>
            </w:r>
          </w:p>
        </w:tc>
      </w:tr>
      <w:tr w14:paraId="3353F5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19" w:hRule="atLeast"/>
          <w:jc w:val="center"/>
        </w:trPr>
        <w:tc>
          <w:tcPr>
            <w:tcW w:w="209" w:type="pct"/>
            <w:vMerge w:val="continue"/>
            <w:tcBorders>
              <w:top w:val="single" w:color="000000" w:sz="8" w:space="0"/>
              <w:left w:val="single" w:color="000000" w:sz="8" w:space="0"/>
              <w:bottom w:val="single" w:color="000000" w:sz="8" w:space="0"/>
              <w:right w:val="single" w:color="000000" w:sz="8" w:space="0"/>
            </w:tcBorders>
            <w:vAlign w:val="center"/>
          </w:tcPr>
          <w:p w14:paraId="530B9366">
            <w:pPr>
              <w:spacing w:line="360" w:lineRule="auto"/>
              <w:jc w:val="center"/>
              <w:rPr>
                <w:rFonts w:hint="eastAsia" w:ascii="宋体" w:hAnsi="宋体" w:eastAsia="宋体" w:cs="宋体"/>
                <w:color w:val="auto"/>
                <w:sz w:val="24"/>
                <w:szCs w:val="24"/>
                <w:highlight w:val="none"/>
              </w:rPr>
            </w:pPr>
          </w:p>
        </w:tc>
        <w:tc>
          <w:tcPr>
            <w:tcW w:w="4790" w:type="pct"/>
            <w:gridSpan w:val="4"/>
            <w:tcBorders>
              <w:top w:val="single" w:color="000000" w:sz="8" w:space="0"/>
              <w:left w:val="single" w:color="000000" w:sz="8" w:space="0"/>
              <w:bottom w:val="single" w:color="000000" w:sz="8" w:space="0"/>
              <w:right w:val="single" w:color="000000" w:sz="8" w:space="0"/>
            </w:tcBorders>
            <w:vAlign w:val="center"/>
          </w:tcPr>
          <w:p w14:paraId="6FD063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价格分应当采用低价优先法计算，即满足招标文件要求且投标价格最低的投标报价为评标基准价，其价格分为满分。其他投标人的价格分统一按照下列公式计算：</w:t>
            </w:r>
          </w:p>
          <w:p w14:paraId="4CCD16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投标报价得分=(评标基准价／投标报价)×权重</w:t>
            </w:r>
          </w:p>
        </w:tc>
      </w:tr>
      <w:tr w14:paraId="2E6233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0" w:hRule="atLeast"/>
          <w:jc w:val="center"/>
        </w:trPr>
        <w:tc>
          <w:tcPr>
            <w:tcW w:w="209" w:type="pct"/>
            <w:vMerge w:val="restart"/>
            <w:tcBorders>
              <w:top w:val="single" w:color="000000" w:sz="8" w:space="0"/>
              <w:left w:val="single" w:color="000000" w:sz="8" w:space="0"/>
              <w:right w:val="single" w:color="000000" w:sz="8" w:space="0"/>
            </w:tcBorders>
            <w:vAlign w:val="center"/>
          </w:tcPr>
          <w:p w14:paraId="794F094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122" w:type="pct"/>
            <w:gridSpan w:val="3"/>
            <w:tcBorders>
              <w:top w:val="single" w:color="000000" w:sz="8" w:space="0"/>
              <w:left w:val="single" w:color="000000" w:sz="8" w:space="0"/>
              <w:bottom w:val="single" w:color="000000" w:sz="8" w:space="0"/>
              <w:right w:val="single" w:color="000000" w:sz="8" w:space="0"/>
            </w:tcBorders>
            <w:vAlign w:val="center"/>
          </w:tcPr>
          <w:p w14:paraId="3DFC97F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技术部分</w:t>
            </w:r>
          </w:p>
        </w:tc>
        <w:tc>
          <w:tcPr>
            <w:tcW w:w="3667" w:type="pct"/>
            <w:tcBorders>
              <w:top w:val="single" w:color="000000" w:sz="8" w:space="0"/>
              <w:left w:val="single" w:color="000000" w:sz="8" w:space="0"/>
              <w:bottom w:val="single" w:color="000000" w:sz="8" w:space="0"/>
              <w:right w:val="single" w:color="000000" w:sz="8" w:space="0"/>
            </w:tcBorders>
            <w:vAlign w:val="center"/>
          </w:tcPr>
          <w:p w14:paraId="77CE0F9C">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72</w:t>
            </w:r>
          </w:p>
        </w:tc>
      </w:tr>
      <w:tr w14:paraId="0C8F56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56" w:hRule="atLeast"/>
          <w:jc w:val="center"/>
        </w:trPr>
        <w:tc>
          <w:tcPr>
            <w:tcW w:w="209" w:type="pct"/>
            <w:vMerge w:val="continue"/>
            <w:tcBorders>
              <w:left w:val="single" w:color="000000" w:sz="8" w:space="0"/>
              <w:right w:val="single" w:color="000000" w:sz="8" w:space="0"/>
            </w:tcBorders>
            <w:shd w:val="clear" w:color="auto" w:fill="E6EFFA"/>
            <w:vAlign w:val="center"/>
          </w:tcPr>
          <w:p w14:paraId="07C452AE">
            <w:pPr>
              <w:spacing w:line="360" w:lineRule="auto"/>
              <w:jc w:val="center"/>
              <w:rPr>
                <w:rFonts w:hint="eastAsia" w:ascii="宋体" w:hAnsi="宋体" w:eastAsia="宋体" w:cs="宋体"/>
                <w:b/>
                <w:color w:val="auto"/>
                <w:sz w:val="24"/>
                <w:szCs w:val="24"/>
                <w:highlight w:val="none"/>
              </w:rPr>
            </w:pPr>
          </w:p>
        </w:tc>
        <w:tc>
          <w:tcPr>
            <w:tcW w:w="209"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799FE4C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7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802273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342"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05B2B6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权重</w:t>
            </w:r>
          </w:p>
        </w:tc>
        <w:tc>
          <w:tcPr>
            <w:tcW w:w="3667"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337413C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评分准则</w:t>
            </w:r>
          </w:p>
        </w:tc>
      </w:tr>
      <w:tr w14:paraId="0A1C94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09" w:type="pct"/>
            <w:vMerge w:val="continue"/>
            <w:tcBorders>
              <w:left w:val="single" w:color="000000" w:sz="8" w:space="0"/>
              <w:right w:val="single" w:color="000000" w:sz="8" w:space="0"/>
            </w:tcBorders>
            <w:vAlign w:val="center"/>
          </w:tcPr>
          <w:p w14:paraId="15C411F1">
            <w:pPr>
              <w:spacing w:line="360" w:lineRule="auto"/>
              <w:jc w:val="center"/>
              <w:rPr>
                <w:rFonts w:hint="eastAsia" w:ascii="宋体" w:hAnsi="宋体" w:eastAsia="宋体" w:cs="宋体"/>
                <w:b/>
                <w:color w:val="auto"/>
                <w:sz w:val="24"/>
                <w:szCs w:val="24"/>
                <w:highlight w:val="none"/>
              </w:rPr>
            </w:pPr>
          </w:p>
        </w:tc>
        <w:tc>
          <w:tcPr>
            <w:tcW w:w="209" w:type="pct"/>
            <w:tcBorders>
              <w:top w:val="single" w:color="000000" w:sz="8" w:space="0"/>
              <w:left w:val="single" w:color="000000" w:sz="8" w:space="0"/>
              <w:bottom w:val="single" w:color="000000" w:sz="8" w:space="0"/>
              <w:right w:val="single" w:color="000000" w:sz="8" w:space="0"/>
            </w:tcBorders>
            <w:vAlign w:val="center"/>
          </w:tcPr>
          <w:p w14:paraId="153CE85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570" w:type="pct"/>
            <w:tcBorders>
              <w:top w:val="single" w:color="000000" w:sz="8" w:space="0"/>
              <w:left w:val="single" w:color="000000" w:sz="8" w:space="0"/>
              <w:bottom w:val="single" w:color="000000" w:sz="8" w:space="0"/>
              <w:right w:val="single" w:color="000000" w:sz="8" w:space="0"/>
            </w:tcBorders>
            <w:vAlign w:val="center"/>
          </w:tcPr>
          <w:p w14:paraId="3AB22C9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w:t>
            </w:r>
            <w:r>
              <w:rPr>
                <w:rFonts w:hint="eastAsia" w:ascii="宋体" w:hAnsi="宋体" w:eastAsia="宋体" w:cs="宋体"/>
                <w:color w:val="auto"/>
                <w:sz w:val="24"/>
                <w:szCs w:val="24"/>
                <w:highlight w:val="none"/>
                <w:lang w:val="en-US" w:eastAsia="zh-CN"/>
              </w:rPr>
              <w:t>方案</w:t>
            </w:r>
          </w:p>
        </w:tc>
        <w:tc>
          <w:tcPr>
            <w:tcW w:w="342" w:type="pct"/>
            <w:tcBorders>
              <w:top w:val="single" w:color="000000" w:sz="8" w:space="0"/>
              <w:left w:val="single" w:color="000000" w:sz="8" w:space="0"/>
              <w:bottom w:val="single" w:color="000000" w:sz="8" w:space="0"/>
              <w:right w:val="single" w:color="000000" w:sz="8" w:space="0"/>
            </w:tcBorders>
            <w:vAlign w:val="center"/>
          </w:tcPr>
          <w:p w14:paraId="29ACFC3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3667" w:type="pct"/>
            <w:tcBorders>
              <w:top w:val="single" w:color="000000" w:sz="8" w:space="0"/>
              <w:left w:val="single" w:color="000000" w:sz="8" w:space="0"/>
              <w:bottom w:val="single" w:color="000000" w:sz="8" w:space="0"/>
              <w:right w:val="single" w:color="000000" w:sz="8" w:space="0"/>
            </w:tcBorders>
            <w:vAlign w:val="center"/>
          </w:tcPr>
          <w:p w14:paraId="744A7C04">
            <w:pPr>
              <w:pStyle w:val="7"/>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评审内容：</w:t>
            </w:r>
            <w:r>
              <w:rPr>
                <w:rFonts w:hint="eastAsia" w:ascii="宋体" w:hAnsi="宋体" w:eastAsia="宋体" w:cs="宋体"/>
                <w:color w:val="auto"/>
                <w:sz w:val="24"/>
                <w:szCs w:val="24"/>
                <w:highlight w:val="none"/>
                <w:lang w:val="en-US" w:eastAsia="zh-CN"/>
              </w:rPr>
              <w:t>投标人针对本项目提供</w:t>
            </w:r>
            <w:r>
              <w:rPr>
                <w:rFonts w:hint="eastAsia" w:ascii="宋体" w:hAnsi="宋体" w:eastAsia="宋体" w:cs="宋体"/>
                <w:color w:val="auto"/>
                <w:sz w:val="24"/>
                <w:szCs w:val="24"/>
                <w:highlight w:val="none"/>
              </w:rPr>
              <w:t>运维管理服务方案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包括但不限于：</w:t>
            </w:r>
          </w:p>
          <w:p w14:paraId="6441DC87">
            <w:pPr>
              <w:pStyle w:val="7"/>
              <w:numPr>
                <w:ilvl w:val="0"/>
                <w:numId w:val="3"/>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需求分析</w:t>
            </w:r>
          </w:p>
          <w:p w14:paraId="2E378CD1">
            <w:pPr>
              <w:pStyle w:val="7"/>
              <w:numPr>
                <w:ilvl w:val="0"/>
                <w:numId w:val="3"/>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控制</w:t>
            </w:r>
          </w:p>
          <w:p w14:paraId="47E2B649">
            <w:pPr>
              <w:pStyle w:val="7"/>
              <w:numPr>
                <w:ilvl w:val="0"/>
                <w:numId w:val="3"/>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项目沟通管理</w:t>
            </w:r>
          </w:p>
          <w:p w14:paraId="154BBCF6">
            <w:pPr>
              <w:pStyle w:val="7"/>
              <w:numPr>
                <w:ilvl w:val="0"/>
                <w:numId w:val="3"/>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项目风险管理</w:t>
            </w:r>
          </w:p>
          <w:p w14:paraId="3E204523">
            <w:pPr>
              <w:pStyle w:val="7"/>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评分依据：</w:t>
            </w:r>
            <w:r>
              <w:rPr>
                <w:rFonts w:hint="eastAsia" w:ascii="宋体" w:hAnsi="宋体" w:eastAsia="宋体" w:cs="宋体"/>
                <w:color w:val="auto"/>
                <w:sz w:val="24"/>
                <w:szCs w:val="24"/>
                <w:highlight w:val="none"/>
                <w:lang w:val="en-US" w:eastAsia="zh-CN"/>
              </w:rPr>
              <w:t>投标方案每满足上述一点得2分，最高得8分。</w:t>
            </w:r>
          </w:p>
          <w:p w14:paraId="57E72BEA">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在此基础上</w:t>
            </w:r>
            <w:r>
              <w:rPr>
                <w:rFonts w:hint="eastAsia" w:ascii="宋体" w:hAnsi="宋体" w:eastAsia="宋体" w:cs="宋体"/>
                <w:color w:val="auto"/>
                <w:sz w:val="24"/>
                <w:szCs w:val="24"/>
                <w:highlight w:val="none"/>
              </w:rPr>
              <w:t xml:space="preserve">，专家根据各投标人的具体响应内容进一步评审： </w:t>
            </w:r>
          </w:p>
          <w:p w14:paraId="2F25298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（1）投标方案科学性、合理性、针对性强的评价为优得</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p>
          <w:p w14:paraId="7BC618B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（2）投标方案科学性、合理性、针对性较强的评价为良得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14:paraId="60A069A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（3）投标方案科学性、合理性、针对性一般的评价为中得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6BE2C88E">
            <w:pPr>
              <w:pStyle w:val="7"/>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（4）投标方案较差或者未提供方案的，不得分。</w:t>
            </w:r>
          </w:p>
          <w:p w14:paraId="6A9B9833">
            <w:pPr>
              <w:pStyle w:val="7"/>
              <w:numPr>
                <w:ilvl w:val="0"/>
                <w:numId w:val="0"/>
              </w:num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以上合计最高得24分。</w:t>
            </w:r>
          </w:p>
        </w:tc>
      </w:tr>
      <w:tr w14:paraId="77A361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11" w:hRule="atLeast"/>
          <w:jc w:val="center"/>
        </w:trPr>
        <w:tc>
          <w:tcPr>
            <w:tcW w:w="209" w:type="pct"/>
            <w:vMerge w:val="continue"/>
            <w:tcBorders>
              <w:left w:val="single" w:color="000000" w:sz="8" w:space="0"/>
              <w:right w:val="single" w:color="000000" w:sz="8" w:space="0"/>
            </w:tcBorders>
            <w:vAlign w:val="center"/>
          </w:tcPr>
          <w:p w14:paraId="76EB1867">
            <w:pPr>
              <w:spacing w:line="360" w:lineRule="auto"/>
              <w:jc w:val="center"/>
              <w:rPr>
                <w:rFonts w:hint="eastAsia" w:ascii="宋体" w:hAnsi="宋体" w:eastAsia="宋体" w:cs="宋体"/>
                <w:b/>
                <w:color w:val="auto"/>
                <w:sz w:val="24"/>
                <w:szCs w:val="24"/>
                <w:highlight w:val="none"/>
              </w:rPr>
            </w:pPr>
          </w:p>
        </w:tc>
        <w:tc>
          <w:tcPr>
            <w:tcW w:w="209" w:type="pct"/>
            <w:tcBorders>
              <w:top w:val="single" w:color="000000" w:sz="8" w:space="0"/>
              <w:left w:val="single" w:color="000000" w:sz="8" w:space="0"/>
              <w:bottom w:val="single" w:color="000000" w:sz="8" w:space="0"/>
              <w:right w:val="single" w:color="000000" w:sz="8" w:space="0"/>
            </w:tcBorders>
            <w:vAlign w:val="center"/>
          </w:tcPr>
          <w:p w14:paraId="10B1698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570" w:type="pct"/>
            <w:tcBorders>
              <w:top w:val="single" w:color="000000" w:sz="8" w:space="0"/>
              <w:left w:val="single" w:color="000000" w:sz="8" w:space="0"/>
              <w:bottom w:val="single" w:color="000000" w:sz="8" w:space="0"/>
              <w:right w:val="single" w:color="000000" w:sz="8" w:space="0"/>
            </w:tcBorders>
            <w:vAlign w:val="center"/>
          </w:tcPr>
          <w:p w14:paraId="58E6C86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突发事件和重大活动期间保障方案</w:t>
            </w:r>
          </w:p>
        </w:tc>
        <w:tc>
          <w:tcPr>
            <w:tcW w:w="342" w:type="pct"/>
            <w:tcBorders>
              <w:top w:val="single" w:color="000000" w:sz="8" w:space="0"/>
              <w:left w:val="single" w:color="000000" w:sz="8" w:space="0"/>
              <w:bottom w:val="single" w:color="000000" w:sz="8" w:space="0"/>
              <w:right w:val="single" w:color="000000" w:sz="8" w:space="0"/>
            </w:tcBorders>
            <w:vAlign w:val="center"/>
          </w:tcPr>
          <w:p w14:paraId="632E024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3667" w:type="pct"/>
            <w:tcBorders>
              <w:top w:val="single" w:color="000000" w:sz="8" w:space="0"/>
              <w:left w:val="single" w:color="000000" w:sz="8" w:space="0"/>
              <w:bottom w:val="single" w:color="000000" w:sz="8" w:space="0"/>
              <w:right w:val="single" w:color="000000" w:sz="8" w:space="0"/>
            </w:tcBorders>
            <w:vAlign w:val="center"/>
          </w:tcPr>
          <w:p w14:paraId="6F077DFE">
            <w:pPr>
              <w:pStyle w:val="7"/>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（一）评审内容：</w:t>
            </w:r>
            <w:r>
              <w:rPr>
                <w:rFonts w:hint="eastAsia" w:ascii="宋体" w:hAnsi="宋体" w:eastAsia="宋体" w:cs="宋体"/>
                <w:color w:val="auto"/>
                <w:sz w:val="24"/>
                <w:szCs w:val="24"/>
                <w:highlight w:val="none"/>
                <w:lang w:val="en-US" w:eastAsia="zh-CN"/>
              </w:rPr>
              <w:t>投标人针对本项目</w:t>
            </w:r>
            <w:r>
              <w:rPr>
                <w:rFonts w:hint="eastAsia" w:ascii="宋体" w:hAnsi="宋体" w:eastAsia="宋体" w:cs="宋体"/>
                <w:color w:val="auto"/>
                <w:sz w:val="24"/>
                <w:szCs w:val="24"/>
                <w:highlight w:val="none"/>
              </w:rPr>
              <w:t>供突发事件和重大活动期间保障服务，包含</w:t>
            </w:r>
            <w:r>
              <w:rPr>
                <w:rFonts w:hint="eastAsia" w:ascii="宋体" w:hAnsi="宋体" w:eastAsia="宋体" w:cs="宋体"/>
                <w:color w:val="auto"/>
                <w:sz w:val="24"/>
                <w:szCs w:val="24"/>
                <w:highlight w:val="none"/>
                <w:lang w:val="en-US" w:eastAsia="zh-CN"/>
              </w:rPr>
              <w:t>但不限于：</w:t>
            </w:r>
          </w:p>
          <w:p w14:paraId="19F46A33">
            <w:pPr>
              <w:pStyle w:val="7"/>
              <w:numPr>
                <w:ilvl w:val="0"/>
                <w:numId w:val="4"/>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应急响应策略</w:t>
            </w:r>
          </w:p>
          <w:p w14:paraId="1AA90FA3">
            <w:pPr>
              <w:pStyle w:val="7"/>
              <w:numPr>
                <w:ilvl w:val="0"/>
                <w:numId w:val="4"/>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突发状态下的应急预案</w:t>
            </w:r>
          </w:p>
          <w:p w14:paraId="3D2AAB38">
            <w:pPr>
              <w:pStyle w:val="7"/>
              <w:numPr>
                <w:ilvl w:val="0"/>
                <w:numId w:val="4"/>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重大活动保障（服务保障措施、服务保障范围等）</w:t>
            </w:r>
          </w:p>
          <w:p w14:paraId="7396B2B5">
            <w:pPr>
              <w:pStyle w:val="7"/>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评分依据：</w:t>
            </w:r>
            <w:r>
              <w:rPr>
                <w:rFonts w:hint="eastAsia" w:ascii="宋体" w:hAnsi="宋体" w:eastAsia="宋体" w:cs="宋体"/>
                <w:color w:val="auto"/>
                <w:sz w:val="24"/>
                <w:szCs w:val="24"/>
                <w:highlight w:val="none"/>
                <w:lang w:val="en-US" w:eastAsia="zh-CN"/>
              </w:rPr>
              <w:t>投标方案每满足上述一点得2分，最高得6分。</w:t>
            </w:r>
          </w:p>
          <w:p w14:paraId="16F01B1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在此基础上</w:t>
            </w:r>
            <w:r>
              <w:rPr>
                <w:rFonts w:hint="eastAsia" w:ascii="宋体" w:hAnsi="宋体" w:eastAsia="宋体" w:cs="宋体"/>
                <w:color w:val="auto"/>
                <w:sz w:val="24"/>
                <w:szCs w:val="24"/>
                <w:highlight w:val="none"/>
              </w:rPr>
              <w:t>，专家根据各投标人的具体响应内容进一步评审：</w:t>
            </w:r>
          </w:p>
          <w:p w14:paraId="40F133F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（1）投标方案科学性、合理性、针对性强的评价为优得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14:paraId="26DD909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（2）投标方案科学性、合理性、针对性较强的评价为良得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528E207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（3）投标方案科学性、合理性、针对性一般的评价为中得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78EE1296">
            <w:pPr>
              <w:pStyle w:val="7"/>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（4）投标方案较差或者未提供方案的，不得分。</w:t>
            </w:r>
          </w:p>
          <w:p w14:paraId="4989857D">
            <w:pPr>
              <w:pStyle w:val="7"/>
              <w:numPr>
                <w:ilvl w:val="0"/>
                <w:numId w:val="0"/>
              </w:numPr>
              <w:spacing w:line="360" w:lineRule="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以上合计最高得18分。</w:t>
            </w:r>
          </w:p>
        </w:tc>
      </w:tr>
      <w:tr w14:paraId="3EA174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11" w:hRule="atLeast"/>
          <w:jc w:val="center"/>
        </w:trPr>
        <w:tc>
          <w:tcPr>
            <w:tcW w:w="209" w:type="pct"/>
            <w:vMerge w:val="continue"/>
            <w:tcBorders>
              <w:left w:val="single" w:color="000000" w:sz="8" w:space="0"/>
              <w:right w:val="single" w:color="000000" w:sz="8" w:space="0"/>
            </w:tcBorders>
            <w:vAlign w:val="center"/>
          </w:tcPr>
          <w:p w14:paraId="69F3088F">
            <w:pPr>
              <w:spacing w:line="360" w:lineRule="auto"/>
              <w:jc w:val="center"/>
              <w:rPr>
                <w:rFonts w:hint="eastAsia" w:ascii="宋体" w:hAnsi="宋体" w:eastAsia="宋体" w:cs="宋体"/>
                <w:b/>
                <w:color w:val="auto"/>
                <w:sz w:val="24"/>
                <w:szCs w:val="24"/>
                <w:highlight w:val="none"/>
              </w:rPr>
            </w:pPr>
          </w:p>
        </w:tc>
        <w:tc>
          <w:tcPr>
            <w:tcW w:w="209" w:type="pct"/>
            <w:tcBorders>
              <w:top w:val="single" w:color="000000" w:sz="8" w:space="0"/>
              <w:left w:val="single" w:color="000000" w:sz="8" w:space="0"/>
              <w:bottom w:val="single" w:color="000000" w:sz="8" w:space="0"/>
              <w:right w:val="single" w:color="000000" w:sz="8" w:space="0"/>
            </w:tcBorders>
            <w:vAlign w:val="center"/>
          </w:tcPr>
          <w:p w14:paraId="7226A557">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w:t>
            </w:r>
          </w:p>
        </w:tc>
        <w:tc>
          <w:tcPr>
            <w:tcW w:w="570" w:type="pct"/>
            <w:tcBorders>
              <w:top w:val="single" w:color="000000" w:sz="8" w:space="0"/>
              <w:left w:val="single" w:color="000000" w:sz="8" w:space="0"/>
              <w:bottom w:val="single" w:color="000000" w:sz="8" w:space="0"/>
              <w:right w:val="single" w:color="000000" w:sz="8" w:space="0"/>
            </w:tcBorders>
            <w:vAlign w:val="center"/>
          </w:tcPr>
          <w:p w14:paraId="33E0253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对现有系统理解和掌握</w:t>
            </w:r>
          </w:p>
        </w:tc>
        <w:tc>
          <w:tcPr>
            <w:tcW w:w="342" w:type="pct"/>
            <w:tcBorders>
              <w:top w:val="single" w:color="000000" w:sz="8" w:space="0"/>
              <w:left w:val="single" w:color="000000" w:sz="8" w:space="0"/>
              <w:bottom w:val="single" w:color="000000" w:sz="8" w:space="0"/>
              <w:right w:val="single" w:color="000000" w:sz="8" w:space="0"/>
            </w:tcBorders>
            <w:vAlign w:val="center"/>
          </w:tcPr>
          <w:p w14:paraId="5907F64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667" w:type="pct"/>
            <w:tcBorders>
              <w:top w:val="single" w:color="000000" w:sz="8" w:space="0"/>
              <w:left w:val="single" w:color="000000" w:sz="8" w:space="0"/>
              <w:bottom w:val="single" w:color="000000" w:sz="8" w:space="0"/>
              <w:right w:val="single" w:color="000000" w:sz="8" w:space="0"/>
            </w:tcBorders>
            <w:vAlign w:val="center"/>
          </w:tcPr>
          <w:p w14:paraId="46F62DF4">
            <w:pPr>
              <w:pStyle w:val="7"/>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评审内容：</w:t>
            </w:r>
            <w:r>
              <w:rPr>
                <w:rFonts w:hint="eastAsia" w:ascii="宋体" w:hAnsi="宋体" w:eastAsia="宋体" w:cs="宋体"/>
                <w:color w:val="auto"/>
                <w:sz w:val="24"/>
                <w:szCs w:val="24"/>
                <w:highlight w:val="none"/>
                <w:lang w:val="en-US" w:eastAsia="zh-CN"/>
              </w:rPr>
              <w:t>投标人针对本项目</w:t>
            </w:r>
            <w:r>
              <w:rPr>
                <w:rFonts w:hint="eastAsia" w:ascii="宋体" w:hAnsi="宋体" w:eastAsia="宋体" w:cs="宋体"/>
                <w:color w:val="auto"/>
                <w:sz w:val="24"/>
                <w:szCs w:val="24"/>
                <w:highlight w:val="none"/>
              </w:rPr>
              <w:t>对现有系统理解和掌握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包含但不限于：</w:t>
            </w:r>
          </w:p>
          <w:p w14:paraId="078FC3DE">
            <w:pPr>
              <w:pStyle w:val="7"/>
              <w:numPr>
                <w:ilvl w:val="0"/>
                <w:numId w:val="5"/>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维护应用系统的数据库</w:t>
            </w:r>
            <w:r>
              <w:rPr>
                <w:rFonts w:hint="eastAsia" w:ascii="宋体" w:hAnsi="宋体" w:eastAsia="宋体" w:cs="宋体"/>
                <w:color w:val="auto"/>
                <w:sz w:val="24"/>
                <w:szCs w:val="24"/>
                <w:highlight w:val="none"/>
                <w:lang w:val="en-US" w:eastAsia="zh-CN"/>
              </w:rPr>
              <w:t>：</w:t>
            </w:r>
          </w:p>
          <w:p w14:paraId="2B9BAB93">
            <w:pPr>
              <w:pStyle w:val="7"/>
              <w:numPr>
                <w:ilvl w:val="0"/>
                <w:numId w:val="5"/>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源代码程序、</w:t>
            </w:r>
          </w:p>
          <w:p w14:paraId="696D9FC6">
            <w:pPr>
              <w:pStyle w:val="7"/>
              <w:numPr>
                <w:ilvl w:val="0"/>
                <w:numId w:val="5"/>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业务领域的熟悉程度</w:t>
            </w:r>
          </w:p>
          <w:p w14:paraId="7736E558">
            <w:pPr>
              <w:pStyle w:val="7"/>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评分依据：</w:t>
            </w:r>
            <w:r>
              <w:rPr>
                <w:rFonts w:hint="eastAsia" w:ascii="宋体" w:hAnsi="宋体" w:eastAsia="宋体" w:cs="宋体"/>
                <w:color w:val="auto"/>
                <w:sz w:val="24"/>
                <w:szCs w:val="24"/>
                <w:highlight w:val="none"/>
                <w:lang w:val="en-US" w:eastAsia="zh-CN"/>
              </w:rPr>
              <w:t>投标方案每满足上述一点得1分，最高得3分。</w:t>
            </w:r>
          </w:p>
          <w:p w14:paraId="0FE0C6C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在此基础上</w:t>
            </w:r>
            <w:r>
              <w:rPr>
                <w:rFonts w:hint="eastAsia" w:ascii="宋体" w:hAnsi="宋体" w:eastAsia="宋体" w:cs="宋体"/>
                <w:color w:val="auto"/>
                <w:sz w:val="24"/>
                <w:szCs w:val="24"/>
                <w:highlight w:val="none"/>
              </w:rPr>
              <w:t xml:space="preserve">，专家根据各投标人的具体响应内容进一步评审： </w:t>
            </w:r>
          </w:p>
          <w:p w14:paraId="04D4F50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（1）投标方案科学性、合理性、针对性强的评价为优得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14:paraId="4E916C7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（2）投标方案科学性、合理性、针对性较强的评价为良得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3C0B5F0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（3）投标方案科学性、合理性、针对性一般的评价为中得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3D1B2187">
            <w:pPr>
              <w:pStyle w:val="7"/>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（4）投标方案较差或者未提供方案的，不得分。</w:t>
            </w:r>
          </w:p>
          <w:p w14:paraId="3B606611">
            <w:pPr>
              <w:pStyle w:val="7"/>
              <w:numPr>
                <w:ilvl w:val="0"/>
                <w:numId w:val="0"/>
              </w:numPr>
              <w:spacing w:line="360" w:lineRule="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以上合计最高得15分。</w:t>
            </w:r>
          </w:p>
        </w:tc>
      </w:tr>
      <w:tr w14:paraId="3BC506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11" w:hRule="atLeast"/>
          <w:jc w:val="center"/>
        </w:trPr>
        <w:tc>
          <w:tcPr>
            <w:tcW w:w="209" w:type="pct"/>
            <w:vMerge w:val="continue"/>
            <w:tcBorders>
              <w:left w:val="single" w:color="000000" w:sz="8" w:space="0"/>
              <w:right w:val="single" w:color="000000" w:sz="8" w:space="0"/>
            </w:tcBorders>
            <w:vAlign w:val="center"/>
          </w:tcPr>
          <w:p w14:paraId="1C16BFF7">
            <w:pPr>
              <w:spacing w:line="360" w:lineRule="auto"/>
              <w:jc w:val="center"/>
              <w:rPr>
                <w:rFonts w:hint="eastAsia" w:ascii="宋体" w:hAnsi="宋体" w:eastAsia="宋体" w:cs="宋体"/>
                <w:b/>
                <w:color w:val="auto"/>
                <w:sz w:val="24"/>
                <w:szCs w:val="24"/>
                <w:highlight w:val="none"/>
              </w:rPr>
            </w:pPr>
          </w:p>
        </w:tc>
        <w:tc>
          <w:tcPr>
            <w:tcW w:w="209" w:type="pct"/>
            <w:tcBorders>
              <w:top w:val="single" w:color="000000" w:sz="8" w:space="0"/>
              <w:left w:val="single" w:color="000000" w:sz="8" w:space="0"/>
              <w:bottom w:val="single" w:color="000000" w:sz="8" w:space="0"/>
              <w:right w:val="single" w:color="000000" w:sz="8" w:space="0"/>
            </w:tcBorders>
            <w:vAlign w:val="center"/>
          </w:tcPr>
          <w:p w14:paraId="442A1E02">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w:t>
            </w:r>
          </w:p>
        </w:tc>
        <w:tc>
          <w:tcPr>
            <w:tcW w:w="570" w:type="pct"/>
            <w:tcBorders>
              <w:top w:val="single" w:color="000000" w:sz="8" w:space="0"/>
              <w:left w:val="single" w:color="000000" w:sz="8" w:space="0"/>
              <w:bottom w:val="single" w:color="000000" w:sz="8" w:space="0"/>
              <w:right w:val="single" w:color="000000" w:sz="8" w:space="0"/>
            </w:tcBorders>
            <w:vAlign w:val="center"/>
          </w:tcPr>
          <w:p w14:paraId="4A8A242B">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维护</w:t>
            </w:r>
            <w:r>
              <w:rPr>
                <w:rFonts w:hint="eastAsia" w:ascii="宋体" w:hAnsi="宋体" w:eastAsia="宋体" w:cs="宋体"/>
                <w:color w:val="auto"/>
                <w:sz w:val="24"/>
                <w:szCs w:val="24"/>
                <w:highlight w:val="none"/>
                <w:lang w:val="en-US" w:eastAsia="zh-CN"/>
              </w:rPr>
              <w:t>服务</w:t>
            </w:r>
          </w:p>
        </w:tc>
        <w:tc>
          <w:tcPr>
            <w:tcW w:w="342" w:type="pct"/>
            <w:tcBorders>
              <w:top w:val="single" w:color="000000" w:sz="8" w:space="0"/>
              <w:left w:val="single" w:color="000000" w:sz="8" w:space="0"/>
              <w:bottom w:val="single" w:color="000000" w:sz="8" w:space="0"/>
              <w:right w:val="single" w:color="000000" w:sz="8" w:space="0"/>
            </w:tcBorders>
            <w:vAlign w:val="center"/>
          </w:tcPr>
          <w:p w14:paraId="73B829D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667" w:type="pct"/>
            <w:tcBorders>
              <w:top w:val="single" w:color="000000" w:sz="8" w:space="0"/>
              <w:left w:val="single" w:color="000000" w:sz="8" w:space="0"/>
              <w:bottom w:val="single" w:color="000000" w:sz="8" w:space="0"/>
              <w:right w:val="single" w:color="000000" w:sz="8" w:space="0"/>
            </w:tcBorders>
            <w:vAlign w:val="center"/>
          </w:tcPr>
          <w:p w14:paraId="36BCF2DB">
            <w:pPr>
              <w:pStyle w:val="7"/>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评审内容：</w:t>
            </w:r>
            <w:r>
              <w:rPr>
                <w:rFonts w:hint="eastAsia" w:ascii="宋体" w:hAnsi="宋体" w:eastAsia="宋体" w:cs="宋体"/>
                <w:color w:val="auto"/>
                <w:sz w:val="24"/>
                <w:szCs w:val="24"/>
                <w:highlight w:val="none"/>
                <w:lang w:val="en-US" w:eastAsia="zh-CN"/>
              </w:rPr>
              <w:t>投标人针对本项目提供维护服务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包含但不限于：</w:t>
            </w:r>
          </w:p>
          <w:p w14:paraId="7F07B20A">
            <w:pPr>
              <w:pStyle w:val="7"/>
              <w:numPr>
                <w:ilvl w:val="0"/>
                <w:numId w:val="6"/>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w:t>
            </w:r>
          </w:p>
          <w:p w14:paraId="6FB9E6FD">
            <w:pPr>
              <w:pStyle w:val="7"/>
              <w:numPr>
                <w:ilvl w:val="0"/>
                <w:numId w:val="6"/>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数据安全服务方案</w:t>
            </w:r>
          </w:p>
          <w:p w14:paraId="5E686179">
            <w:pPr>
              <w:pStyle w:val="7"/>
              <w:numPr>
                <w:ilvl w:val="0"/>
                <w:numId w:val="6"/>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故障响应措施</w:t>
            </w:r>
          </w:p>
          <w:p w14:paraId="305CEA75">
            <w:pPr>
              <w:pStyle w:val="7"/>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评分依据：</w:t>
            </w:r>
            <w:r>
              <w:rPr>
                <w:rFonts w:hint="eastAsia" w:ascii="宋体" w:hAnsi="宋体" w:eastAsia="宋体" w:cs="宋体"/>
                <w:color w:val="auto"/>
                <w:sz w:val="24"/>
                <w:szCs w:val="24"/>
                <w:highlight w:val="none"/>
                <w:lang w:val="en-US" w:eastAsia="zh-CN"/>
              </w:rPr>
              <w:t>投标方案每满足上述一点得1分，最高得3分。</w:t>
            </w:r>
          </w:p>
          <w:p w14:paraId="517FE80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在此基础上</w:t>
            </w:r>
            <w:r>
              <w:rPr>
                <w:rFonts w:hint="eastAsia" w:ascii="宋体" w:hAnsi="宋体" w:eastAsia="宋体" w:cs="宋体"/>
                <w:color w:val="auto"/>
                <w:sz w:val="24"/>
                <w:szCs w:val="24"/>
                <w:highlight w:val="none"/>
              </w:rPr>
              <w:t xml:space="preserve">，专家根据各投标人的具体响应内容进一步评审： </w:t>
            </w:r>
          </w:p>
          <w:p w14:paraId="18B65C6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（1）投标方案科学性、合理性、针对性强的评价为优得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14:paraId="7AA7844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（2）投标方案科学性、合理性、针对性较强的评价为良得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408B692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（3）投标方案科学性、合理性、针对性一般的评价为中得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349D4614">
            <w:pPr>
              <w:pStyle w:val="7"/>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（4）投标方案较差或者未提供方案的，不得分。</w:t>
            </w:r>
          </w:p>
          <w:p w14:paraId="60844067">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以上合计最高得15分。</w:t>
            </w:r>
            <w:r>
              <w:rPr>
                <w:rFonts w:hint="eastAsia" w:ascii="宋体" w:hAnsi="宋体" w:eastAsia="宋体" w:cs="宋体"/>
                <w:b/>
                <w:bCs/>
                <w:color w:val="auto"/>
                <w:sz w:val="24"/>
                <w:szCs w:val="24"/>
                <w:highlight w:val="none"/>
              </w:rPr>
              <w:t xml:space="preserve"> </w:t>
            </w:r>
          </w:p>
        </w:tc>
      </w:tr>
      <w:tr w14:paraId="7D3DA5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0" w:hRule="atLeast"/>
          <w:jc w:val="center"/>
        </w:trPr>
        <w:tc>
          <w:tcPr>
            <w:tcW w:w="209" w:type="pct"/>
            <w:vMerge w:val="restart"/>
            <w:tcBorders>
              <w:top w:val="single" w:color="000000" w:sz="8" w:space="0"/>
              <w:left w:val="single" w:color="000000" w:sz="8" w:space="0"/>
              <w:right w:val="single" w:color="000000" w:sz="8" w:space="0"/>
            </w:tcBorders>
            <w:vAlign w:val="center"/>
          </w:tcPr>
          <w:p w14:paraId="55E1A72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1122" w:type="pct"/>
            <w:gridSpan w:val="3"/>
            <w:tcBorders>
              <w:top w:val="single" w:color="000000" w:sz="8" w:space="0"/>
              <w:left w:val="single" w:color="000000" w:sz="8" w:space="0"/>
              <w:bottom w:val="single" w:color="000000" w:sz="8" w:space="0"/>
              <w:right w:val="single" w:color="000000" w:sz="8" w:space="0"/>
            </w:tcBorders>
            <w:vAlign w:val="center"/>
          </w:tcPr>
          <w:p w14:paraId="7C0F48FF">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商务部分</w:t>
            </w:r>
          </w:p>
        </w:tc>
        <w:tc>
          <w:tcPr>
            <w:tcW w:w="3667" w:type="pct"/>
            <w:tcBorders>
              <w:top w:val="single" w:color="000000" w:sz="8" w:space="0"/>
              <w:left w:val="single" w:color="000000" w:sz="8" w:space="0"/>
              <w:bottom w:val="single" w:color="000000" w:sz="8" w:space="0"/>
              <w:right w:val="single" w:color="000000" w:sz="8" w:space="0"/>
            </w:tcBorders>
            <w:vAlign w:val="center"/>
          </w:tcPr>
          <w:p w14:paraId="32E3451E">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3</w:t>
            </w:r>
          </w:p>
        </w:tc>
      </w:tr>
      <w:tr w14:paraId="516ECB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0" w:hRule="atLeast"/>
          <w:jc w:val="center"/>
        </w:trPr>
        <w:tc>
          <w:tcPr>
            <w:tcW w:w="209" w:type="pct"/>
            <w:vMerge w:val="continue"/>
            <w:tcBorders>
              <w:left w:val="single" w:color="000000" w:sz="8" w:space="0"/>
              <w:right w:val="single" w:color="000000" w:sz="8" w:space="0"/>
            </w:tcBorders>
            <w:shd w:val="clear" w:color="auto" w:fill="E6EFFA"/>
            <w:vAlign w:val="center"/>
          </w:tcPr>
          <w:p w14:paraId="64957AC7">
            <w:pPr>
              <w:spacing w:line="360" w:lineRule="auto"/>
              <w:jc w:val="center"/>
              <w:rPr>
                <w:rFonts w:hint="eastAsia" w:ascii="宋体" w:hAnsi="宋体" w:eastAsia="宋体" w:cs="宋体"/>
                <w:color w:val="auto"/>
                <w:sz w:val="24"/>
                <w:szCs w:val="24"/>
                <w:highlight w:val="none"/>
              </w:rPr>
            </w:pPr>
          </w:p>
        </w:tc>
        <w:tc>
          <w:tcPr>
            <w:tcW w:w="209"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2C91B9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7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CB35F2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342"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61D78B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权重</w:t>
            </w:r>
          </w:p>
        </w:tc>
        <w:tc>
          <w:tcPr>
            <w:tcW w:w="3667"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0EFF43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评分准则</w:t>
            </w:r>
          </w:p>
        </w:tc>
      </w:tr>
      <w:tr w14:paraId="10F91A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0" w:hRule="atLeast"/>
          <w:jc w:val="center"/>
        </w:trPr>
        <w:tc>
          <w:tcPr>
            <w:tcW w:w="209" w:type="pct"/>
            <w:vMerge w:val="continue"/>
            <w:tcBorders>
              <w:left w:val="single" w:color="000000" w:sz="8" w:space="0"/>
              <w:right w:val="single" w:color="000000" w:sz="8" w:space="0"/>
            </w:tcBorders>
            <w:vAlign w:val="center"/>
          </w:tcPr>
          <w:p w14:paraId="51825D5B">
            <w:pPr>
              <w:spacing w:line="360" w:lineRule="auto"/>
              <w:jc w:val="center"/>
              <w:rPr>
                <w:rFonts w:hint="eastAsia" w:ascii="宋体" w:hAnsi="宋体" w:eastAsia="宋体" w:cs="宋体"/>
                <w:color w:val="auto"/>
                <w:sz w:val="24"/>
                <w:szCs w:val="24"/>
                <w:highlight w:val="none"/>
              </w:rPr>
            </w:pPr>
          </w:p>
        </w:tc>
        <w:tc>
          <w:tcPr>
            <w:tcW w:w="209" w:type="pct"/>
            <w:tcBorders>
              <w:top w:val="single" w:color="000000" w:sz="8" w:space="0"/>
              <w:left w:val="single" w:color="000000" w:sz="8" w:space="0"/>
              <w:bottom w:val="single" w:color="000000" w:sz="8" w:space="0"/>
              <w:right w:val="single" w:color="000000" w:sz="8" w:space="0"/>
            </w:tcBorders>
            <w:vAlign w:val="center"/>
          </w:tcPr>
          <w:p w14:paraId="1283C5A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570" w:type="pct"/>
            <w:tcBorders>
              <w:top w:val="single" w:color="000000" w:sz="8" w:space="0"/>
              <w:left w:val="single" w:color="000000" w:sz="8" w:space="0"/>
              <w:right w:val="single" w:color="000000" w:sz="8" w:space="0"/>
            </w:tcBorders>
            <w:vAlign w:val="center"/>
          </w:tcPr>
          <w:p w14:paraId="0D6A8533">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lang w:val="en-US" w:eastAsia="zh-CN"/>
              </w:rPr>
              <w:t>驻点服务</w:t>
            </w:r>
          </w:p>
        </w:tc>
        <w:tc>
          <w:tcPr>
            <w:tcW w:w="342" w:type="pct"/>
            <w:tcBorders>
              <w:top w:val="single" w:color="000000" w:sz="8" w:space="0"/>
              <w:left w:val="single" w:color="000000" w:sz="8" w:space="0"/>
              <w:bottom w:val="single" w:color="000000" w:sz="8" w:space="0"/>
              <w:right w:val="single" w:color="000000" w:sz="8" w:space="0"/>
            </w:tcBorders>
            <w:vAlign w:val="center"/>
          </w:tcPr>
          <w:p w14:paraId="4B064ABA">
            <w:pPr>
              <w:spacing w:line="360" w:lineRule="auto"/>
              <w:ind w:firstLine="120" w:firstLineChars="5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w:t>
            </w:r>
          </w:p>
        </w:tc>
        <w:tc>
          <w:tcPr>
            <w:tcW w:w="3667" w:type="pct"/>
            <w:tcBorders>
              <w:top w:val="single" w:color="000000" w:sz="8" w:space="0"/>
              <w:left w:val="single" w:color="000000" w:sz="8" w:space="0"/>
              <w:bottom w:val="single" w:color="000000" w:sz="8" w:space="0"/>
              <w:right w:val="single" w:color="000000" w:sz="8" w:space="0"/>
            </w:tcBorders>
            <w:vAlign w:val="center"/>
          </w:tcPr>
          <w:p w14:paraId="73FF08F7">
            <w:pPr>
              <w:spacing w:line="360" w:lineRule="auto"/>
              <w:jc w:val="left"/>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为</w:t>
            </w:r>
            <w:r>
              <w:rPr>
                <w:rFonts w:hint="eastAsia" w:ascii="宋体" w:hAnsi="宋体" w:eastAsia="宋体" w:cs="宋体"/>
                <w:i w:val="0"/>
                <w:iCs w:val="0"/>
                <w:caps w:val="0"/>
                <w:color w:val="auto"/>
                <w:spacing w:val="0"/>
                <w:sz w:val="24"/>
                <w:szCs w:val="24"/>
                <w:highlight w:val="none"/>
                <w:shd w:val="clear" w:color="auto" w:fill="FFFFFF"/>
              </w:rPr>
              <w:t>确保项目实施期间的高效沟通与及时响应，投标方需承诺在项目</w:t>
            </w:r>
            <w:r>
              <w:rPr>
                <w:rFonts w:hint="eastAsia" w:ascii="宋体" w:hAnsi="宋体" w:eastAsia="宋体" w:cs="宋体"/>
                <w:i w:val="0"/>
                <w:iCs w:val="0"/>
                <w:caps w:val="0"/>
                <w:color w:val="auto"/>
                <w:spacing w:val="0"/>
                <w:sz w:val="24"/>
                <w:szCs w:val="24"/>
                <w:highlight w:val="none"/>
                <w:shd w:val="clear" w:color="auto" w:fill="FFFFFF"/>
                <w:lang w:val="en-US" w:eastAsia="zh-CN"/>
              </w:rPr>
              <w:t>服务期间</w:t>
            </w:r>
            <w:r>
              <w:rPr>
                <w:rFonts w:hint="eastAsia" w:ascii="宋体" w:hAnsi="宋体" w:eastAsia="宋体" w:cs="宋体"/>
                <w:i w:val="0"/>
                <w:iCs w:val="0"/>
                <w:caps w:val="0"/>
                <w:color w:val="auto"/>
                <w:spacing w:val="0"/>
                <w:sz w:val="24"/>
                <w:szCs w:val="24"/>
                <w:highlight w:val="none"/>
                <w:shd w:val="clear" w:color="auto" w:fill="FFFFFF"/>
              </w:rPr>
              <w:t>至少提供1名驻点人员</w:t>
            </w:r>
            <w:r>
              <w:rPr>
                <w:rFonts w:hint="eastAsia" w:ascii="宋体" w:hAnsi="宋体" w:eastAsia="宋体" w:cs="宋体"/>
                <w:i w:val="0"/>
                <w:iCs w:val="0"/>
                <w:caps w:val="0"/>
                <w:color w:val="auto"/>
                <w:spacing w:val="0"/>
                <w:sz w:val="24"/>
                <w:szCs w:val="24"/>
                <w:highlight w:val="none"/>
                <w:shd w:val="clear" w:color="auto" w:fill="FFFFFF"/>
                <w:lang w:eastAsia="zh-CN"/>
              </w:rPr>
              <w:t>。</w:t>
            </w:r>
          </w:p>
          <w:p w14:paraId="2D0E1CC7">
            <w:pPr>
              <w:pStyle w:val="2"/>
              <w:numPr>
                <w:ilvl w:val="0"/>
                <w:numId w:val="7"/>
              </w:numPr>
              <w:spacing w:line="360" w:lineRule="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评分依据：</w:t>
            </w:r>
            <w:r>
              <w:rPr>
                <w:rFonts w:hint="eastAsia" w:ascii="宋体" w:hAnsi="宋体" w:eastAsia="宋体" w:cs="宋体"/>
                <w:color w:val="auto"/>
                <w:sz w:val="24"/>
                <w:szCs w:val="24"/>
                <w:highlight w:val="none"/>
                <w:lang w:val="en-US" w:eastAsia="zh-CN"/>
              </w:rPr>
              <w:t>投标人需提供驻点服务承诺函，中标签订合同后安排人员驻点。满足上述要求得5分，不提供不得分。</w:t>
            </w:r>
          </w:p>
        </w:tc>
      </w:tr>
      <w:tr w14:paraId="017990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0" w:hRule="atLeast"/>
          <w:jc w:val="center"/>
        </w:trPr>
        <w:tc>
          <w:tcPr>
            <w:tcW w:w="209" w:type="pct"/>
            <w:vMerge w:val="continue"/>
            <w:tcBorders>
              <w:left w:val="single" w:color="000000" w:sz="8" w:space="0"/>
              <w:right w:val="single" w:color="000000" w:sz="8" w:space="0"/>
            </w:tcBorders>
            <w:vAlign w:val="center"/>
          </w:tcPr>
          <w:p w14:paraId="44304F01">
            <w:pPr>
              <w:spacing w:line="360" w:lineRule="auto"/>
              <w:jc w:val="center"/>
              <w:rPr>
                <w:rFonts w:hint="eastAsia" w:ascii="宋体" w:hAnsi="宋体" w:eastAsia="宋体" w:cs="宋体"/>
                <w:color w:val="auto"/>
                <w:sz w:val="24"/>
                <w:szCs w:val="24"/>
                <w:highlight w:val="none"/>
              </w:rPr>
            </w:pPr>
          </w:p>
        </w:tc>
        <w:tc>
          <w:tcPr>
            <w:tcW w:w="209" w:type="pct"/>
            <w:tcBorders>
              <w:top w:val="single" w:color="000000" w:sz="8" w:space="0"/>
              <w:left w:val="single" w:color="000000" w:sz="8" w:space="0"/>
              <w:bottom w:val="single" w:color="000000" w:sz="8" w:space="0"/>
              <w:right w:val="single" w:color="000000" w:sz="8" w:space="0"/>
            </w:tcBorders>
            <w:vAlign w:val="center"/>
          </w:tcPr>
          <w:p w14:paraId="737E17A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570" w:type="pct"/>
            <w:tcBorders>
              <w:top w:val="single" w:color="000000" w:sz="8" w:space="0"/>
              <w:left w:val="single" w:color="000000" w:sz="8" w:space="0"/>
              <w:right w:val="single" w:color="000000" w:sz="8" w:space="0"/>
            </w:tcBorders>
            <w:vAlign w:val="center"/>
          </w:tcPr>
          <w:p w14:paraId="14FEACA6">
            <w:pPr>
              <w:spacing w:line="360" w:lineRule="auto"/>
              <w:jc w:val="center"/>
              <w:rPr>
                <w:rFonts w:hint="eastAsia" w:ascii="宋体" w:hAnsi="宋体" w:eastAsia="宋体" w:cs="宋体"/>
                <w:bCs/>
                <w:snapToGrid w:val="0"/>
                <w:color w:val="auto"/>
                <w:kern w:val="0"/>
                <w:sz w:val="24"/>
                <w:szCs w:val="24"/>
                <w:highlight w:val="none"/>
              </w:rPr>
            </w:pPr>
            <w:r>
              <w:rPr>
                <w:rFonts w:hint="eastAsia" w:ascii="宋体" w:hAnsi="宋体" w:eastAsia="宋体" w:cs="宋体"/>
                <w:color w:val="auto"/>
                <w:sz w:val="24"/>
                <w:szCs w:val="24"/>
                <w:highlight w:val="none"/>
                <w:lang w:val="en-US" w:eastAsia="zh-CN"/>
              </w:rPr>
              <w:t>业绩</w:t>
            </w:r>
          </w:p>
        </w:tc>
        <w:tc>
          <w:tcPr>
            <w:tcW w:w="342" w:type="pct"/>
            <w:tcBorders>
              <w:top w:val="single" w:color="000000" w:sz="8" w:space="0"/>
              <w:left w:val="single" w:color="000000" w:sz="8" w:space="0"/>
              <w:bottom w:val="single" w:color="000000" w:sz="8" w:space="0"/>
              <w:right w:val="single" w:color="000000" w:sz="8" w:space="0"/>
            </w:tcBorders>
            <w:vAlign w:val="center"/>
          </w:tcPr>
          <w:p w14:paraId="47528583">
            <w:pPr>
              <w:spacing w:line="360" w:lineRule="auto"/>
              <w:ind w:firstLine="120" w:firstLineChars="50"/>
              <w:jc w:val="center"/>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3</w:t>
            </w:r>
          </w:p>
        </w:tc>
        <w:tc>
          <w:tcPr>
            <w:tcW w:w="3667" w:type="pct"/>
            <w:tcBorders>
              <w:top w:val="single" w:color="000000" w:sz="8" w:space="0"/>
              <w:left w:val="single" w:color="000000" w:sz="8" w:space="0"/>
              <w:bottom w:val="single" w:color="000000" w:sz="8" w:space="0"/>
              <w:right w:val="single" w:color="000000" w:sz="8" w:space="0"/>
            </w:tcBorders>
            <w:vAlign w:val="center"/>
          </w:tcPr>
          <w:p w14:paraId="099C30D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评分内容</w:t>
            </w:r>
          </w:p>
          <w:p w14:paraId="067AA9EC">
            <w:pP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提供近三年与本项目类似的</w:t>
            </w:r>
            <w:r>
              <w:rPr>
                <w:rFonts w:hint="eastAsia" w:ascii="宋体" w:hAnsi="宋体" w:eastAsia="宋体" w:cs="宋体"/>
                <w:color w:val="auto"/>
                <w:sz w:val="24"/>
                <w:szCs w:val="24"/>
                <w:highlight w:val="none"/>
              </w:rPr>
              <w:t>信息化系统运维</w:t>
            </w:r>
            <w:r>
              <w:rPr>
                <w:rFonts w:hint="eastAsia" w:ascii="宋体" w:hAnsi="宋体" w:eastAsia="宋体" w:cs="宋体"/>
                <w:color w:val="auto"/>
                <w:kern w:val="0"/>
                <w:sz w:val="24"/>
                <w:szCs w:val="24"/>
                <w:highlight w:val="none"/>
              </w:rPr>
              <w:t>案例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每</w:t>
            </w:r>
            <w:r>
              <w:rPr>
                <w:rFonts w:hint="eastAsia" w:ascii="宋体" w:hAnsi="宋体" w:eastAsia="宋体" w:cs="宋体"/>
                <w:color w:val="auto"/>
                <w:sz w:val="24"/>
                <w:szCs w:val="24"/>
                <w:highlight w:val="none"/>
                <w:lang w:val="en-US" w:eastAsia="zh-CN"/>
              </w:rPr>
              <w:t>提供一份得1.5分，最高得3分，其他案例不得分。</w:t>
            </w:r>
          </w:p>
          <w:p w14:paraId="3629616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评分依据</w:t>
            </w:r>
          </w:p>
          <w:p w14:paraId="22EE40A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提供项目合同或协议书关键页（包括：合同封面、服务内容页及双方签章页）原件扫描件并加盖投标人公章。</w:t>
            </w:r>
          </w:p>
        </w:tc>
      </w:tr>
      <w:tr w14:paraId="62172E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0" w:hRule="atLeast"/>
          <w:jc w:val="center"/>
        </w:trPr>
        <w:tc>
          <w:tcPr>
            <w:tcW w:w="209" w:type="pct"/>
            <w:vMerge w:val="continue"/>
            <w:tcBorders>
              <w:left w:val="single" w:color="000000" w:sz="8" w:space="0"/>
              <w:right w:val="single" w:color="000000" w:sz="8" w:space="0"/>
            </w:tcBorders>
            <w:vAlign w:val="center"/>
          </w:tcPr>
          <w:p w14:paraId="442644D9">
            <w:pPr>
              <w:spacing w:line="360" w:lineRule="auto"/>
              <w:jc w:val="center"/>
              <w:rPr>
                <w:rFonts w:hint="eastAsia" w:ascii="宋体" w:hAnsi="宋体" w:eastAsia="宋体" w:cs="宋体"/>
                <w:color w:val="auto"/>
                <w:sz w:val="24"/>
                <w:szCs w:val="24"/>
                <w:highlight w:val="none"/>
              </w:rPr>
            </w:pPr>
          </w:p>
        </w:tc>
        <w:tc>
          <w:tcPr>
            <w:tcW w:w="209" w:type="pct"/>
            <w:tcBorders>
              <w:top w:val="single" w:color="000000" w:sz="8" w:space="0"/>
              <w:left w:val="single" w:color="000000" w:sz="8" w:space="0"/>
              <w:bottom w:val="single" w:color="000000" w:sz="8" w:space="0"/>
              <w:right w:val="single" w:color="000000" w:sz="8" w:space="0"/>
            </w:tcBorders>
            <w:vAlign w:val="center"/>
          </w:tcPr>
          <w:p w14:paraId="0C96821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570" w:type="pct"/>
            <w:tcBorders>
              <w:top w:val="single" w:color="000000" w:sz="8" w:space="0"/>
              <w:left w:val="single" w:color="000000" w:sz="8" w:space="0"/>
              <w:right w:val="single" w:color="000000" w:sz="8" w:space="0"/>
            </w:tcBorders>
            <w:vAlign w:val="center"/>
          </w:tcPr>
          <w:p w14:paraId="0E4C6277">
            <w:pPr>
              <w:spacing w:line="360" w:lineRule="auto"/>
              <w:jc w:val="center"/>
              <w:rPr>
                <w:rFonts w:hint="eastAsia" w:ascii="宋体" w:hAnsi="宋体" w:eastAsia="宋体" w:cs="宋体"/>
                <w:bCs/>
                <w:snapToGrid w:val="0"/>
                <w:color w:val="auto"/>
                <w:kern w:val="0"/>
                <w:sz w:val="24"/>
                <w:szCs w:val="24"/>
                <w:highlight w:val="none"/>
              </w:rPr>
            </w:pPr>
            <w:r>
              <w:rPr>
                <w:rFonts w:hint="eastAsia" w:ascii="宋体" w:hAnsi="宋体" w:eastAsia="宋体" w:cs="宋体"/>
                <w:color w:val="auto"/>
                <w:sz w:val="24"/>
                <w:szCs w:val="24"/>
                <w:highlight w:val="none"/>
              </w:rPr>
              <w:t>诚信</w:t>
            </w:r>
          </w:p>
        </w:tc>
        <w:tc>
          <w:tcPr>
            <w:tcW w:w="342" w:type="pct"/>
            <w:tcBorders>
              <w:top w:val="single" w:color="000000" w:sz="8" w:space="0"/>
              <w:left w:val="single" w:color="000000" w:sz="8" w:space="0"/>
              <w:bottom w:val="single" w:color="000000" w:sz="8" w:space="0"/>
              <w:right w:val="single" w:color="000000" w:sz="8" w:space="0"/>
            </w:tcBorders>
            <w:vAlign w:val="center"/>
          </w:tcPr>
          <w:p w14:paraId="446483AE">
            <w:pPr>
              <w:spacing w:line="360" w:lineRule="auto"/>
              <w:ind w:firstLine="120" w:firstLineChars="50"/>
              <w:jc w:val="center"/>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5</w:t>
            </w:r>
          </w:p>
        </w:tc>
        <w:tc>
          <w:tcPr>
            <w:tcW w:w="3667" w:type="pct"/>
            <w:tcBorders>
              <w:top w:val="single" w:color="000000" w:sz="8" w:space="0"/>
              <w:left w:val="single" w:color="000000" w:sz="8" w:space="0"/>
              <w:bottom w:val="single" w:color="000000" w:sz="8" w:space="0"/>
              <w:right w:val="single" w:color="000000" w:sz="8" w:space="0"/>
            </w:tcBorders>
            <w:vAlign w:val="center"/>
          </w:tcPr>
          <w:p w14:paraId="122C2020">
            <w:pPr>
              <w:spacing w:line="360" w:lineRule="auto"/>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投标人存在《深圳市财政局政府采购供应商信用信息管理办法》（深财规〔2023〕3号）列明的一般行政处罚信息、一般违法失信记录信息的，本项不得分，不存在上述情形的本项得</w:t>
            </w:r>
            <w:r>
              <w:rPr>
                <w:rFonts w:hint="eastAsia" w:ascii="宋体" w:hAnsi="宋体" w:eastAsia="宋体" w:cs="宋体"/>
                <w:color w:val="auto"/>
                <w:sz w:val="24"/>
                <w:szCs w:val="24"/>
                <w:highlight w:val="none"/>
                <w:u w:val="none"/>
                <w:lang w:val="en-US" w:eastAsia="zh-CN"/>
              </w:rPr>
              <w:t>满分</w:t>
            </w:r>
            <w:r>
              <w:rPr>
                <w:rFonts w:hint="eastAsia" w:ascii="宋体" w:hAnsi="宋体" w:eastAsia="宋体" w:cs="宋体"/>
                <w:color w:val="auto"/>
                <w:sz w:val="24"/>
                <w:szCs w:val="24"/>
                <w:highlight w:val="none"/>
                <w:u w:val="none"/>
              </w:rPr>
              <w:t>。投标人无需提供任何证明材料，评标过程中由工作人员向评审委员会提供有关供应商诚信查询结果。</w:t>
            </w:r>
          </w:p>
          <w:p w14:paraId="7F3DBED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查询渠道：通过“信用中国”（www.creditchina.gov.cn）、“中国政府采购网”（www.ccgp.gov.cn）以及“深圳市政府采购监管网”（http://zfcg.sz.gov.cn）查询供应商信用信息，信用信息以开标当日的查询结果为准。</w:t>
            </w:r>
          </w:p>
        </w:tc>
      </w:tr>
    </w:tbl>
    <w:p w14:paraId="0F12A640">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根据财库〔2011〕181号文件规定：</w:t>
      </w:r>
    </w:p>
    <w:p w14:paraId="0EA5A243">
      <w:pPr>
        <w:spacing w:line="360" w:lineRule="auto"/>
        <w:ind w:firstLine="420" w:firstLineChars="200"/>
        <w:rPr>
          <w:rFonts w:asciiTheme="minorEastAsia" w:hAnsiTheme="minorEastAsia"/>
          <w:bCs/>
          <w:color w:val="auto"/>
          <w:szCs w:val="21"/>
          <w:highlight w:val="none"/>
        </w:rPr>
      </w:pPr>
      <w:r>
        <w:rPr>
          <w:rFonts w:asciiTheme="minorEastAsia" w:hAnsiTheme="minorEastAsia"/>
          <w:color w:val="auto"/>
          <w:szCs w:val="21"/>
          <w:highlight w:val="none"/>
        </w:rPr>
        <w:t>□本项目专门面向中小企业或小型、微型企业采购。</w:t>
      </w:r>
    </w:p>
    <w:p w14:paraId="530E356C">
      <w:pPr>
        <w:bidi w:val="0"/>
        <w:rPr>
          <w:rFonts w:hint="eastAsia"/>
          <w:color w:val="auto"/>
          <w:highlight w:val="none"/>
        </w:rPr>
      </w:pPr>
      <w:r>
        <w:rPr>
          <w:rFonts w:asciiTheme="minorEastAsia" w:hAnsiTheme="minorEastAsia"/>
          <w:b/>
          <w:color w:val="auto"/>
          <w:szCs w:val="21"/>
          <w:highlight w:val="none"/>
        </w:rPr>
        <w:t>■</w:t>
      </w:r>
      <w:r>
        <w:rPr>
          <w:rFonts w:asciiTheme="minorEastAsia" w:hAnsiTheme="minorEastAsia"/>
          <w:bCs/>
          <w:color w:val="auto"/>
          <w:szCs w:val="21"/>
          <w:highlight w:val="none"/>
        </w:rPr>
        <w:t>本项目非专门面向中小企业的项目，对小型和微型企业产品的价格给予10%的扣除，用扣除后的价格即为“经评审合格的投标报价”参与价格评审。</w:t>
      </w:r>
    </w:p>
    <w:p w14:paraId="42F1362D">
      <w:pPr>
        <w:bidi w:val="0"/>
        <w:rPr>
          <w:rFonts w:hint="eastAsia"/>
          <w:color w:val="auto"/>
          <w:highlight w:val="none"/>
        </w:rPr>
      </w:pPr>
    </w:p>
    <w:p w14:paraId="5981CBEB">
      <w:pPr>
        <w:bidi w:val="0"/>
        <w:rPr>
          <w:rFonts w:hint="eastAsia"/>
          <w:color w:val="auto"/>
          <w:highlight w:val="none"/>
        </w:rPr>
      </w:pPr>
    </w:p>
    <w:p w14:paraId="0F1FCDC9">
      <w:pPr>
        <w:bidi w:val="0"/>
        <w:rPr>
          <w:rFonts w:hint="eastAsia"/>
          <w:color w:val="auto"/>
          <w:highlight w:val="none"/>
        </w:rPr>
      </w:pPr>
    </w:p>
    <w:p w14:paraId="613F4D9A">
      <w:pPr>
        <w:bidi w:val="0"/>
        <w:rPr>
          <w:rFonts w:hint="eastAsia"/>
          <w:color w:val="auto"/>
          <w:highlight w:val="none"/>
        </w:rPr>
      </w:pPr>
    </w:p>
    <w:p w14:paraId="3B840A2D">
      <w:pPr>
        <w:bidi w:val="0"/>
        <w:rPr>
          <w:rFonts w:hint="eastAsia"/>
          <w:color w:val="auto"/>
          <w:highlight w:val="none"/>
        </w:rPr>
      </w:pPr>
    </w:p>
    <w:p w14:paraId="2CCFD585">
      <w:pPr>
        <w:bidi w:val="0"/>
        <w:rPr>
          <w:rFonts w:hint="eastAsia"/>
          <w:color w:val="auto"/>
          <w:highlight w:val="none"/>
        </w:rPr>
      </w:pPr>
    </w:p>
    <w:p w14:paraId="1CF41B6D">
      <w:pPr>
        <w:bidi w:val="0"/>
        <w:rPr>
          <w:rFonts w:hint="eastAsia"/>
          <w:color w:val="auto"/>
          <w:highlight w:val="none"/>
        </w:rPr>
      </w:pPr>
    </w:p>
    <w:p w14:paraId="348543B1">
      <w:pPr>
        <w:pStyle w:val="3"/>
        <w:rPr>
          <w:color w:val="auto"/>
          <w:highlight w:val="none"/>
        </w:rPr>
      </w:pPr>
      <w:bookmarkStart w:id="14" w:name="_Toc28824"/>
      <w:r>
        <w:rPr>
          <w:rFonts w:hint="eastAsia"/>
          <w:color w:val="auto"/>
          <w:highlight w:val="none"/>
        </w:rPr>
        <w:t>第三章  投标人须知</w:t>
      </w:r>
      <w:bookmarkEnd w:id="11"/>
      <w:bookmarkEnd w:id="12"/>
      <w:bookmarkEnd w:id="14"/>
    </w:p>
    <w:p w14:paraId="7782A9E0">
      <w:pPr>
        <w:pStyle w:val="5"/>
        <w:ind w:firstLine="482"/>
        <w:rPr>
          <w:color w:val="auto"/>
          <w:highlight w:val="none"/>
        </w:rPr>
      </w:pPr>
      <w:bookmarkStart w:id="15" w:name="_Toc55548492"/>
      <w:r>
        <w:rPr>
          <w:color w:val="auto"/>
          <w:highlight w:val="none"/>
        </w:rPr>
        <w:t>一、说明</w:t>
      </w:r>
      <w:bookmarkEnd w:id="15"/>
    </w:p>
    <w:p w14:paraId="6ABBE8A3">
      <w:pPr>
        <w:pStyle w:val="4"/>
        <w:spacing w:line="360" w:lineRule="auto"/>
        <w:ind w:firstLine="482"/>
        <w:rPr>
          <w:color w:val="auto"/>
          <w:highlight w:val="none"/>
        </w:rPr>
      </w:pPr>
      <w:bookmarkStart w:id="16" w:name="_Toc18091"/>
      <w:bookmarkStart w:id="17" w:name="_Toc55548493"/>
      <w:r>
        <w:rPr>
          <w:color w:val="auto"/>
          <w:highlight w:val="none"/>
        </w:rPr>
        <w:t>招标人及资金来源</w:t>
      </w:r>
      <w:bookmarkEnd w:id="16"/>
      <w:bookmarkEnd w:id="17"/>
    </w:p>
    <w:p w14:paraId="45D8B591">
      <w:pPr>
        <w:spacing w:line="360" w:lineRule="auto"/>
        <w:ind w:firstLine="420" w:firstLineChars="200"/>
        <w:rPr>
          <w:rFonts w:asciiTheme="minorEastAsia" w:hAnsiTheme="minorEastAsia"/>
          <w:color w:val="auto"/>
          <w:szCs w:val="21"/>
          <w:highlight w:val="none"/>
        </w:rPr>
      </w:pPr>
      <w:bookmarkStart w:id="18" w:name="_Ref179620507"/>
      <w:r>
        <w:rPr>
          <w:rFonts w:asciiTheme="minorEastAsia" w:hAnsiTheme="minorEastAsia"/>
          <w:color w:val="auto"/>
          <w:szCs w:val="21"/>
          <w:highlight w:val="none"/>
        </w:rPr>
        <w:t>招标人已拥有一笔资金/</w:t>
      </w:r>
      <w:r>
        <w:rPr>
          <w:rFonts w:hint="eastAsia" w:asciiTheme="minorEastAsia" w:hAnsiTheme="minorEastAsia"/>
          <w:color w:val="auto"/>
          <w:szCs w:val="21"/>
          <w:highlight w:val="none"/>
        </w:rPr>
        <w:t>货</w:t>
      </w:r>
      <w:r>
        <w:rPr>
          <w:rFonts w:asciiTheme="minorEastAsia" w:hAnsiTheme="minorEastAsia"/>
          <w:color w:val="auto"/>
          <w:szCs w:val="21"/>
          <w:highlight w:val="none"/>
        </w:rPr>
        <w:t>款。招标人计划将一部分资金/贷款用于支付本次招标后所签订合同项下的款项，资金来源</w:t>
      </w:r>
      <w:r>
        <w:rPr>
          <w:rFonts w:hint="eastAsia" w:asciiTheme="minorEastAsia" w:hAnsiTheme="minorEastAsia"/>
          <w:color w:val="auto"/>
          <w:szCs w:val="21"/>
          <w:highlight w:val="none"/>
        </w:rPr>
        <w:t>为：</w:t>
      </w:r>
      <w:r>
        <w:rPr>
          <w:rFonts w:asciiTheme="minorEastAsia" w:hAnsiTheme="minorEastAsia"/>
          <w:color w:val="auto"/>
          <w:szCs w:val="21"/>
          <w:highlight w:val="none"/>
        </w:rPr>
        <w:t>财政资金。</w:t>
      </w:r>
      <w:bookmarkEnd w:id="18"/>
    </w:p>
    <w:p w14:paraId="25BA5B49">
      <w:pPr>
        <w:pStyle w:val="4"/>
        <w:spacing w:line="360" w:lineRule="auto"/>
        <w:ind w:firstLine="482"/>
        <w:rPr>
          <w:color w:val="auto"/>
          <w:highlight w:val="none"/>
        </w:rPr>
      </w:pPr>
      <w:bookmarkStart w:id="19" w:name="_Toc29370"/>
      <w:bookmarkStart w:id="20" w:name="_Toc55548494"/>
      <w:r>
        <w:rPr>
          <w:color w:val="auto"/>
          <w:highlight w:val="none"/>
        </w:rPr>
        <w:t>合格的投标人</w:t>
      </w:r>
      <w:bookmarkEnd w:id="19"/>
      <w:bookmarkEnd w:id="20"/>
    </w:p>
    <w:p w14:paraId="794CD0AA">
      <w:pPr>
        <w:spacing w:line="360" w:lineRule="auto"/>
        <w:ind w:firstLine="420" w:firstLineChars="200"/>
        <w:rPr>
          <w:rFonts w:asciiTheme="minorEastAsia" w:hAnsiTheme="minorEastAsia"/>
          <w:color w:val="auto"/>
          <w:szCs w:val="21"/>
          <w:highlight w:val="none"/>
        </w:rPr>
      </w:pPr>
      <w:bookmarkStart w:id="21" w:name="_Ref179620057"/>
      <w:r>
        <w:rPr>
          <w:rFonts w:asciiTheme="minorEastAsia" w:hAnsiTheme="minorEastAsia"/>
          <w:color w:val="auto"/>
          <w:szCs w:val="21"/>
          <w:highlight w:val="none"/>
        </w:rPr>
        <w:t>合格的投标人</w:t>
      </w:r>
      <w:bookmarkEnd w:id="21"/>
    </w:p>
    <w:p w14:paraId="12EDFF19">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除非下文另有规定，凡是在中华人民共和国境内注册且为人民币流通区域内的供货人均可投标。</w:t>
      </w:r>
    </w:p>
    <w:p w14:paraId="4F6026F1">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只有在法律上和财务上独立、合法运作并独立于招标人的供货人才能参加投标。</w:t>
      </w:r>
    </w:p>
    <w:p w14:paraId="36C2C29E">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投标人不得直接或间接地与招标人为采购本次招标的货物进行设计、编制规范和其他文件所委托的咨询公司或其附属机构有任何关联。</w:t>
      </w:r>
    </w:p>
    <w:p w14:paraId="68B103C8">
      <w:pPr>
        <w:pStyle w:val="4"/>
        <w:spacing w:line="360" w:lineRule="auto"/>
        <w:ind w:firstLine="482"/>
        <w:rPr>
          <w:color w:val="auto"/>
          <w:highlight w:val="none"/>
        </w:rPr>
      </w:pPr>
      <w:bookmarkStart w:id="22" w:name="_Toc12412"/>
      <w:bookmarkStart w:id="23" w:name="_Toc55548495"/>
      <w:r>
        <w:rPr>
          <w:color w:val="auto"/>
          <w:highlight w:val="none"/>
        </w:rPr>
        <w:t>合格的货物和服务</w:t>
      </w:r>
      <w:bookmarkEnd w:id="22"/>
      <w:bookmarkEnd w:id="23"/>
    </w:p>
    <w:p w14:paraId="69EB0E6F">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必须是全新的货物，如安装或配置了软件的，须为正版软件。</w:t>
      </w:r>
    </w:p>
    <w:p w14:paraId="79959F0C">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产品及相关的服务必须符合中华人民共和国的设计和制造生产或行业标准。</w:t>
      </w:r>
    </w:p>
    <w:p w14:paraId="7C0390AF">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进口的货物必须是具有合法的进口手续和途径并通过了中华人民共和国商检部门检验。</w:t>
      </w:r>
    </w:p>
    <w:p w14:paraId="2FD27732">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投标人应保证，采购人在中华人民共和国使用该产品的任何一部分时，免受第三方提出的包括但不限于侵犯其专利权、商标权或工业设计权等知识产权和抵押权在内的担保物权的起诉。</w:t>
      </w:r>
    </w:p>
    <w:p w14:paraId="3833891D">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14:paraId="2C1FF01C">
      <w:pPr>
        <w:pStyle w:val="4"/>
        <w:spacing w:line="360" w:lineRule="auto"/>
        <w:ind w:firstLine="482"/>
        <w:rPr>
          <w:color w:val="auto"/>
          <w:highlight w:val="none"/>
        </w:rPr>
      </w:pPr>
      <w:bookmarkStart w:id="24" w:name="_Toc25686"/>
      <w:bookmarkStart w:id="25" w:name="_Toc55548496"/>
      <w:r>
        <w:rPr>
          <w:color w:val="auto"/>
          <w:highlight w:val="none"/>
        </w:rPr>
        <w:t>投标费用</w:t>
      </w:r>
      <w:bookmarkEnd w:id="24"/>
      <w:bookmarkEnd w:id="25"/>
    </w:p>
    <w:p w14:paraId="604B1C17">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投标人应承担所有与准备和参加投标有关的费用。不论投标的结果如何，招标人均无义务和责任承担这些费用。</w:t>
      </w:r>
    </w:p>
    <w:p w14:paraId="3C8187DB">
      <w:pPr>
        <w:pStyle w:val="4"/>
        <w:spacing w:line="360" w:lineRule="auto"/>
        <w:ind w:firstLine="482"/>
        <w:rPr>
          <w:color w:val="auto"/>
          <w:highlight w:val="none"/>
        </w:rPr>
      </w:pPr>
      <w:bookmarkStart w:id="26" w:name="_Toc10390"/>
      <w:bookmarkStart w:id="27" w:name="_Toc55548497"/>
      <w:r>
        <w:rPr>
          <w:color w:val="auto"/>
          <w:highlight w:val="none"/>
        </w:rPr>
        <w:t>踏勘现场</w:t>
      </w:r>
      <w:bookmarkEnd w:id="26"/>
      <w:bookmarkEnd w:id="27"/>
    </w:p>
    <w:p w14:paraId="5045ACCE">
      <w:pPr>
        <w:spacing w:line="360" w:lineRule="auto"/>
        <w:ind w:firstLine="420" w:firstLineChars="200"/>
        <w:rPr>
          <w:rFonts w:asciiTheme="minorEastAsia" w:hAnsiTheme="minorEastAsia"/>
          <w:color w:val="auto"/>
          <w:szCs w:val="21"/>
          <w:highlight w:val="none"/>
        </w:rPr>
      </w:pPr>
      <w:bookmarkStart w:id="28" w:name="_Ref179620557"/>
      <w:r>
        <w:rPr>
          <w:rFonts w:asciiTheme="minorEastAsia" w:hAnsiTheme="minorEastAsia"/>
          <w:color w:val="auto"/>
          <w:szCs w:val="21"/>
          <w:highlight w:val="none"/>
        </w:rPr>
        <w:t>如有必要，</w:t>
      </w:r>
      <w:r>
        <w:rPr>
          <w:rFonts w:hint="eastAsia" w:asciiTheme="minorEastAsia" w:hAnsiTheme="minorEastAsia"/>
          <w:color w:val="auto"/>
          <w:szCs w:val="21"/>
          <w:highlight w:val="none"/>
        </w:rPr>
        <w:t>本中心</w:t>
      </w:r>
      <w:r>
        <w:rPr>
          <w:rFonts w:asciiTheme="minorEastAsia" w:hAnsiTheme="minorEastAsia"/>
          <w:color w:val="auto"/>
          <w:szCs w:val="21"/>
          <w:highlight w:val="none"/>
        </w:rPr>
        <w:t>将组织投标人对项目现场及周围环境进行踏勘，以便投标人获取须自己负责的有关编制投标文件和签署合同所需的所有资料。踏勘现场所发生的费用由投标人自己承担。</w:t>
      </w:r>
      <w:bookmarkEnd w:id="28"/>
    </w:p>
    <w:p w14:paraId="1C034948">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招标人向投标人提供的有关现场的资料和数据，是招标人现有的能使投标人利用的资料。招标人对投标人由此而做出的推论、理解和结论概不负责。</w:t>
      </w:r>
    </w:p>
    <w:p w14:paraId="451F1EF4">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14:paraId="55F361A3">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如果投标人认为需要再次进行现场踏勘，招标人将予以支持，费用自理。</w:t>
      </w:r>
    </w:p>
    <w:p w14:paraId="74F592BD">
      <w:pPr>
        <w:pStyle w:val="5"/>
        <w:ind w:firstLine="482"/>
        <w:rPr>
          <w:color w:val="auto"/>
          <w:highlight w:val="none"/>
        </w:rPr>
      </w:pPr>
      <w:bookmarkStart w:id="29" w:name="_Toc1751"/>
      <w:bookmarkStart w:id="30" w:name="_Toc55548498"/>
      <w:bookmarkStart w:id="31" w:name="_Toc6043"/>
      <w:r>
        <w:rPr>
          <w:color w:val="auto"/>
          <w:highlight w:val="none"/>
        </w:rPr>
        <w:t>二、招标文件</w:t>
      </w:r>
      <w:bookmarkEnd w:id="29"/>
      <w:bookmarkEnd w:id="30"/>
      <w:bookmarkEnd w:id="31"/>
    </w:p>
    <w:p w14:paraId="0C0B456A">
      <w:pPr>
        <w:pStyle w:val="4"/>
        <w:spacing w:line="360" w:lineRule="auto"/>
        <w:ind w:firstLine="482"/>
        <w:rPr>
          <w:color w:val="auto"/>
          <w:highlight w:val="none"/>
        </w:rPr>
      </w:pPr>
      <w:bookmarkStart w:id="32" w:name="_Toc19397"/>
      <w:bookmarkStart w:id="33" w:name="_Toc55548499"/>
      <w:r>
        <w:rPr>
          <w:color w:val="auto"/>
          <w:highlight w:val="none"/>
        </w:rPr>
        <w:t>招标文件的构成</w:t>
      </w:r>
      <w:bookmarkEnd w:id="32"/>
      <w:bookmarkEnd w:id="33"/>
    </w:p>
    <w:p w14:paraId="2772A496">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第</w:t>
      </w:r>
      <w:r>
        <w:rPr>
          <w:rFonts w:hint="eastAsia" w:asciiTheme="minorEastAsia" w:hAnsiTheme="minorEastAsia"/>
          <w:color w:val="auto"/>
          <w:szCs w:val="21"/>
          <w:highlight w:val="none"/>
        </w:rPr>
        <w:t>一</w:t>
      </w:r>
      <w:r>
        <w:rPr>
          <w:rFonts w:asciiTheme="minorEastAsia" w:hAnsiTheme="minorEastAsia"/>
          <w:color w:val="auto"/>
          <w:szCs w:val="21"/>
          <w:highlight w:val="none"/>
        </w:rPr>
        <w:t xml:space="preserve">章 </w:t>
      </w:r>
      <w:r>
        <w:rPr>
          <w:rFonts w:hint="eastAsia" w:asciiTheme="minorEastAsia" w:hAnsiTheme="minorEastAsia"/>
          <w:color w:val="auto"/>
          <w:szCs w:val="21"/>
          <w:highlight w:val="none"/>
        </w:rPr>
        <w:t>招标公告</w:t>
      </w:r>
    </w:p>
    <w:p w14:paraId="7420E75B">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第</w:t>
      </w:r>
      <w:r>
        <w:rPr>
          <w:rFonts w:hint="eastAsia" w:asciiTheme="minorEastAsia" w:hAnsiTheme="minorEastAsia"/>
          <w:color w:val="auto"/>
          <w:szCs w:val="21"/>
          <w:highlight w:val="none"/>
        </w:rPr>
        <w:t>二</w:t>
      </w:r>
      <w:r>
        <w:rPr>
          <w:rFonts w:asciiTheme="minorEastAsia" w:hAnsiTheme="minorEastAsia"/>
          <w:color w:val="auto"/>
          <w:szCs w:val="21"/>
          <w:highlight w:val="none"/>
        </w:rPr>
        <w:t>章 用户需求书</w:t>
      </w:r>
    </w:p>
    <w:p w14:paraId="2D58783C">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第三章 投标人须知</w:t>
      </w:r>
    </w:p>
    <w:p w14:paraId="3609581C">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第四章 附件-</w:t>
      </w:r>
      <w:r>
        <w:rPr>
          <w:rFonts w:asciiTheme="minorEastAsia" w:hAnsiTheme="minorEastAsia"/>
          <w:color w:val="auto"/>
          <w:szCs w:val="21"/>
          <w:highlight w:val="none"/>
        </w:rPr>
        <w:t>投标文件格式</w:t>
      </w:r>
    </w:p>
    <w:p w14:paraId="1F85FA7F">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应认真阅读招标文件中所有的事项、格式、条款和技术规格等。投标人没有按照招标文件要求提交全部资料，或者投标没有对招标文件在各方面都作出实质性响应是投标人的风险，并可能导致其投标被拒绝。</w:t>
      </w:r>
    </w:p>
    <w:p w14:paraId="71E7A92F">
      <w:pPr>
        <w:pStyle w:val="4"/>
        <w:spacing w:line="360" w:lineRule="auto"/>
        <w:ind w:firstLine="482"/>
        <w:rPr>
          <w:color w:val="auto"/>
          <w:highlight w:val="none"/>
        </w:rPr>
      </w:pPr>
      <w:bookmarkStart w:id="34" w:name="_Toc31711"/>
      <w:bookmarkStart w:id="35" w:name="_Toc55548500"/>
      <w:r>
        <w:rPr>
          <w:color w:val="auto"/>
          <w:highlight w:val="none"/>
        </w:rPr>
        <w:t>招标文件的澄清</w:t>
      </w:r>
      <w:bookmarkEnd w:id="34"/>
      <w:bookmarkEnd w:id="35"/>
    </w:p>
    <w:p w14:paraId="5F52621D">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任何要求对招标文件进行澄清的潜在投标人，均应以书面形式通知招标人。</w:t>
      </w:r>
      <w:r>
        <w:rPr>
          <w:rFonts w:hint="eastAsia" w:asciiTheme="minorEastAsia" w:hAnsiTheme="minorEastAsia"/>
          <w:color w:val="auto"/>
          <w:szCs w:val="21"/>
          <w:highlight w:val="none"/>
        </w:rPr>
        <w:t>本中心</w:t>
      </w:r>
      <w:r>
        <w:rPr>
          <w:rFonts w:asciiTheme="minorEastAsia" w:hAnsiTheme="minorEastAsia"/>
          <w:color w:val="auto"/>
          <w:szCs w:val="21"/>
          <w:highlight w:val="none"/>
        </w:rPr>
        <w:t>对其在投标截止期五日以前收到的对招标文件的澄清要求均以书面形式予以答复，同时将书面答复方式发给每个购买招标文件的潜在投标人(答复中不包括问题的来源)。</w:t>
      </w:r>
    </w:p>
    <w:p w14:paraId="768ADE0E">
      <w:pPr>
        <w:pStyle w:val="4"/>
        <w:spacing w:line="360" w:lineRule="auto"/>
        <w:ind w:firstLine="482"/>
        <w:rPr>
          <w:color w:val="auto"/>
          <w:highlight w:val="none"/>
        </w:rPr>
      </w:pPr>
      <w:bookmarkStart w:id="36" w:name="_Toc55548501"/>
      <w:bookmarkStart w:id="37" w:name="_Ref179619612"/>
      <w:bookmarkStart w:id="38" w:name="_Toc21781"/>
      <w:r>
        <w:rPr>
          <w:color w:val="auto"/>
          <w:highlight w:val="none"/>
        </w:rPr>
        <w:t>招标文件的修改</w:t>
      </w:r>
      <w:bookmarkEnd w:id="36"/>
      <w:bookmarkEnd w:id="37"/>
      <w:bookmarkEnd w:id="38"/>
    </w:p>
    <w:p w14:paraId="4875B207">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在投标截止时间三日前，招标人可主动地或在解答潜在投标人提出的澄清问题时对招标文件进行修改。澄清或修改时间不足三日的，</w:t>
      </w:r>
      <w:r>
        <w:rPr>
          <w:rFonts w:hint="eastAsia" w:asciiTheme="minorEastAsia" w:hAnsiTheme="minorEastAsia"/>
          <w:color w:val="auto"/>
          <w:szCs w:val="21"/>
          <w:highlight w:val="none"/>
        </w:rPr>
        <w:t>本中心</w:t>
      </w:r>
      <w:r>
        <w:rPr>
          <w:rFonts w:asciiTheme="minorEastAsia" w:hAnsiTheme="minorEastAsia"/>
          <w:color w:val="auto"/>
          <w:szCs w:val="21"/>
          <w:highlight w:val="none"/>
        </w:rPr>
        <w:t>在征得已获取招标文件的供应商同意并书面确认后，可不改变投标截至时间。</w:t>
      </w:r>
    </w:p>
    <w:p w14:paraId="663B8298">
      <w:pPr>
        <w:spacing w:line="360" w:lineRule="auto"/>
        <w:ind w:firstLine="420" w:firstLineChars="200"/>
        <w:rPr>
          <w:rFonts w:asciiTheme="minorEastAsia" w:hAnsiTheme="minorEastAsia"/>
          <w:color w:val="auto"/>
          <w:szCs w:val="21"/>
          <w:highlight w:val="none"/>
        </w:rPr>
      </w:pPr>
      <w:bookmarkStart w:id="39" w:name="_Ref179619147"/>
      <w:r>
        <w:rPr>
          <w:rFonts w:asciiTheme="minorEastAsia" w:hAnsiTheme="minorEastAsia"/>
          <w:color w:val="auto"/>
          <w:szCs w:val="21"/>
          <w:highlight w:val="none"/>
        </w:rPr>
        <w:t>招标文件的修改是招标文件的组成部分，招标文件的修改均在</w:t>
      </w:r>
      <w:r>
        <w:rPr>
          <w:rFonts w:hint="eastAsia" w:asciiTheme="minorEastAsia" w:hAnsiTheme="minorEastAsia"/>
          <w:color w:val="auto"/>
          <w:kern w:val="0"/>
          <w:szCs w:val="21"/>
          <w:highlight w:val="none"/>
        </w:rPr>
        <w:t xml:space="preserve"> (深圳市宝安区疾病预防控制中心官网)</w:t>
      </w:r>
      <w:r>
        <w:rPr>
          <w:rFonts w:asciiTheme="minorEastAsia" w:hAnsiTheme="minorEastAsia"/>
          <w:color w:val="auto"/>
          <w:szCs w:val="21"/>
          <w:highlight w:val="none"/>
        </w:rPr>
        <w:t>以网上公告形式发布，并对投标人具有约束力，招标期间，投标人有义务上网查看，公告一经上网发布，即视为送达。</w:t>
      </w:r>
      <w:bookmarkEnd w:id="39"/>
    </w:p>
    <w:p w14:paraId="140DE913">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为使投标人准备投标时有充分时间对招标文件的修改部分进行研究，招标人可适当推迟投标截止期。</w:t>
      </w:r>
    </w:p>
    <w:p w14:paraId="74B327EF">
      <w:pPr>
        <w:pStyle w:val="5"/>
        <w:ind w:firstLine="482"/>
        <w:rPr>
          <w:color w:val="auto"/>
          <w:highlight w:val="none"/>
        </w:rPr>
      </w:pPr>
      <w:bookmarkStart w:id="40" w:name="_Toc20164"/>
      <w:bookmarkStart w:id="41" w:name="_Toc55548502"/>
      <w:bookmarkStart w:id="42" w:name="_Toc6740"/>
      <w:r>
        <w:rPr>
          <w:color w:val="auto"/>
          <w:highlight w:val="none"/>
        </w:rPr>
        <w:t>三、投标文件的编制</w:t>
      </w:r>
      <w:bookmarkEnd w:id="40"/>
      <w:bookmarkEnd w:id="41"/>
      <w:bookmarkEnd w:id="42"/>
    </w:p>
    <w:p w14:paraId="180FF835">
      <w:pPr>
        <w:pStyle w:val="4"/>
        <w:spacing w:line="360" w:lineRule="auto"/>
        <w:ind w:firstLine="482"/>
        <w:rPr>
          <w:color w:val="auto"/>
          <w:highlight w:val="none"/>
        </w:rPr>
      </w:pPr>
      <w:bookmarkStart w:id="43" w:name="_Toc55548503"/>
      <w:bookmarkStart w:id="44" w:name="_Toc28578"/>
      <w:r>
        <w:rPr>
          <w:color w:val="auto"/>
          <w:highlight w:val="none"/>
        </w:rPr>
        <w:t>投标的语言</w:t>
      </w:r>
      <w:bookmarkEnd w:id="43"/>
      <w:bookmarkEnd w:id="44"/>
    </w:p>
    <w:p w14:paraId="37B1D0D0">
      <w:pPr>
        <w:spacing w:line="360" w:lineRule="auto"/>
        <w:ind w:firstLine="420" w:firstLineChars="200"/>
        <w:rPr>
          <w:rFonts w:asciiTheme="minorEastAsia" w:hAnsiTheme="minorEastAsia"/>
          <w:color w:val="auto"/>
          <w:szCs w:val="21"/>
          <w:highlight w:val="none"/>
        </w:rPr>
      </w:pPr>
      <w:bookmarkStart w:id="45" w:name="_Ref179620571"/>
      <w:r>
        <w:rPr>
          <w:rFonts w:asciiTheme="minorEastAsia" w:hAnsiTheme="minorEastAsia"/>
          <w:color w:val="auto"/>
          <w:szCs w:val="21"/>
          <w:highlight w:val="none"/>
        </w:rPr>
        <w:t>投标人提交的投标文件以及投标人与招标人就有关投标的所有来往函电均应使用</w:t>
      </w:r>
      <w:r>
        <w:rPr>
          <w:rFonts w:hint="eastAsia" w:asciiTheme="minorEastAsia" w:hAnsiTheme="minorEastAsia"/>
          <w:b/>
          <w:color w:val="auto"/>
          <w:szCs w:val="21"/>
          <w:highlight w:val="none"/>
        </w:rPr>
        <w:t>中文</w:t>
      </w:r>
      <w:r>
        <w:rPr>
          <w:rFonts w:asciiTheme="minorEastAsia" w:hAnsiTheme="minorEastAsia"/>
          <w:color w:val="auto"/>
          <w:szCs w:val="21"/>
          <w:highlight w:val="none"/>
        </w:rPr>
        <w:t>书写。投标人提交的支持资料和已印刷的文献可以用另一种语言，但相应内容应附有</w:t>
      </w:r>
      <w:r>
        <w:rPr>
          <w:rFonts w:hint="eastAsia" w:asciiTheme="minorEastAsia" w:hAnsiTheme="minorEastAsia"/>
          <w:b/>
          <w:color w:val="auto"/>
          <w:szCs w:val="21"/>
          <w:highlight w:val="none"/>
        </w:rPr>
        <w:t>中文</w:t>
      </w:r>
      <w:r>
        <w:rPr>
          <w:rFonts w:asciiTheme="minorEastAsia" w:hAnsiTheme="minorEastAsia"/>
          <w:color w:val="auto"/>
          <w:szCs w:val="21"/>
          <w:highlight w:val="none"/>
        </w:rPr>
        <w:t>的翻译本，在解释投标文件时以翻译本为准。</w:t>
      </w:r>
      <w:bookmarkEnd w:id="45"/>
    </w:p>
    <w:p w14:paraId="3BA480F2">
      <w:pPr>
        <w:pStyle w:val="4"/>
        <w:spacing w:line="360" w:lineRule="auto"/>
        <w:ind w:firstLine="482"/>
        <w:rPr>
          <w:color w:val="auto"/>
          <w:highlight w:val="none"/>
        </w:rPr>
      </w:pPr>
      <w:bookmarkStart w:id="46" w:name="_Toc55548504"/>
      <w:bookmarkStart w:id="47" w:name="_Toc31114"/>
      <w:r>
        <w:rPr>
          <w:color w:val="auto"/>
          <w:highlight w:val="none"/>
        </w:rPr>
        <w:t>投标范围及投标文件中计量单位的使用</w:t>
      </w:r>
      <w:bookmarkEnd w:id="46"/>
      <w:bookmarkEnd w:id="47"/>
    </w:p>
    <w:p w14:paraId="30F3A566">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投标人可对招标文件中“用户需求书”中所述的所有货物</w:t>
      </w:r>
      <w:r>
        <w:rPr>
          <w:rFonts w:hint="eastAsia" w:asciiTheme="minorEastAsia" w:hAnsiTheme="minorEastAsia"/>
          <w:color w:val="auto"/>
          <w:szCs w:val="21"/>
          <w:highlight w:val="none"/>
        </w:rPr>
        <w:t>或者</w:t>
      </w:r>
      <w:r>
        <w:rPr>
          <w:rFonts w:asciiTheme="minorEastAsia" w:hAnsiTheme="minorEastAsia"/>
          <w:color w:val="auto"/>
          <w:szCs w:val="21"/>
          <w:highlight w:val="none"/>
        </w:rPr>
        <w:t>服务进行投标，也可以只对其中一包或几包货物进行投标，但不得将一包中的内容拆开投标。</w:t>
      </w:r>
    </w:p>
    <w:p w14:paraId="0E1CF999">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投标文件中所使用的计量单位，除招标文件中有特殊要求外，应采用中华人民共和国法定计量单位。</w:t>
      </w:r>
    </w:p>
    <w:p w14:paraId="08A01743">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除非另有说明，本招标文件中所称“日”均指日历日，投标文件中需以日历日对招标文件作出响应。评审时，对投标中出现的“工作日”按五个工作日折合七个日历日计算，且评标委员会可能会就有关日期作出对该投标人不利的折算或量化，投标人不得对此提出异议，否则其投标将被拒绝。</w:t>
      </w:r>
    </w:p>
    <w:p w14:paraId="00A90D0E">
      <w:pPr>
        <w:pStyle w:val="4"/>
        <w:spacing w:line="360" w:lineRule="auto"/>
        <w:ind w:firstLine="482"/>
        <w:rPr>
          <w:color w:val="auto"/>
          <w:highlight w:val="none"/>
        </w:rPr>
      </w:pPr>
      <w:bookmarkStart w:id="48" w:name="_Toc4999"/>
      <w:bookmarkStart w:id="49" w:name="_Toc55548505"/>
      <w:r>
        <w:rPr>
          <w:color w:val="auto"/>
          <w:highlight w:val="none"/>
        </w:rPr>
        <w:t>投标文件的构成</w:t>
      </w:r>
      <w:bookmarkEnd w:id="48"/>
      <w:bookmarkEnd w:id="49"/>
    </w:p>
    <w:p w14:paraId="70668FE6">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投标人应完整地按招标文件提供的投标文件格式制作投标文件。</w:t>
      </w:r>
    </w:p>
    <w:p w14:paraId="29AB6524">
      <w:pPr>
        <w:pStyle w:val="4"/>
        <w:spacing w:line="360" w:lineRule="auto"/>
        <w:ind w:firstLine="482"/>
        <w:rPr>
          <w:color w:val="auto"/>
          <w:highlight w:val="none"/>
        </w:rPr>
      </w:pPr>
      <w:bookmarkStart w:id="50" w:name="_Toc55548506"/>
      <w:bookmarkStart w:id="51" w:name="_Toc24290"/>
      <w:r>
        <w:rPr>
          <w:color w:val="auto"/>
          <w:highlight w:val="none"/>
        </w:rPr>
        <w:t>投标文件电子文档</w:t>
      </w:r>
      <w:bookmarkEnd w:id="50"/>
      <w:bookmarkEnd w:id="51"/>
    </w:p>
    <w:p w14:paraId="2F53DB63">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投标人在提交书面投标文件的同时，</w:t>
      </w:r>
      <w:r>
        <w:rPr>
          <w:color w:val="auto"/>
          <w:highlight w:val="none"/>
        </w:rPr>
        <w:fldChar w:fldCharType="begin"/>
      </w:r>
      <w:r>
        <w:rPr>
          <w:color w:val="auto"/>
          <w:highlight w:val="none"/>
        </w:rPr>
        <w:instrText xml:space="preserve"> HYPERLINK "mailto:应提交该投标文件的电子文档（格式为盖章版扫描件）于指定时间发送至568711397@qq.com" </w:instrText>
      </w:r>
      <w:r>
        <w:rPr>
          <w:color w:val="auto"/>
          <w:highlight w:val="none"/>
        </w:rPr>
        <w:fldChar w:fldCharType="separate"/>
      </w:r>
      <w:r>
        <w:rPr>
          <w:rStyle w:val="17"/>
          <w:rFonts w:asciiTheme="minorEastAsia" w:hAnsiTheme="minorEastAsia"/>
          <w:color w:val="auto"/>
          <w:szCs w:val="21"/>
          <w:highlight w:val="none"/>
        </w:rPr>
        <w:t>应提交该投标文件的电子文档于指定时间发送至</w:t>
      </w:r>
      <w:r>
        <w:rPr>
          <w:rStyle w:val="17"/>
          <w:rFonts w:hint="eastAsia" w:eastAsia="宋体" w:cs="Times New Roman" w:asciiTheme="minorEastAsia" w:hAnsiTheme="minorEastAsia"/>
          <w:color w:val="auto"/>
          <w:szCs w:val="21"/>
          <w:highlight w:val="none"/>
          <w:lang w:val="en-US" w:eastAsia="zh-CN"/>
        </w:rPr>
        <w:t>bacdcxxk@baoan.gov.cn</w:t>
      </w:r>
      <w:r>
        <w:rPr>
          <w:rStyle w:val="17"/>
          <w:rFonts w:asciiTheme="minorEastAsia" w:hAnsiTheme="minorEastAsia"/>
          <w:color w:val="auto"/>
          <w:szCs w:val="21"/>
          <w:highlight w:val="none"/>
        </w:rPr>
        <w:fldChar w:fldCharType="end"/>
      </w:r>
      <w:r>
        <w:rPr>
          <w:rFonts w:hint="eastAsia" w:asciiTheme="minorEastAsia" w:hAnsiTheme="minorEastAsia"/>
          <w:color w:val="auto"/>
          <w:szCs w:val="21"/>
          <w:highlight w:val="none"/>
        </w:rPr>
        <w:t>邮箱</w:t>
      </w:r>
      <w:r>
        <w:rPr>
          <w:rFonts w:asciiTheme="minorEastAsia" w:hAnsiTheme="minorEastAsia"/>
          <w:color w:val="auto"/>
          <w:szCs w:val="21"/>
          <w:highlight w:val="none"/>
        </w:rPr>
        <w:t>。</w:t>
      </w:r>
    </w:p>
    <w:p w14:paraId="3F143F7B">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电子文档的格式要求：投标文件电子文档应统一</w:t>
      </w:r>
      <w:r>
        <w:rPr>
          <w:rFonts w:hint="eastAsia" w:asciiTheme="minorEastAsia" w:hAnsiTheme="minorEastAsia"/>
          <w:color w:val="auto"/>
          <w:szCs w:val="21"/>
          <w:highlight w:val="none"/>
        </w:rPr>
        <w:t>为投标文件盖章后扫描件</w:t>
      </w:r>
      <w:r>
        <w:rPr>
          <w:rFonts w:asciiTheme="minorEastAsia" w:hAnsiTheme="minorEastAsia"/>
          <w:color w:val="auto"/>
          <w:szCs w:val="21"/>
          <w:highlight w:val="none"/>
        </w:rPr>
        <w:t>。</w:t>
      </w:r>
    </w:p>
    <w:p w14:paraId="06D41559">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投标人提交的书面投标文件的实质内容应与提交的电子文档的实质内容完全一致。如果评标委员会发现两者的实质内容不一致，将按不利于投标人的原则予以处置。因此产生的一切责任均由投标人承担。</w:t>
      </w:r>
    </w:p>
    <w:p w14:paraId="1143ABA3">
      <w:pPr>
        <w:pStyle w:val="4"/>
        <w:spacing w:line="360" w:lineRule="auto"/>
        <w:ind w:firstLine="482"/>
        <w:rPr>
          <w:color w:val="auto"/>
          <w:highlight w:val="none"/>
        </w:rPr>
      </w:pPr>
      <w:bookmarkStart w:id="52" w:name="_Toc12177"/>
      <w:bookmarkStart w:id="53" w:name="_Toc55548507"/>
      <w:r>
        <w:rPr>
          <w:color w:val="auto"/>
          <w:highlight w:val="none"/>
        </w:rPr>
        <w:t>投标文件的编写</w:t>
      </w:r>
      <w:bookmarkEnd w:id="52"/>
      <w:bookmarkEnd w:id="53"/>
    </w:p>
    <w:p w14:paraId="6C1C3772">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投标人应按招标文件的规定，及附件要求的内容和格式完整地填写和提供资料，并保证所提供的全部资料的真实性。</w:t>
      </w:r>
    </w:p>
    <w:p w14:paraId="11880934">
      <w:pPr>
        <w:pStyle w:val="4"/>
        <w:spacing w:line="360" w:lineRule="auto"/>
        <w:ind w:firstLine="482"/>
        <w:rPr>
          <w:color w:val="auto"/>
          <w:highlight w:val="none"/>
        </w:rPr>
      </w:pPr>
      <w:bookmarkStart w:id="54" w:name="_Toc26930"/>
      <w:bookmarkStart w:id="55" w:name="_Toc55548508"/>
      <w:r>
        <w:rPr>
          <w:color w:val="auto"/>
          <w:highlight w:val="none"/>
        </w:rPr>
        <w:t>投标报价</w:t>
      </w:r>
      <w:bookmarkEnd w:id="54"/>
      <w:bookmarkEnd w:id="55"/>
    </w:p>
    <w:p w14:paraId="2AD5BBE0">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所有投标均以人民币报价。投标人的投标报价应符合《中华人民共和国价格法》的有关规定。</w:t>
      </w:r>
    </w:p>
    <w:p w14:paraId="64954BC0">
      <w:pPr>
        <w:spacing w:line="360" w:lineRule="auto"/>
        <w:ind w:firstLine="420" w:firstLineChars="200"/>
        <w:rPr>
          <w:rFonts w:asciiTheme="minorEastAsia" w:hAnsiTheme="minorEastAsia"/>
          <w:color w:val="auto"/>
          <w:szCs w:val="21"/>
          <w:highlight w:val="none"/>
        </w:rPr>
      </w:pPr>
      <w:bookmarkStart w:id="56" w:name="_Ref179619251"/>
      <w:r>
        <w:rPr>
          <w:rFonts w:asciiTheme="minorEastAsia" w:hAnsiTheme="minorEastAsia"/>
          <w:color w:val="auto"/>
          <w:szCs w:val="21"/>
          <w:highlight w:val="none"/>
        </w:rPr>
        <w:t>投标人应在投标分项报价表上标明投标货物及相关服务的单价(如适用)和总价，并由法定代表人或其授权代表签署。投标总价中不得包含招标文件要求以外的内容，否则，在评标时不予核减。</w:t>
      </w:r>
      <w:bookmarkEnd w:id="56"/>
    </w:p>
    <w:p w14:paraId="4E87FA9D">
      <w:pPr>
        <w:spacing w:line="360" w:lineRule="auto"/>
        <w:ind w:firstLine="420" w:firstLineChars="200"/>
        <w:rPr>
          <w:rFonts w:asciiTheme="minorEastAsia" w:hAnsiTheme="minorEastAsia"/>
          <w:color w:val="auto"/>
          <w:szCs w:val="21"/>
          <w:highlight w:val="none"/>
        </w:rPr>
      </w:pPr>
      <w:bookmarkStart w:id="57" w:name="_Ref179620595"/>
      <w:r>
        <w:rPr>
          <w:rFonts w:asciiTheme="minorEastAsia" w:hAnsiTheme="minorEastAsia"/>
          <w:color w:val="auto"/>
          <w:szCs w:val="21"/>
          <w:highlight w:val="none"/>
        </w:rPr>
        <w:t>投标人的投标报价，应完整的包含所有采购内容，且不得以任何理由重复，每一项目只允许有一个报价，任何有选择的报价将不予接受。</w:t>
      </w:r>
      <w:bookmarkEnd w:id="57"/>
    </w:p>
    <w:p w14:paraId="51A62829">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投标分项报价上的价格应按下列方式填写：</w:t>
      </w:r>
    </w:p>
    <w:p w14:paraId="6E5F7F8A">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投标货物</w:t>
      </w:r>
      <w:r>
        <w:rPr>
          <w:rFonts w:hint="eastAsia" w:asciiTheme="minorEastAsia" w:hAnsiTheme="minorEastAsia"/>
          <w:color w:val="auto"/>
          <w:szCs w:val="21"/>
          <w:highlight w:val="none"/>
        </w:rPr>
        <w:t>或</w:t>
      </w:r>
      <w:r>
        <w:rPr>
          <w:rFonts w:asciiTheme="minorEastAsia" w:hAnsiTheme="minorEastAsia"/>
          <w:color w:val="auto"/>
          <w:szCs w:val="21"/>
          <w:highlight w:val="none"/>
        </w:rPr>
        <w:t>服务包括标准附件、备品备件、专用工具等的出厂价(包括已在中国国内的进口货物完税后的仓库交货价、展室交货价或货架交货价)，投标货物安装、调试、检验、技术服务和培训等费用；</w:t>
      </w:r>
    </w:p>
    <w:p w14:paraId="60ACB862">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货物运至最终目的地并安装调试完毕的运输费和保险费用和伴随货物交运的有关费用；</w:t>
      </w:r>
    </w:p>
    <w:p w14:paraId="5D2A6D21">
      <w:pPr>
        <w:spacing w:line="360" w:lineRule="auto"/>
        <w:ind w:firstLine="420" w:firstLineChars="200"/>
        <w:rPr>
          <w:rFonts w:asciiTheme="minorEastAsia" w:hAnsiTheme="minorEastAsia"/>
          <w:color w:val="auto"/>
          <w:szCs w:val="21"/>
          <w:highlight w:val="none"/>
        </w:rPr>
      </w:pPr>
      <w:bookmarkStart w:id="58" w:name="_Ref179620755"/>
      <w:r>
        <w:rPr>
          <w:rFonts w:asciiTheme="minorEastAsia" w:hAnsiTheme="minorEastAsia"/>
          <w:color w:val="auto"/>
          <w:szCs w:val="21"/>
          <w:highlight w:val="none"/>
        </w:rPr>
        <w:t>其他伴随服务的费用(如有)。</w:t>
      </w:r>
      <w:bookmarkEnd w:id="58"/>
    </w:p>
    <w:p w14:paraId="3FA9698C">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 xml:space="preserve">投标人根据本须知的规定将投标价分成几部分，只是为了方便招标人对投标文件进行比较，并不限制招标人以上述任何条件订立合同的权力。 </w:t>
      </w:r>
    </w:p>
    <w:p w14:paraId="6143028A">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投标人所报的投标价在合同执行过程中是固定不变的，不得以任何理由予以变更。任何包含价格调整要求的投标，被认为是非实质性响应投标而予以拒绝。</w:t>
      </w:r>
    </w:p>
    <w:p w14:paraId="62C54A70">
      <w:pPr>
        <w:pStyle w:val="4"/>
        <w:spacing w:line="360" w:lineRule="auto"/>
        <w:ind w:firstLine="482"/>
        <w:rPr>
          <w:color w:val="auto"/>
          <w:highlight w:val="none"/>
        </w:rPr>
      </w:pPr>
      <w:bookmarkStart w:id="59" w:name="_Toc55548509"/>
      <w:bookmarkStart w:id="60" w:name="_Toc11635"/>
      <w:r>
        <w:rPr>
          <w:color w:val="auto"/>
          <w:highlight w:val="none"/>
        </w:rPr>
        <w:t>证明投标人合格和资格的文件</w:t>
      </w:r>
      <w:bookmarkEnd w:id="59"/>
      <w:bookmarkEnd w:id="60"/>
      <w:r>
        <w:rPr>
          <w:color w:val="auto"/>
          <w:highlight w:val="none"/>
        </w:rPr>
        <w:t xml:space="preserve"> </w:t>
      </w:r>
    </w:p>
    <w:p w14:paraId="45C59084">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投标人应提交证明其有资格参加投标和中标后有能力履行合同的文件。</w:t>
      </w:r>
    </w:p>
    <w:p w14:paraId="4745EC06">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招标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14:paraId="607C7460">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 xml:space="preserve">投标人提交的证明其中标后能履行合同的资格证明文件应包括下列文件： </w:t>
      </w:r>
    </w:p>
    <w:p w14:paraId="21896AAF">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证明投标人销售资格的证明文件：制造商参加投标时，需在投标文件中注明其制造商身份；代理商参加投标时则须提交相应授权文件，授权文件包括制造商或上级代理商授权（上级代理商授权文件应可追溯至制造商授权文件，并有完整的证明资料）；招标文件对授权文件有特殊要求的，从其规定；</w:t>
      </w:r>
    </w:p>
    <w:p w14:paraId="2FCE6CF4">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 xml:space="preserve">证明投标人已具备履行合同所需的财务、技术和生产能力的文件； </w:t>
      </w:r>
    </w:p>
    <w:p w14:paraId="1D369B05">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证明投标人满足招标文件业绩要求的文件；</w:t>
      </w:r>
    </w:p>
    <w:p w14:paraId="52E5C224">
      <w:pPr>
        <w:spacing w:line="360" w:lineRule="auto"/>
        <w:ind w:firstLine="420" w:firstLineChars="200"/>
        <w:rPr>
          <w:rFonts w:asciiTheme="minorEastAsia" w:hAnsiTheme="minorEastAsia"/>
          <w:color w:val="auto"/>
          <w:szCs w:val="21"/>
          <w:highlight w:val="none"/>
        </w:rPr>
      </w:pPr>
      <w:bookmarkStart w:id="61" w:name="_Ref179620846"/>
      <w:r>
        <w:rPr>
          <w:rFonts w:asciiTheme="minorEastAsia" w:hAnsiTheme="minorEastAsia"/>
          <w:color w:val="auto"/>
          <w:szCs w:val="21"/>
          <w:highlight w:val="none"/>
        </w:rPr>
        <w:t>投标资料表要求的其它资格证明文件。</w:t>
      </w:r>
      <w:bookmarkEnd w:id="61"/>
    </w:p>
    <w:p w14:paraId="5355C92D">
      <w:pPr>
        <w:pStyle w:val="4"/>
        <w:spacing w:line="360" w:lineRule="auto"/>
        <w:ind w:firstLine="482"/>
        <w:rPr>
          <w:color w:val="auto"/>
          <w:highlight w:val="none"/>
        </w:rPr>
      </w:pPr>
      <w:bookmarkStart w:id="62" w:name="_Toc55548510"/>
      <w:bookmarkStart w:id="63" w:name="_Toc28857"/>
      <w:r>
        <w:rPr>
          <w:color w:val="auto"/>
          <w:highlight w:val="none"/>
        </w:rPr>
        <w:t>证明货物的合格性和符合招标文件规定的文件</w:t>
      </w:r>
      <w:bookmarkEnd w:id="62"/>
      <w:bookmarkEnd w:id="63"/>
    </w:p>
    <w:p w14:paraId="1D13A4FB">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投标人应提交证明文件，证明其拟供的合同项下的货物和服务的合格性符合招标文件规定。该证明文件作为投标文件的一部分。</w:t>
      </w:r>
    </w:p>
    <w:p w14:paraId="15ACFEAA">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上述所述的证明文件，可以是文字资料、图纸和数据，它包括：</w:t>
      </w:r>
    </w:p>
    <w:p w14:paraId="28B26C31">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货物主要技术指标和性能的详细说明；</w:t>
      </w:r>
    </w:p>
    <w:p w14:paraId="5FED62A0">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货物从招标人验收后开始使用至招标文件规定的保质期内正常、连续地使用所必须的备件和专用工具清单，包括备件和专用工具的货源及现行价格；</w:t>
      </w:r>
    </w:p>
    <w:p w14:paraId="30ED7143">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201EE8B7">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5CD271FF">
      <w:pPr>
        <w:pStyle w:val="4"/>
        <w:spacing w:line="360" w:lineRule="auto"/>
        <w:ind w:firstLine="482"/>
        <w:rPr>
          <w:color w:val="auto"/>
          <w:highlight w:val="none"/>
        </w:rPr>
      </w:pPr>
      <w:bookmarkStart w:id="64" w:name="_Toc1901"/>
      <w:bookmarkStart w:id="65" w:name="_Toc55548511"/>
      <w:r>
        <w:rPr>
          <w:color w:val="auto"/>
          <w:highlight w:val="none"/>
        </w:rPr>
        <w:t>投标有效期</w:t>
      </w:r>
      <w:bookmarkEnd w:id="64"/>
      <w:bookmarkEnd w:id="65"/>
    </w:p>
    <w:p w14:paraId="106C2259">
      <w:pPr>
        <w:spacing w:line="360" w:lineRule="auto"/>
        <w:ind w:firstLine="420" w:firstLineChars="200"/>
        <w:rPr>
          <w:rFonts w:asciiTheme="minorEastAsia" w:hAnsiTheme="minorEastAsia"/>
          <w:color w:val="auto"/>
          <w:szCs w:val="21"/>
          <w:highlight w:val="none"/>
        </w:rPr>
      </w:pPr>
      <w:bookmarkStart w:id="66" w:name="_Ref179620893"/>
      <w:r>
        <w:rPr>
          <w:rFonts w:asciiTheme="minorEastAsia" w:hAnsiTheme="minorEastAsia"/>
          <w:color w:val="auto"/>
          <w:szCs w:val="21"/>
          <w:highlight w:val="none"/>
        </w:rPr>
        <w:t>投标有效期不足的投标将被视为非实质性响应，并予以拒绝。</w:t>
      </w:r>
      <w:bookmarkEnd w:id="66"/>
    </w:p>
    <w:p w14:paraId="1F6E7A97">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特殊情况下，在原投标有效期截止之前，招标</w:t>
      </w:r>
      <w:r>
        <w:rPr>
          <w:rFonts w:hint="eastAsia" w:asciiTheme="minorEastAsia" w:hAnsiTheme="minorEastAsia"/>
          <w:color w:val="auto"/>
          <w:szCs w:val="21"/>
          <w:highlight w:val="none"/>
        </w:rPr>
        <w:t>人</w:t>
      </w:r>
      <w:r>
        <w:rPr>
          <w:rFonts w:asciiTheme="minorEastAsia" w:hAnsiTheme="minorEastAsia"/>
          <w:color w:val="auto"/>
          <w:szCs w:val="21"/>
          <w:highlight w:val="none"/>
        </w:rPr>
        <w:t>可要求投标人延长投标有效期。该要求与答复均应以书面形式提交。投标人可拒绝</w:t>
      </w:r>
      <w:r>
        <w:rPr>
          <w:rFonts w:hint="eastAsia" w:asciiTheme="minorEastAsia" w:hAnsiTheme="minorEastAsia"/>
          <w:color w:val="auto"/>
          <w:szCs w:val="21"/>
          <w:highlight w:val="none"/>
        </w:rPr>
        <w:t>招标人</w:t>
      </w:r>
      <w:r>
        <w:rPr>
          <w:rFonts w:asciiTheme="minorEastAsia" w:hAnsiTheme="minorEastAsia"/>
          <w:color w:val="auto"/>
          <w:szCs w:val="21"/>
          <w:highlight w:val="none"/>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6C61A68E">
      <w:pPr>
        <w:pStyle w:val="4"/>
        <w:spacing w:line="360" w:lineRule="auto"/>
        <w:ind w:firstLine="482"/>
        <w:rPr>
          <w:color w:val="auto"/>
          <w:highlight w:val="none"/>
        </w:rPr>
      </w:pPr>
      <w:bookmarkStart w:id="67" w:name="_Toc28446"/>
      <w:bookmarkStart w:id="68" w:name="_Toc55548512"/>
      <w:r>
        <w:rPr>
          <w:color w:val="auto"/>
          <w:highlight w:val="none"/>
        </w:rPr>
        <w:t>投标文件的式样和签署</w:t>
      </w:r>
      <w:bookmarkEnd w:id="67"/>
      <w:bookmarkEnd w:id="68"/>
    </w:p>
    <w:p w14:paraId="793F7C29">
      <w:pPr>
        <w:spacing w:line="360" w:lineRule="auto"/>
        <w:ind w:firstLine="420" w:firstLineChars="200"/>
        <w:rPr>
          <w:rFonts w:asciiTheme="minorEastAsia" w:hAnsiTheme="minorEastAsia"/>
          <w:color w:val="auto"/>
          <w:szCs w:val="21"/>
          <w:highlight w:val="none"/>
        </w:rPr>
      </w:pPr>
      <w:bookmarkStart w:id="69" w:name="_Ref179620912"/>
      <w:r>
        <w:rPr>
          <w:rFonts w:asciiTheme="minorEastAsia" w:hAnsiTheme="minorEastAsia"/>
          <w:color w:val="auto"/>
          <w:szCs w:val="21"/>
          <w:highlight w:val="none"/>
        </w:rPr>
        <w:t>投标人应准备</w:t>
      </w:r>
      <w:r>
        <w:rPr>
          <w:rFonts w:asciiTheme="minorEastAsia" w:hAnsiTheme="minorEastAsia"/>
          <w:b/>
          <w:color w:val="auto"/>
          <w:szCs w:val="21"/>
          <w:highlight w:val="none"/>
        </w:rPr>
        <w:t>一份</w:t>
      </w:r>
      <w:r>
        <w:rPr>
          <w:rFonts w:asciiTheme="minorEastAsia" w:hAnsiTheme="minorEastAsia"/>
          <w:color w:val="auto"/>
          <w:szCs w:val="21"/>
          <w:highlight w:val="none"/>
        </w:rPr>
        <w:t>投标文件正本和</w:t>
      </w:r>
      <w:r>
        <w:rPr>
          <w:rFonts w:hint="eastAsia" w:asciiTheme="minorEastAsia" w:hAnsiTheme="minorEastAsia"/>
          <w:b/>
          <w:color w:val="auto"/>
          <w:szCs w:val="21"/>
          <w:highlight w:val="none"/>
        </w:rPr>
        <w:t>两份</w:t>
      </w:r>
      <w:r>
        <w:rPr>
          <w:rFonts w:asciiTheme="minorEastAsia" w:hAnsiTheme="minorEastAsia"/>
          <w:color w:val="auto"/>
          <w:szCs w:val="21"/>
          <w:highlight w:val="none"/>
        </w:rPr>
        <w:t>副本，每套投标文件须清楚地标明“正本”或“副本”。若副本与正本不符，以正本为准。</w:t>
      </w:r>
      <w:bookmarkEnd w:id="69"/>
    </w:p>
    <w:p w14:paraId="138B245D">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文件的正本需打印或用不褪色墨水书写，并由法定代表人或经其正式授权的代表签字并加盖单位印章。授权代表须持有书面的《法定代表人授权书》，并将其附在投标文件中。投标文件的副本可采用正本的复印件。</w:t>
      </w:r>
    </w:p>
    <w:p w14:paraId="5BFEB3D0">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任何行间插字、涂改和增删，必须由投标文件签字人用姓或首字母在旁边签字或由投标单位加盖公章才有效。</w:t>
      </w:r>
    </w:p>
    <w:p w14:paraId="55451CF6">
      <w:pPr>
        <w:pStyle w:val="4"/>
        <w:spacing w:line="360" w:lineRule="auto"/>
        <w:ind w:firstLine="482"/>
        <w:rPr>
          <w:color w:val="auto"/>
          <w:highlight w:val="none"/>
        </w:rPr>
      </w:pPr>
      <w:bookmarkStart w:id="70" w:name="_Toc55548513"/>
      <w:bookmarkStart w:id="71" w:name="_Toc9436"/>
      <w:bookmarkStart w:id="72" w:name="_Toc26845"/>
      <w:r>
        <w:rPr>
          <w:color w:val="auto"/>
          <w:highlight w:val="none"/>
        </w:rPr>
        <w:t>四、投标文件的递交</w:t>
      </w:r>
      <w:bookmarkEnd w:id="70"/>
      <w:bookmarkEnd w:id="71"/>
      <w:bookmarkEnd w:id="72"/>
    </w:p>
    <w:p w14:paraId="5774E082">
      <w:pPr>
        <w:pStyle w:val="4"/>
        <w:spacing w:line="360" w:lineRule="auto"/>
        <w:ind w:firstLine="482"/>
        <w:rPr>
          <w:color w:val="auto"/>
          <w:highlight w:val="none"/>
        </w:rPr>
      </w:pPr>
      <w:bookmarkStart w:id="73" w:name="_Toc55548514"/>
      <w:bookmarkStart w:id="74" w:name="_Toc6626"/>
      <w:r>
        <w:rPr>
          <w:color w:val="auto"/>
          <w:highlight w:val="none"/>
        </w:rPr>
        <w:t>投标文件的密封和标记</w:t>
      </w:r>
      <w:bookmarkEnd w:id="73"/>
      <w:bookmarkEnd w:id="74"/>
    </w:p>
    <w:p w14:paraId="39D5BE95">
      <w:pPr>
        <w:spacing w:line="360" w:lineRule="auto"/>
        <w:ind w:firstLine="420" w:firstLineChars="200"/>
        <w:rPr>
          <w:rFonts w:asciiTheme="minorEastAsia" w:hAnsiTheme="minorEastAsia"/>
          <w:color w:val="auto"/>
          <w:szCs w:val="21"/>
          <w:highlight w:val="none"/>
        </w:rPr>
      </w:pPr>
      <w:bookmarkStart w:id="75" w:name="_Ref179620969"/>
      <w:r>
        <w:rPr>
          <w:rFonts w:asciiTheme="minorEastAsia" w:hAnsiTheme="minorEastAsia"/>
          <w:color w:val="auto"/>
          <w:szCs w:val="21"/>
          <w:highlight w:val="none"/>
        </w:rPr>
        <w:t>投标人应将投标文件正本和所有的副本封装在一个信封中</w:t>
      </w:r>
      <w:r>
        <w:rPr>
          <w:rFonts w:hint="eastAsia" w:asciiTheme="minorEastAsia" w:hAnsiTheme="minorEastAsia"/>
          <w:color w:val="auto"/>
          <w:szCs w:val="21"/>
          <w:highlight w:val="none"/>
        </w:rPr>
        <w:t>，</w:t>
      </w:r>
      <w:r>
        <w:rPr>
          <w:rFonts w:asciiTheme="minorEastAsia" w:hAnsiTheme="minorEastAsia"/>
          <w:color w:val="auto"/>
          <w:szCs w:val="21"/>
          <w:highlight w:val="none"/>
        </w:rPr>
        <w:t>信封均应：</w:t>
      </w:r>
      <w:bookmarkEnd w:id="75"/>
      <w:r>
        <w:rPr>
          <w:rFonts w:asciiTheme="minorEastAsia" w:hAnsiTheme="minorEastAsia"/>
          <w:color w:val="auto"/>
          <w:szCs w:val="21"/>
          <w:highlight w:val="none"/>
        </w:rPr>
        <w:t xml:space="preserve"> </w:t>
      </w:r>
    </w:p>
    <w:p w14:paraId="57FD2E6C">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1) 清楚标明递交至</w:t>
      </w:r>
      <w:r>
        <w:rPr>
          <w:rFonts w:hint="eastAsia" w:asciiTheme="minorEastAsia" w:hAnsiTheme="minorEastAsia"/>
          <w:b/>
          <w:color w:val="auto"/>
          <w:szCs w:val="21"/>
          <w:highlight w:val="none"/>
        </w:rPr>
        <w:t>招标公告</w:t>
      </w:r>
      <w:r>
        <w:rPr>
          <w:rFonts w:asciiTheme="minorEastAsia" w:hAnsiTheme="minorEastAsia"/>
          <w:color w:val="auto"/>
          <w:szCs w:val="21"/>
          <w:highlight w:val="none"/>
        </w:rPr>
        <w:t>指明的地址。</w:t>
      </w:r>
    </w:p>
    <w:p w14:paraId="26EACC56">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2) 清楚标明</w:t>
      </w:r>
      <w:r>
        <w:rPr>
          <w:rFonts w:hint="eastAsia" w:asciiTheme="minorEastAsia" w:hAnsiTheme="minorEastAsia"/>
          <w:b/>
          <w:color w:val="auto"/>
          <w:szCs w:val="21"/>
          <w:highlight w:val="none"/>
        </w:rPr>
        <w:t>招标公告</w:t>
      </w:r>
      <w:r>
        <w:rPr>
          <w:rFonts w:asciiTheme="minorEastAsia" w:hAnsiTheme="minorEastAsia"/>
          <w:color w:val="auto"/>
          <w:szCs w:val="21"/>
          <w:highlight w:val="none"/>
        </w:rPr>
        <w:t>中指明的项目名称、包号（如果分包的话）、招标编号和“在</w:t>
      </w:r>
      <w:r>
        <w:rPr>
          <w:rFonts w:asciiTheme="minorEastAsia" w:hAnsiTheme="minorEastAsia"/>
          <w:i/>
          <w:color w:val="auto"/>
          <w:szCs w:val="21"/>
          <w:highlight w:val="none"/>
          <w:u w:val="single"/>
        </w:rPr>
        <w:t>(开标日期、时间)</w:t>
      </w:r>
      <w:r>
        <w:rPr>
          <w:rFonts w:asciiTheme="minorEastAsia" w:hAnsiTheme="minorEastAsia"/>
          <w:color w:val="auto"/>
          <w:szCs w:val="21"/>
          <w:highlight w:val="none"/>
        </w:rPr>
        <w:t>之前不得启封”的字样，并填入</w:t>
      </w:r>
      <w:r>
        <w:rPr>
          <w:rFonts w:hint="eastAsia" w:asciiTheme="minorEastAsia" w:hAnsiTheme="minorEastAsia"/>
          <w:b/>
          <w:color w:val="auto"/>
          <w:szCs w:val="21"/>
          <w:highlight w:val="none"/>
        </w:rPr>
        <w:t>招标公告</w:t>
      </w:r>
      <w:r>
        <w:rPr>
          <w:rFonts w:asciiTheme="minorEastAsia" w:hAnsiTheme="minorEastAsia"/>
          <w:color w:val="auto"/>
          <w:szCs w:val="21"/>
          <w:highlight w:val="none"/>
        </w:rPr>
        <w:t>中规定的开标日期和时间。</w:t>
      </w:r>
    </w:p>
    <w:p w14:paraId="18ADD6B0">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3) 清楚标明投标单位名称并在信封的封装处加盖投标人公章。</w:t>
      </w:r>
    </w:p>
    <w:p w14:paraId="6011D070">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内层信封应写明投标人名称和地址，以便将迟交的投标文件能原封退回。</w:t>
      </w:r>
    </w:p>
    <w:p w14:paraId="267642DD">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如果投标人未按本须知要求加写标记和密封，招标</w:t>
      </w:r>
      <w:r>
        <w:rPr>
          <w:rFonts w:hint="eastAsia" w:asciiTheme="minorEastAsia" w:hAnsiTheme="minorEastAsia"/>
          <w:color w:val="auto"/>
          <w:szCs w:val="21"/>
          <w:highlight w:val="none"/>
        </w:rPr>
        <w:t>人</w:t>
      </w:r>
      <w:r>
        <w:rPr>
          <w:rFonts w:asciiTheme="minorEastAsia" w:hAnsiTheme="minorEastAsia"/>
          <w:color w:val="auto"/>
          <w:szCs w:val="21"/>
          <w:highlight w:val="none"/>
        </w:rPr>
        <w:t>对投标文件的误投或提前启封概不负责。</w:t>
      </w:r>
    </w:p>
    <w:p w14:paraId="21EFDA86">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投标人同时参加几个包投标时必须按招标文件要求按包号分别制作投标文件，分别密封递交。</w:t>
      </w:r>
    </w:p>
    <w:p w14:paraId="099F100A">
      <w:pPr>
        <w:pStyle w:val="4"/>
        <w:spacing w:line="360" w:lineRule="auto"/>
        <w:ind w:firstLine="482"/>
        <w:rPr>
          <w:color w:val="auto"/>
          <w:highlight w:val="none"/>
        </w:rPr>
      </w:pPr>
      <w:bookmarkStart w:id="76" w:name="_Toc8701"/>
      <w:bookmarkStart w:id="77" w:name="_Toc55548515"/>
      <w:r>
        <w:rPr>
          <w:color w:val="auto"/>
          <w:highlight w:val="none"/>
        </w:rPr>
        <w:t>投标样品</w:t>
      </w:r>
      <w:bookmarkEnd w:id="76"/>
      <w:bookmarkEnd w:id="77"/>
    </w:p>
    <w:p w14:paraId="3636FC71">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如有必要，招标</w:t>
      </w:r>
      <w:r>
        <w:rPr>
          <w:rFonts w:hint="eastAsia" w:asciiTheme="minorEastAsia" w:hAnsiTheme="minorEastAsia"/>
          <w:color w:val="auto"/>
          <w:szCs w:val="21"/>
          <w:highlight w:val="none"/>
        </w:rPr>
        <w:t>人</w:t>
      </w:r>
      <w:r>
        <w:rPr>
          <w:rFonts w:asciiTheme="minorEastAsia" w:hAnsiTheme="minorEastAsia"/>
          <w:color w:val="auto"/>
          <w:szCs w:val="21"/>
          <w:highlight w:val="none"/>
        </w:rPr>
        <w:t>可以要求投标人提供能反映货物材质或关键部分的极少部分的尺寸、价值不大的样品，投标人在投标时应提交《样品清单》。</w:t>
      </w:r>
    </w:p>
    <w:p w14:paraId="767F465A">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为方便评标，投标人在提供样品时，应使用透明的外包装或尽量少用外包装，但必须在所提供的样品表面显著位置标注投标人的名称、包号、样品名称、招标文件规定的货物编号。</w:t>
      </w:r>
    </w:p>
    <w:p w14:paraId="0BBAD998">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样品作为投标文件的一部分，除非另有说明，中标单位的样品不再退还，未中标单位须在中标公告发布后五个工作日内，前往</w:t>
      </w:r>
      <w:r>
        <w:rPr>
          <w:rFonts w:hint="eastAsia" w:asciiTheme="minorEastAsia" w:hAnsiTheme="minorEastAsia"/>
          <w:color w:val="auto"/>
          <w:szCs w:val="21"/>
          <w:highlight w:val="none"/>
        </w:rPr>
        <w:t>本中心</w:t>
      </w:r>
      <w:r>
        <w:rPr>
          <w:rFonts w:asciiTheme="minorEastAsia" w:hAnsiTheme="minorEastAsia"/>
          <w:color w:val="auto"/>
          <w:szCs w:val="21"/>
          <w:highlight w:val="none"/>
        </w:rPr>
        <w:t>领取投标样品，逾期不领，</w:t>
      </w:r>
      <w:r>
        <w:rPr>
          <w:rFonts w:hint="eastAsia" w:asciiTheme="minorEastAsia" w:hAnsiTheme="minorEastAsia"/>
          <w:color w:val="auto"/>
          <w:szCs w:val="21"/>
          <w:highlight w:val="none"/>
        </w:rPr>
        <w:t>本中心</w:t>
      </w:r>
      <w:r>
        <w:rPr>
          <w:rFonts w:asciiTheme="minorEastAsia" w:hAnsiTheme="minorEastAsia"/>
          <w:color w:val="auto"/>
          <w:szCs w:val="21"/>
          <w:highlight w:val="none"/>
        </w:rPr>
        <w:t>将不承担样品的保管责任，由此引发的样品丢失、毁损，招标</w:t>
      </w:r>
      <w:r>
        <w:rPr>
          <w:rFonts w:hint="eastAsia" w:asciiTheme="minorEastAsia" w:hAnsiTheme="minorEastAsia"/>
          <w:color w:val="auto"/>
          <w:szCs w:val="21"/>
          <w:highlight w:val="none"/>
        </w:rPr>
        <w:t>人</w:t>
      </w:r>
      <w:r>
        <w:rPr>
          <w:rFonts w:asciiTheme="minorEastAsia" w:hAnsiTheme="minorEastAsia"/>
          <w:color w:val="auto"/>
          <w:szCs w:val="21"/>
          <w:highlight w:val="none"/>
        </w:rPr>
        <w:t>不予负责。</w:t>
      </w:r>
    </w:p>
    <w:p w14:paraId="1A3A491A">
      <w:pPr>
        <w:pStyle w:val="4"/>
        <w:spacing w:line="360" w:lineRule="auto"/>
        <w:ind w:firstLine="482"/>
        <w:rPr>
          <w:color w:val="auto"/>
          <w:highlight w:val="none"/>
        </w:rPr>
      </w:pPr>
      <w:bookmarkStart w:id="78" w:name="_Toc55548516"/>
      <w:bookmarkStart w:id="79" w:name="_Ref179619638"/>
      <w:bookmarkStart w:id="80" w:name="_Toc5724"/>
      <w:r>
        <w:rPr>
          <w:color w:val="auto"/>
          <w:highlight w:val="none"/>
        </w:rPr>
        <w:t>投标截止期</w:t>
      </w:r>
      <w:bookmarkEnd w:id="78"/>
      <w:bookmarkEnd w:id="79"/>
      <w:bookmarkEnd w:id="80"/>
    </w:p>
    <w:p w14:paraId="49133CB7">
      <w:pPr>
        <w:spacing w:line="360" w:lineRule="auto"/>
        <w:ind w:firstLine="420" w:firstLineChars="200"/>
        <w:rPr>
          <w:rFonts w:asciiTheme="minorEastAsia" w:hAnsiTheme="minorEastAsia"/>
          <w:color w:val="auto"/>
          <w:szCs w:val="21"/>
          <w:highlight w:val="none"/>
        </w:rPr>
      </w:pPr>
      <w:bookmarkStart w:id="81" w:name="_Ref179621022"/>
      <w:r>
        <w:rPr>
          <w:rFonts w:asciiTheme="minorEastAsia" w:hAnsiTheme="minorEastAsia"/>
          <w:color w:val="auto"/>
          <w:szCs w:val="21"/>
          <w:highlight w:val="none"/>
        </w:rPr>
        <w:t>投标人应在不迟于</w:t>
      </w:r>
      <w:r>
        <w:rPr>
          <w:rFonts w:hint="eastAsia" w:asciiTheme="minorEastAsia" w:hAnsiTheme="minorEastAsia"/>
          <w:b/>
          <w:color w:val="auto"/>
          <w:szCs w:val="21"/>
          <w:highlight w:val="none"/>
        </w:rPr>
        <w:t>招标公告</w:t>
      </w:r>
      <w:r>
        <w:rPr>
          <w:rFonts w:asciiTheme="minorEastAsia" w:hAnsiTheme="minorEastAsia"/>
          <w:color w:val="auto"/>
          <w:szCs w:val="21"/>
          <w:highlight w:val="none"/>
        </w:rPr>
        <w:t>中规定的截止日期和时间将投标文件递交至</w:t>
      </w:r>
      <w:r>
        <w:rPr>
          <w:rFonts w:hint="eastAsia" w:asciiTheme="minorEastAsia" w:hAnsiTheme="minorEastAsia"/>
          <w:color w:val="auto"/>
          <w:szCs w:val="21"/>
          <w:highlight w:val="none"/>
        </w:rPr>
        <w:t>本中心</w:t>
      </w:r>
      <w:r>
        <w:rPr>
          <w:rFonts w:asciiTheme="minorEastAsia" w:hAnsiTheme="minorEastAsia"/>
          <w:color w:val="auto"/>
          <w:szCs w:val="21"/>
          <w:highlight w:val="none"/>
        </w:rPr>
        <w:t>，递交地点应是</w:t>
      </w:r>
      <w:r>
        <w:rPr>
          <w:rFonts w:hint="eastAsia" w:asciiTheme="minorEastAsia" w:hAnsiTheme="minorEastAsia"/>
          <w:b/>
          <w:color w:val="auto"/>
          <w:szCs w:val="21"/>
          <w:highlight w:val="none"/>
        </w:rPr>
        <w:t>招标公告</w:t>
      </w:r>
      <w:r>
        <w:rPr>
          <w:rFonts w:asciiTheme="minorEastAsia" w:hAnsiTheme="minorEastAsia"/>
          <w:color w:val="auto"/>
          <w:szCs w:val="21"/>
          <w:highlight w:val="none"/>
        </w:rPr>
        <w:t>中指明的地址。</w:t>
      </w:r>
      <w:bookmarkEnd w:id="81"/>
    </w:p>
    <w:p w14:paraId="020D2342">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本中心</w:t>
      </w:r>
      <w:r>
        <w:rPr>
          <w:rFonts w:asciiTheme="minorEastAsia" w:hAnsiTheme="minorEastAsia"/>
          <w:color w:val="auto"/>
          <w:szCs w:val="21"/>
          <w:highlight w:val="none"/>
        </w:rPr>
        <w:t xml:space="preserve">可以通过修改招标文件自行决定酌情推迟投标截止期。在此情况下，招标人和投标人受投标截止期制约的所有权利和义务均应延长至新的截止期。 </w:t>
      </w:r>
    </w:p>
    <w:p w14:paraId="4D0E483C">
      <w:pPr>
        <w:pStyle w:val="4"/>
        <w:spacing w:line="360" w:lineRule="auto"/>
        <w:ind w:firstLine="482"/>
        <w:rPr>
          <w:color w:val="auto"/>
          <w:highlight w:val="none"/>
        </w:rPr>
      </w:pPr>
      <w:bookmarkStart w:id="82" w:name="_Toc55548517"/>
      <w:bookmarkStart w:id="83" w:name="_Toc3231"/>
      <w:bookmarkStart w:id="84" w:name="_Ref179619679"/>
      <w:r>
        <w:rPr>
          <w:color w:val="auto"/>
          <w:highlight w:val="none"/>
        </w:rPr>
        <w:t>迟交的投标文件</w:t>
      </w:r>
      <w:bookmarkEnd w:id="82"/>
      <w:bookmarkEnd w:id="83"/>
      <w:bookmarkEnd w:id="84"/>
    </w:p>
    <w:p w14:paraId="37F5F48D">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本中心</w:t>
      </w:r>
      <w:r>
        <w:rPr>
          <w:rFonts w:asciiTheme="minorEastAsia" w:hAnsiTheme="minorEastAsia"/>
          <w:color w:val="auto"/>
          <w:szCs w:val="21"/>
          <w:highlight w:val="none"/>
        </w:rPr>
        <w:t>将拒绝并原封退回在</w:t>
      </w:r>
      <w:r>
        <w:rPr>
          <w:rFonts w:hint="eastAsia" w:asciiTheme="minorEastAsia" w:hAnsiTheme="minorEastAsia"/>
          <w:color w:val="auto"/>
          <w:szCs w:val="21"/>
          <w:highlight w:val="none"/>
        </w:rPr>
        <w:t>招标公告</w:t>
      </w:r>
      <w:r>
        <w:rPr>
          <w:rFonts w:asciiTheme="minorEastAsia" w:hAnsiTheme="minorEastAsia"/>
          <w:color w:val="auto"/>
          <w:szCs w:val="21"/>
          <w:highlight w:val="none"/>
        </w:rPr>
        <w:t>的截止期后收到的任何投标文件。</w:t>
      </w:r>
    </w:p>
    <w:p w14:paraId="71B38C07">
      <w:pPr>
        <w:pStyle w:val="4"/>
        <w:spacing w:line="360" w:lineRule="auto"/>
        <w:ind w:firstLine="482"/>
        <w:rPr>
          <w:color w:val="auto"/>
          <w:highlight w:val="none"/>
        </w:rPr>
      </w:pPr>
      <w:bookmarkStart w:id="85" w:name="_Toc865"/>
      <w:bookmarkStart w:id="86" w:name="_Ref179619013"/>
      <w:bookmarkStart w:id="87" w:name="_Toc55548518"/>
      <w:r>
        <w:rPr>
          <w:color w:val="auto"/>
          <w:highlight w:val="none"/>
        </w:rPr>
        <w:t>投标文件的修改与撤回</w:t>
      </w:r>
      <w:bookmarkEnd w:id="85"/>
      <w:bookmarkEnd w:id="86"/>
      <w:bookmarkEnd w:id="87"/>
    </w:p>
    <w:p w14:paraId="100FDB56">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投标人在递交投标文件后，可以修改或撤回其投标，但投标人必须在规定的投标截止期之前将修改或撤回的书面通知递交到</w:t>
      </w:r>
      <w:r>
        <w:rPr>
          <w:rFonts w:hint="eastAsia" w:asciiTheme="minorEastAsia" w:hAnsiTheme="minorEastAsia"/>
          <w:color w:val="auto"/>
          <w:szCs w:val="21"/>
          <w:highlight w:val="none"/>
        </w:rPr>
        <w:t>本中心</w:t>
      </w:r>
      <w:r>
        <w:rPr>
          <w:rFonts w:asciiTheme="minorEastAsia" w:hAnsiTheme="minorEastAsia"/>
          <w:color w:val="auto"/>
          <w:szCs w:val="21"/>
          <w:highlight w:val="none"/>
        </w:rPr>
        <w:t>。</w:t>
      </w:r>
    </w:p>
    <w:p w14:paraId="4B5E3035">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投标人的修改或撤回通知应按本须知规定编制、密封、标记和递交。</w:t>
      </w:r>
    </w:p>
    <w:p w14:paraId="776C4368">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在投标截止期之后，投标人不得对其投标做任何修改。</w:t>
      </w:r>
    </w:p>
    <w:p w14:paraId="0F62EB0A">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从投标截止期至投标人在投标书中确定的投标有效期期满的这段时间内，投标人不得撤回其投标，否则其投标保证金将按照本须知的规定被没收。</w:t>
      </w:r>
    </w:p>
    <w:p w14:paraId="60DF94A8">
      <w:pPr>
        <w:pStyle w:val="4"/>
        <w:spacing w:line="360" w:lineRule="auto"/>
        <w:ind w:firstLine="482"/>
        <w:rPr>
          <w:color w:val="auto"/>
          <w:highlight w:val="none"/>
        </w:rPr>
      </w:pPr>
      <w:bookmarkStart w:id="88" w:name="_Toc55548519"/>
      <w:bookmarkStart w:id="89" w:name="_Toc22375"/>
      <w:r>
        <w:rPr>
          <w:color w:val="auto"/>
          <w:highlight w:val="none"/>
        </w:rPr>
        <w:t>投标文件的退还</w:t>
      </w:r>
      <w:bookmarkEnd w:id="88"/>
      <w:bookmarkEnd w:id="89"/>
    </w:p>
    <w:p w14:paraId="7C56C971">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除非招标文件另有规定或说明，投标文件一律不予退还。</w:t>
      </w:r>
    </w:p>
    <w:p w14:paraId="287B0124">
      <w:pPr>
        <w:pStyle w:val="5"/>
        <w:ind w:firstLine="482"/>
        <w:rPr>
          <w:color w:val="auto"/>
          <w:highlight w:val="none"/>
        </w:rPr>
      </w:pPr>
      <w:bookmarkStart w:id="90" w:name="_Toc55548520"/>
      <w:bookmarkStart w:id="91" w:name="_Toc27271"/>
      <w:bookmarkStart w:id="92" w:name="_Toc9126"/>
      <w:r>
        <w:rPr>
          <w:color w:val="auto"/>
          <w:highlight w:val="none"/>
        </w:rPr>
        <w:t>五、开标与评标</w:t>
      </w:r>
      <w:bookmarkEnd w:id="90"/>
      <w:bookmarkEnd w:id="91"/>
      <w:bookmarkEnd w:id="92"/>
    </w:p>
    <w:p w14:paraId="11E79D1E">
      <w:pPr>
        <w:pStyle w:val="4"/>
        <w:spacing w:line="360" w:lineRule="auto"/>
        <w:ind w:firstLine="482"/>
        <w:rPr>
          <w:color w:val="auto"/>
          <w:highlight w:val="none"/>
        </w:rPr>
      </w:pPr>
      <w:bookmarkStart w:id="93" w:name="_Toc21095"/>
      <w:bookmarkStart w:id="94" w:name="_Toc55548521"/>
      <w:r>
        <w:rPr>
          <w:color w:val="auto"/>
          <w:highlight w:val="none"/>
        </w:rPr>
        <w:t>开标</w:t>
      </w:r>
      <w:bookmarkEnd w:id="93"/>
      <w:bookmarkEnd w:id="94"/>
    </w:p>
    <w:p w14:paraId="7D8355F8">
      <w:pPr>
        <w:spacing w:line="360" w:lineRule="auto"/>
        <w:ind w:firstLine="420" w:firstLineChars="200"/>
        <w:rPr>
          <w:rFonts w:asciiTheme="minorEastAsia" w:hAnsiTheme="minorEastAsia"/>
          <w:color w:val="auto"/>
          <w:szCs w:val="21"/>
          <w:highlight w:val="none"/>
        </w:rPr>
      </w:pPr>
      <w:bookmarkStart w:id="95" w:name="_Ref179621054"/>
      <w:r>
        <w:rPr>
          <w:rFonts w:hint="eastAsia" w:asciiTheme="minorEastAsia" w:hAnsiTheme="minorEastAsia"/>
          <w:color w:val="auto"/>
          <w:szCs w:val="21"/>
          <w:highlight w:val="none"/>
        </w:rPr>
        <w:t>本中心</w:t>
      </w:r>
      <w:r>
        <w:rPr>
          <w:rFonts w:asciiTheme="minorEastAsia" w:hAnsiTheme="minorEastAsia"/>
          <w:color w:val="auto"/>
          <w:szCs w:val="21"/>
          <w:highlight w:val="none"/>
        </w:rPr>
        <w:t>在</w:t>
      </w:r>
      <w:r>
        <w:rPr>
          <w:rFonts w:hint="eastAsia" w:asciiTheme="minorEastAsia" w:hAnsiTheme="minorEastAsia"/>
          <w:b/>
          <w:color w:val="auto"/>
          <w:szCs w:val="21"/>
          <w:highlight w:val="none"/>
        </w:rPr>
        <w:t>招标公告</w:t>
      </w:r>
      <w:r>
        <w:rPr>
          <w:rFonts w:asciiTheme="minorEastAsia" w:hAnsiTheme="minorEastAsia"/>
          <w:color w:val="auto"/>
          <w:szCs w:val="21"/>
          <w:highlight w:val="none"/>
        </w:rPr>
        <w:t>中规定的日期、时间和地点组织公开开标。投标人代表均须按时参加开标会。参加开标的投标人代表应签名报到以证明其出席。</w:t>
      </w:r>
      <w:bookmarkEnd w:id="95"/>
    </w:p>
    <w:p w14:paraId="328615A3">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开标时，招标</w:t>
      </w:r>
      <w:r>
        <w:rPr>
          <w:rFonts w:hint="eastAsia" w:asciiTheme="minorEastAsia" w:hAnsiTheme="minorEastAsia"/>
          <w:color w:val="auto"/>
          <w:szCs w:val="21"/>
          <w:highlight w:val="none"/>
        </w:rPr>
        <w:t>人</w:t>
      </w:r>
      <w:r>
        <w:rPr>
          <w:rFonts w:asciiTheme="minorEastAsia" w:hAnsiTheme="minorEastAsia"/>
          <w:color w:val="auto"/>
          <w:szCs w:val="21"/>
          <w:highlight w:val="none"/>
        </w:rPr>
        <w:t>当众宣读投标人名称、修改和撤回投标的通知、投标价格、是否提交了投标保证金，以及招标</w:t>
      </w:r>
      <w:r>
        <w:rPr>
          <w:rFonts w:hint="eastAsia" w:asciiTheme="minorEastAsia" w:hAnsiTheme="minorEastAsia"/>
          <w:color w:val="auto"/>
          <w:szCs w:val="21"/>
          <w:highlight w:val="none"/>
        </w:rPr>
        <w:t>人</w:t>
      </w:r>
      <w:r>
        <w:rPr>
          <w:rFonts w:asciiTheme="minorEastAsia" w:hAnsiTheme="minorEastAsia"/>
          <w:color w:val="auto"/>
          <w:szCs w:val="21"/>
          <w:highlight w:val="none"/>
        </w:rPr>
        <w:t>认为合适的其他内容。除了按照本须知的规定原封退回迟到的投标之外，开标时将不得拒绝任何已购买招标文件的投标人的投标。</w:t>
      </w:r>
    </w:p>
    <w:p w14:paraId="5CF8E282">
      <w:pPr>
        <w:pStyle w:val="4"/>
        <w:spacing w:line="360" w:lineRule="auto"/>
        <w:ind w:firstLine="482"/>
        <w:rPr>
          <w:color w:val="auto"/>
          <w:highlight w:val="none"/>
        </w:rPr>
      </w:pPr>
      <w:bookmarkStart w:id="96" w:name="_Toc1622"/>
      <w:bookmarkStart w:id="97" w:name="_Toc55548522"/>
      <w:r>
        <w:rPr>
          <w:color w:val="auto"/>
          <w:highlight w:val="none"/>
        </w:rPr>
        <w:t>资格核查</w:t>
      </w:r>
      <w:bookmarkEnd w:id="96"/>
      <w:bookmarkEnd w:id="97"/>
    </w:p>
    <w:p w14:paraId="53167C54">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开标后，招标</w:t>
      </w:r>
      <w:r>
        <w:rPr>
          <w:rFonts w:hint="eastAsia" w:asciiTheme="minorEastAsia" w:hAnsiTheme="minorEastAsia"/>
          <w:color w:val="auto"/>
          <w:szCs w:val="21"/>
          <w:highlight w:val="none"/>
        </w:rPr>
        <w:t>人</w:t>
      </w:r>
      <w:r>
        <w:rPr>
          <w:rFonts w:asciiTheme="minorEastAsia" w:hAnsiTheme="minorEastAsia"/>
          <w:color w:val="auto"/>
          <w:szCs w:val="21"/>
          <w:highlight w:val="none"/>
        </w:rPr>
        <w:t>就投标文件中的资格证明等内容对投标供应商进行资格核查，核查不合格的，认定其投标无效。核查合格的投标文件提交评标委员会进行评审。</w:t>
      </w:r>
    </w:p>
    <w:p w14:paraId="20AC79F6">
      <w:pPr>
        <w:spacing w:line="360" w:lineRule="auto"/>
        <w:ind w:firstLine="422" w:firstLineChars="200"/>
        <w:rPr>
          <w:rFonts w:asciiTheme="minorEastAsia" w:hAnsiTheme="minorEastAsia"/>
          <w:b/>
          <w:color w:val="auto"/>
          <w:szCs w:val="21"/>
          <w:highlight w:val="none"/>
        </w:rPr>
      </w:pPr>
      <w:r>
        <w:rPr>
          <w:rFonts w:asciiTheme="minorEastAsia" w:hAnsiTheme="minorEastAsia"/>
          <w:b/>
          <w:color w:val="auto"/>
          <w:szCs w:val="21"/>
          <w:highlight w:val="none"/>
        </w:rPr>
        <w:t>1) 资格瑕疵</w:t>
      </w:r>
    </w:p>
    <w:p w14:paraId="13CF84DF">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包括但不限于：</w:t>
      </w:r>
      <w:r>
        <w:rPr>
          <w:rFonts w:hint="eastAsia" w:cs="宋体" w:asciiTheme="minorEastAsia" w:hAnsiTheme="minorEastAsia"/>
          <w:color w:val="auto"/>
          <w:szCs w:val="21"/>
          <w:highlight w:val="none"/>
        </w:rPr>
        <w:t>①</w:t>
      </w:r>
      <w:r>
        <w:rPr>
          <w:rFonts w:asciiTheme="minorEastAsia" w:hAnsiTheme="minorEastAsia"/>
          <w:color w:val="auto"/>
          <w:szCs w:val="21"/>
          <w:highlight w:val="none"/>
        </w:rPr>
        <w:t>资格证明文件未提供或不符合招标文件要求的；</w:t>
      </w:r>
      <w:r>
        <w:rPr>
          <w:rFonts w:hint="eastAsia" w:cs="宋体" w:asciiTheme="minorEastAsia" w:hAnsiTheme="minorEastAsia"/>
          <w:color w:val="auto"/>
          <w:szCs w:val="21"/>
          <w:highlight w:val="none"/>
        </w:rPr>
        <w:t>②</w:t>
      </w:r>
      <w:r>
        <w:rPr>
          <w:rFonts w:asciiTheme="minorEastAsia" w:hAnsiTheme="minorEastAsia"/>
          <w:color w:val="auto"/>
          <w:szCs w:val="21"/>
          <w:highlight w:val="none"/>
        </w:rPr>
        <w:t>投标人及其制造商与招标人有利害关系的。</w:t>
      </w:r>
    </w:p>
    <w:p w14:paraId="1B2922D3">
      <w:pPr>
        <w:pStyle w:val="4"/>
        <w:spacing w:line="360" w:lineRule="auto"/>
        <w:ind w:firstLine="482"/>
        <w:rPr>
          <w:color w:val="auto"/>
          <w:highlight w:val="none"/>
        </w:rPr>
      </w:pPr>
      <w:bookmarkStart w:id="98" w:name="_Toc55548523"/>
      <w:bookmarkStart w:id="99" w:name="_Toc31201"/>
      <w:r>
        <w:rPr>
          <w:color w:val="auto"/>
          <w:highlight w:val="none"/>
        </w:rPr>
        <w:t>评标委员会和评标方法</w:t>
      </w:r>
      <w:bookmarkEnd w:id="98"/>
      <w:bookmarkEnd w:id="99"/>
    </w:p>
    <w:p w14:paraId="1429BAE4">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评标委员会根据招标项目的特点进行组建，并负责评标工作。评标委员会由招标人代表和有关技术、经济等方面的专家组成，成员人数为五人或五人以上单数。其中技术、经济等方面的专家不少于成员总数的三分之二。</w:t>
      </w:r>
    </w:p>
    <w:p w14:paraId="1FF3862F">
      <w:pPr>
        <w:spacing w:line="360" w:lineRule="auto"/>
        <w:ind w:firstLine="420" w:firstLineChars="200"/>
        <w:rPr>
          <w:rFonts w:asciiTheme="minorEastAsia" w:hAnsiTheme="minorEastAsia"/>
          <w:color w:val="auto"/>
          <w:szCs w:val="21"/>
          <w:highlight w:val="none"/>
        </w:rPr>
      </w:pPr>
      <w:bookmarkStart w:id="100" w:name="_Ref179621079"/>
      <w:r>
        <w:rPr>
          <w:rFonts w:asciiTheme="minorEastAsia" w:hAnsiTheme="minorEastAsia"/>
          <w:color w:val="auto"/>
          <w:szCs w:val="21"/>
          <w:highlight w:val="none"/>
        </w:rPr>
        <w:t>依照有关规定，货物或服务招标采购的评标方法分为最低评标价法、综合评分法和性价比法三种基本方法。评标委员会将按照</w:t>
      </w:r>
      <w:r>
        <w:rPr>
          <w:rFonts w:hint="eastAsia" w:asciiTheme="minorEastAsia" w:hAnsiTheme="minorEastAsia"/>
          <w:b/>
          <w:color w:val="auto"/>
          <w:szCs w:val="21"/>
          <w:highlight w:val="none"/>
        </w:rPr>
        <w:t>招标公告</w:t>
      </w:r>
      <w:r>
        <w:rPr>
          <w:rFonts w:asciiTheme="minorEastAsia" w:hAnsiTheme="minorEastAsia"/>
          <w:color w:val="auto"/>
          <w:szCs w:val="21"/>
          <w:highlight w:val="none"/>
        </w:rPr>
        <w:t>中所确定的评标方法进行评审。</w:t>
      </w:r>
      <w:bookmarkEnd w:id="100"/>
    </w:p>
    <w:p w14:paraId="5C6F8C3E">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评标委员会对投标文件的评审内容，分为商务评议、技术评议和价格评议/综合评议。评审流程包括资格性检查、符合性检查、澄清问题、比较与评价、推荐中标候选人或确定中标人、编写评标报告等步骤。</w:t>
      </w:r>
    </w:p>
    <w:p w14:paraId="3E641831">
      <w:pPr>
        <w:spacing w:line="360" w:lineRule="auto"/>
        <w:ind w:firstLine="420" w:firstLineChars="200"/>
        <w:rPr>
          <w:rFonts w:asciiTheme="minorEastAsia" w:hAnsiTheme="minorEastAsia"/>
          <w:color w:val="auto"/>
          <w:szCs w:val="21"/>
          <w:highlight w:val="none"/>
        </w:rPr>
      </w:pPr>
      <w:bookmarkStart w:id="101" w:name="_Ref179619857"/>
      <w:r>
        <w:rPr>
          <w:rFonts w:asciiTheme="minorEastAsia" w:hAnsiTheme="minorEastAsia"/>
          <w:color w:val="auto"/>
          <w:szCs w:val="21"/>
          <w:highlight w:val="none"/>
        </w:rPr>
        <w:t>在评标期间，评标委员会可要求投标人对其投标文件进行澄清，但不得寻求、提供或允许对投标价格等实质性内容做任何更改。有关澄清的要求和答复均应以书面形式提交。</w:t>
      </w:r>
      <w:bookmarkEnd w:id="101"/>
    </w:p>
    <w:p w14:paraId="2100D855">
      <w:pPr>
        <w:spacing w:line="360" w:lineRule="auto"/>
        <w:ind w:firstLine="420" w:firstLineChars="200"/>
        <w:rPr>
          <w:rFonts w:asciiTheme="minorEastAsia" w:hAnsiTheme="minorEastAsia"/>
          <w:color w:val="auto"/>
          <w:szCs w:val="21"/>
          <w:highlight w:val="none"/>
        </w:rPr>
      </w:pPr>
      <w:bookmarkStart w:id="102" w:name="_Toc16749"/>
      <w:bookmarkStart w:id="103" w:name="_Toc27507"/>
      <w:bookmarkStart w:id="104" w:name="_Toc10952"/>
      <w:bookmarkStart w:id="105" w:name="_Toc3712"/>
      <w:r>
        <w:rPr>
          <w:rFonts w:hint="eastAsia" w:asciiTheme="minorEastAsia" w:hAnsiTheme="minorEastAsia"/>
          <w:color w:val="auto"/>
          <w:szCs w:val="21"/>
          <w:highlight w:val="none"/>
        </w:rPr>
        <w:t>不同投标人提供相同品牌产品</w:t>
      </w:r>
      <w:bookmarkEnd w:id="102"/>
      <w:bookmarkEnd w:id="103"/>
      <w:bookmarkEnd w:id="104"/>
      <w:bookmarkEnd w:id="105"/>
    </w:p>
    <w:p w14:paraId="38780820">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采用最低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FDC85E5">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A098CF6">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非单一产品采购项目，采购人应当根据采购项目技术构成、产品价格比重等合理确定核心产品，多家投标人提供的核心产品品牌完全相同的，按本条规定处理。</w:t>
      </w:r>
    </w:p>
    <w:p w14:paraId="5B71B36D">
      <w:pPr>
        <w:pStyle w:val="4"/>
        <w:spacing w:line="360" w:lineRule="auto"/>
        <w:ind w:firstLine="482"/>
        <w:rPr>
          <w:color w:val="auto"/>
          <w:highlight w:val="none"/>
        </w:rPr>
      </w:pPr>
      <w:bookmarkStart w:id="106" w:name="_Toc55548524"/>
      <w:bookmarkStart w:id="107" w:name="_Toc21426"/>
      <w:r>
        <w:rPr>
          <w:rFonts w:hint="eastAsia"/>
          <w:color w:val="auto"/>
          <w:highlight w:val="none"/>
        </w:rPr>
        <w:t>投标文件的初审</w:t>
      </w:r>
      <w:bookmarkEnd w:id="106"/>
      <w:bookmarkEnd w:id="107"/>
    </w:p>
    <w:p w14:paraId="33FD3264">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评标委员会将审查投标文件是否完整、总体编排是否有序、文件签署是否合格等。</w:t>
      </w:r>
    </w:p>
    <w:p w14:paraId="1382FF59">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算术错误将按以下方法更正：若开标一览表中单价和总价相矛盾，以投标单价为准修改总价；若开标一览表内容与投标文件中明细表内容不相符的，以开标一览表为准；若用文字表示的数值与用数字表示的数值不一致，以文字表示的数值为准。如果投标人不接受对其错误的更正，其投标将被拒绝。</w:t>
      </w:r>
    </w:p>
    <w:p w14:paraId="238AA4B8">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color w:val="auto"/>
          <w:szCs w:val="21"/>
          <w:highlight w:val="none"/>
        </w:rPr>
        <w:t>投标无效</w:t>
      </w:r>
      <w:r>
        <w:rPr>
          <w:rFonts w:asciiTheme="minorEastAsia" w:hAnsiTheme="minorEastAsia"/>
          <w:color w:val="auto"/>
          <w:szCs w:val="21"/>
          <w:highlight w:val="none"/>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14:paraId="18DDE0D7">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对于投标文件中不构成实质性偏差的不正规、不一致或不规则，评标委员会可以接受，但这种接受不能损害或影响任何投标人的相对排序。</w:t>
      </w:r>
    </w:p>
    <w:p w14:paraId="13076236">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在详细评审之前，评标委员将会审查每份投标文件是否实质上响应了招标文件的要求。实质上响应的投标是与招标文件要求的关键条款、条件和规格相符，没有重大偏离的投标。例如关于投标保证金、投标人资格要求、关键技术指标要求、投标报价要求和评标标准等。评标委员会审查投标的响应性只根据投标文件本身的内容，而不寻求外部的证据。</w:t>
      </w:r>
    </w:p>
    <w:p w14:paraId="1D4F7DBF">
      <w:pPr>
        <w:spacing w:line="360" w:lineRule="auto"/>
        <w:ind w:firstLine="420" w:firstLineChars="200"/>
        <w:rPr>
          <w:rFonts w:asciiTheme="minorEastAsia" w:hAnsiTheme="minorEastAsia"/>
          <w:color w:val="auto"/>
          <w:szCs w:val="21"/>
          <w:highlight w:val="none"/>
        </w:rPr>
      </w:pPr>
      <w:bookmarkStart w:id="108" w:name="_Ref179619330"/>
      <w:r>
        <w:rPr>
          <w:rFonts w:asciiTheme="minorEastAsia" w:hAnsiTheme="minorEastAsia"/>
          <w:color w:val="auto"/>
          <w:szCs w:val="21"/>
          <w:highlight w:val="none"/>
        </w:rPr>
        <w:t>实质上没有响应招标文件要求的投标将被作</w:t>
      </w:r>
      <w:r>
        <w:rPr>
          <w:rFonts w:hint="eastAsia" w:asciiTheme="minorEastAsia" w:hAnsiTheme="minorEastAsia"/>
          <w:color w:val="auto"/>
          <w:szCs w:val="21"/>
          <w:highlight w:val="none"/>
        </w:rPr>
        <w:t>投标无效</w:t>
      </w:r>
      <w:r>
        <w:rPr>
          <w:rFonts w:asciiTheme="minorEastAsia" w:hAnsiTheme="minorEastAsia"/>
          <w:color w:val="auto"/>
          <w:szCs w:val="21"/>
          <w:highlight w:val="none"/>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color w:val="auto"/>
          <w:szCs w:val="21"/>
          <w:highlight w:val="none"/>
        </w:rPr>
        <w:t>投标无效</w:t>
      </w:r>
      <w:r>
        <w:rPr>
          <w:rFonts w:asciiTheme="minorEastAsia" w:hAnsiTheme="minorEastAsia"/>
          <w:color w:val="auto"/>
          <w:szCs w:val="21"/>
          <w:highlight w:val="none"/>
        </w:rPr>
        <w:t>处理：</w:t>
      </w:r>
      <w:bookmarkEnd w:id="108"/>
    </w:p>
    <w:p w14:paraId="0D97D0D9">
      <w:pPr>
        <w:spacing w:line="360" w:lineRule="auto"/>
        <w:ind w:firstLine="420" w:firstLineChars="200"/>
        <w:rPr>
          <w:rFonts w:asciiTheme="minorEastAsia" w:hAnsiTheme="minorEastAsia"/>
          <w:color w:val="auto"/>
          <w:szCs w:val="21"/>
          <w:highlight w:val="none"/>
        </w:rPr>
      </w:pPr>
      <w:bookmarkStart w:id="109" w:name="_Ref179621189"/>
      <w:r>
        <w:rPr>
          <w:rFonts w:asciiTheme="minorEastAsia" w:hAnsiTheme="minorEastAsia"/>
          <w:color w:val="auto"/>
          <w:szCs w:val="21"/>
          <w:highlight w:val="none"/>
        </w:rPr>
        <w:t>符合性检查</w:t>
      </w:r>
      <w:bookmarkEnd w:id="109"/>
    </w:p>
    <w:p w14:paraId="1433BAC0">
      <w:pPr>
        <w:spacing w:line="360" w:lineRule="auto"/>
        <w:ind w:firstLine="422" w:firstLineChars="200"/>
        <w:rPr>
          <w:rFonts w:asciiTheme="minorEastAsia" w:hAnsiTheme="minorEastAsia"/>
          <w:b/>
          <w:color w:val="auto"/>
          <w:szCs w:val="21"/>
          <w:highlight w:val="none"/>
        </w:rPr>
      </w:pPr>
      <w:bookmarkStart w:id="110" w:name="_Toc2459"/>
      <w:bookmarkStart w:id="111" w:name="_Toc25993"/>
      <w:bookmarkStart w:id="112" w:name="_Toc385"/>
      <w:bookmarkStart w:id="113" w:name="_Toc13273"/>
      <w:bookmarkStart w:id="114" w:name="_Toc32392"/>
      <w:bookmarkStart w:id="115" w:name="_Toc1347"/>
      <w:bookmarkStart w:id="116" w:name="_Toc5963"/>
      <w:r>
        <w:rPr>
          <w:rFonts w:asciiTheme="minorEastAsia" w:hAnsiTheme="minorEastAsia"/>
          <w:b/>
          <w:color w:val="auto"/>
          <w:szCs w:val="21"/>
          <w:highlight w:val="none"/>
        </w:rPr>
        <w:t>1) 投标文件的有效性、完整性瑕疵</w:t>
      </w:r>
      <w:bookmarkEnd w:id="110"/>
      <w:bookmarkEnd w:id="111"/>
      <w:bookmarkEnd w:id="112"/>
      <w:bookmarkEnd w:id="113"/>
      <w:bookmarkEnd w:id="114"/>
      <w:bookmarkEnd w:id="115"/>
      <w:bookmarkEnd w:id="116"/>
    </w:p>
    <w:p w14:paraId="1F9007C8">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包括但不限于：</w:t>
      </w:r>
      <w:r>
        <w:rPr>
          <w:rFonts w:hint="eastAsia" w:cs="宋体" w:asciiTheme="minorEastAsia" w:hAnsiTheme="minorEastAsia"/>
          <w:color w:val="auto"/>
          <w:szCs w:val="21"/>
          <w:highlight w:val="none"/>
        </w:rPr>
        <w:t>①</w:t>
      </w:r>
      <w:r>
        <w:rPr>
          <w:rFonts w:asciiTheme="minorEastAsia" w:hAnsiTheme="minorEastAsia"/>
          <w:color w:val="auto"/>
          <w:szCs w:val="21"/>
          <w:highlight w:val="none"/>
        </w:rPr>
        <w:t>投标文件的数量、制作、密封、标记不符合要求；</w:t>
      </w:r>
      <w:r>
        <w:rPr>
          <w:rFonts w:hint="eastAsia" w:cs="宋体" w:asciiTheme="minorEastAsia" w:hAnsiTheme="minorEastAsia"/>
          <w:color w:val="auto"/>
          <w:szCs w:val="21"/>
          <w:highlight w:val="none"/>
        </w:rPr>
        <w:t>②</w:t>
      </w:r>
      <w:r>
        <w:rPr>
          <w:rFonts w:asciiTheme="minorEastAsia" w:hAnsiTheme="minorEastAsia"/>
          <w:color w:val="auto"/>
          <w:szCs w:val="21"/>
          <w:highlight w:val="none"/>
        </w:rPr>
        <w:t>投标文件无法定代表人或其授权代表签字，或签字人无法定代表人有效授权的；</w:t>
      </w:r>
      <w:r>
        <w:rPr>
          <w:rFonts w:hint="eastAsia" w:cs="宋体" w:asciiTheme="minorEastAsia" w:hAnsiTheme="minorEastAsia"/>
          <w:color w:val="auto"/>
          <w:szCs w:val="21"/>
          <w:highlight w:val="none"/>
        </w:rPr>
        <w:t>③</w:t>
      </w:r>
      <w:r>
        <w:rPr>
          <w:rFonts w:asciiTheme="minorEastAsia" w:hAnsiTheme="minorEastAsia"/>
          <w:color w:val="auto"/>
          <w:szCs w:val="21"/>
          <w:highlight w:val="none"/>
        </w:rPr>
        <w:t>签字盖章不符合招标文件要求的；</w:t>
      </w:r>
      <w:r>
        <w:rPr>
          <w:rFonts w:hint="eastAsia" w:cs="宋体" w:asciiTheme="minorEastAsia" w:hAnsiTheme="minorEastAsia"/>
          <w:color w:val="auto"/>
          <w:szCs w:val="21"/>
          <w:highlight w:val="none"/>
        </w:rPr>
        <w:t>④</w:t>
      </w:r>
      <w:r>
        <w:rPr>
          <w:rFonts w:asciiTheme="minorEastAsia" w:hAnsiTheme="minorEastAsia"/>
          <w:color w:val="auto"/>
          <w:szCs w:val="21"/>
          <w:highlight w:val="none"/>
        </w:rPr>
        <w:t>投标文件内容有严重缺漏项的；</w:t>
      </w:r>
      <w:r>
        <w:rPr>
          <w:rFonts w:hint="eastAsia" w:cs="宋体" w:asciiTheme="minorEastAsia" w:hAnsiTheme="minorEastAsia"/>
          <w:color w:val="auto"/>
          <w:szCs w:val="21"/>
          <w:highlight w:val="none"/>
        </w:rPr>
        <w:t>⑤</w:t>
      </w:r>
      <w:r>
        <w:rPr>
          <w:rFonts w:asciiTheme="minorEastAsia" w:hAnsiTheme="minorEastAsia"/>
          <w:color w:val="auto"/>
          <w:szCs w:val="21"/>
          <w:highlight w:val="none"/>
        </w:rPr>
        <w:t>投标报价有严重缺漏项的；</w:t>
      </w:r>
      <w:r>
        <w:rPr>
          <w:rFonts w:hint="eastAsia" w:cs="宋体" w:asciiTheme="minorEastAsia" w:hAnsiTheme="minorEastAsia"/>
          <w:color w:val="auto"/>
          <w:szCs w:val="21"/>
          <w:highlight w:val="none"/>
        </w:rPr>
        <w:t>⑥</w:t>
      </w:r>
      <w:r>
        <w:rPr>
          <w:rFonts w:asciiTheme="minorEastAsia" w:hAnsiTheme="minorEastAsia"/>
          <w:color w:val="auto"/>
          <w:szCs w:val="21"/>
          <w:highlight w:val="none"/>
        </w:rPr>
        <w:t>投标文件的关键内容字迹模糊、无法辨认的</w:t>
      </w:r>
      <w:r>
        <w:rPr>
          <w:rFonts w:hint="eastAsia" w:asciiTheme="minorEastAsia" w:hAnsiTheme="minorEastAsia"/>
          <w:color w:val="auto"/>
          <w:szCs w:val="21"/>
          <w:highlight w:val="none"/>
        </w:rPr>
        <w:t>；</w:t>
      </w:r>
      <w:r>
        <w:rPr>
          <w:rFonts w:hint="eastAsia" w:cs="宋体" w:asciiTheme="minorEastAsia" w:hAnsiTheme="minorEastAsia"/>
          <w:color w:val="auto"/>
          <w:szCs w:val="21"/>
          <w:highlight w:val="none"/>
        </w:rPr>
        <w:t>⑦</w:t>
      </w:r>
      <w:r>
        <w:rPr>
          <w:rFonts w:hint="eastAsia" w:asciiTheme="minorEastAsia" w:hAnsiTheme="minorEastAsia"/>
          <w:color w:val="auto"/>
          <w:szCs w:val="21"/>
          <w:highlight w:val="none"/>
        </w:rPr>
        <w:t>未按招标文件要求编制。</w:t>
      </w:r>
    </w:p>
    <w:p w14:paraId="738747B0">
      <w:pPr>
        <w:spacing w:line="360" w:lineRule="auto"/>
        <w:ind w:firstLine="422" w:firstLineChars="200"/>
        <w:rPr>
          <w:rFonts w:asciiTheme="minorEastAsia" w:hAnsiTheme="minorEastAsia"/>
          <w:b/>
          <w:color w:val="auto"/>
          <w:szCs w:val="21"/>
          <w:highlight w:val="none"/>
        </w:rPr>
      </w:pPr>
      <w:bookmarkStart w:id="117" w:name="_Toc17493"/>
      <w:bookmarkStart w:id="118" w:name="_Toc6513"/>
      <w:bookmarkStart w:id="119" w:name="_Toc29078"/>
      <w:bookmarkStart w:id="120" w:name="_Toc24825"/>
      <w:bookmarkStart w:id="121" w:name="_Toc30904"/>
      <w:bookmarkStart w:id="122" w:name="_Toc31066"/>
      <w:bookmarkStart w:id="123" w:name="_Toc4787"/>
      <w:r>
        <w:rPr>
          <w:rFonts w:asciiTheme="minorEastAsia" w:hAnsiTheme="minorEastAsia"/>
          <w:b/>
          <w:color w:val="auto"/>
          <w:szCs w:val="21"/>
          <w:highlight w:val="none"/>
        </w:rPr>
        <w:t>2) 技术响应瑕疵</w:t>
      </w:r>
      <w:bookmarkEnd w:id="117"/>
      <w:bookmarkEnd w:id="118"/>
      <w:bookmarkEnd w:id="119"/>
      <w:bookmarkEnd w:id="120"/>
      <w:bookmarkEnd w:id="121"/>
      <w:bookmarkEnd w:id="122"/>
      <w:bookmarkEnd w:id="123"/>
    </w:p>
    <w:p w14:paraId="27D62872">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包括但不限于：</w:t>
      </w:r>
      <w:r>
        <w:rPr>
          <w:rFonts w:hint="eastAsia" w:cs="宋体" w:asciiTheme="minorEastAsia" w:hAnsiTheme="minorEastAsia"/>
          <w:color w:val="auto"/>
          <w:szCs w:val="21"/>
          <w:highlight w:val="none"/>
        </w:rPr>
        <w:t>①</w:t>
      </w:r>
      <w:r>
        <w:rPr>
          <w:rFonts w:asciiTheme="minorEastAsia" w:hAnsiTheme="minorEastAsia"/>
          <w:color w:val="auto"/>
          <w:szCs w:val="21"/>
          <w:highlight w:val="none"/>
        </w:rPr>
        <w:t>投标文件不满足招标文件中加注星号（</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）的主要参数要求或加注星号的主要参数无技术资料支持的；</w:t>
      </w:r>
      <w:r>
        <w:rPr>
          <w:rFonts w:hint="eastAsia" w:cs="宋体" w:asciiTheme="minorEastAsia" w:hAnsiTheme="minorEastAsia"/>
          <w:color w:val="auto"/>
          <w:szCs w:val="21"/>
          <w:highlight w:val="none"/>
        </w:rPr>
        <w:t>②</w:t>
      </w:r>
      <w:r>
        <w:rPr>
          <w:rFonts w:asciiTheme="minorEastAsia" w:hAnsiTheme="minorEastAsia"/>
          <w:color w:val="auto"/>
          <w:szCs w:val="21"/>
          <w:highlight w:val="none"/>
        </w:rPr>
        <w:t>一般参数超出允许偏离的最大范围或最高项数的；</w:t>
      </w:r>
      <w:r>
        <w:rPr>
          <w:rFonts w:hint="eastAsia" w:cs="宋体" w:asciiTheme="minorEastAsia" w:hAnsiTheme="minorEastAsia"/>
          <w:color w:val="auto"/>
          <w:szCs w:val="21"/>
          <w:highlight w:val="none"/>
        </w:rPr>
        <w:t>③</w:t>
      </w:r>
      <w:r>
        <w:rPr>
          <w:rFonts w:asciiTheme="minorEastAsia" w:hAnsiTheme="minorEastAsia"/>
          <w:color w:val="auto"/>
          <w:szCs w:val="21"/>
          <w:highlight w:val="none"/>
        </w:rPr>
        <w:t>投标文件技术响应与事实不符或虚假投标的；</w:t>
      </w:r>
      <w:r>
        <w:rPr>
          <w:rFonts w:hint="eastAsia" w:cs="宋体" w:asciiTheme="minorEastAsia" w:hAnsiTheme="minorEastAsia"/>
          <w:color w:val="auto"/>
          <w:szCs w:val="21"/>
          <w:highlight w:val="none"/>
        </w:rPr>
        <w:t>④</w:t>
      </w:r>
      <w:r>
        <w:rPr>
          <w:rFonts w:asciiTheme="minorEastAsia" w:hAnsiTheme="minorEastAsia"/>
          <w:color w:val="auto"/>
          <w:szCs w:val="21"/>
          <w:highlight w:val="none"/>
        </w:rPr>
        <w:t>投标人复制招标文件的技术规格相关部分内容作为其投标文件的一部分的；</w:t>
      </w:r>
      <w:r>
        <w:rPr>
          <w:rFonts w:hint="eastAsia" w:cs="宋体" w:asciiTheme="minorEastAsia" w:hAnsiTheme="minorEastAsia"/>
          <w:color w:val="auto"/>
          <w:szCs w:val="21"/>
          <w:highlight w:val="none"/>
        </w:rPr>
        <w:t>⑤</w:t>
      </w:r>
      <w:r>
        <w:rPr>
          <w:rFonts w:asciiTheme="minorEastAsia" w:hAnsiTheme="minorEastAsia"/>
          <w:color w:val="auto"/>
          <w:szCs w:val="21"/>
          <w:highlight w:val="none"/>
        </w:rPr>
        <w:t>《技术规格偏离表》填写不明或不实的；</w:t>
      </w:r>
      <w:r>
        <w:rPr>
          <w:rFonts w:hint="eastAsia" w:cs="宋体" w:asciiTheme="minorEastAsia" w:hAnsiTheme="minorEastAsia"/>
          <w:color w:val="auto"/>
          <w:szCs w:val="21"/>
          <w:highlight w:val="none"/>
        </w:rPr>
        <w:t>⑥</w:t>
      </w:r>
      <w:r>
        <w:rPr>
          <w:rFonts w:asciiTheme="minorEastAsia" w:hAnsiTheme="minorEastAsia"/>
          <w:color w:val="auto"/>
          <w:szCs w:val="21"/>
          <w:highlight w:val="none"/>
        </w:rPr>
        <w:t>将一个包中的内容拆开投标的；</w:t>
      </w:r>
      <w:r>
        <w:rPr>
          <w:rFonts w:hint="eastAsia" w:cs="宋体" w:asciiTheme="minorEastAsia" w:hAnsiTheme="minorEastAsia"/>
          <w:color w:val="auto"/>
          <w:szCs w:val="21"/>
          <w:highlight w:val="none"/>
        </w:rPr>
        <w:t>⑦</w:t>
      </w:r>
      <w:r>
        <w:rPr>
          <w:rFonts w:asciiTheme="minorEastAsia" w:hAnsiTheme="minorEastAsia"/>
          <w:color w:val="auto"/>
          <w:szCs w:val="21"/>
          <w:highlight w:val="none"/>
        </w:rPr>
        <w:t>投标人对同一货物或服务投标时，同时提供两套或两套以上的投标方案的；</w:t>
      </w:r>
      <w:r>
        <w:rPr>
          <w:rFonts w:hint="eastAsia" w:cs="宋体" w:asciiTheme="minorEastAsia" w:hAnsiTheme="minorEastAsia"/>
          <w:color w:val="auto"/>
          <w:szCs w:val="21"/>
          <w:highlight w:val="none"/>
        </w:rPr>
        <w:t>⑧</w:t>
      </w:r>
      <w:r>
        <w:rPr>
          <w:rFonts w:asciiTheme="minorEastAsia" w:hAnsiTheme="minorEastAsia"/>
          <w:color w:val="auto"/>
          <w:szCs w:val="21"/>
          <w:highlight w:val="none"/>
        </w:rPr>
        <w:t>明显不符合技术规格、技术标准要求的；</w:t>
      </w:r>
      <w:r>
        <w:rPr>
          <w:rFonts w:hint="eastAsia" w:cs="宋体" w:asciiTheme="minorEastAsia" w:hAnsiTheme="minorEastAsia"/>
          <w:color w:val="auto"/>
          <w:szCs w:val="21"/>
          <w:highlight w:val="none"/>
        </w:rPr>
        <w:t>⑨</w:t>
      </w:r>
      <w:r>
        <w:rPr>
          <w:rFonts w:asciiTheme="minorEastAsia" w:hAnsiTheme="minorEastAsia"/>
          <w:color w:val="auto"/>
          <w:szCs w:val="21"/>
          <w:highlight w:val="none"/>
        </w:rPr>
        <w:t>其他未实质性响应招标文件技术要求的。</w:t>
      </w:r>
    </w:p>
    <w:p w14:paraId="5DDA5A7B">
      <w:pPr>
        <w:spacing w:line="360" w:lineRule="auto"/>
        <w:ind w:firstLine="422" w:firstLineChars="200"/>
        <w:rPr>
          <w:rFonts w:asciiTheme="minorEastAsia" w:hAnsiTheme="minorEastAsia"/>
          <w:b/>
          <w:color w:val="auto"/>
          <w:szCs w:val="21"/>
          <w:highlight w:val="none"/>
        </w:rPr>
      </w:pPr>
      <w:bookmarkStart w:id="124" w:name="_Toc32692"/>
      <w:bookmarkStart w:id="125" w:name="_Toc16856"/>
      <w:bookmarkStart w:id="126" w:name="_Toc19531"/>
      <w:bookmarkStart w:id="127" w:name="_Toc13742"/>
      <w:bookmarkStart w:id="128" w:name="_Toc27147"/>
      <w:bookmarkStart w:id="129" w:name="_Toc9317"/>
      <w:bookmarkStart w:id="130" w:name="_Toc6987"/>
      <w:r>
        <w:rPr>
          <w:rFonts w:asciiTheme="minorEastAsia" w:hAnsiTheme="minorEastAsia"/>
          <w:b/>
          <w:color w:val="auto"/>
          <w:szCs w:val="21"/>
          <w:highlight w:val="none"/>
        </w:rPr>
        <w:t>3) 商务响应瑕疵</w:t>
      </w:r>
      <w:bookmarkEnd w:id="124"/>
      <w:bookmarkEnd w:id="125"/>
      <w:bookmarkEnd w:id="126"/>
      <w:bookmarkEnd w:id="127"/>
      <w:bookmarkEnd w:id="128"/>
      <w:bookmarkEnd w:id="129"/>
      <w:bookmarkEnd w:id="130"/>
    </w:p>
    <w:p w14:paraId="1CCDFBF3">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包括但不限于：</w:t>
      </w:r>
      <w:r>
        <w:rPr>
          <w:rFonts w:hint="eastAsia" w:cs="宋体" w:asciiTheme="minorEastAsia" w:hAnsiTheme="minorEastAsia"/>
          <w:color w:val="auto"/>
          <w:szCs w:val="21"/>
          <w:highlight w:val="none"/>
        </w:rPr>
        <w:t>①</w:t>
      </w:r>
      <w:r>
        <w:rPr>
          <w:rFonts w:asciiTheme="minorEastAsia" w:hAnsiTheme="minorEastAsia"/>
          <w:color w:val="auto"/>
          <w:szCs w:val="21"/>
          <w:highlight w:val="none"/>
        </w:rPr>
        <w:t>招标文件加注星号（</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）的商务要求负偏离的；</w:t>
      </w:r>
      <w:r>
        <w:rPr>
          <w:rFonts w:hint="eastAsia" w:cs="宋体" w:asciiTheme="minorEastAsia" w:hAnsiTheme="minorEastAsia"/>
          <w:color w:val="auto"/>
          <w:szCs w:val="21"/>
          <w:highlight w:val="none"/>
        </w:rPr>
        <w:t>②</w:t>
      </w:r>
      <w:r>
        <w:rPr>
          <w:rFonts w:asciiTheme="minorEastAsia" w:hAnsiTheme="minorEastAsia"/>
          <w:color w:val="auto"/>
          <w:szCs w:val="21"/>
          <w:highlight w:val="none"/>
        </w:rPr>
        <w:t>招标项目完成期未满足招标文件要求的；</w:t>
      </w:r>
      <w:r>
        <w:rPr>
          <w:rFonts w:hint="eastAsia" w:cs="宋体" w:asciiTheme="minorEastAsia" w:hAnsiTheme="minorEastAsia"/>
          <w:color w:val="auto"/>
          <w:szCs w:val="21"/>
          <w:highlight w:val="none"/>
        </w:rPr>
        <w:t>③</w:t>
      </w:r>
      <w:r>
        <w:rPr>
          <w:rFonts w:asciiTheme="minorEastAsia" w:hAnsiTheme="minorEastAsia"/>
          <w:color w:val="auto"/>
          <w:szCs w:val="21"/>
          <w:highlight w:val="none"/>
        </w:rPr>
        <w:t>投标文件载明的货物包装方式、检验标准和方法不符合招标文件要求的；</w:t>
      </w:r>
      <w:r>
        <w:rPr>
          <w:rFonts w:hint="eastAsia" w:cs="宋体" w:asciiTheme="minorEastAsia" w:hAnsiTheme="minorEastAsia"/>
          <w:color w:val="auto"/>
          <w:szCs w:val="21"/>
          <w:highlight w:val="none"/>
        </w:rPr>
        <w:t>④</w:t>
      </w:r>
      <w:r>
        <w:rPr>
          <w:rFonts w:asciiTheme="minorEastAsia" w:hAnsiTheme="minorEastAsia"/>
          <w:color w:val="auto"/>
          <w:szCs w:val="21"/>
          <w:highlight w:val="none"/>
        </w:rPr>
        <w:t>《商务条款偏离表》填写不明或不实的；</w:t>
      </w:r>
      <w:r>
        <w:rPr>
          <w:rFonts w:hint="eastAsia" w:cs="宋体" w:asciiTheme="minorEastAsia" w:hAnsiTheme="minorEastAsia"/>
          <w:color w:val="auto"/>
          <w:szCs w:val="21"/>
          <w:highlight w:val="none"/>
        </w:rPr>
        <w:t>⑤</w:t>
      </w:r>
      <w:r>
        <w:rPr>
          <w:rFonts w:asciiTheme="minorEastAsia" w:hAnsiTheme="minorEastAsia"/>
          <w:color w:val="auto"/>
          <w:szCs w:val="21"/>
          <w:highlight w:val="none"/>
        </w:rPr>
        <w:t>投标文件附有招标人不能接受的条件的；</w:t>
      </w:r>
      <w:r>
        <w:rPr>
          <w:rFonts w:hint="eastAsia" w:cs="宋体" w:asciiTheme="minorEastAsia" w:hAnsiTheme="minorEastAsia"/>
          <w:color w:val="auto"/>
          <w:szCs w:val="21"/>
          <w:highlight w:val="none"/>
        </w:rPr>
        <w:t>⑥</w:t>
      </w:r>
      <w:r>
        <w:rPr>
          <w:rFonts w:hint="eastAsia" w:asciiTheme="minorEastAsia" w:hAnsiTheme="minorEastAsia"/>
          <w:color w:val="auto"/>
          <w:szCs w:val="21"/>
          <w:highlight w:val="none"/>
        </w:rPr>
        <w:t>投标文件中附有招标人不能接受的条件；</w:t>
      </w:r>
      <w:r>
        <w:rPr>
          <w:rFonts w:hint="eastAsia" w:cs="宋体" w:asciiTheme="minorEastAsia" w:hAnsiTheme="minorEastAsia"/>
          <w:color w:val="auto"/>
          <w:szCs w:val="21"/>
          <w:highlight w:val="none"/>
        </w:rPr>
        <w:t>⑦</w:t>
      </w:r>
      <w:r>
        <w:rPr>
          <w:rFonts w:asciiTheme="minorEastAsia" w:hAnsiTheme="minorEastAsia"/>
          <w:color w:val="auto"/>
          <w:szCs w:val="21"/>
          <w:highlight w:val="none"/>
        </w:rPr>
        <w:t>其他未实质性响应招标文件商务要求的。</w:t>
      </w:r>
    </w:p>
    <w:p w14:paraId="254755E5">
      <w:pPr>
        <w:spacing w:line="360" w:lineRule="auto"/>
        <w:ind w:firstLine="422" w:firstLineChars="200"/>
        <w:rPr>
          <w:rFonts w:asciiTheme="minorEastAsia" w:hAnsiTheme="minorEastAsia"/>
          <w:b/>
          <w:color w:val="auto"/>
          <w:szCs w:val="21"/>
          <w:highlight w:val="none"/>
        </w:rPr>
      </w:pPr>
      <w:r>
        <w:rPr>
          <w:rFonts w:asciiTheme="minorEastAsia" w:hAnsiTheme="minorEastAsia"/>
          <w:b/>
          <w:color w:val="auto"/>
          <w:szCs w:val="21"/>
          <w:highlight w:val="none"/>
        </w:rPr>
        <w:t>4）违规行为</w:t>
      </w:r>
    </w:p>
    <w:p w14:paraId="3CB70A02">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包括但不限于：</w:t>
      </w:r>
      <w:r>
        <w:rPr>
          <w:rFonts w:hint="eastAsia" w:cs="宋体" w:asciiTheme="minorEastAsia" w:hAnsiTheme="minorEastAsia"/>
          <w:color w:val="auto"/>
          <w:szCs w:val="21"/>
          <w:highlight w:val="none"/>
        </w:rPr>
        <w:t>①</w:t>
      </w:r>
      <w:r>
        <w:rPr>
          <w:rFonts w:asciiTheme="minorEastAsia" w:hAnsiTheme="minorEastAsia"/>
          <w:color w:val="auto"/>
          <w:szCs w:val="21"/>
          <w:highlight w:val="none"/>
        </w:rPr>
        <w:t>以他人的名义投标、串通投标、以行贿手段谋取中标或者以其他弄虚作假方式投标的；</w:t>
      </w:r>
      <w:r>
        <w:rPr>
          <w:rFonts w:hint="eastAsia" w:cs="宋体" w:asciiTheme="minorEastAsia" w:hAnsiTheme="minorEastAsia"/>
          <w:color w:val="auto"/>
          <w:szCs w:val="21"/>
          <w:highlight w:val="none"/>
        </w:rPr>
        <w:t>②</w:t>
      </w:r>
      <w:r>
        <w:rPr>
          <w:rFonts w:asciiTheme="minorEastAsia" w:hAnsiTheme="minorEastAsia"/>
          <w:color w:val="auto"/>
          <w:szCs w:val="21"/>
          <w:highlight w:val="none"/>
        </w:rPr>
        <w:t>拒不按照要求对投标文件进行澄清、说明或者补正的；</w:t>
      </w:r>
      <w:r>
        <w:rPr>
          <w:rFonts w:hint="eastAsia" w:cs="宋体" w:asciiTheme="minorEastAsia" w:hAnsiTheme="minorEastAsia"/>
          <w:color w:val="auto"/>
          <w:szCs w:val="21"/>
          <w:highlight w:val="none"/>
        </w:rPr>
        <w:t>③</w:t>
      </w:r>
      <w:r>
        <w:rPr>
          <w:rFonts w:asciiTheme="minorEastAsia" w:hAnsiTheme="minorEastAsia"/>
          <w:color w:val="auto"/>
          <w:szCs w:val="21"/>
          <w:highlight w:val="none"/>
        </w:rPr>
        <w:t>扰乱开标、评标秩序，干扰招标工作正常进行的。</w:t>
      </w:r>
    </w:p>
    <w:p w14:paraId="5507C412">
      <w:pPr>
        <w:spacing w:line="360" w:lineRule="auto"/>
        <w:ind w:firstLine="422" w:firstLineChars="200"/>
        <w:rPr>
          <w:rFonts w:asciiTheme="minorEastAsia" w:hAnsiTheme="minorEastAsia"/>
          <w:b/>
          <w:color w:val="auto"/>
          <w:szCs w:val="21"/>
          <w:highlight w:val="none"/>
        </w:rPr>
      </w:pPr>
      <w:r>
        <w:rPr>
          <w:rFonts w:hint="eastAsia" w:asciiTheme="minorEastAsia" w:hAnsiTheme="minorEastAsia"/>
          <w:b/>
          <w:color w:val="auto"/>
          <w:szCs w:val="21"/>
          <w:highlight w:val="none"/>
        </w:rPr>
        <w:t>投标报价</w:t>
      </w:r>
    </w:p>
    <w:p w14:paraId="25F9BC1C">
      <w:pPr>
        <w:spacing w:line="360" w:lineRule="auto"/>
        <w:ind w:firstLine="420" w:firstLineChars="200"/>
        <w:rPr>
          <w:rFonts w:asciiTheme="minorEastAsia" w:hAnsiTheme="minorEastAsia"/>
          <w:color w:val="auto"/>
          <w:szCs w:val="21"/>
          <w:highlight w:val="none"/>
        </w:rPr>
      </w:pPr>
      <w:r>
        <w:rPr>
          <w:rFonts w:hint="eastAsia" w:asciiTheme="minorEastAsia" w:hAnsiTheme="minorEastAsia"/>
          <w:bCs/>
          <w:color w:val="auto"/>
          <w:szCs w:val="21"/>
          <w:highlight w:val="none"/>
        </w:rPr>
        <w:t>包括但不限于：</w:t>
      </w:r>
      <w:r>
        <w:rPr>
          <w:rFonts w:hint="eastAsia" w:cs="宋体" w:asciiTheme="minorEastAsia" w:hAnsiTheme="minorEastAsia"/>
          <w:color w:val="auto"/>
          <w:szCs w:val="21"/>
          <w:highlight w:val="none"/>
        </w:rPr>
        <w:t>①</w:t>
      </w:r>
      <w:r>
        <w:rPr>
          <w:rFonts w:hint="eastAsia" w:asciiTheme="minorEastAsia" w:hAnsiTheme="minorEastAsia"/>
          <w:color w:val="auto"/>
          <w:szCs w:val="21"/>
          <w:highlight w:val="none"/>
        </w:rPr>
        <w:t>投标报价超出预算控制金额上限，或超过招标文件规定的最高投标限价</w:t>
      </w:r>
      <w:r>
        <w:rPr>
          <w:rFonts w:hint="eastAsia" w:cs="宋体" w:asciiTheme="minorEastAsia" w:hAnsiTheme="minorEastAsia"/>
          <w:color w:val="auto"/>
          <w:szCs w:val="21"/>
          <w:highlight w:val="none"/>
        </w:rPr>
        <w:t>②</w:t>
      </w:r>
      <w:r>
        <w:rPr>
          <w:rFonts w:hint="eastAsia" w:asciiTheme="minorEastAsia" w:hAnsiTheme="minorEastAsia"/>
          <w:color w:val="auto"/>
          <w:szCs w:val="21"/>
          <w:highlight w:val="none"/>
        </w:rPr>
        <w:t>选择性报价或可变动报价</w:t>
      </w:r>
      <w:r>
        <w:rPr>
          <w:rFonts w:hint="eastAsia" w:cs="宋体" w:asciiTheme="minorEastAsia" w:hAnsiTheme="minorEastAsia"/>
          <w:color w:val="auto"/>
          <w:szCs w:val="21"/>
          <w:highlight w:val="none"/>
        </w:rPr>
        <w:t>③</w:t>
      </w:r>
      <w:r>
        <w:rPr>
          <w:rFonts w:asciiTheme="minorEastAsia" w:hAnsiTheme="minorEastAsia"/>
          <w:color w:val="auto"/>
          <w:szCs w:val="21"/>
          <w:highlight w:val="none"/>
        </w:rPr>
        <w:t>投标人低于成本报价竞标的</w:t>
      </w:r>
    </w:p>
    <w:p w14:paraId="78B24247">
      <w:pPr>
        <w:spacing w:line="360" w:lineRule="auto"/>
        <w:ind w:firstLine="422" w:firstLineChars="200"/>
        <w:rPr>
          <w:rFonts w:asciiTheme="minorEastAsia" w:hAnsiTheme="minorEastAsia"/>
          <w:b/>
          <w:bCs/>
          <w:color w:val="auto"/>
          <w:szCs w:val="21"/>
          <w:highlight w:val="none"/>
        </w:rPr>
      </w:pPr>
      <w:r>
        <w:rPr>
          <w:rFonts w:hint="eastAsia" w:asciiTheme="minorEastAsia" w:hAnsiTheme="minorEastAsia"/>
          <w:b/>
          <w:bCs/>
          <w:color w:val="auto"/>
          <w:szCs w:val="21"/>
          <w:highlight w:val="none"/>
        </w:rPr>
        <w:t>6</w:t>
      </w:r>
      <w:r>
        <w:rPr>
          <w:rFonts w:asciiTheme="minorEastAsia" w:hAnsiTheme="minorEastAsia"/>
          <w:b/>
          <w:bCs/>
          <w:color w:val="auto"/>
          <w:szCs w:val="21"/>
          <w:highlight w:val="none"/>
        </w:rPr>
        <w:t>）法律法规及招标文件中规定的其它情形。</w:t>
      </w:r>
    </w:p>
    <w:p w14:paraId="69A5A244">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根据项目情况，评标委员会有权决定招标文件中“可能导致</w:t>
      </w:r>
      <w:r>
        <w:rPr>
          <w:rFonts w:hint="eastAsia" w:asciiTheme="minorEastAsia" w:hAnsiTheme="minorEastAsia"/>
          <w:color w:val="auto"/>
          <w:szCs w:val="21"/>
          <w:highlight w:val="none"/>
        </w:rPr>
        <w:t>投标无效</w:t>
      </w:r>
      <w:r>
        <w:rPr>
          <w:rFonts w:asciiTheme="minorEastAsia" w:hAnsiTheme="minorEastAsia"/>
          <w:color w:val="auto"/>
          <w:szCs w:val="21"/>
          <w:highlight w:val="none"/>
        </w:rPr>
        <w:t>”或“可能导致其投标被拒绝”等具体条款是否实施“</w:t>
      </w:r>
      <w:r>
        <w:rPr>
          <w:rFonts w:hint="eastAsia" w:asciiTheme="minorEastAsia" w:hAnsiTheme="minorEastAsia"/>
          <w:color w:val="auto"/>
          <w:szCs w:val="21"/>
          <w:highlight w:val="none"/>
        </w:rPr>
        <w:t>投标无效</w:t>
      </w:r>
      <w:r>
        <w:rPr>
          <w:rFonts w:asciiTheme="minorEastAsia" w:hAnsiTheme="minorEastAsia"/>
          <w:color w:val="auto"/>
          <w:szCs w:val="21"/>
          <w:highlight w:val="none"/>
        </w:rPr>
        <w:t>”或“投标被拒绝”，但对同一条款的裁决应适用于每个投标人。</w:t>
      </w:r>
    </w:p>
    <w:p w14:paraId="124EE9F1">
      <w:pPr>
        <w:pStyle w:val="4"/>
        <w:spacing w:line="360" w:lineRule="auto"/>
        <w:ind w:firstLine="482"/>
        <w:rPr>
          <w:color w:val="auto"/>
          <w:highlight w:val="none"/>
        </w:rPr>
      </w:pPr>
      <w:bookmarkStart w:id="131" w:name="_Toc55548525"/>
      <w:bookmarkStart w:id="132" w:name="_Toc7255"/>
      <w:r>
        <w:rPr>
          <w:rFonts w:hint="eastAsia"/>
          <w:color w:val="auto"/>
          <w:highlight w:val="none"/>
        </w:rPr>
        <w:t>评标方法和定标原则</w:t>
      </w:r>
      <w:bookmarkEnd w:id="131"/>
      <w:bookmarkEnd w:id="132"/>
    </w:p>
    <w:p w14:paraId="787170DA">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最低评标价法</w:t>
      </w:r>
    </w:p>
    <w:p w14:paraId="33036524">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最低评标价法，是指以价格因素确定中标候选人的评标方法，即在满足招标文件实质性要求前提下，以报价最低的投标供应商作为中标候选人或中标人。完全满足招标文件的实质性要求，按照报价由低到高的顺序，依据招标文件中规定的数量或者比例推荐候选中标供应商。</w:t>
      </w:r>
    </w:p>
    <w:p w14:paraId="244BD8FE">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中标人的投标应当符合招标文件规定的资质、技术要求和标准，但评标委员会无需对投标文件的技术部分进行价格折算。</w:t>
      </w:r>
    </w:p>
    <w:p w14:paraId="0CD0439F">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评标委员会将依据委托招标金额作为授予合同价格的上限。</w:t>
      </w:r>
    </w:p>
    <w:p w14:paraId="2CBED8D8">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评标委员会同时将参照本须知规定，只对确定为实质上响应招标文件要求的投标进行下一步评定。</w:t>
      </w:r>
    </w:p>
    <w:p w14:paraId="3091A525">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定标原则</w:t>
      </w:r>
    </w:p>
    <w:p w14:paraId="5E794BA4">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通过资格性检查和符合性审查且报价不超过预算控制金额并同时具备以下条件的投标人应当确定为中标候选供应商或中标供应商：</w:t>
      </w:r>
    </w:p>
    <w:p w14:paraId="6E57AC31">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（一）满足招标文件实质性要求；</w:t>
      </w:r>
    </w:p>
    <w:p w14:paraId="3475B6EF">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（二）投标的价格最低。</w:t>
      </w:r>
    </w:p>
    <w:p w14:paraId="22F7AE4A">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14:paraId="12E620F5">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综合评分法</w:t>
      </w:r>
    </w:p>
    <w:p w14:paraId="218B02D7">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综合评分法是指在最大限度满足招标文件实质性要求前提下，按照招标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14:paraId="6CF8AF8B">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评标委员会将依据委托招标金额作为授予合同价格的上限。</w:t>
      </w:r>
    </w:p>
    <w:p w14:paraId="1B73659A">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评标委员会同时将参照本须知规定，只对确定为实质上响应招标文件要求的投标进行下一步评定。</w:t>
      </w:r>
    </w:p>
    <w:p w14:paraId="350D9365">
      <w:pPr>
        <w:spacing w:line="360" w:lineRule="auto"/>
        <w:ind w:firstLine="420" w:firstLineChars="200"/>
        <w:rPr>
          <w:rFonts w:asciiTheme="minorEastAsia" w:hAnsiTheme="minorEastAsia"/>
          <w:color w:val="auto"/>
          <w:szCs w:val="21"/>
          <w:highlight w:val="none"/>
        </w:rPr>
      </w:pPr>
      <w:bookmarkStart w:id="133" w:name="_Ref179621304"/>
      <w:r>
        <w:rPr>
          <w:rFonts w:asciiTheme="minorEastAsia" w:hAnsiTheme="minorEastAsia"/>
          <w:color w:val="auto"/>
          <w:szCs w:val="21"/>
          <w:highlight w:val="none"/>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招标文件。</w:t>
      </w:r>
      <w:bookmarkEnd w:id="133"/>
    </w:p>
    <w:p w14:paraId="64DC6A59">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评标总得分＝（A1×J+A2×S+…An×X）；</w:t>
      </w:r>
    </w:p>
    <w:p w14:paraId="76E8BE4E">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J、S、……X分别为各项评分因素，各因素满分均为100分；</w:t>
      </w:r>
    </w:p>
    <w:p w14:paraId="59D9BEB4">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A1 、A2、A3、...An分别是各项评分因素所占的权重（A1＋A2＋A3＋…＋An＝1）；</w:t>
      </w:r>
    </w:p>
    <w:p w14:paraId="1175EFB6">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价格分计算方法：满足招标文件要求且投标价格最低的投标报价为评标基准价，其价格分为满分。其他投标人的价格分统一按照下列公式计算：</w:t>
      </w:r>
    </w:p>
    <w:p w14:paraId="7479D74E">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投标报价得分=(评标基准价／投标报价)×价格权重×100</w:t>
      </w:r>
    </w:p>
    <w:p w14:paraId="0145C267">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定标原则：按评审后得分由高到低顺序排序。得分最高的投标供应商作为中标候选供应商或中标供应商。得分相同的，按投标报价由低到高排列。得分且投标报价相同的，按技术指标优劣顺序排列。</w:t>
      </w:r>
    </w:p>
    <w:p w14:paraId="6C3F8EA8">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性价比法</w:t>
      </w:r>
    </w:p>
    <w:p w14:paraId="5D50A76F">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性价比法，是指除价格因素外，经对投标文件进行评审，计算出各评分因素的总分，除以投标报价，以商数最高的投标供应商作为中标候选供应商或中标供应商的评标方法。</w:t>
      </w:r>
    </w:p>
    <w:p w14:paraId="7A3441FC">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评标委员会将依据委托招标金额作为授予合同价格的上限。</w:t>
      </w:r>
    </w:p>
    <w:p w14:paraId="41D459A2">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评标委员会同时将参照本须知第</w:t>
      </w: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REF _Ref179619330 \r \h  \* MERGEFORMAT </w:instrText>
      </w:r>
      <w:r>
        <w:rPr>
          <w:rFonts w:asciiTheme="minorEastAsia" w:hAnsiTheme="minorEastAsia"/>
          <w:color w:val="auto"/>
          <w:szCs w:val="21"/>
          <w:highlight w:val="none"/>
        </w:rPr>
        <w:fldChar w:fldCharType="separate"/>
      </w:r>
      <w:r>
        <w:rPr>
          <w:rFonts w:asciiTheme="minorEastAsia" w:hAnsiTheme="minorEastAsia"/>
          <w:b/>
          <w:color w:val="auto"/>
          <w:szCs w:val="21"/>
          <w:highlight w:val="none"/>
        </w:rPr>
        <w:t>29.6</w:t>
      </w:r>
      <w:r>
        <w:rPr>
          <w:rFonts w:asciiTheme="minorEastAsia" w:hAnsiTheme="minorEastAsia"/>
          <w:color w:val="auto"/>
          <w:szCs w:val="21"/>
          <w:highlight w:val="none"/>
        </w:rPr>
        <w:fldChar w:fldCharType="end"/>
      </w:r>
      <w:r>
        <w:rPr>
          <w:rFonts w:asciiTheme="minorEastAsia" w:hAnsiTheme="minorEastAsia"/>
          <w:color w:val="auto"/>
          <w:szCs w:val="21"/>
          <w:highlight w:val="none"/>
        </w:rPr>
        <w:t>条规定，只对确定为实质上响应招标文件要求的投标进行下一步评定。</w:t>
      </w:r>
    </w:p>
    <w:p w14:paraId="0A7F63B6">
      <w:pPr>
        <w:spacing w:line="360" w:lineRule="auto"/>
        <w:ind w:firstLine="420" w:firstLineChars="200"/>
        <w:rPr>
          <w:rFonts w:asciiTheme="minorEastAsia" w:hAnsiTheme="minorEastAsia"/>
          <w:color w:val="auto"/>
          <w:szCs w:val="21"/>
          <w:highlight w:val="none"/>
        </w:rPr>
      </w:pPr>
      <w:bookmarkStart w:id="134" w:name="_Ref179621588"/>
      <w:r>
        <w:rPr>
          <w:rFonts w:asciiTheme="minorEastAsia" w:hAnsiTheme="minorEastAsia"/>
          <w:color w:val="auto"/>
          <w:szCs w:val="21"/>
          <w:highlight w:val="none"/>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招标文件。</w:t>
      </w:r>
      <w:bookmarkEnd w:id="134"/>
    </w:p>
    <w:p w14:paraId="5420F803">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计算</w:t>
      </w:r>
    </w:p>
    <w:p w14:paraId="0FD75C17">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评标总得分=Bi/Ni</w:t>
      </w:r>
    </w:p>
    <w:p w14:paraId="53F49F64">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Ni——为投标供应商的投标报价；</w:t>
      </w:r>
    </w:p>
    <w:p w14:paraId="6A93B2A4">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Bi——为投标供应商的综合得分，其中Bi＝（A1×J+A2×C+…+An×F）；</w:t>
      </w:r>
    </w:p>
    <w:p w14:paraId="3F392C53">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J、C、……F分别为各项评分因素（技术、信誉、业绩、服务等因素），投标报价除外；各因素满分均为100分；</w:t>
      </w:r>
    </w:p>
    <w:p w14:paraId="0F663177">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A1 、A2、A3、...An分别是各项评分因素所占的权重（A1＋A2＋A3＋…＋An＝1）；</w:t>
      </w:r>
    </w:p>
    <w:p w14:paraId="5E845661">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定标原则</w:t>
      </w:r>
    </w:p>
    <w:p w14:paraId="15F2B144">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按商数得分由高到低顺序排列，以商数最高的投标供应商作为中标侯选供应商或中标供应商。商数得分相同的，按投标报价由低到高顺序排列。商数得分且投标报价相同的，按技术指标优劣顺序排列。</w:t>
      </w:r>
    </w:p>
    <w:p w14:paraId="1A873201">
      <w:pPr>
        <w:pStyle w:val="5"/>
        <w:ind w:firstLine="482"/>
        <w:rPr>
          <w:color w:val="auto"/>
          <w:highlight w:val="none"/>
        </w:rPr>
      </w:pPr>
      <w:bookmarkStart w:id="135" w:name="_Toc31060"/>
      <w:bookmarkStart w:id="136" w:name="_Toc55548528"/>
      <w:bookmarkStart w:id="137" w:name="_Toc12447"/>
      <w:r>
        <w:rPr>
          <w:color w:val="auto"/>
          <w:highlight w:val="none"/>
        </w:rPr>
        <w:t>六、授予合同</w:t>
      </w:r>
      <w:bookmarkEnd w:id="135"/>
      <w:bookmarkEnd w:id="136"/>
      <w:bookmarkEnd w:id="137"/>
    </w:p>
    <w:p w14:paraId="4F9621F6">
      <w:pPr>
        <w:pStyle w:val="4"/>
        <w:spacing w:line="360" w:lineRule="auto"/>
        <w:ind w:firstLine="482"/>
        <w:rPr>
          <w:color w:val="auto"/>
          <w:highlight w:val="none"/>
        </w:rPr>
      </w:pPr>
      <w:bookmarkStart w:id="138" w:name="_Toc55548529"/>
      <w:bookmarkStart w:id="139" w:name="_Toc4551"/>
      <w:r>
        <w:rPr>
          <w:rFonts w:hint="eastAsia"/>
          <w:color w:val="auto"/>
          <w:highlight w:val="none"/>
        </w:rPr>
        <w:t>最终审查</w:t>
      </w:r>
      <w:bookmarkEnd w:id="138"/>
      <w:bookmarkEnd w:id="139"/>
    </w:p>
    <w:p w14:paraId="4DA1ACCA">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评标委员会将根据本须知列出的标准审查第一中标候选人是否有能力圆满地履行合同。</w:t>
      </w:r>
    </w:p>
    <w:p w14:paraId="4E6E93BA">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授标决定时还将考虑投标人的财务、技术和生产能力在招标期间是否有实质性变化。其基础是审查投标人按照本须知规定提交的资格证明文件和评标委员会认为必要的、合适的其它资料。</w:t>
      </w:r>
    </w:p>
    <w:p w14:paraId="03263851">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如果审查通过，评标委员会将把合同授予该投标人；如果审查没有通过，评标委员会将拒绝其投标，并对下一个中标候选人能否令人满意地履行合同作类似的审查。</w:t>
      </w:r>
    </w:p>
    <w:p w14:paraId="6C4B248F">
      <w:pPr>
        <w:pStyle w:val="4"/>
        <w:spacing w:line="360" w:lineRule="auto"/>
        <w:ind w:firstLine="482"/>
        <w:rPr>
          <w:color w:val="auto"/>
          <w:highlight w:val="none"/>
        </w:rPr>
      </w:pPr>
      <w:bookmarkStart w:id="140" w:name="_Toc9998"/>
      <w:bookmarkStart w:id="141" w:name="_Toc55548530"/>
      <w:r>
        <w:rPr>
          <w:rFonts w:hint="eastAsia"/>
          <w:color w:val="auto"/>
          <w:highlight w:val="none"/>
        </w:rPr>
        <w:t>合同授予标准</w:t>
      </w:r>
      <w:bookmarkEnd w:id="140"/>
      <w:bookmarkEnd w:id="141"/>
    </w:p>
    <w:p w14:paraId="19C67771">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评标委员会将把合同授予被确定为实质上响应招标文件的要求并有履行合同能力的最低评标价的投标人或综合评价得分最高的投标人或评标总商数最高的投标人。</w:t>
      </w:r>
    </w:p>
    <w:p w14:paraId="6DE0ED69">
      <w:pPr>
        <w:pStyle w:val="4"/>
        <w:spacing w:line="360" w:lineRule="auto"/>
        <w:ind w:firstLine="482"/>
        <w:rPr>
          <w:color w:val="auto"/>
          <w:highlight w:val="none"/>
        </w:rPr>
      </w:pPr>
      <w:bookmarkStart w:id="142" w:name="_Toc55548532"/>
      <w:bookmarkStart w:id="143" w:name="_Toc29853"/>
      <w:r>
        <w:rPr>
          <w:rFonts w:hint="eastAsia"/>
          <w:color w:val="auto"/>
          <w:highlight w:val="none"/>
        </w:rPr>
        <w:t>中标结果公示</w:t>
      </w:r>
      <w:bookmarkEnd w:id="142"/>
      <w:bookmarkEnd w:id="143"/>
    </w:p>
    <w:p w14:paraId="6900BA4C">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为体现“公开、公平、公正”的原则，评标结束后，将在</w:t>
      </w:r>
      <w:r>
        <w:rPr>
          <w:rFonts w:hint="eastAsia" w:asciiTheme="minorEastAsia" w:hAnsiTheme="minorEastAsia"/>
          <w:color w:val="auto"/>
          <w:szCs w:val="21"/>
          <w:highlight w:val="none"/>
        </w:rPr>
        <w:t>https://www.bawjxt.net/baqjbyfkzzx/ (深圳市宝安区疾病预防控制中心官网)</w:t>
      </w:r>
      <w:r>
        <w:rPr>
          <w:rFonts w:asciiTheme="minorEastAsia" w:hAnsiTheme="minorEastAsia"/>
          <w:color w:val="auto"/>
          <w:szCs w:val="21"/>
          <w:highlight w:val="none"/>
        </w:rPr>
        <w:t>进行中标结果公示，公示期为三日。投标人如对评标结果有异议，应于公示期内以书面形式提出。若在公示期内未提出异议，则视为无异议或放弃异议权。</w:t>
      </w:r>
    </w:p>
    <w:p w14:paraId="5BF7D7D7">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14:paraId="4E2031F7">
      <w:pPr>
        <w:pStyle w:val="4"/>
        <w:spacing w:line="360" w:lineRule="auto"/>
        <w:ind w:firstLine="482"/>
        <w:rPr>
          <w:color w:val="auto"/>
          <w:highlight w:val="none"/>
        </w:rPr>
      </w:pPr>
      <w:bookmarkStart w:id="144" w:name="_Toc5257"/>
      <w:bookmarkStart w:id="145" w:name="_Toc55548533"/>
      <w:bookmarkStart w:id="146" w:name="_Ref179619923"/>
      <w:r>
        <w:rPr>
          <w:rFonts w:hint="eastAsia"/>
          <w:color w:val="auto"/>
          <w:highlight w:val="none"/>
        </w:rPr>
        <w:t>接受和拒绝任何或所有投标的权力</w:t>
      </w:r>
      <w:bookmarkEnd w:id="144"/>
      <w:bookmarkEnd w:id="145"/>
      <w:bookmarkEnd w:id="146"/>
    </w:p>
    <w:p w14:paraId="4429A8EC">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在特殊情况下，招标人保留在授标之前拒绝任何投标以及宣布招标程序无效或拒绝所有投标的权力，且对受影响的投标人不承担任何责任，也无义务向受影响的投标人解释采取这一行动的理由。</w:t>
      </w:r>
    </w:p>
    <w:p w14:paraId="0D42378F">
      <w:pPr>
        <w:pStyle w:val="4"/>
        <w:spacing w:line="360" w:lineRule="auto"/>
        <w:ind w:firstLine="482"/>
        <w:rPr>
          <w:color w:val="auto"/>
          <w:highlight w:val="none"/>
        </w:rPr>
      </w:pPr>
      <w:bookmarkStart w:id="147" w:name="_Toc1842"/>
      <w:bookmarkStart w:id="148" w:name="_Toc55548534"/>
      <w:r>
        <w:rPr>
          <w:rFonts w:hint="eastAsia"/>
          <w:color w:val="auto"/>
          <w:highlight w:val="none"/>
        </w:rPr>
        <w:t>中标通知书</w:t>
      </w:r>
      <w:bookmarkEnd w:id="147"/>
      <w:bookmarkEnd w:id="148"/>
    </w:p>
    <w:p w14:paraId="405A29EA">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中标人确定后，</w:t>
      </w:r>
      <w:r>
        <w:rPr>
          <w:rFonts w:hint="eastAsia" w:asciiTheme="minorEastAsia" w:hAnsiTheme="minorEastAsia"/>
          <w:color w:val="auto"/>
          <w:szCs w:val="21"/>
          <w:highlight w:val="none"/>
        </w:rPr>
        <w:t>本中心</w:t>
      </w:r>
      <w:r>
        <w:rPr>
          <w:rFonts w:asciiTheme="minorEastAsia" w:hAnsiTheme="minorEastAsia"/>
          <w:color w:val="auto"/>
          <w:szCs w:val="21"/>
          <w:highlight w:val="none"/>
        </w:rPr>
        <w:t>将向中标人发出《中标通知书》。</w:t>
      </w:r>
    </w:p>
    <w:p w14:paraId="5E06BBFD">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《中标通知书》是合同的一个组成部分。</w:t>
      </w:r>
    </w:p>
    <w:p w14:paraId="4366CBC6">
      <w:pPr>
        <w:pStyle w:val="4"/>
        <w:spacing w:line="360" w:lineRule="auto"/>
        <w:ind w:firstLine="482"/>
        <w:rPr>
          <w:color w:val="auto"/>
          <w:highlight w:val="none"/>
        </w:rPr>
      </w:pPr>
      <w:bookmarkStart w:id="149" w:name="_Toc11931"/>
      <w:bookmarkStart w:id="150" w:name="_Ref179619520"/>
      <w:bookmarkStart w:id="151" w:name="_Toc55548535"/>
      <w:r>
        <w:rPr>
          <w:rFonts w:hint="eastAsia"/>
          <w:color w:val="auto"/>
          <w:highlight w:val="none"/>
        </w:rPr>
        <w:t>签订合同</w:t>
      </w:r>
      <w:bookmarkEnd w:id="149"/>
      <w:bookmarkEnd w:id="150"/>
      <w:bookmarkEnd w:id="151"/>
    </w:p>
    <w:p w14:paraId="59A4563A">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《中标通知书》发出后10个工作日内，中标人应按照招标文件和中标人的投标文件订立书面合同。中标人不得与招标人再订立背离合同实质性内容的其他协议。</w:t>
      </w:r>
    </w:p>
    <w:p w14:paraId="108CCD1C">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招标文件、中标人的投标文件及其澄清文件等，均为签订合同的依据。</w:t>
      </w:r>
    </w:p>
    <w:p w14:paraId="04A55D14">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合同签订后5个工作日内，中标人须将合同副本(合同复印件加盖中标人公章，原件核验)送</w:t>
      </w:r>
      <w:r>
        <w:rPr>
          <w:rFonts w:hint="eastAsia" w:asciiTheme="minorEastAsia" w:hAnsiTheme="minorEastAsia"/>
          <w:color w:val="auto"/>
          <w:szCs w:val="21"/>
          <w:highlight w:val="none"/>
        </w:rPr>
        <w:t>本中心</w:t>
      </w:r>
      <w:r>
        <w:rPr>
          <w:rFonts w:asciiTheme="minorEastAsia" w:hAnsiTheme="minorEastAsia"/>
          <w:color w:val="auto"/>
          <w:szCs w:val="21"/>
          <w:highlight w:val="none"/>
        </w:rPr>
        <w:t>存档备案。</w:t>
      </w:r>
    </w:p>
    <w:p w14:paraId="56F07AB1">
      <w:pPr>
        <w:spacing w:line="360" w:lineRule="auto"/>
        <w:ind w:firstLine="420" w:firstLineChars="200"/>
        <w:rPr>
          <w:color w:val="auto"/>
          <w:highlight w:val="none"/>
        </w:rPr>
        <w:sectPr>
          <w:pgSz w:w="11906" w:h="16838"/>
          <w:pgMar w:top="1418" w:right="1474" w:bottom="1418" w:left="1474" w:header="851" w:footer="992" w:gutter="0"/>
          <w:cols w:space="425" w:num="1"/>
          <w:docGrid w:type="lines" w:linePitch="312" w:charSpace="0"/>
        </w:sectPr>
      </w:pPr>
    </w:p>
    <w:p w14:paraId="629FBB81">
      <w:pPr>
        <w:pStyle w:val="3"/>
        <w:rPr>
          <w:color w:val="auto"/>
          <w:highlight w:val="none"/>
        </w:rPr>
      </w:pPr>
      <w:bookmarkStart w:id="152" w:name="_Toc61880307"/>
      <w:bookmarkStart w:id="153" w:name="_Toc61539111"/>
      <w:bookmarkStart w:id="154" w:name="_Toc14418"/>
      <w:r>
        <w:rPr>
          <w:rFonts w:hint="eastAsia"/>
          <w:color w:val="auto"/>
          <w:highlight w:val="none"/>
        </w:rPr>
        <w:t>第四章  附件－投标文件格式</w:t>
      </w:r>
      <w:bookmarkEnd w:id="152"/>
      <w:bookmarkEnd w:id="153"/>
      <w:bookmarkEnd w:id="154"/>
    </w:p>
    <w:p w14:paraId="24E93096">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附件1：投标函格式</w:t>
      </w:r>
    </w:p>
    <w:p w14:paraId="20F9B379">
      <w:pPr>
        <w:keepNext/>
        <w:keepLines/>
        <w:spacing w:before="160" w:after="170"/>
        <w:ind w:firstLine="602" w:firstLineChars="200"/>
        <w:jc w:val="center"/>
        <w:outlineLvl w:val="4"/>
        <w:rPr>
          <w:b/>
          <w:bCs/>
          <w:color w:val="auto"/>
          <w:sz w:val="30"/>
          <w:szCs w:val="28"/>
          <w:highlight w:val="none"/>
        </w:rPr>
      </w:pPr>
      <w:bookmarkStart w:id="155" w:name="_Toc55548538"/>
      <w:r>
        <w:rPr>
          <w:rFonts w:hint="eastAsia"/>
          <w:b/>
          <w:bCs/>
          <w:color w:val="auto"/>
          <w:sz w:val="30"/>
          <w:szCs w:val="28"/>
          <w:highlight w:val="none"/>
        </w:rPr>
        <w:t>投标函</w:t>
      </w:r>
      <w:bookmarkEnd w:id="155"/>
    </w:p>
    <w:p w14:paraId="2666FFA7">
      <w:pPr>
        <w:spacing w:line="360" w:lineRule="auto"/>
        <w:ind w:firstLine="420" w:firstLineChars="200"/>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color w:val="auto"/>
          <w:szCs w:val="21"/>
          <w:highlight w:val="none"/>
        </w:rPr>
        <w:t>致：</w:t>
      </w:r>
      <w:r>
        <w:rPr>
          <w:rFonts w:hint="eastAsia" w:asciiTheme="minorEastAsia" w:hAnsiTheme="minorEastAsia"/>
          <w:color w:val="auto"/>
          <w:szCs w:val="21"/>
          <w:highlight w:val="none"/>
          <w:u w:val="single"/>
        </w:rPr>
        <w:t>深圳市宝安区疾病预防控制中心</w:t>
      </w: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lang w:val="en-US" w:eastAsia="zh-CN"/>
        </w:rPr>
        <w:t>深圳市宝安区卫生监督所</w:t>
      </w:r>
      <w:r>
        <w:rPr>
          <w:rFonts w:hint="eastAsia" w:asciiTheme="minorEastAsia" w:hAnsiTheme="minorEastAsia"/>
          <w:color w:val="auto"/>
          <w:szCs w:val="21"/>
          <w:highlight w:val="none"/>
          <w:u w:val="single"/>
          <w:lang w:eastAsia="zh-CN"/>
        </w:rPr>
        <w:t>）</w:t>
      </w:r>
    </w:p>
    <w:p w14:paraId="586A6336">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我们收到你们组织的</w:t>
      </w:r>
      <w:r>
        <w:rPr>
          <w:rFonts w:hint="eastAsia" w:asciiTheme="minorEastAsia" w:hAnsiTheme="minorEastAsia"/>
          <w:color w:val="auto"/>
          <w:szCs w:val="21"/>
          <w:highlight w:val="none"/>
          <w:u w:val="single"/>
        </w:rPr>
        <w:t xml:space="preserve"> （项目名称） </w:t>
      </w:r>
      <w:r>
        <w:rPr>
          <w:rFonts w:hint="eastAsia" w:asciiTheme="minorEastAsia" w:hAnsiTheme="minorEastAsia"/>
          <w:color w:val="auto"/>
          <w:szCs w:val="21"/>
          <w:highlight w:val="none"/>
        </w:rPr>
        <w:t xml:space="preserve">招标文件，经详细研究，我们决定参加该项目 </w:t>
      </w:r>
      <w:r>
        <w:rPr>
          <w:rFonts w:hint="eastAsia" w:asciiTheme="minorEastAsia" w:hAnsiTheme="minorEastAsia"/>
          <w:color w:val="auto"/>
          <w:szCs w:val="21"/>
          <w:highlight w:val="none"/>
          <w:u w:val="single"/>
        </w:rPr>
        <w:t xml:space="preserve">（项目编号） </w:t>
      </w:r>
      <w:r>
        <w:rPr>
          <w:rFonts w:hint="eastAsia" w:asciiTheme="minorEastAsia" w:hAnsiTheme="minorEastAsia"/>
          <w:color w:val="auto"/>
          <w:szCs w:val="21"/>
          <w:highlight w:val="none"/>
        </w:rPr>
        <w:t xml:space="preserve"> 招标的有关活动，并投标。为此，我方谨郑重声明以下诸点，并对之负法律责任。</w:t>
      </w:r>
    </w:p>
    <w:p w14:paraId="046CFBA4">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1、我方愿以《开标一览表》中填写的投标总价并按照招标文件中的一切要求，承担上述项目的全部工作。</w:t>
      </w:r>
    </w:p>
    <w:p w14:paraId="63FE8111">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2、我方提交的投标文件为：投标书正本一份，副本二份，电子档文件一份。</w:t>
      </w:r>
    </w:p>
    <w:p w14:paraId="35AA55BF">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3、如果我们投标书被接受，我们将履行招标文件中规定的每一项要求，按期、按质、按量完成任务。</w:t>
      </w:r>
    </w:p>
    <w:p w14:paraId="62A861CB">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4、我们愿意提供招标文件中要求的所有资料，且所递交的投标文件在投标有效期（即90天）内有效，在此期间内我方的投标有可能中标，我方将受此约束。</w:t>
      </w:r>
    </w:p>
    <w:p w14:paraId="70BC87AD">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5、我们理解，最低报价不是中标的唯一条件。我们认为你们有选择或拒绝任何投标者中标的权利。</w:t>
      </w:r>
    </w:p>
    <w:p w14:paraId="0BADFD60">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6、我方愿按《中华人民共和国合同法》履行自己的全部责任。</w:t>
      </w:r>
    </w:p>
    <w:p w14:paraId="2CDDF35D">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7、我们同意招标文件之规定，遵守有关招标的各项规定。</w:t>
      </w:r>
    </w:p>
    <w:p w14:paraId="59CE060F">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8</w:t>
      </w:r>
      <w:r>
        <w:rPr>
          <w:rFonts w:hint="eastAsia" w:asciiTheme="minorEastAsia" w:hAnsiTheme="minorEastAsia"/>
          <w:color w:val="auto"/>
          <w:szCs w:val="21"/>
          <w:highlight w:val="none"/>
        </w:rPr>
        <w:t>、所有有关本标书的函电，请按下列地址联系：</w:t>
      </w:r>
    </w:p>
    <w:p w14:paraId="4FCB4E08">
      <w:pPr>
        <w:spacing w:line="360" w:lineRule="auto"/>
        <w:ind w:firstLine="420" w:firstLineChars="200"/>
        <w:rPr>
          <w:rFonts w:asciiTheme="minorEastAsia" w:hAnsiTheme="minorEastAsia"/>
          <w:color w:val="auto"/>
          <w:szCs w:val="21"/>
          <w:highlight w:val="none"/>
        </w:rPr>
      </w:pPr>
    </w:p>
    <w:p w14:paraId="457D67EA">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单    位： （盖章）</w:t>
      </w:r>
    </w:p>
    <w:p w14:paraId="77086222">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授权代表或法人代表： （签字）</w:t>
      </w:r>
    </w:p>
    <w:p w14:paraId="17A9A24C">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地    址： </w:t>
      </w:r>
    </w:p>
    <w:p w14:paraId="61C3FF78">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电    话：     </w:t>
      </w:r>
    </w:p>
    <w:p w14:paraId="372C91D6">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传    真：</w:t>
      </w:r>
    </w:p>
    <w:p w14:paraId="43E38028">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邮    编：</w:t>
      </w:r>
    </w:p>
    <w:p w14:paraId="09B847F7">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br w:type="page"/>
      </w:r>
      <w:r>
        <w:rPr>
          <w:rFonts w:hint="eastAsia" w:asciiTheme="minorEastAsia" w:hAnsiTheme="minorEastAsia"/>
          <w:color w:val="auto"/>
          <w:szCs w:val="21"/>
          <w:highlight w:val="none"/>
        </w:rPr>
        <w:t>附件2：政府采购投标及履约承诺函</w:t>
      </w:r>
    </w:p>
    <w:p w14:paraId="7DAD8281">
      <w:pPr>
        <w:keepNext/>
        <w:keepLines/>
        <w:spacing w:before="160" w:after="170"/>
        <w:ind w:firstLine="602" w:firstLineChars="200"/>
        <w:jc w:val="center"/>
        <w:outlineLvl w:val="4"/>
        <w:rPr>
          <w:b/>
          <w:bCs/>
          <w:color w:val="auto"/>
          <w:sz w:val="30"/>
          <w:szCs w:val="28"/>
          <w:highlight w:val="none"/>
        </w:rPr>
      </w:pPr>
      <w:bookmarkStart w:id="156" w:name="_Toc55548539"/>
      <w:bookmarkStart w:id="157" w:name="_Toc30545"/>
      <w:r>
        <w:rPr>
          <w:rFonts w:hint="eastAsia"/>
          <w:b/>
          <w:bCs/>
          <w:color w:val="auto"/>
          <w:sz w:val="30"/>
          <w:szCs w:val="28"/>
          <w:highlight w:val="none"/>
        </w:rPr>
        <w:t>政府采购投标及履约承诺函</w:t>
      </w:r>
      <w:bookmarkEnd w:id="156"/>
    </w:p>
    <w:p w14:paraId="04747C6A">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致：深圳市宝安区疾病预防控制中心</w:t>
      </w:r>
    </w:p>
    <w:p w14:paraId="03D59134">
      <w:pPr>
        <w:spacing w:line="360" w:lineRule="auto"/>
        <w:ind w:right="-815"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我公司承诺：</w:t>
      </w:r>
    </w:p>
    <w:p w14:paraId="33302F30">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1.我公司本招标项目所提供的货物或服务未侵犯知识产权。</w:t>
      </w:r>
    </w:p>
    <w:p w14:paraId="5A8F2039">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2.我公司近三年内(成立不足三年的从成立之日起算)无行贿犯罪记录。</w:t>
      </w:r>
    </w:p>
    <w:p w14:paraId="3FD4181A">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3.我公司参与本项目政府采购活动时不存在被有关部门禁止参与政府采购活动且在有效期内的情况。</w:t>
      </w:r>
    </w:p>
    <w:p w14:paraId="46AD7EC7">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4.我公司具备《中华人民共和国政府采购法》第二十二条第一款规定的资质。</w:t>
      </w:r>
    </w:p>
    <w:p w14:paraId="08E57043">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5.我公司与其他投标供应商不存在单位负责人为同一人或者存在直接控股、管理关系，未对本次采购项目提供整体设计、规范编制或者项目管理、监理、检测等服务。</w:t>
      </w:r>
    </w:p>
    <w:p w14:paraId="65107741">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6.我公司未被列入失信被执行人、重大税收违法案件当事人名单、政府采购严重违法失信行为记录名单。</w:t>
      </w:r>
    </w:p>
    <w:p w14:paraId="43BBEC4D">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1B653133">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8.我公司如果中标，做到守信，不偷工减料，依照本项目招标文件需求内容、签署的采购合同及本公司在投标中所作的一切承诺履约。项目验收达到全部指标合格，力争优良。</w:t>
      </w:r>
    </w:p>
    <w:p w14:paraId="141D223C">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CB70DD2">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10.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59A09B4">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11.我公司承诺本项目非联合体投标，不非法转包、分包。</w:t>
      </w:r>
    </w:p>
    <w:p w14:paraId="1173251F">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以上承诺，如有违反，愿依照国家相关法律处理，并承担由此给采购人带来的损失。</w:t>
      </w:r>
    </w:p>
    <w:p w14:paraId="0963CADD">
      <w:pPr>
        <w:adjustRightInd w:val="0"/>
        <w:snapToGrid w:val="0"/>
        <w:spacing w:line="360" w:lineRule="auto"/>
        <w:ind w:firstLine="422" w:firstLineChars="200"/>
        <w:rPr>
          <w:rFonts w:asciiTheme="minorEastAsia" w:hAnsiTheme="minorEastAsia"/>
          <w:b/>
          <w:snapToGrid w:val="0"/>
          <w:color w:val="auto"/>
          <w:kern w:val="0"/>
          <w:szCs w:val="21"/>
          <w:highlight w:val="none"/>
        </w:rPr>
      </w:pPr>
    </w:p>
    <w:p w14:paraId="546A4764">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投标供应商：</w:t>
      </w:r>
    </w:p>
    <w:p w14:paraId="0C41AFA2">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法人或授权代表：</w:t>
      </w:r>
    </w:p>
    <w:p w14:paraId="4EFB8755">
      <w:pPr>
        <w:spacing w:line="360" w:lineRule="auto"/>
        <w:ind w:firstLine="420" w:firstLineChars="200"/>
        <w:rPr>
          <w:rFonts w:asciiTheme="minorEastAsia" w:hAnsiTheme="minorEastAsia"/>
          <w:color w:val="auto"/>
          <w:szCs w:val="21"/>
          <w:highlight w:val="none"/>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auto"/>
          <w:szCs w:val="21"/>
          <w:highlight w:val="none"/>
        </w:rPr>
        <w:t>日期：</w:t>
      </w:r>
    </w:p>
    <w:p w14:paraId="2283AB89">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附件3：诚信承诺函格式</w:t>
      </w:r>
      <w:bookmarkEnd w:id="157"/>
    </w:p>
    <w:p w14:paraId="30587093">
      <w:pPr>
        <w:keepNext/>
        <w:keepLines/>
        <w:spacing w:before="160" w:after="170"/>
        <w:ind w:firstLine="602" w:firstLineChars="200"/>
        <w:jc w:val="center"/>
        <w:outlineLvl w:val="4"/>
        <w:rPr>
          <w:b/>
          <w:bCs/>
          <w:snapToGrid w:val="0"/>
          <w:color w:val="auto"/>
          <w:sz w:val="30"/>
          <w:szCs w:val="28"/>
          <w:highlight w:val="none"/>
        </w:rPr>
      </w:pPr>
      <w:bookmarkStart w:id="158" w:name="_Toc55548540"/>
      <w:r>
        <w:rPr>
          <w:rFonts w:hint="eastAsia"/>
          <w:b/>
          <w:bCs/>
          <w:snapToGrid w:val="0"/>
          <w:color w:val="auto"/>
          <w:sz w:val="30"/>
          <w:szCs w:val="28"/>
          <w:highlight w:val="none"/>
        </w:rPr>
        <w:t>诚信承诺函</w:t>
      </w:r>
      <w:bookmarkEnd w:id="158"/>
    </w:p>
    <w:p w14:paraId="4BE38E05">
      <w:pPr>
        <w:spacing w:line="360" w:lineRule="auto"/>
        <w:ind w:firstLine="420" w:firstLineChars="200"/>
        <w:rPr>
          <w:rFonts w:cs="Courier New" w:asciiTheme="minorEastAsia" w:hAnsiTheme="minorEastAsia"/>
          <w:snapToGrid w:val="0"/>
          <w:color w:val="auto"/>
          <w:szCs w:val="21"/>
          <w:highlight w:val="none"/>
        </w:rPr>
      </w:pPr>
      <w:r>
        <w:rPr>
          <w:rFonts w:hint="eastAsia" w:cs="Courier New" w:asciiTheme="minorEastAsia" w:hAnsiTheme="minorEastAsia"/>
          <w:snapToGrid w:val="0"/>
          <w:color w:val="auto"/>
          <w:szCs w:val="21"/>
          <w:highlight w:val="none"/>
        </w:rPr>
        <w:t>深圳市宝安区疾病预防控制中心：</w:t>
      </w:r>
    </w:p>
    <w:p w14:paraId="73CC2EC1">
      <w:pPr>
        <w:spacing w:line="360" w:lineRule="auto"/>
        <w:ind w:firstLine="420" w:firstLineChars="200"/>
        <w:rPr>
          <w:rFonts w:cs="Courier New" w:asciiTheme="minorEastAsia" w:hAnsiTheme="minorEastAsia"/>
          <w:snapToGrid w:val="0"/>
          <w:color w:val="auto"/>
          <w:szCs w:val="21"/>
          <w:highlight w:val="none"/>
        </w:rPr>
      </w:pPr>
      <w:r>
        <w:rPr>
          <w:rFonts w:hint="eastAsia" w:cs="Courier New" w:asciiTheme="minorEastAsia" w:hAnsiTheme="minorEastAsia"/>
          <w:snapToGrid w:val="0"/>
          <w:color w:val="auto"/>
          <w:szCs w:val="21"/>
          <w:highlight w:val="none"/>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14:paraId="7B2A9340">
      <w:pPr>
        <w:spacing w:line="360" w:lineRule="auto"/>
        <w:ind w:firstLine="420" w:firstLineChars="200"/>
        <w:rPr>
          <w:rFonts w:cs="Courier New" w:asciiTheme="minorEastAsia" w:hAnsiTheme="minorEastAsia"/>
          <w:snapToGrid w:val="0"/>
          <w:color w:val="auto"/>
          <w:szCs w:val="21"/>
          <w:highlight w:val="none"/>
        </w:rPr>
      </w:pPr>
      <w:r>
        <w:rPr>
          <w:rFonts w:hint="eastAsia" w:cs="Courier New" w:asciiTheme="minorEastAsia" w:hAnsiTheme="minorEastAsia"/>
          <w:snapToGrid w:val="0"/>
          <w:color w:val="auto"/>
          <w:szCs w:val="21"/>
          <w:highlight w:val="none"/>
        </w:rPr>
        <w:t>我公司承诺，在参加政府采购活动中没有出现下列行为之一：</w:t>
      </w:r>
    </w:p>
    <w:p w14:paraId="2B60093E">
      <w:pPr>
        <w:spacing w:line="360" w:lineRule="auto"/>
        <w:ind w:firstLine="420" w:firstLineChars="200"/>
        <w:rPr>
          <w:rFonts w:cs="Courier New" w:asciiTheme="minorEastAsia" w:hAnsiTheme="minorEastAsia"/>
          <w:snapToGrid w:val="0"/>
          <w:color w:val="auto"/>
          <w:szCs w:val="21"/>
          <w:highlight w:val="none"/>
        </w:rPr>
      </w:pPr>
      <w:r>
        <w:rPr>
          <w:rFonts w:hint="eastAsia" w:cs="Courier New" w:asciiTheme="minorEastAsia" w:hAnsiTheme="minorEastAsia"/>
          <w:snapToGrid w:val="0"/>
          <w:color w:val="auto"/>
          <w:szCs w:val="21"/>
          <w:highlight w:val="none"/>
        </w:rPr>
        <w:t>（一）投标截止后，无正当理由撤销其投标行为，导致项目无法正常开评标的；</w:t>
      </w:r>
    </w:p>
    <w:p w14:paraId="1E4F6744">
      <w:pPr>
        <w:spacing w:line="360" w:lineRule="auto"/>
        <w:ind w:firstLine="420" w:firstLineChars="200"/>
        <w:rPr>
          <w:rFonts w:cs="Courier New" w:asciiTheme="minorEastAsia" w:hAnsiTheme="minorEastAsia"/>
          <w:snapToGrid w:val="0"/>
          <w:color w:val="auto"/>
          <w:szCs w:val="21"/>
          <w:highlight w:val="none"/>
        </w:rPr>
      </w:pPr>
      <w:r>
        <w:rPr>
          <w:rFonts w:hint="eastAsia" w:cs="Courier New" w:asciiTheme="minorEastAsia" w:hAnsiTheme="minorEastAsia"/>
          <w:snapToGrid w:val="0"/>
          <w:color w:val="auto"/>
          <w:szCs w:val="21"/>
          <w:highlight w:val="none"/>
        </w:rPr>
        <w:t>（二）未按《采购条例》规定签订、履行采购合同，严重影响采购人日常工作的；</w:t>
      </w:r>
    </w:p>
    <w:p w14:paraId="67396A13">
      <w:pPr>
        <w:spacing w:line="360" w:lineRule="auto"/>
        <w:ind w:firstLine="420" w:firstLineChars="200"/>
        <w:rPr>
          <w:rFonts w:cs="Courier New" w:asciiTheme="minorEastAsia" w:hAnsiTheme="minorEastAsia"/>
          <w:snapToGrid w:val="0"/>
          <w:color w:val="auto"/>
          <w:szCs w:val="21"/>
          <w:highlight w:val="none"/>
        </w:rPr>
      </w:pPr>
      <w:r>
        <w:rPr>
          <w:rFonts w:hint="eastAsia" w:cs="Courier New" w:asciiTheme="minorEastAsia" w:hAnsiTheme="minorEastAsia"/>
          <w:snapToGrid w:val="0"/>
          <w:color w:val="auto"/>
          <w:szCs w:val="21"/>
          <w:highlight w:val="none"/>
        </w:rPr>
        <w:t>（三）在投标文件中未说明且未经采购人同意，将中标项目分包给他人，情节严重的；</w:t>
      </w:r>
    </w:p>
    <w:p w14:paraId="20A75AF5">
      <w:pPr>
        <w:spacing w:line="360" w:lineRule="auto"/>
        <w:ind w:firstLine="420" w:firstLineChars="200"/>
        <w:rPr>
          <w:rFonts w:cs="Courier New" w:asciiTheme="minorEastAsia" w:hAnsiTheme="minorEastAsia"/>
          <w:snapToGrid w:val="0"/>
          <w:color w:val="auto"/>
          <w:szCs w:val="21"/>
          <w:highlight w:val="none"/>
        </w:rPr>
      </w:pPr>
      <w:r>
        <w:rPr>
          <w:rFonts w:hint="eastAsia" w:cs="Courier New" w:asciiTheme="minorEastAsia" w:hAnsiTheme="minorEastAsia"/>
          <w:snapToGrid w:val="0"/>
          <w:color w:val="auto"/>
          <w:szCs w:val="21"/>
          <w:highlight w:val="none"/>
        </w:rPr>
        <w:t>（四）严重违反合同约定，擅自降低货物质量等次和售后服务，货物、工程或者服务存在严重质量问题的；</w:t>
      </w:r>
    </w:p>
    <w:p w14:paraId="4F592CBD">
      <w:pPr>
        <w:spacing w:line="360" w:lineRule="auto"/>
        <w:ind w:firstLine="420" w:firstLineChars="200"/>
        <w:rPr>
          <w:rFonts w:cs="Courier New" w:asciiTheme="minorEastAsia" w:hAnsiTheme="minorEastAsia"/>
          <w:snapToGrid w:val="0"/>
          <w:color w:val="auto"/>
          <w:szCs w:val="21"/>
          <w:highlight w:val="none"/>
        </w:rPr>
      </w:pPr>
      <w:r>
        <w:rPr>
          <w:rFonts w:hint="eastAsia" w:cs="Courier New" w:asciiTheme="minorEastAsia" w:hAnsiTheme="minorEastAsia"/>
          <w:snapToGrid w:val="0"/>
          <w:color w:val="auto"/>
          <w:szCs w:val="21"/>
          <w:highlight w:val="none"/>
        </w:rPr>
        <w:t>（五）严重违反合同约定，未能完成全部货物、服务或工程项目，中途停止配送或者变相增加费用的；</w:t>
      </w:r>
    </w:p>
    <w:p w14:paraId="2B16304B">
      <w:pPr>
        <w:spacing w:line="360" w:lineRule="auto"/>
        <w:ind w:firstLine="420" w:firstLineChars="200"/>
        <w:rPr>
          <w:rFonts w:cs="Courier New" w:asciiTheme="minorEastAsia" w:hAnsiTheme="minorEastAsia"/>
          <w:snapToGrid w:val="0"/>
          <w:color w:val="auto"/>
          <w:szCs w:val="21"/>
          <w:highlight w:val="none"/>
        </w:rPr>
      </w:pPr>
      <w:r>
        <w:rPr>
          <w:rFonts w:hint="eastAsia" w:cs="Courier New" w:asciiTheme="minorEastAsia" w:hAnsiTheme="minorEastAsia"/>
          <w:snapToGrid w:val="0"/>
          <w:color w:val="auto"/>
          <w:szCs w:val="21"/>
          <w:highlight w:val="none"/>
        </w:rPr>
        <w:t>（六）捏造事实、提供虚假材料进行质疑的；</w:t>
      </w:r>
    </w:p>
    <w:p w14:paraId="0D477ABA">
      <w:pPr>
        <w:spacing w:line="360" w:lineRule="auto"/>
        <w:ind w:firstLine="420" w:firstLineChars="200"/>
        <w:rPr>
          <w:rFonts w:cs="Courier New" w:asciiTheme="minorEastAsia" w:hAnsiTheme="minorEastAsia"/>
          <w:snapToGrid w:val="0"/>
          <w:color w:val="auto"/>
          <w:szCs w:val="21"/>
          <w:highlight w:val="none"/>
        </w:rPr>
      </w:pPr>
      <w:r>
        <w:rPr>
          <w:rFonts w:hint="eastAsia" w:cs="Courier New" w:asciiTheme="minorEastAsia" w:hAnsiTheme="minorEastAsia"/>
          <w:snapToGrid w:val="0"/>
          <w:color w:val="auto"/>
          <w:szCs w:val="21"/>
          <w:highlight w:val="none"/>
        </w:rPr>
        <w:t>（七）假冒他人名义质疑的；</w:t>
      </w:r>
    </w:p>
    <w:p w14:paraId="0A3BDE02">
      <w:pPr>
        <w:spacing w:line="360" w:lineRule="auto"/>
        <w:ind w:firstLine="420" w:firstLineChars="200"/>
        <w:rPr>
          <w:rFonts w:cs="Courier New" w:asciiTheme="minorEastAsia" w:hAnsiTheme="minorEastAsia"/>
          <w:snapToGrid w:val="0"/>
          <w:color w:val="auto"/>
          <w:szCs w:val="21"/>
          <w:highlight w:val="none"/>
        </w:rPr>
      </w:pPr>
      <w:r>
        <w:rPr>
          <w:rFonts w:hint="eastAsia" w:cs="Courier New" w:asciiTheme="minorEastAsia" w:hAnsiTheme="minorEastAsia"/>
          <w:snapToGrid w:val="0"/>
          <w:color w:val="auto"/>
          <w:szCs w:val="21"/>
          <w:highlight w:val="none"/>
        </w:rPr>
        <w:t>（八）无正当理由拒不配合进行质疑调查的。</w:t>
      </w:r>
    </w:p>
    <w:p w14:paraId="35C09B30">
      <w:pPr>
        <w:spacing w:line="360" w:lineRule="auto"/>
        <w:ind w:firstLine="420" w:firstLineChars="200"/>
        <w:rPr>
          <w:rFonts w:cs="Courier New" w:asciiTheme="minorEastAsia" w:hAnsiTheme="minorEastAsia"/>
          <w:snapToGrid w:val="0"/>
          <w:color w:val="auto"/>
          <w:szCs w:val="21"/>
          <w:highlight w:val="none"/>
        </w:rPr>
      </w:pPr>
      <w:r>
        <w:rPr>
          <w:rFonts w:hint="eastAsia" w:cs="Courier New" w:asciiTheme="minorEastAsia" w:hAnsiTheme="minorEastAsia"/>
          <w:snapToGrid w:val="0"/>
          <w:color w:val="auto"/>
          <w:szCs w:val="21"/>
          <w:highlight w:val="none"/>
        </w:rPr>
        <w:t>特此承诺。</w:t>
      </w:r>
    </w:p>
    <w:p w14:paraId="390E5D93">
      <w:pPr>
        <w:spacing w:line="360" w:lineRule="auto"/>
        <w:ind w:firstLine="420" w:firstLineChars="200"/>
        <w:rPr>
          <w:rFonts w:asciiTheme="minorEastAsia" w:hAnsiTheme="minorEastAsia"/>
          <w:color w:val="auto"/>
          <w:szCs w:val="21"/>
          <w:highlight w:val="none"/>
        </w:rPr>
      </w:pPr>
    </w:p>
    <w:p w14:paraId="7728A1C5">
      <w:pPr>
        <w:spacing w:line="360" w:lineRule="auto"/>
        <w:ind w:firstLine="420" w:firstLineChars="200"/>
        <w:rPr>
          <w:rFonts w:asciiTheme="minorEastAsia" w:hAnsiTheme="minorEastAsia"/>
          <w:color w:val="auto"/>
          <w:szCs w:val="21"/>
          <w:highlight w:val="none"/>
        </w:rPr>
      </w:pPr>
    </w:p>
    <w:p w14:paraId="6CD30CCF">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投标供应商：</w:t>
      </w:r>
    </w:p>
    <w:p w14:paraId="779F3FFB">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法人或授权代表：</w:t>
      </w:r>
    </w:p>
    <w:p w14:paraId="336677D8">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日期：</w:t>
      </w:r>
    </w:p>
    <w:p w14:paraId="7D107674">
      <w:pPr>
        <w:spacing w:line="360" w:lineRule="auto"/>
        <w:ind w:firstLine="420" w:firstLineChars="200"/>
        <w:rPr>
          <w:rFonts w:asciiTheme="minorEastAsia" w:hAnsiTheme="minorEastAsia"/>
          <w:color w:val="auto"/>
          <w:szCs w:val="21"/>
          <w:highlight w:val="none"/>
        </w:rPr>
      </w:pPr>
    </w:p>
    <w:p w14:paraId="7B9D29F0">
      <w:pPr>
        <w:spacing w:line="360" w:lineRule="auto"/>
        <w:ind w:firstLine="422" w:firstLineChars="200"/>
        <w:rPr>
          <w:rFonts w:asciiTheme="minorEastAsia" w:hAnsiTheme="minorEastAsia"/>
          <w:b/>
          <w:color w:val="auto"/>
          <w:szCs w:val="21"/>
          <w:highlight w:val="none"/>
        </w:rPr>
      </w:pPr>
    </w:p>
    <w:p w14:paraId="575EC84F">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br w:type="page"/>
      </w:r>
      <w:bookmarkStart w:id="159" w:name="_Toc6706"/>
      <w:r>
        <w:rPr>
          <w:rFonts w:hint="eastAsia" w:asciiTheme="minorEastAsia" w:hAnsiTheme="minorEastAsia"/>
          <w:color w:val="auto"/>
          <w:szCs w:val="21"/>
          <w:highlight w:val="none"/>
        </w:rPr>
        <w:t>附件</w:t>
      </w:r>
      <w:r>
        <w:rPr>
          <w:rFonts w:asciiTheme="minorEastAsia" w:hAnsiTheme="minorEastAsia"/>
          <w:color w:val="auto"/>
          <w:szCs w:val="21"/>
          <w:highlight w:val="none"/>
        </w:rPr>
        <w:t>4</w:t>
      </w:r>
      <w:r>
        <w:rPr>
          <w:rFonts w:hint="eastAsia" w:asciiTheme="minorEastAsia" w:hAnsiTheme="minorEastAsia"/>
          <w:color w:val="auto"/>
          <w:szCs w:val="21"/>
          <w:highlight w:val="none"/>
        </w:rPr>
        <w:t>：开标一览表格式</w:t>
      </w:r>
      <w:bookmarkEnd w:id="159"/>
    </w:p>
    <w:p w14:paraId="6A375CBB">
      <w:pPr>
        <w:keepNext/>
        <w:keepLines/>
        <w:spacing w:before="160" w:after="170"/>
        <w:ind w:firstLine="602" w:firstLineChars="200"/>
        <w:jc w:val="center"/>
        <w:outlineLvl w:val="4"/>
        <w:rPr>
          <w:b/>
          <w:bCs/>
          <w:color w:val="auto"/>
          <w:sz w:val="30"/>
          <w:szCs w:val="28"/>
          <w:highlight w:val="none"/>
        </w:rPr>
      </w:pPr>
      <w:bookmarkStart w:id="160" w:name="_Toc55548541"/>
      <w:r>
        <w:rPr>
          <w:rFonts w:hint="eastAsia"/>
          <w:b/>
          <w:bCs/>
          <w:color w:val="auto"/>
          <w:sz w:val="30"/>
          <w:szCs w:val="28"/>
          <w:highlight w:val="none"/>
        </w:rPr>
        <w:t>开标一览表</w:t>
      </w:r>
      <w:bookmarkEnd w:id="160"/>
    </w:p>
    <w:p w14:paraId="68ED708F">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项目名称：</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 xml:space="preserve"> </w:t>
      </w:r>
    </w:p>
    <w:p w14:paraId="78041D19">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项目编号：</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 xml:space="preserve"> </w:t>
      </w:r>
    </w:p>
    <w:tbl>
      <w:tblPr>
        <w:tblStyle w:val="14"/>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14:paraId="3FDA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14:paraId="50DD51A6">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项目名称/包号</w:t>
            </w:r>
          </w:p>
        </w:tc>
        <w:tc>
          <w:tcPr>
            <w:tcW w:w="2562" w:type="dxa"/>
            <w:vAlign w:val="bottom"/>
          </w:tcPr>
          <w:p w14:paraId="55923A06">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投标总价</w:t>
            </w:r>
          </w:p>
          <w:p w14:paraId="65C8E785">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（人民币元）</w:t>
            </w:r>
          </w:p>
        </w:tc>
        <w:tc>
          <w:tcPr>
            <w:tcW w:w="2694" w:type="dxa"/>
            <w:vAlign w:val="bottom"/>
          </w:tcPr>
          <w:p w14:paraId="6766D65F">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交货期/服务期</w:t>
            </w:r>
          </w:p>
        </w:tc>
        <w:tc>
          <w:tcPr>
            <w:tcW w:w="1493" w:type="dxa"/>
            <w:vAlign w:val="bottom"/>
          </w:tcPr>
          <w:p w14:paraId="6F3ADA6B">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备注</w:t>
            </w:r>
          </w:p>
        </w:tc>
      </w:tr>
      <w:tr w14:paraId="6EF9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14:paraId="2F393AC2">
            <w:pPr>
              <w:spacing w:line="360" w:lineRule="auto"/>
              <w:ind w:firstLine="420" w:firstLineChars="200"/>
              <w:rPr>
                <w:rFonts w:asciiTheme="minorEastAsia" w:hAnsiTheme="minorEastAsia"/>
                <w:color w:val="auto"/>
                <w:szCs w:val="21"/>
                <w:highlight w:val="none"/>
              </w:rPr>
            </w:pPr>
          </w:p>
        </w:tc>
        <w:tc>
          <w:tcPr>
            <w:tcW w:w="2562" w:type="dxa"/>
          </w:tcPr>
          <w:p w14:paraId="418FF1A7">
            <w:pPr>
              <w:spacing w:line="360" w:lineRule="auto"/>
              <w:ind w:firstLine="420" w:firstLineChars="200"/>
              <w:rPr>
                <w:rFonts w:asciiTheme="minorEastAsia" w:hAnsiTheme="minorEastAsia"/>
                <w:color w:val="auto"/>
                <w:szCs w:val="21"/>
                <w:highlight w:val="none"/>
              </w:rPr>
            </w:pPr>
          </w:p>
          <w:p w14:paraId="4A3670F4">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大写：</w:t>
            </w:r>
            <w:r>
              <w:rPr>
                <w:rFonts w:hint="eastAsia" w:asciiTheme="minorEastAsia" w:hAnsiTheme="minorEastAsia"/>
                <w:color w:val="auto"/>
                <w:szCs w:val="21"/>
                <w:highlight w:val="none"/>
                <w:u w:val="single"/>
              </w:rPr>
              <w:t xml:space="preserve">        </w:t>
            </w:r>
          </w:p>
          <w:p w14:paraId="25981FF4">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小写：</w:t>
            </w:r>
            <w:r>
              <w:rPr>
                <w:rFonts w:hint="eastAsia" w:asciiTheme="minorEastAsia" w:hAnsiTheme="minorEastAsia"/>
                <w:color w:val="auto"/>
                <w:szCs w:val="21"/>
                <w:highlight w:val="none"/>
                <w:u w:val="single"/>
              </w:rPr>
              <w:t xml:space="preserve">        </w:t>
            </w:r>
          </w:p>
        </w:tc>
        <w:tc>
          <w:tcPr>
            <w:tcW w:w="2694" w:type="dxa"/>
          </w:tcPr>
          <w:p w14:paraId="580E88EA">
            <w:pPr>
              <w:spacing w:line="360" w:lineRule="auto"/>
              <w:ind w:firstLine="420" w:firstLineChars="200"/>
              <w:rPr>
                <w:rFonts w:asciiTheme="minorEastAsia" w:hAnsiTheme="minorEastAsia"/>
                <w:color w:val="auto"/>
                <w:szCs w:val="21"/>
                <w:highlight w:val="none"/>
              </w:rPr>
            </w:pPr>
          </w:p>
        </w:tc>
        <w:tc>
          <w:tcPr>
            <w:tcW w:w="1493" w:type="dxa"/>
          </w:tcPr>
          <w:p w14:paraId="40A75877">
            <w:pPr>
              <w:spacing w:line="360" w:lineRule="auto"/>
              <w:ind w:firstLine="420" w:firstLineChars="200"/>
              <w:rPr>
                <w:rFonts w:asciiTheme="minorEastAsia" w:hAnsiTheme="minorEastAsia"/>
                <w:color w:val="auto"/>
                <w:szCs w:val="21"/>
                <w:highlight w:val="none"/>
              </w:rPr>
            </w:pPr>
          </w:p>
        </w:tc>
      </w:tr>
    </w:tbl>
    <w:p w14:paraId="7CE6D40D">
      <w:pPr>
        <w:spacing w:line="360" w:lineRule="auto"/>
        <w:ind w:firstLine="420" w:firstLineChars="200"/>
        <w:rPr>
          <w:rFonts w:asciiTheme="minorEastAsia" w:hAnsiTheme="minorEastAsia"/>
          <w:color w:val="auto"/>
          <w:szCs w:val="21"/>
          <w:highlight w:val="none"/>
        </w:rPr>
      </w:pPr>
    </w:p>
    <w:p w14:paraId="3E61E10C">
      <w:pPr>
        <w:spacing w:line="360" w:lineRule="auto"/>
        <w:ind w:firstLine="420" w:firstLineChars="200"/>
        <w:rPr>
          <w:rFonts w:asciiTheme="minorEastAsia" w:hAnsiTheme="minorEastAsia"/>
          <w:color w:val="auto"/>
          <w:szCs w:val="21"/>
          <w:highlight w:val="none"/>
        </w:rPr>
      </w:pPr>
    </w:p>
    <w:p w14:paraId="4C03599B">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投标供应商：</w:t>
      </w:r>
    </w:p>
    <w:p w14:paraId="37917DC1">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法人</w:t>
      </w:r>
      <w:r>
        <w:rPr>
          <w:rFonts w:asciiTheme="minorEastAsia" w:hAnsiTheme="minorEastAsia"/>
          <w:color w:val="auto"/>
          <w:szCs w:val="21"/>
          <w:highlight w:val="none"/>
        </w:rPr>
        <w:t>或</w:t>
      </w:r>
      <w:r>
        <w:rPr>
          <w:rFonts w:hint="eastAsia" w:asciiTheme="minorEastAsia" w:hAnsiTheme="minorEastAsia"/>
          <w:color w:val="auto"/>
          <w:szCs w:val="21"/>
          <w:highlight w:val="none"/>
        </w:rPr>
        <w:t>授权</w:t>
      </w:r>
      <w:r>
        <w:rPr>
          <w:rFonts w:asciiTheme="minorEastAsia" w:hAnsiTheme="minorEastAsia"/>
          <w:color w:val="auto"/>
          <w:szCs w:val="21"/>
          <w:highlight w:val="none"/>
        </w:rPr>
        <w:t>代表：</w:t>
      </w:r>
    </w:p>
    <w:p w14:paraId="639224E9">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日期</w:t>
      </w:r>
      <w:r>
        <w:rPr>
          <w:rFonts w:asciiTheme="minorEastAsia" w:hAnsiTheme="minorEastAsia"/>
          <w:color w:val="auto"/>
          <w:szCs w:val="21"/>
          <w:highlight w:val="none"/>
        </w:rPr>
        <w:t>：</w:t>
      </w:r>
    </w:p>
    <w:p w14:paraId="789EE9A4">
      <w:pPr>
        <w:spacing w:line="360" w:lineRule="auto"/>
        <w:ind w:firstLine="420" w:firstLineChars="200"/>
        <w:rPr>
          <w:rFonts w:asciiTheme="minorEastAsia" w:hAnsiTheme="minorEastAsia"/>
          <w:color w:val="auto"/>
          <w:szCs w:val="21"/>
          <w:highlight w:val="none"/>
        </w:rPr>
      </w:pPr>
    </w:p>
    <w:p w14:paraId="0376211B">
      <w:pPr>
        <w:spacing w:line="360" w:lineRule="auto"/>
        <w:ind w:firstLine="420" w:firstLineChars="200"/>
        <w:rPr>
          <w:rFonts w:asciiTheme="minorEastAsia" w:hAnsiTheme="minorEastAsia"/>
          <w:color w:val="auto"/>
          <w:szCs w:val="21"/>
          <w:highlight w:val="none"/>
        </w:rPr>
      </w:pPr>
    </w:p>
    <w:p w14:paraId="65E0CB45">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注：</w:t>
      </w:r>
    </w:p>
    <w:p w14:paraId="7BE2F453">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1</w:t>
      </w:r>
      <w:r>
        <w:rPr>
          <w:rFonts w:hint="eastAsia" w:asciiTheme="minorEastAsia" w:hAnsiTheme="minorEastAsia"/>
          <w:color w:val="auto"/>
          <w:szCs w:val="21"/>
          <w:highlight w:val="none"/>
        </w:rPr>
        <w:t>、本招标文件中所称“交货期/服务期”指所有货物运抵现场安装调试完毕后交付用户验收和</w:t>
      </w:r>
      <w:r>
        <w:rPr>
          <w:rFonts w:asciiTheme="minorEastAsia" w:hAnsiTheme="minorEastAsia"/>
          <w:color w:val="auto"/>
          <w:szCs w:val="21"/>
          <w:highlight w:val="none"/>
        </w:rPr>
        <w:t>服务过程</w:t>
      </w:r>
      <w:r>
        <w:rPr>
          <w:rFonts w:hint="eastAsia" w:asciiTheme="minorEastAsia" w:hAnsiTheme="minorEastAsia"/>
          <w:color w:val="auto"/>
          <w:szCs w:val="21"/>
          <w:highlight w:val="none"/>
        </w:rPr>
        <w:t>的日期。</w:t>
      </w:r>
    </w:p>
    <w:p w14:paraId="4CC40153">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、依据《评标委员会和评标方法暂行规定》第25条规定，“投标文件载明的招标项目完成期限超过招标文件规定的期限”的（即交货期或完工期超过招标文件要求期限），投标文件将作投标无效处理。</w:t>
      </w:r>
    </w:p>
    <w:p w14:paraId="167399A8">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br w:type="page"/>
      </w:r>
      <w:bookmarkStart w:id="161" w:name="_Toc16795"/>
      <w:r>
        <w:rPr>
          <w:rFonts w:hint="eastAsia" w:asciiTheme="minorEastAsia" w:hAnsiTheme="minorEastAsia"/>
          <w:color w:val="auto"/>
          <w:szCs w:val="21"/>
          <w:highlight w:val="none"/>
        </w:rPr>
        <w:t>附件</w:t>
      </w:r>
      <w:r>
        <w:rPr>
          <w:rFonts w:asciiTheme="minorEastAsia" w:hAnsiTheme="minorEastAsia"/>
          <w:color w:val="auto"/>
          <w:szCs w:val="21"/>
          <w:highlight w:val="none"/>
        </w:rPr>
        <w:t>5</w:t>
      </w:r>
      <w:r>
        <w:rPr>
          <w:rFonts w:hint="eastAsia" w:asciiTheme="minorEastAsia" w:hAnsiTheme="minorEastAsia"/>
          <w:color w:val="auto"/>
          <w:szCs w:val="21"/>
          <w:highlight w:val="none"/>
        </w:rPr>
        <w:t>：分项报价清单格式</w:t>
      </w:r>
      <w:bookmarkEnd w:id="161"/>
    </w:p>
    <w:p w14:paraId="6BDA86F7">
      <w:pPr>
        <w:keepNext/>
        <w:keepLines/>
        <w:spacing w:before="160" w:after="170"/>
        <w:ind w:firstLine="602" w:firstLineChars="200"/>
        <w:jc w:val="center"/>
        <w:outlineLvl w:val="4"/>
        <w:rPr>
          <w:b/>
          <w:bCs/>
          <w:color w:val="auto"/>
          <w:sz w:val="30"/>
          <w:szCs w:val="28"/>
          <w:highlight w:val="none"/>
        </w:rPr>
      </w:pPr>
      <w:bookmarkStart w:id="162" w:name="_Toc55548542"/>
      <w:r>
        <w:rPr>
          <w:rFonts w:hint="eastAsia"/>
          <w:b/>
          <w:bCs/>
          <w:color w:val="auto"/>
          <w:sz w:val="30"/>
          <w:szCs w:val="28"/>
          <w:highlight w:val="none"/>
        </w:rPr>
        <w:t>分项报价清单</w:t>
      </w:r>
      <w:bookmarkEnd w:id="162"/>
    </w:p>
    <w:tbl>
      <w:tblPr>
        <w:tblStyle w:val="14"/>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14:paraId="6DA1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14:paraId="39788FC4">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序号</w:t>
            </w:r>
          </w:p>
        </w:tc>
        <w:tc>
          <w:tcPr>
            <w:tcW w:w="2902" w:type="dxa"/>
            <w:vAlign w:val="center"/>
          </w:tcPr>
          <w:p w14:paraId="61302A8B">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服务项目或设备名称</w:t>
            </w:r>
          </w:p>
        </w:tc>
        <w:tc>
          <w:tcPr>
            <w:tcW w:w="2357" w:type="dxa"/>
            <w:vAlign w:val="center"/>
          </w:tcPr>
          <w:p w14:paraId="0FDCF642">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总价</w:t>
            </w:r>
          </w:p>
        </w:tc>
        <w:tc>
          <w:tcPr>
            <w:tcW w:w="3148" w:type="dxa"/>
            <w:vAlign w:val="center"/>
          </w:tcPr>
          <w:p w14:paraId="2ADFFAB3">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备注</w:t>
            </w:r>
          </w:p>
        </w:tc>
      </w:tr>
      <w:tr w14:paraId="735D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64AFDD4C">
            <w:pPr>
              <w:spacing w:line="360" w:lineRule="auto"/>
              <w:ind w:firstLine="420" w:firstLineChars="200"/>
              <w:rPr>
                <w:rFonts w:asciiTheme="minorEastAsia" w:hAnsiTheme="minorEastAsia"/>
                <w:color w:val="auto"/>
                <w:szCs w:val="21"/>
                <w:highlight w:val="none"/>
              </w:rPr>
            </w:pPr>
          </w:p>
        </w:tc>
        <w:tc>
          <w:tcPr>
            <w:tcW w:w="2902" w:type="dxa"/>
            <w:vAlign w:val="center"/>
          </w:tcPr>
          <w:p w14:paraId="49C99522">
            <w:pPr>
              <w:spacing w:line="360" w:lineRule="auto"/>
              <w:ind w:firstLine="420" w:firstLineChars="200"/>
              <w:rPr>
                <w:rFonts w:asciiTheme="minorEastAsia" w:hAnsiTheme="minorEastAsia"/>
                <w:color w:val="auto"/>
                <w:szCs w:val="21"/>
                <w:highlight w:val="none"/>
              </w:rPr>
            </w:pPr>
          </w:p>
        </w:tc>
        <w:tc>
          <w:tcPr>
            <w:tcW w:w="2357" w:type="dxa"/>
            <w:vAlign w:val="center"/>
          </w:tcPr>
          <w:p w14:paraId="556B221A">
            <w:pPr>
              <w:spacing w:line="360" w:lineRule="auto"/>
              <w:ind w:firstLine="420" w:firstLineChars="200"/>
              <w:rPr>
                <w:rFonts w:asciiTheme="minorEastAsia" w:hAnsiTheme="minorEastAsia"/>
                <w:color w:val="auto"/>
                <w:szCs w:val="21"/>
                <w:highlight w:val="none"/>
              </w:rPr>
            </w:pPr>
          </w:p>
        </w:tc>
        <w:tc>
          <w:tcPr>
            <w:tcW w:w="3148" w:type="dxa"/>
            <w:vAlign w:val="center"/>
          </w:tcPr>
          <w:p w14:paraId="0A0816BE">
            <w:pPr>
              <w:spacing w:line="360" w:lineRule="auto"/>
              <w:ind w:firstLine="420" w:firstLineChars="200"/>
              <w:rPr>
                <w:rFonts w:asciiTheme="minorEastAsia" w:hAnsiTheme="minorEastAsia"/>
                <w:color w:val="auto"/>
                <w:szCs w:val="21"/>
                <w:highlight w:val="none"/>
              </w:rPr>
            </w:pPr>
          </w:p>
        </w:tc>
      </w:tr>
      <w:tr w14:paraId="34A0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55F83BE8">
            <w:pPr>
              <w:spacing w:line="360" w:lineRule="auto"/>
              <w:ind w:firstLine="420" w:firstLineChars="200"/>
              <w:rPr>
                <w:rFonts w:asciiTheme="minorEastAsia" w:hAnsiTheme="minorEastAsia"/>
                <w:color w:val="auto"/>
                <w:szCs w:val="21"/>
                <w:highlight w:val="none"/>
              </w:rPr>
            </w:pPr>
          </w:p>
        </w:tc>
        <w:tc>
          <w:tcPr>
            <w:tcW w:w="2902" w:type="dxa"/>
            <w:vAlign w:val="center"/>
          </w:tcPr>
          <w:p w14:paraId="2F1F1B35">
            <w:pPr>
              <w:spacing w:line="360" w:lineRule="auto"/>
              <w:ind w:firstLine="420" w:firstLineChars="200"/>
              <w:rPr>
                <w:rFonts w:asciiTheme="minorEastAsia" w:hAnsiTheme="minorEastAsia"/>
                <w:color w:val="auto"/>
                <w:szCs w:val="21"/>
                <w:highlight w:val="none"/>
              </w:rPr>
            </w:pPr>
          </w:p>
        </w:tc>
        <w:tc>
          <w:tcPr>
            <w:tcW w:w="2357" w:type="dxa"/>
            <w:vAlign w:val="center"/>
          </w:tcPr>
          <w:p w14:paraId="5763979F">
            <w:pPr>
              <w:spacing w:line="360" w:lineRule="auto"/>
              <w:ind w:firstLine="420" w:firstLineChars="200"/>
              <w:rPr>
                <w:rFonts w:asciiTheme="minorEastAsia" w:hAnsiTheme="minorEastAsia"/>
                <w:color w:val="auto"/>
                <w:szCs w:val="21"/>
                <w:highlight w:val="none"/>
              </w:rPr>
            </w:pPr>
          </w:p>
        </w:tc>
        <w:tc>
          <w:tcPr>
            <w:tcW w:w="3148" w:type="dxa"/>
            <w:vAlign w:val="center"/>
          </w:tcPr>
          <w:p w14:paraId="22BC80A9">
            <w:pPr>
              <w:spacing w:line="360" w:lineRule="auto"/>
              <w:ind w:firstLine="420" w:firstLineChars="200"/>
              <w:rPr>
                <w:rFonts w:asciiTheme="minorEastAsia" w:hAnsiTheme="minorEastAsia"/>
                <w:color w:val="auto"/>
                <w:szCs w:val="21"/>
                <w:highlight w:val="none"/>
              </w:rPr>
            </w:pPr>
          </w:p>
        </w:tc>
      </w:tr>
      <w:tr w14:paraId="78A3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1073A761">
            <w:pPr>
              <w:spacing w:line="360" w:lineRule="auto"/>
              <w:ind w:firstLine="420" w:firstLineChars="200"/>
              <w:rPr>
                <w:rFonts w:asciiTheme="minorEastAsia" w:hAnsiTheme="minorEastAsia"/>
                <w:color w:val="auto"/>
                <w:szCs w:val="21"/>
                <w:highlight w:val="none"/>
              </w:rPr>
            </w:pPr>
          </w:p>
        </w:tc>
        <w:tc>
          <w:tcPr>
            <w:tcW w:w="2902" w:type="dxa"/>
            <w:vAlign w:val="center"/>
          </w:tcPr>
          <w:p w14:paraId="3FE9011D">
            <w:pPr>
              <w:spacing w:line="360" w:lineRule="auto"/>
              <w:ind w:firstLine="420" w:firstLineChars="200"/>
              <w:rPr>
                <w:rFonts w:asciiTheme="minorEastAsia" w:hAnsiTheme="minorEastAsia"/>
                <w:color w:val="auto"/>
                <w:szCs w:val="21"/>
                <w:highlight w:val="none"/>
              </w:rPr>
            </w:pPr>
          </w:p>
        </w:tc>
        <w:tc>
          <w:tcPr>
            <w:tcW w:w="2357" w:type="dxa"/>
            <w:vAlign w:val="center"/>
          </w:tcPr>
          <w:p w14:paraId="68DC9D4F">
            <w:pPr>
              <w:spacing w:line="360" w:lineRule="auto"/>
              <w:ind w:firstLine="420" w:firstLineChars="200"/>
              <w:rPr>
                <w:rFonts w:asciiTheme="minorEastAsia" w:hAnsiTheme="minorEastAsia"/>
                <w:color w:val="auto"/>
                <w:szCs w:val="21"/>
                <w:highlight w:val="none"/>
              </w:rPr>
            </w:pPr>
          </w:p>
        </w:tc>
        <w:tc>
          <w:tcPr>
            <w:tcW w:w="3148" w:type="dxa"/>
            <w:vAlign w:val="center"/>
          </w:tcPr>
          <w:p w14:paraId="728BCF7D">
            <w:pPr>
              <w:spacing w:line="360" w:lineRule="auto"/>
              <w:ind w:firstLine="420" w:firstLineChars="200"/>
              <w:rPr>
                <w:rFonts w:asciiTheme="minorEastAsia" w:hAnsiTheme="minorEastAsia"/>
                <w:color w:val="auto"/>
                <w:szCs w:val="21"/>
                <w:highlight w:val="none"/>
              </w:rPr>
            </w:pPr>
          </w:p>
        </w:tc>
      </w:tr>
      <w:tr w14:paraId="2797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44114E44">
            <w:pPr>
              <w:spacing w:line="360" w:lineRule="auto"/>
              <w:ind w:firstLine="420" w:firstLineChars="200"/>
              <w:rPr>
                <w:rFonts w:asciiTheme="minorEastAsia" w:hAnsiTheme="minorEastAsia"/>
                <w:color w:val="auto"/>
                <w:szCs w:val="21"/>
                <w:highlight w:val="none"/>
              </w:rPr>
            </w:pPr>
          </w:p>
        </w:tc>
        <w:tc>
          <w:tcPr>
            <w:tcW w:w="2902" w:type="dxa"/>
            <w:vAlign w:val="center"/>
          </w:tcPr>
          <w:p w14:paraId="66F456A6">
            <w:pPr>
              <w:spacing w:line="360" w:lineRule="auto"/>
              <w:ind w:firstLine="420" w:firstLineChars="200"/>
              <w:rPr>
                <w:rFonts w:asciiTheme="minorEastAsia" w:hAnsiTheme="minorEastAsia"/>
                <w:color w:val="auto"/>
                <w:szCs w:val="21"/>
                <w:highlight w:val="none"/>
              </w:rPr>
            </w:pPr>
          </w:p>
        </w:tc>
        <w:tc>
          <w:tcPr>
            <w:tcW w:w="2357" w:type="dxa"/>
            <w:vAlign w:val="center"/>
          </w:tcPr>
          <w:p w14:paraId="46AD173D">
            <w:pPr>
              <w:spacing w:line="360" w:lineRule="auto"/>
              <w:ind w:firstLine="420" w:firstLineChars="200"/>
              <w:rPr>
                <w:rFonts w:asciiTheme="minorEastAsia" w:hAnsiTheme="minorEastAsia"/>
                <w:color w:val="auto"/>
                <w:szCs w:val="21"/>
                <w:highlight w:val="none"/>
              </w:rPr>
            </w:pPr>
          </w:p>
        </w:tc>
        <w:tc>
          <w:tcPr>
            <w:tcW w:w="3148" w:type="dxa"/>
            <w:vAlign w:val="center"/>
          </w:tcPr>
          <w:p w14:paraId="79615F71">
            <w:pPr>
              <w:spacing w:line="360" w:lineRule="auto"/>
              <w:ind w:firstLine="420" w:firstLineChars="200"/>
              <w:rPr>
                <w:rFonts w:asciiTheme="minorEastAsia" w:hAnsiTheme="minorEastAsia"/>
                <w:color w:val="auto"/>
                <w:szCs w:val="21"/>
                <w:highlight w:val="none"/>
              </w:rPr>
            </w:pPr>
          </w:p>
        </w:tc>
      </w:tr>
      <w:tr w14:paraId="112A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74A00078">
            <w:pPr>
              <w:spacing w:line="360" w:lineRule="auto"/>
              <w:ind w:firstLine="420" w:firstLineChars="200"/>
              <w:rPr>
                <w:rFonts w:asciiTheme="minorEastAsia" w:hAnsiTheme="minorEastAsia"/>
                <w:color w:val="auto"/>
                <w:szCs w:val="21"/>
                <w:highlight w:val="none"/>
              </w:rPr>
            </w:pPr>
          </w:p>
        </w:tc>
        <w:tc>
          <w:tcPr>
            <w:tcW w:w="2902" w:type="dxa"/>
            <w:vAlign w:val="center"/>
          </w:tcPr>
          <w:p w14:paraId="393EEA0A">
            <w:pPr>
              <w:spacing w:line="360" w:lineRule="auto"/>
              <w:ind w:firstLine="420" w:firstLineChars="200"/>
              <w:rPr>
                <w:rFonts w:asciiTheme="minorEastAsia" w:hAnsiTheme="minorEastAsia"/>
                <w:color w:val="auto"/>
                <w:szCs w:val="21"/>
                <w:highlight w:val="none"/>
              </w:rPr>
            </w:pPr>
          </w:p>
        </w:tc>
        <w:tc>
          <w:tcPr>
            <w:tcW w:w="2357" w:type="dxa"/>
            <w:vAlign w:val="center"/>
          </w:tcPr>
          <w:p w14:paraId="3DA55195">
            <w:pPr>
              <w:spacing w:line="360" w:lineRule="auto"/>
              <w:ind w:firstLine="420" w:firstLineChars="200"/>
              <w:rPr>
                <w:rFonts w:asciiTheme="minorEastAsia" w:hAnsiTheme="minorEastAsia"/>
                <w:color w:val="auto"/>
                <w:szCs w:val="21"/>
                <w:highlight w:val="none"/>
              </w:rPr>
            </w:pPr>
          </w:p>
        </w:tc>
        <w:tc>
          <w:tcPr>
            <w:tcW w:w="3148" w:type="dxa"/>
            <w:vAlign w:val="center"/>
          </w:tcPr>
          <w:p w14:paraId="0A3793B4">
            <w:pPr>
              <w:spacing w:line="360" w:lineRule="auto"/>
              <w:ind w:firstLine="420" w:firstLineChars="200"/>
              <w:rPr>
                <w:rFonts w:asciiTheme="minorEastAsia" w:hAnsiTheme="minorEastAsia"/>
                <w:color w:val="auto"/>
                <w:szCs w:val="21"/>
                <w:highlight w:val="none"/>
              </w:rPr>
            </w:pPr>
          </w:p>
        </w:tc>
      </w:tr>
      <w:tr w14:paraId="5925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17403233">
            <w:pPr>
              <w:spacing w:line="360" w:lineRule="auto"/>
              <w:ind w:firstLine="420" w:firstLineChars="200"/>
              <w:rPr>
                <w:rFonts w:asciiTheme="minorEastAsia" w:hAnsiTheme="minorEastAsia"/>
                <w:color w:val="auto"/>
                <w:szCs w:val="21"/>
                <w:highlight w:val="none"/>
              </w:rPr>
            </w:pPr>
          </w:p>
        </w:tc>
        <w:tc>
          <w:tcPr>
            <w:tcW w:w="2902" w:type="dxa"/>
            <w:vAlign w:val="center"/>
          </w:tcPr>
          <w:p w14:paraId="14D29EC7">
            <w:pPr>
              <w:spacing w:line="360" w:lineRule="auto"/>
              <w:ind w:firstLine="420" w:firstLineChars="200"/>
              <w:rPr>
                <w:rFonts w:asciiTheme="minorEastAsia" w:hAnsiTheme="minorEastAsia"/>
                <w:color w:val="auto"/>
                <w:szCs w:val="21"/>
                <w:highlight w:val="none"/>
              </w:rPr>
            </w:pPr>
          </w:p>
        </w:tc>
        <w:tc>
          <w:tcPr>
            <w:tcW w:w="2357" w:type="dxa"/>
            <w:vAlign w:val="center"/>
          </w:tcPr>
          <w:p w14:paraId="6F22005F">
            <w:pPr>
              <w:spacing w:line="360" w:lineRule="auto"/>
              <w:ind w:firstLine="420" w:firstLineChars="200"/>
              <w:rPr>
                <w:rFonts w:asciiTheme="minorEastAsia" w:hAnsiTheme="minorEastAsia"/>
                <w:color w:val="auto"/>
                <w:szCs w:val="21"/>
                <w:highlight w:val="none"/>
              </w:rPr>
            </w:pPr>
          </w:p>
        </w:tc>
        <w:tc>
          <w:tcPr>
            <w:tcW w:w="3148" w:type="dxa"/>
            <w:vAlign w:val="center"/>
          </w:tcPr>
          <w:p w14:paraId="067532AD">
            <w:pPr>
              <w:spacing w:line="360" w:lineRule="auto"/>
              <w:ind w:firstLine="420" w:firstLineChars="200"/>
              <w:rPr>
                <w:rFonts w:asciiTheme="minorEastAsia" w:hAnsiTheme="minorEastAsia"/>
                <w:color w:val="auto"/>
                <w:szCs w:val="21"/>
                <w:highlight w:val="none"/>
              </w:rPr>
            </w:pPr>
          </w:p>
        </w:tc>
      </w:tr>
      <w:tr w14:paraId="36F4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14:paraId="1C64C615">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合计</w:t>
            </w:r>
          </w:p>
        </w:tc>
        <w:tc>
          <w:tcPr>
            <w:tcW w:w="5505" w:type="dxa"/>
            <w:gridSpan w:val="2"/>
            <w:vAlign w:val="center"/>
          </w:tcPr>
          <w:p w14:paraId="610FD1E5">
            <w:pPr>
              <w:spacing w:line="360" w:lineRule="auto"/>
              <w:ind w:firstLine="420" w:firstLineChars="200"/>
              <w:rPr>
                <w:rFonts w:asciiTheme="minorEastAsia" w:hAnsiTheme="minorEastAsia"/>
                <w:color w:val="auto"/>
                <w:szCs w:val="21"/>
                <w:highlight w:val="none"/>
              </w:rPr>
            </w:pPr>
          </w:p>
        </w:tc>
      </w:tr>
    </w:tbl>
    <w:p w14:paraId="4CF76054">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注：</w:t>
      </w:r>
    </w:p>
    <w:p w14:paraId="49375453">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1、所有价格应按“采购文件”中规定的货币单位填写；</w:t>
      </w:r>
    </w:p>
    <w:p w14:paraId="6AAADDE0">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、投标总价应为以上各分项价格之和；</w:t>
      </w:r>
    </w:p>
    <w:p w14:paraId="380EBF87">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3、本表格式仅做参考，</w:t>
      </w:r>
      <w:r>
        <w:rPr>
          <w:rFonts w:asciiTheme="minorEastAsia" w:hAnsiTheme="minorEastAsia"/>
          <w:color w:val="auto"/>
          <w:szCs w:val="21"/>
          <w:highlight w:val="none"/>
        </w:rPr>
        <w:t>可根据项目</w:t>
      </w:r>
      <w:r>
        <w:rPr>
          <w:rFonts w:hint="eastAsia" w:asciiTheme="minorEastAsia" w:hAnsiTheme="minorEastAsia"/>
          <w:color w:val="auto"/>
          <w:szCs w:val="21"/>
          <w:highlight w:val="none"/>
        </w:rPr>
        <w:t>实际</w:t>
      </w:r>
      <w:r>
        <w:rPr>
          <w:rFonts w:asciiTheme="minorEastAsia" w:hAnsiTheme="minorEastAsia"/>
          <w:color w:val="auto"/>
          <w:szCs w:val="21"/>
          <w:highlight w:val="none"/>
        </w:rPr>
        <w:t>内容进行调整</w:t>
      </w:r>
      <w:r>
        <w:rPr>
          <w:rFonts w:hint="eastAsia" w:asciiTheme="minorEastAsia" w:hAnsiTheme="minorEastAsia"/>
          <w:color w:val="auto"/>
          <w:szCs w:val="21"/>
          <w:highlight w:val="none"/>
        </w:rPr>
        <w:t>；</w:t>
      </w:r>
    </w:p>
    <w:p w14:paraId="28D68020">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4、单价、合价和投标总价为包干价，即三者均应包含设备的价款、包装、运输、装卸、安装、调试、技术指导、培训、咨询、服务、保险、税费、检测、验收合格交付使用之前以及技术和售后服务等其他各项有关费用。</w:t>
      </w:r>
    </w:p>
    <w:p w14:paraId="47FE1C8C">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5、投标总价和项目报价表中单个采购预算条目报价均不得超过对应的财政预算限额，否则将导致投标无效。</w:t>
      </w:r>
    </w:p>
    <w:p w14:paraId="7A9A074A">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6、开标一览表的投标总价必须与项目报价表的投标总价一致。</w:t>
      </w:r>
    </w:p>
    <w:p w14:paraId="02169953">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7、“原产地”是指该产品的实际生产加工地，而非品牌总公司所在地。</w:t>
      </w:r>
    </w:p>
    <w:p w14:paraId="3804A6F2">
      <w:pPr>
        <w:spacing w:line="360" w:lineRule="auto"/>
        <w:ind w:firstLine="420" w:firstLineChars="200"/>
        <w:rPr>
          <w:color w:val="auto"/>
          <w:highlight w:val="none"/>
        </w:rPr>
      </w:pPr>
    </w:p>
    <w:p w14:paraId="258568AF">
      <w:pPr>
        <w:spacing w:line="360" w:lineRule="auto"/>
        <w:rPr>
          <w:color w:val="auto"/>
          <w:highlight w:val="none"/>
        </w:rPr>
      </w:pPr>
    </w:p>
    <w:p w14:paraId="0A0DD918">
      <w:pPr>
        <w:spacing w:line="360" w:lineRule="auto"/>
        <w:ind w:firstLine="420" w:firstLineChars="200"/>
        <w:rPr>
          <w:color w:val="auto"/>
          <w:highlight w:val="none"/>
        </w:rPr>
      </w:pPr>
    </w:p>
    <w:p w14:paraId="504E2730">
      <w:pPr>
        <w:spacing w:line="360" w:lineRule="auto"/>
        <w:ind w:firstLine="420" w:firstLineChars="200"/>
        <w:rPr>
          <w:rFonts w:asciiTheme="minorEastAsia" w:hAnsiTheme="minorEastAsia"/>
          <w:color w:val="auto"/>
          <w:szCs w:val="21"/>
          <w:highlight w:val="none"/>
        </w:rPr>
        <w:sectPr>
          <w:pgSz w:w="11906" w:h="16838"/>
          <w:pgMar w:top="1440" w:right="1080" w:bottom="1440" w:left="1080" w:header="851" w:footer="992" w:gutter="0"/>
          <w:cols w:space="720" w:num="1"/>
          <w:titlePg/>
          <w:docGrid w:type="lines" w:linePitch="312" w:charSpace="0"/>
        </w:sectPr>
      </w:pPr>
      <w:bookmarkStart w:id="163" w:name="_Toc32280"/>
    </w:p>
    <w:p w14:paraId="6142427D">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附件</w:t>
      </w:r>
      <w:r>
        <w:rPr>
          <w:rFonts w:asciiTheme="minorEastAsia" w:hAnsiTheme="minorEastAsia"/>
          <w:color w:val="auto"/>
          <w:szCs w:val="21"/>
          <w:highlight w:val="none"/>
        </w:rPr>
        <w:t>6</w:t>
      </w:r>
      <w:r>
        <w:rPr>
          <w:rFonts w:hint="eastAsia" w:asciiTheme="minorEastAsia" w:hAnsiTheme="minorEastAsia"/>
          <w:color w:val="auto"/>
          <w:szCs w:val="21"/>
          <w:highlight w:val="none"/>
        </w:rPr>
        <w:t>：法定代表人证明书格式</w:t>
      </w:r>
      <w:bookmarkEnd w:id="163"/>
    </w:p>
    <w:p w14:paraId="45FD9E62">
      <w:pPr>
        <w:keepNext/>
        <w:keepLines/>
        <w:spacing w:before="160" w:after="170"/>
        <w:ind w:firstLine="602" w:firstLineChars="200"/>
        <w:jc w:val="center"/>
        <w:outlineLvl w:val="4"/>
        <w:rPr>
          <w:b/>
          <w:bCs/>
          <w:color w:val="auto"/>
          <w:sz w:val="30"/>
          <w:szCs w:val="28"/>
          <w:highlight w:val="none"/>
        </w:rPr>
      </w:pPr>
      <w:bookmarkStart w:id="164" w:name="_Toc55548545"/>
      <w:bookmarkStart w:id="165" w:name="_Toc2383"/>
      <w:r>
        <w:rPr>
          <w:rFonts w:hint="eastAsia"/>
          <w:b/>
          <w:bCs/>
          <w:color w:val="auto"/>
          <w:sz w:val="30"/>
          <w:szCs w:val="28"/>
          <w:highlight w:val="none"/>
        </w:rPr>
        <w:t>法定代表人证明书</w:t>
      </w:r>
      <w:bookmarkEnd w:id="164"/>
    </w:p>
    <w:p w14:paraId="2DB201CD">
      <w:pPr>
        <w:tabs>
          <w:tab w:val="left" w:pos="900"/>
        </w:tabs>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______________同志，现任我单位</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职务，为法定代表人，特此证明。</w:t>
      </w:r>
    </w:p>
    <w:p w14:paraId="20FBD40A">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有效日期与本公司投标文件中标注的投标有效期相同。</w:t>
      </w:r>
      <w:r>
        <w:rPr>
          <w:rFonts w:asciiTheme="minorEastAsia" w:hAnsiTheme="minorEastAsia"/>
          <w:color w:val="auto"/>
          <w:szCs w:val="21"/>
          <w:highlight w:val="none"/>
        </w:rPr>
        <w:t xml:space="preserve">  </w:t>
      </w:r>
    </w:p>
    <w:p w14:paraId="780250CE">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签发日期：</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日</w:t>
      </w:r>
      <w:r>
        <w:rPr>
          <w:rFonts w:asciiTheme="minorEastAsia" w:hAnsiTheme="minorEastAsia"/>
          <w:color w:val="auto"/>
          <w:szCs w:val="21"/>
          <w:highlight w:val="none"/>
        </w:rPr>
        <w:t xml:space="preserve">             </w:t>
      </w:r>
    </w:p>
    <w:p w14:paraId="0BE2F27D">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附：</w:t>
      </w:r>
    </w:p>
    <w:p w14:paraId="1C7D5E6F">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营业执照（注册号）：                       </w:t>
      </w:r>
    </w:p>
    <w:p w14:paraId="109C8492">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经济性质：</w:t>
      </w:r>
    </w:p>
    <w:p w14:paraId="5F968A03">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主营（产）：</w:t>
      </w:r>
    </w:p>
    <w:p w14:paraId="2D397F0A">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兼营（产）：</w:t>
      </w:r>
    </w:p>
    <w:p w14:paraId="11CB7655">
      <w:pPr>
        <w:spacing w:line="360" w:lineRule="auto"/>
        <w:ind w:firstLine="420" w:firstLineChars="200"/>
        <w:rPr>
          <w:rFonts w:asciiTheme="minorEastAsia" w:hAnsiTheme="minorEastAsia"/>
          <w:color w:val="auto"/>
          <w:szCs w:val="21"/>
          <w:highlight w:val="none"/>
        </w:rPr>
      </w:pPr>
    </w:p>
    <w:p w14:paraId="45874A3C">
      <w:pPr>
        <w:spacing w:line="360" w:lineRule="auto"/>
        <w:ind w:firstLine="420" w:firstLineChars="200"/>
        <w:rPr>
          <w:rFonts w:asciiTheme="minorEastAsia" w:hAnsiTheme="minorEastAsia"/>
          <w:b/>
          <w:bCs/>
          <w:color w:val="auto"/>
          <w:szCs w:val="21"/>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1953B954">
                            <w:pPr>
                              <w:spacing w:line="360" w:lineRule="auto"/>
                              <w:ind w:firstLine="1680" w:firstLineChars="800"/>
                            </w:pPr>
                          </w:p>
                          <w:p w14:paraId="3BF98DC1">
                            <w:pPr>
                              <w:spacing w:line="360" w:lineRule="auto"/>
                              <w:ind w:firstLine="1680" w:firstLineChars="800"/>
                            </w:pPr>
                            <w:r>
                              <w:rPr>
                                <w:rFonts w:hint="eastAsia"/>
                              </w:rPr>
                              <w:t>法定代表人</w:t>
                            </w:r>
                          </w:p>
                          <w:p w14:paraId="6FBFEE77">
                            <w:pPr>
                              <w:spacing w:line="360" w:lineRule="auto"/>
                              <w:ind w:firstLine="1155" w:firstLineChars="550"/>
                            </w:pPr>
                            <w:r>
                              <w:rPr>
                                <w:rFonts w:hint="eastAsia"/>
                              </w:rPr>
                              <w:t>居民身份证复印件粘贴处</w:t>
                            </w:r>
                          </w:p>
                          <w:p w14:paraId="312C44C4">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14:paraId="1953B954">
                      <w:pPr>
                        <w:spacing w:line="360" w:lineRule="auto"/>
                        <w:ind w:firstLine="1680" w:firstLineChars="800"/>
                      </w:pPr>
                    </w:p>
                    <w:p w14:paraId="3BF98DC1">
                      <w:pPr>
                        <w:spacing w:line="360" w:lineRule="auto"/>
                        <w:ind w:firstLine="1680" w:firstLineChars="800"/>
                      </w:pPr>
                      <w:r>
                        <w:rPr>
                          <w:rFonts w:hint="eastAsia"/>
                        </w:rPr>
                        <w:t>法定代表人</w:t>
                      </w:r>
                    </w:p>
                    <w:p w14:paraId="6FBFEE77">
                      <w:pPr>
                        <w:spacing w:line="360" w:lineRule="auto"/>
                        <w:ind w:firstLine="1155" w:firstLineChars="550"/>
                      </w:pPr>
                      <w:r>
                        <w:rPr>
                          <w:rFonts w:hint="eastAsia"/>
                        </w:rPr>
                        <w:t>居民身份证复印件粘贴处</w:t>
                      </w:r>
                    </w:p>
                    <w:p w14:paraId="312C44C4">
                      <w:pPr>
                        <w:spacing w:line="360" w:lineRule="auto"/>
                        <w:ind w:firstLine="1785" w:firstLineChars="850"/>
                      </w:pPr>
                      <w:r>
                        <w:rPr>
                          <w:rFonts w:hint="eastAsia"/>
                        </w:rPr>
                        <w:t>（反面）</w:t>
                      </w:r>
                    </w:p>
                  </w:txbxContent>
                </v:textbox>
              </v:rect>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41A8A980">
                            <w:pPr>
                              <w:spacing w:line="360" w:lineRule="auto"/>
                              <w:jc w:val="center"/>
                            </w:pPr>
                          </w:p>
                          <w:p w14:paraId="7E7B5E80">
                            <w:pPr>
                              <w:spacing w:line="360" w:lineRule="auto"/>
                              <w:jc w:val="center"/>
                            </w:pPr>
                            <w:r>
                              <w:rPr>
                                <w:rFonts w:hint="eastAsia"/>
                              </w:rPr>
                              <w:t>法定代表人</w:t>
                            </w:r>
                          </w:p>
                          <w:p w14:paraId="5DE54DE2">
                            <w:pPr>
                              <w:spacing w:line="360" w:lineRule="auto"/>
                              <w:jc w:val="center"/>
                            </w:pPr>
                            <w:r>
                              <w:rPr>
                                <w:rFonts w:hint="eastAsia"/>
                              </w:rPr>
                              <w:t>居民身份证复印件粘贴处</w:t>
                            </w:r>
                          </w:p>
                          <w:p w14:paraId="40E9BAD5">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14:paraId="41A8A980">
                      <w:pPr>
                        <w:spacing w:line="360" w:lineRule="auto"/>
                        <w:jc w:val="center"/>
                      </w:pPr>
                    </w:p>
                    <w:p w14:paraId="7E7B5E80">
                      <w:pPr>
                        <w:spacing w:line="360" w:lineRule="auto"/>
                        <w:jc w:val="center"/>
                      </w:pPr>
                      <w:r>
                        <w:rPr>
                          <w:rFonts w:hint="eastAsia"/>
                        </w:rPr>
                        <w:t>法定代表人</w:t>
                      </w:r>
                    </w:p>
                    <w:p w14:paraId="5DE54DE2">
                      <w:pPr>
                        <w:spacing w:line="360" w:lineRule="auto"/>
                        <w:jc w:val="center"/>
                      </w:pPr>
                      <w:r>
                        <w:rPr>
                          <w:rFonts w:hint="eastAsia"/>
                        </w:rPr>
                        <w:t>居民身份证复印件粘贴处</w:t>
                      </w:r>
                    </w:p>
                    <w:p w14:paraId="40E9BAD5">
                      <w:pPr>
                        <w:spacing w:line="360" w:lineRule="auto"/>
                        <w:jc w:val="center"/>
                      </w:pPr>
                      <w:r>
                        <w:rPr>
                          <w:rFonts w:hint="eastAsia"/>
                        </w:rPr>
                        <w:t>（正面）</w:t>
                      </w:r>
                    </w:p>
                  </w:txbxContent>
                </v:textbox>
              </v:rect>
            </w:pict>
          </mc:Fallback>
        </mc:AlternateContent>
      </w:r>
    </w:p>
    <w:p w14:paraId="7237B1D7">
      <w:pPr>
        <w:spacing w:line="360" w:lineRule="auto"/>
        <w:ind w:firstLine="422" w:firstLineChars="200"/>
        <w:rPr>
          <w:rFonts w:asciiTheme="minorEastAsia" w:hAnsiTheme="minorEastAsia"/>
          <w:b/>
          <w:bCs/>
          <w:color w:val="auto"/>
          <w:szCs w:val="21"/>
          <w:highlight w:val="none"/>
        </w:rPr>
      </w:pPr>
    </w:p>
    <w:p w14:paraId="5DAE8156">
      <w:pPr>
        <w:spacing w:line="360" w:lineRule="auto"/>
        <w:ind w:firstLine="422" w:firstLineChars="200"/>
        <w:rPr>
          <w:rFonts w:asciiTheme="minorEastAsia" w:hAnsiTheme="minorEastAsia"/>
          <w:b/>
          <w:bCs/>
          <w:color w:val="auto"/>
          <w:szCs w:val="21"/>
          <w:highlight w:val="none"/>
        </w:rPr>
      </w:pPr>
    </w:p>
    <w:p w14:paraId="0AA4A061">
      <w:pPr>
        <w:spacing w:line="360" w:lineRule="auto"/>
        <w:ind w:firstLine="422" w:firstLineChars="200"/>
        <w:rPr>
          <w:rFonts w:asciiTheme="minorEastAsia" w:hAnsiTheme="minorEastAsia"/>
          <w:b/>
          <w:bCs/>
          <w:color w:val="auto"/>
          <w:szCs w:val="21"/>
          <w:highlight w:val="none"/>
        </w:rPr>
      </w:pPr>
    </w:p>
    <w:p w14:paraId="68A95E6F">
      <w:pPr>
        <w:spacing w:line="360" w:lineRule="auto"/>
        <w:ind w:firstLine="422" w:firstLineChars="200"/>
        <w:rPr>
          <w:rFonts w:asciiTheme="minorEastAsia" w:hAnsiTheme="minorEastAsia"/>
          <w:b/>
          <w:bCs/>
          <w:color w:val="auto"/>
          <w:szCs w:val="21"/>
          <w:highlight w:val="none"/>
        </w:rPr>
      </w:pPr>
    </w:p>
    <w:p w14:paraId="4498C72E">
      <w:pPr>
        <w:spacing w:line="360" w:lineRule="auto"/>
        <w:ind w:firstLine="422" w:firstLineChars="200"/>
        <w:rPr>
          <w:rFonts w:asciiTheme="minorEastAsia" w:hAnsiTheme="minorEastAsia"/>
          <w:b/>
          <w:bCs/>
          <w:color w:val="auto"/>
          <w:szCs w:val="21"/>
          <w:highlight w:val="none"/>
        </w:rPr>
      </w:pPr>
    </w:p>
    <w:p w14:paraId="341DF70B">
      <w:pPr>
        <w:spacing w:line="360" w:lineRule="auto"/>
        <w:ind w:firstLine="422" w:firstLineChars="200"/>
        <w:rPr>
          <w:rFonts w:asciiTheme="minorEastAsia" w:hAnsiTheme="minorEastAsia"/>
          <w:b/>
          <w:bCs/>
          <w:color w:val="auto"/>
          <w:szCs w:val="21"/>
          <w:highlight w:val="none"/>
        </w:rPr>
      </w:pPr>
      <w:r>
        <w:rPr>
          <w:rFonts w:hint="eastAsia" w:asciiTheme="minorEastAsia" w:hAnsiTheme="minorEastAsia"/>
          <w:b/>
          <w:bCs/>
          <w:color w:val="auto"/>
          <w:szCs w:val="21"/>
          <w:highlight w:val="none"/>
        </w:rPr>
        <w:t xml:space="preserve">                         </w:t>
      </w:r>
    </w:p>
    <w:p w14:paraId="7C9B37D6">
      <w:pPr>
        <w:spacing w:line="360" w:lineRule="auto"/>
        <w:ind w:firstLine="420" w:firstLineChars="200"/>
        <w:rPr>
          <w:rFonts w:asciiTheme="minorEastAsia" w:hAnsiTheme="minorEastAsia"/>
          <w:color w:val="auto"/>
          <w:szCs w:val="21"/>
          <w:highlight w:val="none"/>
        </w:rPr>
      </w:pPr>
    </w:p>
    <w:p w14:paraId="69B9FA96">
      <w:pPr>
        <w:spacing w:line="360" w:lineRule="auto"/>
        <w:ind w:firstLine="420" w:firstLineChars="200"/>
        <w:rPr>
          <w:rFonts w:asciiTheme="minorEastAsia" w:hAnsiTheme="minorEastAsia"/>
          <w:color w:val="auto"/>
          <w:szCs w:val="21"/>
          <w:highlight w:val="none"/>
        </w:rPr>
      </w:pPr>
    </w:p>
    <w:p w14:paraId="1ECF316C">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单位名称：（公章）：</w:t>
      </w:r>
      <w:r>
        <w:rPr>
          <w:rFonts w:hint="eastAsia" w:asciiTheme="minorEastAsia" w:hAnsiTheme="minorEastAsia"/>
          <w:color w:val="auto"/>
          <w:szCs w:val="21"/>
          <w:highlight w:val="none"/>
          <w:u w:val="single"/>
        </w:rPr>
        <w:t xml:space="preserve">             </w:t>
      </w:r>
    </w:p>
    <w:p w14:paraId="0DA7C96A">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日期：</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 xml:space="preserve">月 </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日</w:t>
      </w:r>
    </w:p>
    <w:p w14:paraId="78E69E6D">
      <w:pPr>
        <w:ind w:firstLine="420" w:firstLineChars="200"/>
        <w:rPr>
          <w:color w:val="auto"/>
          <w:highlight w:val="none"/>
        </w:rPr>
      </w:pPr>
    </w:p>
    <w:p w14:paraId="4258C145">
      <w:pPr>
        <w:adjustRightInd w:val="0"/>
        <w:snapToGrid w:val="0"/>
        <w:spacing w:line="360" w:lineRule="auto"/>
        <w:ind w:firstLine="422" w:firstLineChars="200"/>
        <w:rPr>
          <w:rFonts w:asciiTheme="minorEastAsia" w:hAnsiTheme="minorEastAsia"/>
          <w:b/>
          <w:snapToGrid w:val="0"/>
          <w:color w:val="auto"/>
          <w:kern w:val="0"/>
          <w:szCs w:val="21"/>
          <w:highlight w:val="none"/>
        </w:rPr>
      </w:pPr>
    </w:p>
    <w:p w14:paraId="61FB4FB4">
      <w:pPr>
        <w:spacing w:line="360" w:lineRule="auto"/>
        <w:ind w:firstLine="420" w:firstLineChars="200"/>
        <w:rPr>
          <w:rFonts w:asciiTheme="minorEastAsia" w:hAnsiTheme="minorEastAsia"/>
          <w:color w:val="auto"/>
          <w:szCs w:val="21"/>
          <w:highlight w:val="none"/>
        </w:rPr>
        <w:sectPr>
          <w:pgSz w:w="11906" w:h="16838"/>
          <w:pgMar w:top="1440" w:right="1080" w:bottom="1440" w:left="1080" w:header="851" w:footer="992" w:gutter="0"/>
          <w:cols w:space="720" w:num="1"/>
          <w:titlePg/>
          <w:docGrid w:type="lines" w:linePitch="312" w:charSpace="0"/>
        </w:sectPr>
      </w:pPr>
    </w:p>
    <w:p w14:paraId="012D8BDA">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附件</w:t>
      </w:r>
      <w:r>
        <w:rPr>
          <w:rFonts w:asciiTheme="minorEastAsia" w:hAnsiTheme="minorEastAsia"/>
          <w:color w:val="auto"/>
          <w:szCs w:val="21"/>
          <w:highlight w:val="none"/>
        </w:rPr>
        <w:t>7</w:t>
      </w:r>
      <w:r>
        <w:rPr>
          <w:rFonts w:hint="eastAsia" w:asciiTheme="minorEastAsia" w:hAnsiTheme="minorEastAsia"/>
          <w:color w:val="auto"/>
          <w:szCs w:val="21"/>
          <w:highlight w:val="none"/>
        </w:rPr>
        <w:t>：</w:t>
      </w:r>
      <w:bookmarkEnd w:id="165"/>
      <w:r>
        <w:rPr>
          <w:rFonts w:hint="eastAsia" w:asciiTheme="minorEastAsia" w:hAnsiTheme="minorEastAsia"/>
          <w:color w:val="auto"/>
          <w:szCs w:val="21"/>
          <w:highlight w:val="none"/>
        </w:rPr>
        <w:t>法定代表人授权委托证明书</w:t>
      </w:r>
    </w:p>
    <w:p w14:paraId="4B5AED68">
      <w:pPr>
        <w:keepNext/>
        <w:keepLines/>
        <w:spacing w:before="160" w:after="170"/>
        <w:ind w:firstLine="602" w:firstLineChars="200"/>
        <w:jc w:val="center"/>
        <w:outlineLvl w:val="4"/>
        <w:rPr>
          <w:b/>
          <w:bCs/>
          <w:color w:val="auto"/>
          <w:sz w:val="30"/>
          <w:szCs w:val="28"/>
          <w:highlight w:val="none"/>
        </w:rPr>
      </w:pPr>
      <w:bookmarkStart w:id="166" w:name="_Toc55548546"/>
      <w:bookmarkStart w:id="167" w:name="_Toc437"/>
      <w:r>
        <w:rPr>
          <w:rFonts w:hint="eastAsia"/>
          <w:b/>
          <w:bCs/>
          <w:color w:val="auto"/>
          <w:sz w:val="30"/>
          <w:szCs w:val="28"/>
          <w:highlight w:val="none"/>
        </w:rPr>
        <w:t>法定代表人授权委托书</w:t>
      </w:r>
      <w:bookmarkEnd w:id="166"/>
    </w:p>
    <w:p w14:paraId="7A5285FF">
      <w:pPr>
        <w:spacing w:line="360" w:lineRule="auto"/>
        <w:ind w:firstLine="420" w:firstLineChars="200"/>
        <w:rPr>
          <w:rFonts w:asciiTheme="minorEastAsia" w:hAnsiTheme="minorEastAsia"/>
          <w:b/>
          <w:bCs/>
          <w:color w:val="auto"/>
          <w:szCs w:val="21"/>
          <w:highlight w:val="none"/>
        </w:rPr>
      </w:pPr>
      <w:r>
        <w:rPr>
          <w:rFonts w:hint="eastAsia" w:asciiTheme="minorEastAsia" w:hAnsiTheme="minorEastAsia"/>
          <w:color w:val="auto"/>
          <w:szCs w:val="21"/>
          <w:highlight w:val="none"/>
        </w:rPr>
        <w:t>深圳市宝安区疾病预防控制中心</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lang w:val="en-US" w:eastAsia="zh-CN"/>
        </w:rPr>
        <w:t>深圳市宝安区卫生监督所</w:t>
      </w:r>
      <w:r>
        <w:rPr>
          <w:rFonts w:hint="eastAsia" w:asciiTheme="minorEastAsia" w:hAnsiTheme="minorEastAsia"/>
          <w:color w:val="auto"/>
          <w:szCs w:val="21"/>
          <w:highlight w:val="none"/>
          <w:lang w:eastAsia="zh-CN"/>
        </w:rPr>
        <w:t>）</w:t>
      </w:r>
      <w:r>
        <w:rPr>
          <w:rFonts w:hint="eastAsia" w:asciiTheme="minorEastAsia" w:hAnsiTheme="minorEastAsia"/>
          <w:b/>
          <w:bCs/>
          <w:color w:val="auto"/>
          <w:szCs w:val="21"/>
          <w:highlight w:val="none"/>
        </w:rPr>
        <w:t>：</w:t>
      </w:r>
    </w:p>
    <w:p w14:paraId="4AEB7D6C">
      <w:pPr>
        <w:adjustRightInd w:val="0"/>
        <w:snapToGrid w:val="0"/>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现委派</w:t>
      </w:r>
      <w:r>
        <w:rPr>
          <w:rFonts w:hint="eastAsia" w:asciiTheme="minorEastAsia" w:hAnsiTheme="minorEastAsia"/>
          <w:color w:val="auto"/>
          <w:szCs w:val="21"/>
          <w:highlight w:val="none"/>
          <w:u w:val="single"/>
        </w:rPr>
        <w:t xml:space="preserve">  （姓名、职务） </w:t>
      </w:r>
      <w:r>
        <w:rPr>
          <w:rFonts w:hint="eastAsia" w:asciiTheme="minorEastAsia" w:hAnsiTheme="minorEastAsia"/>
          <w:color w:val="auto"/>
          <w:szCs w:val="21"/>
          <w:highlight w:val="none"/>
        </w:rPr>
        <w:t>参加贵公司组织的</w:t>
      </w:r>
      <w:r>
        <w:rPr>
          <w:rFonts w:hint="eastAsia" w:asciiTheme="minorEastAsia" w:hAnsiTheme="minorEastAsia"/>
          <w:b/>
          <w:bCs/>
          <w:color w:val="auto"/>
          <w:szCs w:val="21"/>
          <w:highlight w:val="none"/>
          <w:u w:val="single"/>
        </w:rPr>
        <w:t xml:space="preserve">  </w:t>
      </w:r>
      <w:r>
        <w:rPr>
          <w:rFonts w:hint="eastAsia" w:asciiTheme="minorEastAsia" w:hAnsiTheme="minorEastAsia"/>
          <w:color w:val="auto"/>
          <w:szCs w:val="21"/>
          <w:highlight w:val="none"/>
          <w:u w:val="single"/>
        </w:rPr>
        <w:t xml:space="preserve">（招标项目名称、编号） </w:t>
      </w:r>
      <w:r>
        <w:rPr>
          <w:rFonts w:hint="eastAsia" w:asciiTheme="minorEastAsia" w:hAnsiTheme="minorEastAsia"/>
          <w:color w:val="auto"/>
          <w:szCs w:val="21"/>
          <w:highlight w:val="none"/>
        </w:rPr>
        <w:t>招标活动，全权代表我单位处理投标的有关事宜。</w:t>
      </w:r>
    </w:p>
    <w:p w14:paraId="473786C1">
      <w:pPr>
        <w:spacing w:line="360" w:lineRule="auto"/>
        <w:ind w:firstLine="420" w:firstLineChars="200"/>
        <w:rPr>
          <w:rFonts w:asciiTheme="minorEastAsia" w:hAnsiTheme="minorEastAsia"/>
          <w:color w:val="auto"/>
          <w:szCs w:val="21"/>
          <w:highlight w:val="none"/>
        </w:rPr>
      </w:pPr>
    </w:p>
    <w:p w14:paraId="383970E2">
      <w:pPr>
        <w:adjustRightInd w:val="0"/>
        <w:snapToGrid w:val="0"/>
        <w:spacing w:line="360" w:lineRule="auto"/>
        <w:ind w:firstLine="422" w:firstLineChars="200"/>
        <w:rPr>
          <w:rFonts w:asciiTheme="minorEastAsia" w:hAnsiTheme="minorEastAsia"/>
          <w:b/>
          <w:bCs/>
          <w:color w:val="auto"/>
          <w:szCs w:val="21"/>
          <w:highlight w:val="none"/>
        </w:rPr>
      </w:pPr>
      <w:r>
        <w:rPr>
          <w:rFonts w:hint="eastAsia" w:asciiTheme="minorEastAsia" w:hAnsiTheme="minorEastAsia"/>
          <w:b/>
          <w:bCs/>
          <w:color w:val="auto"/>
          <w:szCs w:val="21"/>
          <w:highlight w:val="none"/>
        </w:rPr>
        <w:t>附授权代表情况：</w:t>
      </w:r>
    </w:p>
    <w:p w14:paraId="0EAC4E9E">
      <w:pPr>
        <w:adjustRightInd w:val="0"/>
        <w:snapToGrid w:val="0"/>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姓名：</w:t>
      </w:r>
      <w:r>
        <w:rPr>
          <w:rFonts w:hint="eastAsia" w:asciiTheme="minorEastAsia" w:hAnsiTheme="minorEastAsia"/>
          <w:b/>
          <w:bCs/>
          <w:color w:val="auto"/>
          <w:szCs w:val="21"/>
          <w:highlight w:val="none"/>
        </w:rPr>
        <w:t xml:space="preserve">    </w:t>
      </w:r>
      <w:r>
        <w:rPr>
          <w:rFonts w:hint="eastAsia" w:asciiTheme="minorEastAsia" w:hAnsiTheme="minorEastAsia"/>
          <w:color w:val="auto"/>
          <w:szCs w:val="21"/>
          <w:highlight w:val="none"/>
        </w:rPr>
        <w:t xml:space="preserve">            性别：</w:t>
      </w:r>
      <w:r>
        <w:rPr>
          <w:rFonts w:hint="eastAsia" w:asciiTheme="minorEastAsia" w:hAnsiTheme="minorEastAsia"/>
          <w:b/>
          <w:bCs/>
          <w:color w:val="auto"/>
          <w:szCs w:val="21"/>
          <w:highlight w:val="none"/>
        </w:rPr>
        <w:t xml:space="preserve"> </w:t>
      </w:r>
    </w:p>
    <w:p w14:paraId="0350C5F0">
      <w:pPr>
        <w:adjustRightInd w:val="0"/>
        <w:snapToGrid w:val="0"/>
        <w:spacing w:line="360" w:lineRule="auto"/>
        <w:ind w:firstLine="420" w:firstLineChars="200"/>
        <w:rPr>
          <w:rFonts w:asciiTheme="minorEastAsia" w:hAnsiTheme="minorEastAsia"/>
          <w:b/>
          <w:bCs/>
          <w:color w:val="auto"/>
          <w:szCs w:val="21"/>
          <w:highlight w:val="none"/>
        </w:rPr>
      </w:pPr>
      <w:r>
        <w:rPr>
          <w:rFonts w:hint="eastAsia" w:asciiTheme="minorEastAsia" w:hAnsiTheme="minorEastAsia"/>
          <w:color w:val="auto"/>
          <w:szCs w:val="21"/>
          <w:highlight w:val="none"/>
        </w:rPr>
        <w:t>年龄：</w:t>
      </w:r>
      <w:r>
        <w:rPr>
          <w:rFonts w:hint="eastAsia" w:asciiTheme="minorEastAsia" w:hAnsiTheme="minorEastAsia"/>
          <w:b/>
          <w:bCs/>
          <w:color w:val="auto"/>
          <w:szCs w:val="21"/>
          <w:highlight w:val="none"/>
        </w:rPr>
        <w:t xml:space="preserve"> </w:t>
      </w:r>
      <w:r>
        <w:rPr>
          <w:rFonts w:hint="eastAsia" w:asciiTheme="minorEastAsia" w:hAnsiTheme="minorEastAsia"/>
          <w:color w:val="auto"/>
          <w:szCs w:val="21"/>
          <w:highlight w:val="none"/>
        </w:rPr>
        <w:t xml:space="preserve">            </w:t>
      </w:r>
    </w:p>
    <w:p w14:paraId="4CC6470D">
      <w:pPr>
        <w:adjustRightInd w:val="0"/>
        <w:snapToGrid w:val="0"/>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职务：</w:t>
      </w:r>
    </w:p>
    <w:p w14:paraId="6DA0A6C6">
      <w:pPr>
        <w:adjustRightInd w:val="0"/>
        <w:snapToGrid w:val="0"/>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身份证号码：</w:t>
      </w:r>
    </w:p>
    <w:p w14:paraId="472ADDBC">
      <w:pPr>
        <w:adjustRightInd w:val="0"/>
        <w:snapToGrid w:val="0"/>
        <w:spacing w:line="360" w:lineRule="auto"/>
        <w:ind w:firstLine="420" w:firstLineChars="200"/>
        <w:rPr>
          <w:rFonts w:asciiTheme="minorEastAsia" w:hAnsiTheme="minorEastAsia"/>
          <w:b/>
          <w:bCs/>
          <w:color w:val="auto"/>
          <w:szCs w:val="21"/>
          <w:highlight w:val="none"/>
        </w:rPr>
      </w:pPr>
      <w:r>
        <w:rPr>
          <w:rFonts w:hint="eastAsia" w:asciiTheme="minorEastAsia" w:hAnsiTheme="minorEastAsia"/>
          <w:color w:val="auto"/>
          <w:szCs w:val="21"/>
          <w:highlight w:val="none"/>
        </w:rPr>
        <w:t>邮编：</w:t>
      </w:r>
      <w:r>
        <w:rPr>
          <w:rFonts w:hint="eastAsia" w:asciiTheme="minorEastAsia" w:hAnsiTheme="minorEastAsia"/>
          <w:b/>
          <w:bCs/>
          <w:color w:val="auto"/>
          <w:szCs w:val="21"/>
          <w:highlight w:val="none"/>
        </w:rPr>
        <w:t xml:space="preserve"> </w:t>
      </w:r>
    </w:p>
    <w:p w14:paraId="52894D09">
      <w:pPr>
        <w:adjustRightInd w:val="0"/>
        <w:snapToGrid w:val="0"/>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通讯地址：</w:t>
      </w:r>
      <w:r>
        <w:rPr>
          <w:rFonts w:hint="eastAsia" w:asciiTheme="minorEastAsia" w:hAnsiTheme="minorEastAsia"/>
          <w:b/>
          <w:bCs/>
          <w:color w:val="auto"/>
          <w:szCs w:val="21"/>
          <w:highlight w:val="none"/>
        </w:rPr>
        <w:t xml:space="preserve"> </w:t>
      </w:r>
    </w:p>
    <w:p w14:paraId="785D4701">
      <w:pPr>
        <w:adjustRightInd w:val="0"/>
        <w:snapToGrid w:val="0"/>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电话： </w:t>
      </w:r>
    </w:p>
    <w:p w14:paraId="2D79F16B">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单位名称：（公章）</w:t>
      </w:r>
    </w:p>
    <w:p w14:paraId="3A2F59AF">
      <w:pPr>
        <w:spacing w:line="360" w:lineRule="auto"/>
        <w:ind w:firstLine="420" w:firstLineChars="200"/>
        <w:rPr>
          <w:rFonts w:asciiTheme="minorEastAsia" w:hAnsiTheme="minorEastAsia"/>
          <w:color w:val="auto"/>
          <w:szCs w:val="21"/>
          <w:highlight w:val="none"/>
        </w:rPr>
      </w:pPr>
    </w:p>
    <w:p w14:paraId="459050D0">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法人代表：（签章）</w:t>
      </w:r>
    </w:p>
    <w:p w14:paraId="4C7904EB">
      <w:pPr>
        <w:adjustRightInd w:val="0"/>
        <w:snapToGrid w:val="0"/>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年</w:t>
      </w:r>
      <w:r>
        <w:rPr>
          <w:rFonts w:hint="eastAsia" w:asciiTheme="minorEastAsia" w:hAnsiTheme="minorEastAsia"/>
          <w:b/>
          <w:bCs/>
          <w:color w:val="auto"/>
          <w:szCs w:val="21"/>
          <w:highlight w:val="none"/>
        </w:rPr>
        <w:t xml:space="preserve">    </w:t>
      </w:r>
      <w:r>
        <w:rPr>
          <w:rFonts w:hint="eastAsia" w:asciiTheme="minorEastAsia" w:hAnsiTheme="minorEastAsia"/>
          <w:color w:val="auto"/>
          <w:szCs w:val="21"/>
          <w:highlight w:val="none"/>
        </w:rPr>
        <w:t>月</w:t>
      </w:r>
      <w:r>
        <w:rPr>
          <w:rFonts w:hint="eastAsia" w:asciiTheme="minorEastAsia" w:hAnsiTheme="minorEastAsia"/>
          <w:b/>
          <w:bCs/>
          <w:color w:val="auto"/>
          <w:szCs w:val="21"/>
          <w:highlight w:val="none"/>
        </w:rPr>
        <w:t xml:space="preserve">   </w:t>
      </w:r>
      <w:r>
        <w:rPr>
          <w:rFonts w:hint="eastAsia" w:asciiTheme="minorEastAsia" w:hAnsiTheme="minorEastAsia"/>
          <w:color w:val="auto"/>
          <w:szCs w:val="21"/>
          <w:highlight w:val="none"/>
        </w:rPr>
        <w:t>日</w:t>
      </w:r>
    </w:p>
    <w:p w14:paraId="59BE7E8A">
      <w:pPr>
        <w:spacing w:line="360" w:lineRule="auto"/>
        <w:ind w:firstLine="420" w:firstLineChars="200"/>
        <w:rPr>
          <w:rFonts w:asciiTheme="minorEastAsia" w:hAnsiTheme="minorEastAsia"/>
          <w:color w:val="auto"/>
          <w:szCs w:val="21"/>
          <w:highlight w:val="none"/>
        </w:rPr>
      </w:pPr>
      <w:bookmarkStart w:id="168" w:name="_Toc226217114"/>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14:paraId="6A1000A9">
                            <w:pPr>
                              <w:spacing w:line="360" w:lineRule="auto"/>
                              <w:ind w:firstLine="1260" w:firstLineChars="600"/>
                            </w:pPr>
                          </w:p>
                          <w:p w14:paraId="02F65314">
                            <w:pPr>
                              <w:spacing w:line="360" w:lineRule="auto"/>
                              <w:ind w:firstLine="1260" w:firstLineChars="600"/>
                            </w:pPr>
                            <w:r>
                              <w:rPr>
                                <w:rFonts w:hint="eastAsia"/>
                              </w:rPr>
                              <w:t>被授权人（授权代表）</w:t>
                            </w:r>
                          </w:p>
                          <w:p w14:paraId="3EDDC729">
                            <w:pPr>
                              <w:spacing w:line="360" w:lineRule="auto"/>
                              <w:ind w:firstLine="1050" w:firstLineChars="500"/>
                            </w:pPr>
                            <w:r>
                              <w:rPr>
                                <w:rFonts w:hint="eastAsia"/>
                              </w:rPr>
                              <w:t>居民身份证复印件粘贴处</w:t>
                            </w:r>
                          </w:p>
                          <w:p w14:paraId="5D2E3FC5">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14:paraId="6A1000A9">
                      <w:pPr>
                        <w:spacing w:line="360" w:lineRule="auto"/>
                        <w:ind w:firstLine="1260" w:firstLineChars="600"/>
                      </w:pPr>
                    </w:p>
                    <w:p w14:paraId="02F65314">
                      <w:pPr>
                        <w:spacing w:line="360" w:lineRule="auto"/>
                        <w:ind w:firstLine="1260" w:firstLineChars="600"/>
                      </w:pPr>
                      <w:r>
                        <w:rPr>
                          <w:rFonts w:hint="eastAsia"/>
                        </w:rPr>
                        <w:t>被授权人（授权代表）</w:t>
                      </w:r>
                    </w:p>
                    <w:p w14:paraId="3EDDC729">
                      <w:pPr>
                        <w:spacing w:line="360" w:lineRule="auto"/>
                        <w:ind w:firstLine="1050" w:firstLineChars="500"/>
                      </w:pPr>
                      <w:r>
                        <w:rPr>
                          <w:rFonts w:hint="eastAsia"/>
                        </w:rPr>
                        <w:t>居民身份证复印件粘贴处</w:t>
                      </w:r>
                    </w:p>
                    <w:p w14:paraId="5D2E3FC5">
                      <w:pPr>
                        <w:spacing w:line="360" w:lineRule="auto"/>
                        <w:jc w:val="center"/>
                      </w:pPr>
                      <w:r>
                        <w:rPr>
                          <w:rFonts w:hint="eastAsia"/>
                        </w:rPr>
                        <w:t>（正面）</w:t>
                      </w:r>
                    </w:p>
                  </w:txbxContent>
                </v:textbox>
              </v:rect>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14:paraId="13BDB253">
                            <w:pPr>
                              <w:spacing w:line="360" w:lineRule="auto"/>
                              <w:jc w:val="center"/>
                            </w:pPr>
                          </w:p>
                          <w:p w14:paraId="6F6EDDBC">
                            <w:pPr>
                              <w:spacing w:line="360" w:lineRule="auto"/>
                              <w:jc w:val="center"/>
                            </w:pPr>
                            <w:r>
                              <w:rPr>
                                <w:rFonts w:hint="eastAsia"/>
                              </w:rPr>
                              <w:t>被授权人（授权代表）</w:t>
                            </w:r>
                          </w:p>
                          <w:p w14:paraId="0B3D6F5C">
                            <w:pPr>
                              <w:spacing w:line="360" w:lineRule="auto"/>
                              <w:jc w:val="center"/>
                            </w:pPr>
                            <w:r>
                              <w:rPr>
                                <w:rFonts w:hint="eastAsia"/>
                              </w:rPr>
                              <w:t>居民身份证复印件粘贴处</w:t>
                            </w:r>
                          </w:p>
                          <w:p w14:paraId="4EE5CBDA">
                            <w:pPr>
                              <w:spacing w:line="360" w:lineRule="auto"/>
                              <w:jc w:val="center"/>
                            </w:pPr>
                            <w:r>
                              <w:rPr>
                                <w:rFonts w:hint="eastAsia"/>
                              </w:rPr>
                              <w:t>（反面）</w:t>
                            </w:r>
                          </w:p>
                          <w:p w14:paraId="60CA4335"/>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14:paraId="13BDB253">
                      <w:pPr>
                        <w:spacing w:line="360" w:lineRule="auto"/>
                        <w:jc w:val="center"/>
                      </w:pPr>
                    </w:p>
                    <w:p w14:paraId="6F6EDDBC">
                      <w:pPr>
                        <w:spacing w:line="360" w:lineRule="auto"/>
                        <w:jc w:val="center"/>
                      </w:pPr>
                      <w:r>
                        <w:rPr>
                          <w:rFonts w:hint="eastAsia"/>
                        </w:rPr>
                        <w:t>被授权人（授权代表）</w:t>
                      </w:r>
                    </w:p>
                    <w:p w14:paraId="0B3D6F5C">
                      <w:pPr>
                        <w:spacing w:line="360" w:lineRule="auto"/>
                        <w:jc w:val="center"/>
                      </w:pPr>
                      <w:r>
                        <w:rPr>
                          <w:rFonts w:hint="eastAsia"/>
                        </w:rPr>
                        <w:t>居民身份证复印件粘贴处</w:t>
                      </w:r>
                    </w:p>
                    <w:p w14:paraId="4EE5CBDA">
                      <w:pPr>
                        <w:spacing w:line="360" w:lineRule="auto"/>
                        <w:jc w:val="center"/>
                      </w:pPr>
                      <w:r>
                        <w:rPr>
                          <w:rFonts w:hint="eastAsia"/>
                        </w:rPr>
                        <w:t>（反面）</w:t>
                      </w:r>
                    </w:p>
                    <w:p w14:paraId="60CA4335"/>
                  </w:txbxContent>
                </v:textbox>
              </v:rect>
            </w:pict>
          </mc:Fallback>
        </mc:AlternateContent>
      </w:r>
      <w:bookmarkEnd w:id="168"/>
    </w:p>
    <w:p w14:paraId="7C0965CC">
      <w:pPr>
        <w:spacing w:line="360" w:lineRule="auto"/>
        <w:ind w:firstLine="420" w:firstLineChars="200"/>
        <w:rPr>
          <w:rFonts w:asciiTheme="minorEastAsia" w:hAnsiTheme="minorEastAsia"/>
          <w:color w:val="auto"/>
          <w:szCs w:val="21"/>
          <w:highlight w:val="none"/>
        </w:rPr>
      </w:pPr>
    </w:p>
    <w:p w14:paraId="0F933202">
      <w:pPr>
        <w:spacing w:line="360" w:lineRule="auto"/>
        <w:ind w:firstLine="420" w:firstLineChars="200"/>
        <w:rPr>
          <w:rFonts w:asciiTheme="minorEastAsia" w:hAnsiTheme="minorEastAsia"/>
          <w:color w:val="auto"/>
          <w:szCs w:val="21"/>
          <w:highlight w:val="none"/>
        </w:rPr>
      </w:pPr>
    </w:p>
    <w:p w14:paraId="1CF2239C">
      <w:pPr>
        <w:spacing w:line="360" w:lineRule="auto"/>
        <w:ind w:firstLine="420" w:firstLineChars="200"/>
        <w:rPr>
          <w:rFonts w:asciiTheme="minorEastAsia" w:hAnsiTheme="minorEastAsia"/>
          <w:color w:val="auto"/>
          <w:szCs w:val="21"/>
          <w:highlight w:val="none"/>
        </w:rPr>
      </w:pPr>
    </w:p>
    <w:p w14:paraId="104CE9F2">
      <w:pPr>
        <w:spacing w:line="360" w:lineRule="auto"/>
        <w:ind w:firstLine="420" w:firstLineChars="200"/>
        <w:rPr>
          <w:rFonts w:asciiTheme="minorEastAsia" w:hAnsiTheme="minorEastAsia"/>
          <w:color w:val="auto"/>
          <w:szCs w:val="21"/>
          <w:highlight w:val="none"/>
        </w:rPr>
      </w:pPr>
    </w:p>
    <w:p w14:paraId="71B7AD52">
      <w:pPr>
        <w:tabs>
          <w:tab w:val="left" w:pos="5115"/>
        </w:tabs>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ab/>
      </w:r>
    </w:p>
    <w:p w14:paraId="2E811CC6">
      <w:pPr>
        <w:spacing w:line="360" w:lineRule="auto"/>
        <w:ind w:firstLine="420" w:firstLineChars="200"/>
        <w:rPr>
          <w:rFonts w:asciiTheme="minorEastAsia" w:hAnsiTheme="minorEastAsia"/>
          <w:color w:val="auto"/>
          <w:szCs w:val="21"/>
          <w:highlight w:val="none"/>
        </w:rPr>
      </w:pPr>
    </w:p>
    <w:p w14:paraId="2A39A6AE">
      <w:pPr>
        <w:adjustRightInd w:val="0"/>
        <w:snapToGrid w:val="0"/>
        <w:spacing w:line="360" w:lineRule="auto"/>
        <w:ind w:firstLine="422" w:firstLineChars="200"/>
        <w:rPr>
          <w:rFonts w:asciiTheme="minorEastAsia" w:hAnsiTheme="minorEastAsia"/>
          <w:b/>
          <w:snapToGrid w:val="0"/>
          <w:color w:val="auto"/>
          <w:kern w:val="0"/>
          <w:szCs w:val="21"/>
          <w:highlight w:val="none"/>
        </w:rPr>
      </w:pPr>
    </w:p>
    <w:p w14:paraId="00BC3762">
      <w:pPr>
        <w:spacing w:line="360" w:lineRule="auto"/>
        <w:ind w:firstLine="420" w:firstLineChars="200"/>
        <w:rPr>
          <w:rFonts w:asciiTheme="minorEastAsia" w:hAnsiTheme="minorEastAsia"/>
          <w:color w:val="auto"/>
          <w:szCs w:val="21"/>
          <w:highlight w:val="none"/>
        </w:rPr>
        <w:sectPr>
          <w:pgSz w:w="11906" w:h="16838"/>
          <w:pgMar w:top="1440" w:right="1080" w:bottom="1440" w:left="1080" w:header="851" w:footer="992" w:gutter="0"/>
          <w:cols w:space="720" w:num="1"/>
          <w:titlePg/>
          <w:docGrid w:type="lines" w:linePitch="312" w:charSpace="0"/>
        </w:sectPr>
      </w:pPr>
    </w:p>
    <w:p w14:paraId="4FA559BB">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附件</w:t>
      </w:r>
      <w:r>
        <w:rPr>
          <w:rFonts w:asciiTheme="minorEastAsia" w:hAnsiTheme="minorEastAsia"/>
          <w:color w:val="auto"/>
          <w:szCs w:val="21"/>
          <w:highlight w:val="none"/>
        </w:rPr>
        <w:t>8</w:t>
      </w:r>
      <w:r>
        <w:rPr>
          <w:rFonts w:hint="eastAsia" w:asciiTheme="minorEastAsia" w:hAnsiTheme="minorEastAsia"/>
          <w:color w:val="auto"/>
          <w:szCs w:val="21"/>
          <w:highlight w:val="none"/>
        </w:rPr>
        <w:t>：项目实施方案格式</w:t>
      </w:r>
      <w:bookmarkEnd w:id="167"/>
      <w:r>
        <w:rPr>
          <w:rFonts w:hint="eastAsia" w:asciiTheme="minorEastAsia" w:hAnsiTheme="minorEastAsia"/>
          <w:color w:val="auto"/>
          <w:szCs w:val="21"/>
          <w:highlight w:val="none"/>
        </w:rPr>
        <w:t>（如有）</w:t>
      </w:r>
    </w:p>
    <w:p w14:paraId="15703E71">
      <w:pPr>
        <w:keepNext/>
        <w:keepLines/>
        <w:spacing w:before="160" w:after="170"/>
        <w:ind w:firstLine="602" w:firstLineChars="200"/>
        <w:jc w:val="center"/>
        <w:outlineLvl w:val="4"/>
        <w:rPr>
          <w:b/>
          <w:bCs/>
          <w:color w:val="auto"/>
          <w:sz w:val="30"/>
          <w:szCs w:val="28"/>
          <w:highlight w:val="none"/>
        </w:rPr>
      </w:pPr>
      <w:bookmarkStart w:id="169" w:name="_Toc55548547"/>
      <w:r>
        <w:rPr>
          <w:rFonts w:hint="eastAsia"/>
          <w:b/>
          <w:bCs/>
          <w:color w:val="auto"/>
          <w:sz w:val="30"/>
          <w:szCs w:val="28"/>
          <w:highlight w:val="none"/>
        </w:rPr>
        <w:t>项目实施方案</w:t>
      </w:r>
      <w:bookmarkEnd w:id="169"/>
    </w:p>
    <w:p w14:paraId="0E183C63">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主要内容应包括(根据项目实际情况适当调整内容)：</w:t>
      </w:r>
    </w:p>
    <w:p w14:paraId="52D15271">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1、项目实施方案、实施进度表</w:t>
      </w:r>
    </w:p>
    <w:p w14:paraId="4354A6E5">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2、相关配套措施</w:t>
      </w:r>
    </w:p>
    <w:p w14:paraId="219383F9">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（备注：该部分须与“技术保障措施”、“施工安全保障措施”、“商务需求”等部分承诺的内容相呼应，不得前后矛盾。）</w:t>
      </w:r>
    </w:p>
    <w:p w14:paraId="333AA6B3">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br w:type="page"/>
      </w:r>
      <w:bookmarkStart w:id="170" w:name="_Toc3861"/>
      <w:r>
        <w:rPr>
          <w:rFonts w:hint="eastAsia" w:asciiTheme="minorEastAsia" w:hAnsiTheme="minorEastAsia"/>
          <w:color w:val="auto"/>
          <w:szCs w:val="21"/>
          <w:highlight w:val="none"/>
        </w:rPr>
        <w:t>附件</w:t>
      </w:r>
      <w:r>
        <w:rPr>
          <w:rFonts w:asciiTheme="minorEastAsia" w:hAnsiTheme="minorEastAsia"/>
          <w:color w:val="auto"/>
          <w:szCs w:val="21"/>
          <w:highlight w:val="none"/>
        </w:rPr>
        <w:t>9</w:t>
      </w:r>
      <w:r>
        <w:rPr>
          <w:rFonts w:hint="eastAsia" w:asciiTheme="minorEastAsia" w:hAnsiTheme="minorEastAsia"/>
          <w:color w:val="auto"/>
          <w:szCs w:val="21"/>
          <w:highlight w:val="none"/>
        </w:rPr>
        <w:t>：售后服务方案格式</w:t>
      </w:r>
      <w:bookmarkEnd w:id="170"/>
      <w:r>
        <w:rPr>
          <w:rFonts w:hint="eastAsia" w:asciiTheme="minorEastAsia" w:hAnsiTheme="minorEastAsia"/>
          <w:color w:val="auto"/>
          <w:szCs w:val="21"/>
          <w:highlight w:val="none"/>
        </w:rPr>
        <w:t>（如有）</w:t>
      </w:r>
    </w:p>
    <w:p w14:paraId="6C19E031">
      <w:pPr>
        <w:keepNext/>
        <w:keepLines/>
        <w:spacing w:before="160" w:after="170"/>
        <w:ind w:firstLine="602" w:firstLineChars="200"/>
        <w:jc w:val="center"/>
        <w:outlineLvl w:val="4"/>
        <w:rPr>
          <w:b/>
          <w:bCs/>
          <w:color w:val="auto"/>
          <w:sz w:val="30"/>
          <w:szCs w:val="28"/>
          <w:highlight w:val="none"/>
        </w:rPr>
      </w:pPr>
      <w:bookmarkStart w:id="171" w:name="_Toc55548548"/>
      <w:r>
        <w:rPr>
          <w:rFonts w:hint="eastAsia"/>
          <w:b/>
          <w:bCs/>
          <w:color w:val="auto"/>
          <w:sz w:val="30"/>
          <w:szCs w:val="28"/>
          <w:highlight w:val="none"/>
        </w:rPr>
        <w:t>售后服务方案</w:t>
      </w:r>
      <w:bookmarkEnd w:id="171"/>
    </w:p>
    <w:p w14:paraId="37BA965C">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主要内容应包括(根据项目实际情况适当调整内容)：</w:t>
      </w:r>
    </w:p>
    <w:p w14:paraId="0C272A41">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1</w:t>
      </w:r>
      <w:r>
        <w:rPr>
          <w:rFonts w:hint="eastAsia" w:asciiTheme="minorEastAsia" w:hAnsiTheme="minorEastAsia"/>
          <w:color w:val="auto"/>
          <w:szCs w:val="21"/>
          <w:highlight w:val="none"/>
        </w:rPr>
        <w:t>、免费保修期；</w:t>
      </w:r>
    </w:p>
    <w:p w14:paraId="558CC97E">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、故障或技术支持响应时间；</w:t>
      </w:r>
    </w:p>
    <w:p w14:paraId="151AC45D">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、投标人承诺的其他维修维护方案、措施</w:t>
      </w:r>
    </w:p>
    <w:p w14:paraId="3EEBD23E">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、质量保证及违约承诺。</w:t>
      </w:r>
    </w:p>
    <w:p w14:paraId="77ED5FAC">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（备注：该部分须与“商务需求”承诺的内容相呼应，不得前后矛盾。）</w:t>
      </w:r>
    </w:p>
    <w:p w14:paraId="687C50CE">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br w:type="page"/>
      </w:r>
      <w:bookmarkStart w:id="172" w:name="_Toc29995"/>
      <w:r>
        <w:rPr>
          <w:rFonts w:hint="eastAsia" w:asciiTheme="minorEastAsia" w:hAnsiTheme="minorEastAsia"/>
          <w:color w:val="auto"/>
          <w:szCs w:val="21"/>
          <w:highlight w:val="none"/>
        </w:rPr>
        <w:t>附件</w:t>
      </w:r>
      <w:r>
        <w:rPr>
          <w:rFonts w:asciiTheme="minorEastAsia" w:hAnsiTheme="minorEastAsia"/>
          <w:color w:val="auto"/>
          <w:szCs w:val="21"/>
          <w:highlight w:val="none"/>
        </w:rPr>
        <w:t>10</w:t>
      </w:r>
      <w:r>
        <w:rPr>
          <w:rFonts w:hint="eastAsia" w:asciiTheme="minorEastAsia" w:hAnsiTheme="minorEastAsia"/>
          <w:color w:val="auto"/>
          <w:szCs w:val="21"/>
          <w:highlight w:val="none"/>
        </w:rPr>
        <w:t>：中小企业声明函</w:t>
      </w:r>
      <w:bookmarkEnd w:id="172"/>
      <w:r>
        <w:rPr>
          <w:rFonts w:hint="eastAsia" w:asciiTheme="minorEastAsia" w:hAnsiTheme="minorEastAsia"/>
          <w:color w:val="auto"/>
          <w:szCs w:val="21"/>
          <w:highlight w:val="none"/>
        </w:rPr>
        <w:t>（如有）</w:t>
      </w:r>
    </w:p>
    <w:p w14:paraId="0434CA7A">
      <w:pPr>
        <w:keepNext/>
        <w:keepLines/>
        <w:spacing w:before="160" w:after="170"/>
        <w:ind w:firstLine="602" w:firstLineChars="200"/>
        <w:jc w:val="center"/>
        <w:outlineLvl w:val="4"/>
        <w:rPr>
          <w:b/>
          <w:bCs/>
          <w:color w:val="auto"/>
          <w:sz w:val="30"/>
          <w:szCs w:val="28"/>
          <w:highlight w:val="none"/>
        </w:rPr>
      </w:pPr>
      <w:bookmarkStart w:id="173" w:name="_Toc55548549"/>
      <w:r>
        <w:rPr>
          <w:rFonts w:hint="eastAsia"/>
          <w:b/>
          <w:bCs/>
          <w:color w:val="auto"/>
          <w:sz w:val="30"/>
          <w:szCs w:val="28"/>
          <w:highlight w:val="none"/>
        </w:rPr>
        <w:t>中小企业声明函</w:t>
      </w:r>
      <w:bookmarkEnd w:id="173"/>
    </w:p>
    <w:p w14:paraId="7848636A">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本公司郑重声明，根据《政府采购促进中小企业发展暂行办法》（财库[2011]181号）的规定，本公司为______（请填写：中型、小型、微型）企业。即，本公司同时满足以下条件：</w:t>
      </w:r>
    </w:p>
    <w:p w14:paraId="0C1AC316">
      <w:pPr>
        <w:spacing w:line="360" w:lineRule="auto"/>
        <w:ind w:firstLine="420" w:firstLineChars="200"/>
        <w:rPr>
          <w:rFonts w:asciiTheme="minorEastAsia" w:hAnsiTheme="minorEastAsia"/>
          <w:color w:val="auto"/>
          <w:szCs w:val="21"/>
          <w:highlight w:val="none"/>
        </w:rPr>
      </w:pPr>
    </w:p>
    <w:p w14:paraId="79BAD3EB">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1.根据《工业和信息化部、国家统计局、国家发展和改革委员会、财政部关于印发中小企业划型标准规定的通知》（工信部联企业[2011]300号）规定的划分标准，本公司为______（请填写：中型、小型、微型）企业。</w:t>
      </w:r>
    </w:p>
    <w:p w14:paraId="0F60CFAA">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00B78D0">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t>本公司对上述声明的真实性负责。如有虚假，将依法承担相应责任。</w:t>
      </w:r>
    </w:p>
    <w:p w14:paraId="2326850D">
      <w:pPr>
        <w:spacing w:line="360" w:lineRule="auto"/>
        <w:ind w:firstLine="420" w:firstLineChars="200"/>
        <w:rPr>
          <w:rFonts w:asciiTheme="minorEastAsia" w:hAnsiTheme="minorEastAsia"/>
          <w:color w:val="auto"/>
          <w:szCs w:val="21"/>
          <w:highlight w:val="none"/>
        </w:rPr>
      </w:pPr>
    </w:p>
    <w:p w14:paraId="17CB1420">
      <w:pPr>
        <w:spacing w:line="360" w:lineRule="auto"/>
        <w:ind w:firstLine="420" w:firstLineChars="200"/>
        <w:rPr>
          <w:rFonts w:asciiTheme="minorEastAsia" w:hAnsiTheme="minorEastAsia"/>
          <w:color w:val="auto"/>
          <w:szCs w:val="21"/>
          <w:highlight w:val="none"/>
        </w:rPr>
      </w:pPr>
    </w:p>
    <w:p w14:paraId="64CFBF47">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投标供应商：</w:t>
      </w:r>
    </w:p>
    <w:p w14:paraId="10E9F4B7">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法人或授权代表：</w:t>
      </w:r>
    </w:p>
    <w:p w14:paraId="7A5DD5DC">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日期：</w:t>
      </w:r>
    </w:p>
    <w:p w14:paraId="7CE260C3">
      <w:pPr>
        <w:spacing w:line="360" w:lineRule="auto"/>
        <w:ind w:firstLine="420" w:firstLineChars="200"/>
        <w:rPr>
          <w:rFonts w:asciiTheme="minorEastAsia" w:hAnsiTheme="minorEastAsia"/>
          <w:color w:val="auto"/>
          <w:szCs w:val="21"/>
          <w:highlight w:val="none"/>
        </w:rPr>
      </w:pPr>
    </w:p>
    <w:p w14:paraId="13A7252F">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备注：填写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如不符合前述相关规定所确定的小型和微型企业，则不需要在投标文件中提供本《中小企业声明函》；若符合前述相关规定所确定的小型和微型企业，在投标文件中没有提供本《中小企业声明函》，视为在本项目中放弃政府采购政策扶持，不进行价格扣除。</w:t>
      </w:r>
    </w:p>
    <w:p w14:paraId="0E4A37CC">
      <w:pPr>
        <w:spacing w:line="360" w:lineRule="auto"/>
        <w:ind w:firstLine="420" w:firstLineChars="200"/>
        <w:rPr>
          <w:rFonts w:asciiTheme="minorEastAsia" w:hAnsiTheme="minorEastAsia"/>
          <w:color w:val="auto"/>
          <w:szCs w:val="21"/>
          <w:highlight w:val="none"/>
        </w:rPr>
      </w:pPr>
      <w:r>
        <w:rPr>
          <w:rFonts w:asciiTheme="minorEastAsia" w:hAnsiTheme="minorEastAsia"/>
          <w:color w:val="auto"/>
          <w:szCs w:val="21"/>
          <w:highlight w:val="none"/>
        </w:rPr>
        <w:br w:type="page"/>
      </w:r>
      <w:bookmarkStart w:id="174" w:name="_Toc51682373"/>
      <w:bookmarkStart w:id="175" w:name="_Toc21677"/>
      <w:bookmarkStart w:id="176" w:name="_Toc51086642"/>
      <w:bookmarkStart w:id="177" w:name="_Toc52129207"/>
      <w:bookmarkStart w:id="178" w:name="_Toc51255734"/>
      <w:r>
        <w:rPr>
          <w:rFonts w:hint="eastAsia" w:asciiTheme="minorEastAsia" w:hAnsiTheme="minorEastAsia"/>
          <w:color w:val="auto"/>
          <w:szCs w:val="21"/>
          <w:highlight w:val="none"/>
        </w:rPr>
        <w:t>附件</w:t>
      </w:r>
      <w:r>
        <w:rPr>
          <w:rFonts w:asciiTheme="minorEastAsia" w:hAnsiTheme="minorEastAsia"/>
          <w:color w:val="auto"/>
          <w:szCs w:val="21"/>
          <w:highlight w:val="none"/>
        </w:rPr>
        <w:t>11</w:t>
      </w:r>
      <w:r>
        <w:rPr>
          <w:rFonts w:hint="eastAsia" w:asciiTheme="minorEastAsia" w:hAnsiTheme="minorEastAsia"/>
          <w:color w:val="auto"/>
          <w:szCs w:val="21"/>
          <w:highlight w:val="none"/>
        </w:rPr>
        <w:t>：监狱企业证明函</w:t>
      </w:r>
      <w:bookmarkEnd w:id="174"/>
      <w:bookmarkEnd w:id="175"/>
      <w:bookmarkEnd w:id="176"/>
      <w:bookmarkEnd w:id="177"/>
      <w:bookmarkEnd w:id="178"/>
      <w:r>
        <w:rPr>
          <w:rFonts w:hint="eastAsia" w:asciiTheme="minorEastAsia" w:hAnsiTheme="minorEastAsia"/>
          <w:color w:val="auto"/>
          <w:szCs w:val="21"/>
          <w:highlight w:val="none"/>
        </w:rPr>
        <w:t>（如有）</w:t>
      </w:r>
    </w:p>
    <w:p w14:paraId="504B37AB">
      <w:pPr>
        <w:keepNext/>
        <w:keepLines/>
        <w:spacing w:before="160" w:after="170"/>
        <w:ind w:firstLine="602" w:firstLineChars="200"/>
        <w:jc w:val="center"/>
        <w:outlineLvl w:val="4"/>
        <w:rPr>
          <w:b/>
          <w:bCs/>
          <w:color w:val="auto"/>
          <w:sz w:val="30"/>
          <w:szCs w:val="28"/>
          <w:highlight w:val="none"/>
        </w:rPr>
      </w:pPr>
      <w:bookmarkStart w:id="179" w:name="_Toc55548550"/>
      <w:r>
        <w:rPr>
          <w:rFonts w:hint="eastAsia"/>
          <w:b/>
          <w:bCs/>
          <w:color w:val="auto"/>
          <w:sz w:val="30"/>
          <w:szCs w:val="28"/>
          <w:highlight w:val="none"/>
        </w:rPr>
        <w:t>监狱企业证明函</w:t>
      </w:r>
      <w:bookmarkEnd w:id="179"/>
    </w:p>
    <w:p w14:paraId="70A37B8D">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根据《财政部 司法部关于政府采购支持监狱企业发展有关问题的通知》（财库[2014]68号）的规定，（填写供应商法定全称）为监狱企业。</w:t>
      </w:r>
    </w:p>
    <w:p w14:paraId="4AC7C7A8">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特此证明。</w:t>
      </w:r>
    </w:p>
    <w:p w14:paraId="6D43668C">
      <w:pPr>
        <w:spacing w:line="360" w:lineRule="auto"/>
        <w:ind w:firstLine="420" w:firstLineChars="200"/>
        <w:rPr>
          <w:rFonts w:asciiTheme="minorEastAsia" w:hAnsiTheme="minorEastAsia"/>
          <w:color w:val="auto"/>
          <w:szCs w:val="21"/>
          <w:highlight w:val="none"/>
        </w:rPr>
      </w:pPr>
    </w:p>
    <w:p w14:paraId="4DC205FD">
      <w:pPr>
        <w:spacing w:line="360" w:lineRule="auto"/>
        <w:ind w:firstLine="420" w:firstLineChars="200"/>
        <w:rPr>
          <w:rFonts w:asciiTheme="minorEastAsia" w:hAnsiTheme="minorEastAsia"/>
          <w:color w:val="auto"/>
          <w:szCs w:val="21"/>
          <w:highlight w:val="none"/>
        </w:rPr>
      </w:pPr>
    </w:p>
    <w:p w14:paraId="276CA1F0">
      <w:pPr>
        <w:spacing w:line="360" w:lineRule="auto"/>
        <w:ind w:firstLine="420" w:firstLineChars="200"/>
        <w:rPr>
          <w:rFonts w:asciiTheme="minorEastAsia" w:hAnsiTheme="minorEastAsia"/>
          <w:b/>
          <w:bCs/>
          <w:color w:val="auto"/>
          <w:szCs w:val="21"/>
          <w:highlight w:val="none"/>
        </w:rPr>
      </w:pPr>
      <w:r>
        <w:rPr>
          <w:rFonts w:hint="eastAsia" w:asciiTheme="minorEastAsia" w:hAnsiTheme="minorEastAsia"/>
          <w:color w:val="auto"/>
          <w:szCs w:val="21"/>
          <w:highlight w:val="none"/>
        </w:rPr>
        <w:t>省级以上监狱管理局、戒毒管理局（含新疆生产建设兵团）（盖章）：</w:t>
      </w:r>
      <w:r>
        <w:rPr>
          <w:rFonts w:asciiTheme="minorEastAsia" w:hAnsiTheme="minorEastAsia"/>
          <w:b/>
          <w:bCs/>
          <w:color w:val="auto"/>
          <w:szCs w:val="21"/>
          <w:highlight w:val="none"/>
        </w:rPr>
        <w:br w:type="page"/>
      </w:r>
    </w:p>
    <w:p w14:paraId="0D8D44AA">
      <w:pPr>
        <w:spacing w:line="360" w:lineRule="auto"/>
        <w:ind w:firstLine="420" w:firstLineChars="200"/>
        <w:rPr>
          <w:rFonts w:asciiTheme="minorEastAsia" w:hAnsiTheme="minorEastAsia"/>
          <w:color w:val="auto"/>
          <w:szCs w:val="21"/>
          <w:highlight w:val="none"/>
        </w:rPr>
      </w:pPr>
      <w:bookmarkStart w:id="180" w:name="_Toc51086643"/>
      <w:bookmarkStart w:id="181" w:name="_Toc52129208"/>
      <w:bookmarkStart w:id="182" w:name="_Toc18139"/>
      <w:bookmarkStart w:id="183" w:name="_Toc51255735"/>
      <w:bookmarkStart w:id="184" w:name="_Toc51682374"/>
      <w:r>
        <w:rPr>
          <w:rFonts w:hint="eastAsia" w:asciiTheme="minorEastAsia" w:hAnsiTheme="minorEastAsia"/>
          <w:color w:val="auto"/>
          <w:szCs w:val="21"/>
          <w:highlight w:val="none"/>
        </w:rPr>
        <w:t>附件</w:t>
      </w:r>
      <w:r>
        <w:rPr>
          <w:rFonts w:asciiTheme="minorEastAsia" w:hAnsiTheme="minorEastAsia"/>
          <w:color w:val="auto"/>
          <w:szCs w:val="21"/>
          <w:highlight w:val="none"/>
        </w:rPr>
        <w:t>12</w:t>
      </w:r>
      <w:r>
        <w:rPr>
          <w:rFonts w:hint="eastAsia" w:asciiTheme="minorEastAsia" w:hAnsiTheme="minorEastAsia"/>
          <w:color w:val="auto"/>
          <w:szCs w:val="21"/>
          <w:highlight w:val="none"/>
        </w:rPr>
        <w:t>：残疾人福利性单位声明函</w:t>
      </w:r>
      <w:bookmarkEnd w:id="180"/>
      <w:bookmarkEnd w:id="181"/>
      <w:bookmarkEnd w:id="182"/>
      <w:bookmarkEnd w:id="183"/>
      <w:bookmarkEnd w:id="184"/>
      <w:r>
        <w:rPr>
          <w:rFonts w:hint="eastAsia" w:asciiTheme="minorEastAsia" w:hAnsiTheme="minorEastAsia"/>
          <w:color w:val="auto"/>
          <w:szCs w:val="21"/>
          <w:highlight w:val="none"/>
        </w:rPr>
        <w:t>（如有）</w:t>
      </w:r>
    </w:p>
    <w:p w14:paraId="7F8FE461">
      <w:pPr>
        <w:keepNext/>
        <w:keepLines/>
        <w:spacing w:before="160" w:after="170"/>
        <w:ind w:firstLine="602" w:firstLineChars="200"/>
        <w:jc w:val="center"/>
        <w:outlineLvl w:val="4"/>
        <w:rPr>
          <w:b/>
          <w:bCs/>
          <w:color w:val="auto"/>
          <w:sz w:val="30"/>
          <w:szCs w:val="28"/>
          <w:highlight w:val="none"/>
        </w:rPr>
      </w:pPr>
      <w:bookmarkStart w:id="185" w:name="_Toc55548551"/>
      <w:r>
        <w:rPr>
          <w:rFonts w:hint="eastAsia"/>
          <w:b/>
          <w:bCs/>
          <w:color w:val="auto"/>
          <w:sz w:val="30"/>
          <w:szCs w:val="28"/>
          <w:highlight w:val="none"/>
        </w:rPr>
        <w:t>残疾人福利性单位声明函</w:t>
      </w:r>
      <w:bookmarkEnd w:id="185"/>
    </w:p>
    <w:p w14:paraId="4E394709">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71065">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本单位对上述声明的真实性负责。如有虚假，将依法承担相应责任。</w:t>
      </w:r>
    </w:p>
    <w:p w14:paraId="3AECAA4A">
      <w:pPr>
        <w:spacing w:line="360" w:lineRule="auto"/>
        <w:ind w:firstLine="420" w:firstLineChars="200"/>
        <w:rPr>
          <w:rFonts w:asciiTheme="minorEastAsia" w:hAnsiTheme="minorEastAsia"/>
          <w:color w:val="auto"/>
          <w:szCs w:val="21"/>
          <w:highlight w:val="none"/>
        </w:rPr>
      </w:pPr>
    </w:p>
    <w:p w14:paraId="244DAA2F">
      <w:pPr>
        <w:spacing w:line="360" w:lineRule="auto"/>
        <w:ind w:firstLine="420" w:firstLineChars="200"/>
        <w:rPr>
          <w:rFonts w:asciiTheme="minorEastAsia" w:hAnsiTheme="minorEastAsia"/>
          <w:color w:val="auto"/>
          <w:szCs w:val="21"/>
          <w:highlight w:val="none"/>
        </w:rPr>
      </w:pPr>
    </w:p>
    <w:p w14:paraId="5286839F">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投标供应商：</w:t>
      </w:r>
    </w:p>
    <w:p w14:paraId="0D744D98">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法人或授权代表：</w:t>
      </w:r>
    </w:p>
    <w:p w14:paraId="41D18A19">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日期：</w:t>
      </w:r>
    </w:p>
    <w:p w14:paraId="1EABBEAB">
      <w:pPr>
        <w:spacing w:line="360" w:lineRule="auto"/>
        <w:ind w:firstLine="420" w:firstLineChars="200"/>
        <w:rPr>
          <w:rFonts w:asciiTheme="minorEastAsia" w:hAnsiTheme="minorEastAsia"/>
          <w:color w:val="auto"/>
          <w:szCs w:val="21"/>
          <w:highlight w:val="none"/>
        </w:rPr>
        <w:sectPr>
          <w:pgSz w:w="11906" w:h="16838"/>
          <w:pgMar w:top="1440" w:right="1080" w:bottom="1440" w:left="1080" w:header="851" w:footer="992" w:gutter="0"/>
          <w:cols w:space="720" w:num="1"/>
          <w:titlePg/>
          <w:docGrid w:type="lines" w:linePitch="312" w:charSpace="0"/>
        </w:sectPr>
      </w:pPr>
    </w:p>
    <w:p w14:paraId="3DBE7AF1">
      <w:pPr>
        <w:spacing w:line="360" w:lineRule="auto"/>
        <w:ind w:firstLine="420" w:firstLineChars="200"/>
        <w:rPr>
          <w:rFonts w:asciiTheme="minorEastAsia" w:hAnsiTheme="minorEastAsia"/>
          <w:color w:val="auto"/>
          <w:szCs w:val="21"/>
          <w:highlight w:val="none"/>
        </w:rPr>
      </w:pPr>
      <w:bookmarkStart w:id="186" w:name="_Toc1254"/>
      <w:r>
        <w:rPr>
          <w:rFonts w:hint="eastAsia" w:asciiTheme="minorEastAsia" w:hAnsiTheme="minorEastAsia"/>
          <w:color w:val="auto"/>
          <w:szCs w:val="21"/>
          <w:highlight w:val="none"/>
        </w:rPr>
        <w:t>附件</w:t>
      </w:r>
      <w:r>
        <w:rPr>
          <w:rFonts w:asciiTheme="minorEastAsia" w:hAnsiTheme="minorEastAsia"/>
          <w:color w:val="auto"/>
          <w:szCs w:val="21"/>
          <w:highlight w:val="none"/>
        </w:rPr>
        <w:t>13</w:t>
      </w:r>
      <w:r>
        <w:rPr>
          <w:rFonts w:hint="eastAsia" w:asciiTheme="minorEastAsia" w:hAnsiTheme="minorEastAsia"/>
          <w:color w:val="auto"/>
          <w:szCs w:val="21"/>
          <w:highlight w:val="none"/>
        </w:rPr>
        <w:t>：投标人需要加以说明的其他内容</w:t>
      </w:r>
      <w:bookmarkEnd w:id="186"/>
      <w:r>
        <w:rPr>
          <w:rFonts w:hint="eastAsia" w:asciiTheme="minorEastAsia" w:hAnsiTheme="minorEastAsia"/>
          <w:color w:val="auto"/>
          <w:szCs w:val="21"/>
          <w:highlight w:val="none"/>
        </w:rPr>
        <w:t>（如有）</w:t>
      </w:r>
    </w:p>
    <w:p w14:paraId="4F7F3AB4">
      <w:pPr>
        <w:spacing w:line="360" w:lineRule="auto"/>
        <w:ind w:firstLine="420" w:firstLineChars="200"/>
        <w:rPr>
          <w:rFonts w:asciiTheme="minorEastAsia" w:hAnsiTheme="minorEastAsia"/>
          <w:color w:val="auto"/>
          <w:szCs w:val="21"/>
          <w:highlight w:val="none"/>
        </w:rPr>
      </w:pPr>
    </w:p>
    <w:p w14:paraId="5EFBEC59">
      <w:pPr>
        <w:spacing w:line="360" w:lineRule="auto"/>
        <w:ind w:firstLine="422" w:firstLineChars="200"/>
        <w:rPr>
          <w:rFonts w:asciiTheme="minorEastAsia" w:hAnsiTheme="minorEastAsia"/>
          <w:b/>
          <w:bCs/>
          <w:color w:val="auto"/>
          <w:szCs w:val="21"/>
          <w:highlight w:val="none"/>
        </w:rPr>
      </w:pPr>
      <w:r>
        <w:rPr>
          <w:rFonts w:hint="eastAsia" w:asciiTheme="minorEastAsia" w:hAnsiTheme="minorEastAsia"/>
          <w:b/>
          <w:bCs/>
          <w:color w:val="auto"/>
          <w:szCs w:val="21"/>
          <w:highlight w:val="none"/>
        </w:rPr>
        <w:t>投标人认为需要加以说明的其他内容</w:t>
      </w:r>
    </w:p>
    <w:p w14:paraId="01A6EDD3">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（格式自定）</w:t>
      </w:r>
    </w:p>
    <w:p w14:paraId="7BFE62CF">
      <w:pPr>
        <w:spacing w:line="360" w:lineRule="auto"/>
        <w:ind w:firstLine="420" w:firstLineChars="200"/>
        <w:rPr>
          <w:color w:val="auto"/>
          <w:highlight w:val="none"/>
        </w:rPr>
      </w:pPr>
    </w:p>
    <w:p w14:paraId="69219104">
      <w:pPr>
        <w:spacing w:line="360" w:lineRule="auto"/>
        <w:ind w:firstLine="420" w:firstLineChars="200"/>
        <w:rPr>
          <w:color w:val="auto"/>
          <w:highlight w:val="none"/>
        </w:rPr>
      </w:pPr>
    </w:p>
    <w:p w14:paraId="47C52889">
      <w:pPr>
        <w:spacing w:line="360" w:lineRule="auto"/>
        <w:ind w:firstLine="420" w:firstLineChars="200"/>
        <w:rPr>
          <w:color w:val="auto"/>
          <w:highlight w:val="none"/>
        </w:rPr>
      </w:pPr>
    </w:p>
    <w:p w14:paraId="71B0E0B0">
      <w:pPr>
        <w:spacing w:line="360" w:lineRule="auto"/>
        <w:ind w:firstLine="420" w:firstLineChars="200"/>
        <w:rPr>
          <w:color w:val="auto"/>
          <w:highlight w:val="none"/>
        </w:rPr>
      </w:pPr>
    </w:p>
    <w:p w14:paraId="29A8C6BC">
      <w:pPr>
        <w:spacing w:line="360" w:lineRule="auto"/>
        <w:ind w:firstLine="420" w:firstLineChars="200"/>
        <w:rPr>
          <w:color w:val="auto"/>
          <w:highlight w:val="none"/>
        </w:rPr>
      </w:pPr>
    </w:p>
    <w:p w14:paraId="4ADCEB72">
      <w:pPr>
        <w:spacing w:line="360" w:lineRule="auto"/>
        <w:ind w:firstLine="420" w:firstLineChars="200"/>
        <w:rPr>
          <w:color w:val="auto"/>
          <w:highlight w:val="none"/>
        </w:rPr>
      </w:pPr>
    </w:p>
    <w:p w14:paraId="18414364">
      <w:pPr>
        <w:spacing w:line="360" w:lineRule="auto"/>
        <w:ind w:firstLine="420" w:firstLineChars="200"/>
        <w:rPr>
          <w:color w:val="auto"/>
          <w:highlight w:val="none"/>
        </w:rPr>
      </w:pPr>
    </w:p>
    <w:p w14:paraId="1AC3180A">
      <w:pPr>
        <w:spacing w:line="360" w:lineRule="auto"/>
        <w:ind w:firstLine="420" w:firstLineChars="200"/>
        <w:rPr>
          <w:color w:val="auto"/>
          <w:highlight w:val="none"/>
        </w:rPr>
      </w:pPr>
    </w:p>
    <w:sectPr>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14:paraId="01DEDD6A">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14:paraId="5DE0D70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4281"/>
    </w:sdtPr>
    <w:sdtContent>
      <w:p w14:paraId="751F5107">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p w14:paraId="278BC2D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69748">
    <w:pPr>
      <w:pStyle w:val="11"/>
    </w:pPr>
  </w:p>
  <w:p w14:paraId="2B167063">
    <w:pPr>
      <w:pStyle w:val="11"/>
      <w:jc w:val="right"/>
      <w:rPr>
        <w:sz w:val="21"/>
        <w:szCs w:val="21"/>
      </w:rPr>
    </w:pPr>
    <w:bookmarkStart w:id="187" w:name="_Hlk69568634"/>
    <w:bookmarkStart w:id="188" w:name="_Hlk69568635"/>
    <w:r>
      <w:rPr>
        <w:rFonts w:hint="eastAsia"/>
        <w:sz w:val="21"/>
        <w:szCs w:val="21"/>
      </w:rPr>
      <w:t>深圳市宝安区疾病预防控制中心招标文件</w:t>
    </w:r>
    <w:bookmarkEnd w:id="187"/>
    <w:bookmarkEnd w:id="18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3E769"/>
    <w:multiLevelType w:val="singleLevel"/>
    <w:tmpl w:val="E753E769"/>
    <w:lvl w:ilvl="0" w:tentative="0">
      <w:start w:val="2"/>
      <w:numFmt w:val="chineseCounting"/>
      <w:suff w:val="nothing"/>
      <w:lvlText w:val="（%1）"/>
      <w:lvlJc w:val="left"/>
      <w:rPr>
        <w:rFonts w:hint="eastAsia"/>
      </w:rPr>
    </w:lvl>
  </w:abstractNum>
  <w:abstractNum w:abstractNumId="1">
    <w:nsid w:val="15DCE434"/>
    <w:multiLevelType w:val="singleLevel"/>
    <w:tmpl w:val="15DCE434"/>
    <w:lvl w:ilvl="0" w:tentative="0">
      <w:start w:val="1"/>
      <w:numFmt w:val="decimal"/>
      <w:suff w:val="nothing"/>
      <w:lvlText w:val="（%1）"/>
      <w:lvlJc w:val="left"/>
    </w:lvl>
  </w:abstractNum>
  <w:abstractNum w:abstractNumId="2">
    <w:nsid w:val="3DFA2C91"/>
    <w:multiLevelType w:val="singleLevel"/>
    <w:tmpl w:val="3DFA2C91"/>
    <w:lvl w:ilvl="0" w:tentative="0">
      <w:start w:val="1"/>
      <w:numFmt w:val="decimal"/>
      <w:lvlText w:val="%1."/>
      <w:lvlJc w:val="left"/>
      <w:pPr>
        <w:tabs>
          <w:tab w:val="left" w:pos="312"/>
        </w:tabs>
      </w:pPr>
    </w:lvl>
  </w:abstractNum>
  <w:abstractNum w:abstractNumId="3">
    <w:nsid w:val="48E1BFE5"/>
    <w:multiLevelType w:val="singleLevel"/>
    <w:tmpl w:val="48E1BFE5"/>
    <w:lvl w:ilvl="0" w:tentative="0">
      <w:start w:val="1"/>
      <w:numFmt w:val="decimal"/>
      <w:suff w:val="nothing"/>
      <w:lvlText w:val="（%1）"/>
      <w:lvlJc w:val="left"/>
    </w:lvl>
  </w:abstractNum>
  <w:abstractNum w:abstractNumId="4">
    <w:nsid w:val="4BDA53D9"/>
    <w:multiLevelType w:val="singleLevel"/>
    <w:tmpl w:val="4BDA53D9"/>
    <w:lvl w:ilvl="0" w:tentative="0">
      <w:start w:val="1"/>
      <w:numFmt w:val="decimal"/>
      <w:suff w:val="nothing"/>
      <w:lvlText w:val="（%1）"/>
      <w:lvlJc w:val="left"/>
    </w:lvl>
  </w:abstractNum>
  <w:abstractNum w:abstractNumId="5">
    <w:nsid w:val="541285ED"/>
    <w:multiLevelType w:val="singleLevel"/>
    <w:tmpl w:val="541285ED"/>
    <w:lvl w:ilvl="0" w:tentative="0">
      <w:start w:val="1"/>
      <w:numFmt w:val="decimal"/>
      <w:lvlText w:val="%1."/>
      <w:lvlJc w:val="left"/>
      <w:pPr>
        <w:tabs>
          <w:tab w:val="left" w:pos="312"/>
        </w:tabs>
      </w:pPr>
    </w:lvl>
  </w:abstractNum>
  <w:abstractNum w:abstractNumId="6">
    <w:nsid w:val="7D55DB42"/>
    <w:multiLevelType w:val="singleLevel"/>
    <w:tmpl w:val="7D55DB42"/>
    <w:lvl w:ilvl="0" w:tentative="0">
      <w:start w:val="1"/>
      <w:numFmt w:val="decimal"/>
      <w:suff w:val="nothing"/>
      <w:lvlText w:val="（%1）"/>
      <w:lvlJc w:val="left"/>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35"/>
    <w:rsid w:val="0000394F"/>
    <w:rsid w:val="00007A13"/>
    <w:rsid w:val="0001637F"/>
    <w:rsid w:val="00016D41"/>
    <w:rsid w:val="00020F66"/>
    <w:rsid w:val="000236B7"/>
    <w:rsid w:val="00026541"/>
    <w:rsid w:val="000272A3"/>
    <w:rsid w:val="0003138A"/>
    <w:rsid w:val="0004025C"/>
    <w:rsid w:val="00046F21"/>
    <w:rsid w:val="00050084"/>
    <w:rsid w:val="000620DD"/>
    <w:rsid w:val="000627B7"/>
    <w:rsid w:val="00081A9E"/>
    <w:rsid w:val="00086C55"/>
    <w:rsid w:val="00092A23"/>
    <w:rsid w:val="000A013F"/>
    <w:rsid w:val="000A599B"/>
    <w:rsid w:val="000B2D75"/>
    <w:rsid w:val="000B3923"/>
    <w:rsid w:val="000C52E9"/>
    <w:rsid w:val="000C561C"/>
    <w:rsid w:val="000C62B0"/>
    <w:rsid w:val="000C6CE9"/>
    <w:rsid w:val="000D08A9"/>
    <w:rsid w:val="000D2EB8"/>
    <w:rsid w:val="000D2FD9"/>
    <w:rsid w:val="000D476C"/>
    <w:rsid w:val="000E5888"/>
    <w:rsid w:val="000F0F3D"/>
    <w:rsid w:val="000F22EF"/>
    <w:rsid w:val="000F2D0A"/>
    <w:rsid w:val="00100950"/>
    <w:rsid w:val="001043DC"/>
    <w:rsid w:val="00111B38"/>
    <w:rsid w:val="00112A97"/>
    <w:rsid w:val="00113156"/>
    <w:rsid w:val="00124761"/>
    <w:rsid w:val="00125C6A"/>
    <w:rsid w:val="0012743D"/>
    <w:rsid w:val="00127C7B"/>
    <w:rsid w:val="00130814"/>
    <w:rsid w:val="0013335C"/>
    <w:rsid w:val="00136300"/>
    <w:rsid w:val="001465AC"/>
    <w:rsid w:val="00146F48"/>
    <w:rsid w:val="0015271F"/>
    <w:rsid w:val="00154141"/>
    <w:rsid w:val="001624BB"/>
    <w:rsid w:val="00162B15"/>
    <w:rsid w:val="001633ED"/>
    <w:rsid w:val="00165B6A"/>
    <w:rsid w:val="001678F7"/>
    <w:rsid w:val="00170E6B"/>
    <w:rsid w:val="00171970"/>
    <w:rsid w:val="0017442F"/>
    <w:rsid w:val="001750E4"/>
    <w:rsid w:val="00180C24"/>
    <w:rsid w:val="001813DD"/>
    <w:rsid w:val="00183CCF"/>
    <w:rsid w:val="00184BFC"/>
    <w:rsid w:val="00187BC0"/>
    <w:rsid w:val="001905F7"/>
    <w:rsid w:val="001938DE"/>
    <w:rsid w:val="0019395A"/>
    <w:rsid w:val="00196D20"/>
    <w:rsid w:val="001A4CC2"/>
    <w:rsid w:val="001A5C2B"/>
    <w:rsid w:val="001A7960"/>
    <w:rsid w:val="001B287A"/>
    <w:rsid w:val="001C421C"/>
    <w:rsid w:val="001D1989"/>
    <w:rsid w:val="001D283D"/>
    <w:rsid w:val="001D5451"/>
    <w:rsid w:val="001E5120"/>
    <w:rsid w:val="001F5585"/>
    <w:rsid w:val="002023D7"/>
    <w:rsid w:val="00204EC0"/>
    <w:rsid w:val="00205A0F"/>
    <w:rsid w:val="002143B9"/>
    <w:rsid w:val="00217F05"/>
    <w:rsid w:val="002243E9"/>
    <w:rsid w:val="0022497B"/>
    <w:rsid w:val="00227BE1"/>
    <w:rsid w:val="00227CFD"/>
    <w:rsid w:val="002350B3"/>
    <w:rsid w:val="00235B08"/>
    <w:rsid w:val="002429FB"/>
    <w:rsid w:val="00245BA9"/>
    <w:rsid w:val="002570EC"/>
    <w:rsid w:val="002577FC"/>
    <w:rsid w:val="002578ED"/>
    <w:rsid w:val="002607D8"/>
    <w:rsid w:val="00262959"/>
    <w:rsid w:val="00262E3B"/>
    <w:rsid w:val="00263B3A"/>
    <w:rsid w:val="00264146"/>
    <w:rsid w:val="00267B16"/>
    <w:rsid w:val="00270EE6"/>
    <w:rsid w:val="002732D3"/>
    <w:rsid w:val="00274ADF"/>
    <w:rsid w:val="00275639"/>
    <w:rsid w:val="002830A3"/>
    <w:rsid w:val="002844D3"/>
    <w:rsid w:val="002849C2"/>
    <w:rsid w:val="00287092"/>
    <w:rsid w:val="0029095D"/>
    <w:rsid w:val="00297795"/>
    <w:rsid w:val="002A4499"/>
    <w:rsid w:val="002A5BFA"/>
    <w:rsid w:val="002B1BEC"/>
    <w:rsid w:val="002C0C26"/>
    <w:rsid w:val="002D3543"/>
    <w:rsid w:val="002D5E47"/>
    <w:rsid w:val="002D70BB"/>
    <w:rsid w:val="002E5E70"/>
    <w:rsid w:val="002F46DB"/>
    <w:rsid w:val="00300139"/>
    <w:rsid w:val="003020A7"/>
    <w:rsid w:val="00306350"/>
    <w:rsid w:val="00314147"/>
    <w:rsid w:val="00314D97"/>
    <w:rsid w:val="003259E0"/>
    <w:rsid w:val="00327B91"/>
    <w:rsid w:val="00331BF3"/>
    <w:rsid w:val="00335D20"/>
    <w:rsid w:val="00343516"/>
    <w:rsid w:val="0034487A"/>
    <w:rsid w:val="00347B67"/>
    <w:rsid w:val="003568C3"/>
    <w:rsid w:val="00357903"/>
    <w:rsid w:val="00360311"/>
    <w:rsid w:val="00362847"/>
    <w:rsid w:val="00370E38"/>
    <w:rsid w:val="003739E3"/>
    <w:rsid w:val="003765D8"/>
    <w:rsid w:val="00376712"/>
    <w:rsid w:val="00386497"/>
    <w:rsid w:val="00387FB4"/>
    <w:rsid w:val="00395BD5"/>
    <w:rsid w:val="003A2EF2"/>
    <w:rsid w:val="003B2B54"/>
    <w:rsid w:val="003B5F69"/>
    <w:rsid w:val="003D1BFD"/>
    <w:rsid w:val="003D1C8B"/>
    <w:rsid w:val="003D3A10"/>
    <w:rsid w:val="003D56EF"/>
    <w:rsid w:val="003E2496"/>
    <w:rsid w:val="003F3926"/>
    <w:rsid w:val="003F3E99"/>
    <w:rsid w:val="003F4A52"/>
    <w:rsid w:val="003F4C21"/>
    <w:rsid w:val="003F6BD9"/>
    <w:rsid w:val="003F7F46"/>
    <w:rsid w:val="00403476"/>
    <w:rsid w:val="0040568B"/>
    <w:rsid w:val="00405B4F"/>
    <w:rsid w:val="00416CB7"/>
    <w:rsid w:val="004224DA"/>
    <w:rsid w:val="00422C93"/>
    <w:rsid w:val="004247C2"/>
    <w:rsid w:val="0042484C"/>
    <w:rsid w:val="00425768"/>
    <w:rsid w:val="004434FC"/>
    <w:rsid w:val="00444B83"/>
    <w:rsid w:val="004478C6"/>
    <w:rsid w:val="00450E1D"/>
    <w:rsid w:val="004512C7"/>
    <w:rsid w:val="004537FB"/>
    <w:rsid w:val="0045391A"/>
    <w:rsid w:val="00457D84"/>
    <w:rsid w:val="00460BB8"/>
    <w:rsid w:val="00461FA3"/>
    <w:rsid w:val="00462785"/>
    <w:rsid w:val="00463FD1"/>
    <w:rsid w:val="00473B47"/>
    <w:rsid w:val="0048183C"/>
    <w:rsid w:val="00483481"/>
    <w:rsid w:val="00486D13"/>
    <w:rsid w:val="0049157B"/>
    <w:rsid w:val="00491DD6"/>
    <w:rsid w:val="00492D8F"/>
    <w:rsid w:val="00497DBD"/>
    <w:rsid w:val="004A0DAF"/>
    <w:rsid w:val="004A4B94"/>
    <w:rsid w:val="004B2A93"/>
    <w:rsid w:val="004B4E87"/>
    <w:rsid w:val="004B6E5B"/>
    <w:rsid w:val="004C08AC"/>
    <w:rsid w:val="004C0B66"/>
    <w:rsid w:val="004C1CBD"/>
    <w:rsid w:val="004C3F49"/>
    <w:rsid w:val="004D1B14"/>
    <w:rsid w:val="004D4DA5"/>
    <w:rsid w:val="004E308C"/>
    <w:rsid w:val="004F3645"/>
    <w:rsid w:val="00500D01"/>
    <w:rsid w:val="005137DA"/>
    <w:rsid w:val="005214AC"/>
    <w:rsid w:val="00521779"/>
    <w:rsid w:val="00536246"/>
    <w:rsid w:val="0054740D"/>
    <w:rsid w:val="00552059"/>
    <w:rsid w:val="00561C21"/>
    <w:rsid w:val="00561D31"/>
    <w:rsid w:val="005645E6"/>
    <w:rsid w:val="00564610"/>
    <w:rsid w:val="005846F2"/>
    <w:rsid w:val="00585A02"/>
    <w:rsid w:val="00586966"/>
    <w:rsid w:val="00591D1A"/>
    <w:rsid w:val="00592F00"/>
    <w:rsid w:val="005A1CC5"/>
    <w:rsid w:val="005B2452"/>
    <w:rsid w:val="005B4C1F"/>
    <w:rsid w:val="005B7C95"/>
    <w:rsid w:val="005C0612"/>
    <w:rsid w:val="005C0DB9"/>
    <w:rsid w:val="005C0FF6"/>
    <w:rsid w:val="005C18B9"/>
    <w:rsid w:val="005C1D45"/>
    <w:rsid w:val="005C21EE"/>
    <w:rsid w:val="005C376C"/>
    <w:rsid w:val="005D2B9C"/>
    <w:rsid w:val="005D2D8F"/>
    <w:rsid w:val="005D6EF3"/>
    <w:rsid w:val="005D7164"/>
    <w:rsid w:val="005D7190"/>
    <w:rsid w:val="005F3217"/>
    <w:rsid w:val="005F73F0"/>
    <w:rsid w:val="006058BB"/>
    <w:rsid w:val="00611947"/>
    <w:rsid w:val="00617363"/>
    <w:rsid w:val="00623981"/>
    <w:rsid w:val="006407B7"/>
    <w:rsid w:val="006557EE"/>
    <w:rsid w:val="006568AF"/>
    <w:rsid w:val="00660AF8"/>
    <w:rsid w:val="0066471D"/>
    <w:rsid w:val="00665979"/>
    <w:rsid w:val="00665C9C"/>
    <w:rsid w:val="006728BE"/>
    <w:rsid w:val="00674B5A"/>
    <w:rsid w:val="00684DAC"/>
    <w:rsid w:val="00685691"/>
    <w:rsid w:val="00690937"/>
    <w:rsid w:val="0069104B"/>
    <w:rsid w:val="006A2C16"/>
    <w:rsid w:val="006B2FC4"/>
    <w:rsid w:val="006B5CA7"/>
    <w:rsid w:val="006C2747"/>
    <w:rsid w:val="006D36F6"/>
    <w:rsid w:val="006D63F9"/>
    <w:rsid w:val="006D67E5"/>
    <w:rsid w:val="006D74CC"/>
    <w:rsid w:val="006E3571"/>
    <w:rsid w:val="006F34C6"/>
    <w:rsid w:val="006F41DA"/>
    <w:rsid w:val="007067D3"/>
    <w:rsid w:val="00715E57"/>
    <w:rsid w:val="00716A73"/>
    <w:rsid w:val="00721170"/>
    <w:rsid w:val="007231EE"/>
    <w:rsid w:val="0072335A"/>
    <w:rsid w:val="00724B87"/>
    <w:rsid w:val="007459E7"/>
    <w:rsid w:val="007610CE"/>
    <w:rsid w:val="00761FC6"/>
    <w:rsid w:val="00762137"/>
    <w:rsid w:val="00767478"/>
    <w:rsid w:val="007674F3"/>
    <w:rsid w:val="0077138C"/>
    <w:rsid w:val="00772519"/>
    <w:rsid w:val="007754EA"/>
    <w:rsid w:val="007911A0"/>
    <w:rsid w:val="00792052"/>
    <w:rsid w:val="0079207E"/>
    <w:rsid w:val="00793E70"/>
    <w:rsid w:val="007A31B9"/>
    <w:rsid w:val="007A6077"/>
    <w:rsid w:val="007A7D9F"/>
    <w:rsid w:val="007B0B0E"/>
    <w:rsid w:val="007B1962"/>
    <w:rsid w:val="007B4661"/>
    <w:rsid w:val="007B4C65"/>
    <w:rsid w:val="007B71E6"/>
    <w:rsid w:val="007C65B3"/>
    <w:rsid w:val="007E14DB"/>
    <w:rsid w:val="007E21BE"/>
    <w:rsid w:val="007E2F5A"/>
    <w:rsid w:val="007E3C03"/>
    <w:rsid w:val="007E5008"/>
    <w:rsid w:val="007E639A"/>
    <w:rsid w:val="007E6A9D"/>
    <w:rsid w:val="007F0A72"/>
    <w:rsid w:val="007F11C6"/>
    <w:rsid w:val="00805C93"/>
    <w:rsid w:val="0080742D"/>
    <w:rsid w:val="00820766"/>
    <w:rsid w:val="0082380B"/>
    <w:rsid w:val="008251A1"/>
    <w:rsid w:val="008309A8"/>
    <w:rsid w:val="008427DA"/>
    <w:rsid w:val="008455C7"/>
    <w:rsid w:val="0085171D"/>
    <w:rsid w:val="00857094"/>
    <w:rsid w:val="00861A84"/>
    <w:rsid w:val="00865720"/>
    <w:rsid w:val="00870650"/>
    <w:rsid w:val="00871AB4"/>
    <w:rsid w:val="008737E6"/>
    <w:rsid w:val="0087626E"/>
    <w:rsid w:val="008807FE"/>
    <w:rsid w:val="0088252F"/>
    <w:rsid w:val="00886513"/>
    <w:rsid w:val="00887EC0"/>
    <w:rsid w:val="008A5E40"/>
    <w:rsid w:val="008A65A3"/>
    <w:rsid w:val="008A6A3B"/>
    <w:rsid w:val="008B1F31"/>
    <w:rsid w:val="008C0334"/>
    <w:rsid w:val="008C3446"/>
    <w:rsid w:val="008C7B89"/>
    <w:rsid w:val="008C7C25"/>
    <w:rsid w:val="008D19C5"/>
    <w:rsid w:val="008D5116"/>
    <w:rsid w:val="008E0FFC"/>
    <w:rsid w:val="008E756B"/>
    <w:rsid w:val="008F4FC5"/>
    <w:rsid w:val="009016ED"/>
    <w:rsid w:val="009023CA"/>
    <w:rsid w:val="00911F33"/>
    <w:rsid w:val="0091227D"/>
    <w:rsid w:val="00913747"/>
    <w:rsid w:val="00913757"/>
    <w:rsid w:val="009240C5"/>
    <w:rsid w:val="00930AE6"/>
    <w:rsid w:val="009419C6"/>
    <w:rsid w:val="00945543"/>
    <w:rsid w:val="009462F5"/>
    <w:rsid w:val="00953BDB"/>
    <w:rsid w:val="009551C2"/>
    <w:rsid w:val="009577F3"/>
    <w:rsid w:val="00957AAC"/>
    <w:rsid w:val="00966013"/>
    <w:rsid w:val="009817D5"/>
    <w:rsid w:val="00983F17"/>
    <w:rsid w:val="00986C27"/>
    <w:rsid w:val="009940DA"/>
    <w:rsid w:val="009A14F1"/>
    <w:rsid w:val="009A14FC"/>
    <w:rsid w:val="009A2C14"/>
    <w:rsid w:val="009A2D94"/>
    <w:rsid w:val="009B027B"/>
    <w:rsid w:val="009B0B06"/>
    <w:rsid w:val="009B49A7"/>
    <w:rsid w:val="009B511A"/>
    <w:rsid w:val="009B6DBF"/>
    <w:rsid w:val="009B78E0"/>
    <w:rsid w:val="009C13FB"/>
    <w:rsid w:val="009D0140"/>
    <w:rsid w:val="009D1ED7"/>
    <w:rsid w:val="009D2EED"/>
    <w:rsid w:val="009D33E5"/>
    <w:rsid w:val="009E2191"/>
    <w:rsid w:val="009E489A"/>
    <w:rsid w:val="009E7AED"/>
    <w:rsid w:val="009F3DD5"/>
    <w:rsid w:val="009F44F1"/>
    <w:rsid w:val="009F51D2"/>
    <w:rsid w:val="009F55D5"/>
    <w:rsid w:val="009F6601"/>
    <w:rsid w:val="009F718C"/>
    <w:rsid w:val="00A027F7"/>
    <w:rsid w:val="00A074EF"/>
    <w:rsid w:val="00A10E96"/>
    <w:rsid w:val="00A142B0"/>
    <w:rsid w:val="00A14D8B"/>
    <w:rsid w:val="00A162F6"/>
    <w:rsid w:val="00A239ED"/>
    <w:rsid w:val="00A24AE0"/>
    <w:rsid w:val="00A310B6"/>
    <w:rsid w:val="00A45F09"/>
    <w:rsid w:val="00A46D3B"/>
    <w:rsid w:val="00A51C85"/>
    <w:rsid w:val="00A60952"/>
    <w:rsid w:val="00A60D7F"/>
    <w:rsid w:val="00A60EC4"/>
    <w:rsid w:val="00A6357A"/>
    <w:rsid w:val="00A63D62"/>
    <w:rsid w:val="00A643B5"/>
    <w:rsid w:val="00A64B9D"/>
    <w:rsid w:val="00A6519A"/>
    <w:rsid w:val="00A83284"/>
    <w:rsid w:val="00A86F04"/>
    <w:rsid w:val="00AA3988"/>
    <w:rsid w:val="00AA45BA"/>
    <w:rsid w:val="00AA5B34"/>
    <w:rsid w:val="00AB5CB3"/>
    <w:rsid w:val="00AB5D1D"/>
    <w:rsid w:val="00AD2111"/>
    <w:rsid w:val="00AD21D5"/>
    <w:rsid w:val="00AD42B4"/>
    <w:rsid w:val="00AD50B7"/>
    <w:rsid w:val="00AD7E8D"/>
    <w:rsid w:val="00AE032D"/>
    <w:rsid w:val="00AE449B"/>
    <w:rsid w:val="00AF2E0D"/>
    <w:rsid w:val="00AF3EA3"/>
    <w:rsid w:val="00AF4405"/>
    <w:rsid w:val="00AF740C"/>
    <w:rsid w:val="00B00ACC"/>
    <w:rsid w:val="00B023F9"/>
    <w:rsid w:val="00B21338"/>
    <w:rsid w:val="00B21FB4"/>
    <w:rsid w:val="00B27035"/>
    <w:rsid w:val="00B30B35"/>
    <w:rsid w:val="00B4633F"/>
    <w:rsid w:val="00B50DB2"/>
    <w:rsid w:val="00B5284E"/>
    <w:rsid w:val="00B533AF"/>
    <w:rsid w:val="00B54A3F"/>
    <w:rsid w:val="00B56CB2"/>
    <w:rsid w:val="00B61C61"/>
    <w:rsid w:val="00B640C8"/>
    <w:rsid w:val="00B64FE8"/>
    <w:rsid w:val="00B7357C"/>
    <w:rsid w:val="00B736D6"/>
    <w:rsid w:val="00B73E65"/>
    <w:rsid w:val="00B741DD"/>
    <w:rsid w:val="00B76306"/>
    <w:rsid w:val="00B80124"/>
    <w:rsid w:val="00B90430"/>
    <w:rsid w:val="00B9124B"/>
    <w:rsid w:val="00B938C7"/>
    <w:rsid w:val="00B96CC4"/>
    <w:rsid w:val="00BA25AD"/>
    <w:rsid w:val="00BA28BD"/>
    <w:rsid w:val="00BA5D8C"/>
    <w:rsid w:val="00BC11D7"/>
    <w:rsid w:val="00BC2FED"/>
    <w:rsid w:val="00BC3264"/>
    <w:rsid w:val="00BC4182"/>
    <w:rsid w:val="00BC4AA0"/>
    <w:rsid w:val="00BC71EC"/>
    <w:rsid w:val="00BD0B8A"/>
    <w:rsid w:val="00BD351E"/>
    <w:rsid w:val="00BD46C4"/>
    <w:rsid w:val="00BE1D99"/>
    <w:rsid w:val="00BE23B9"/>
    <w:rsid w:val="00BE4657"/>
    <w:rsid w:val="00BF3ADD"/>
    <w:rsid w:val="00BF51A1"/>
    <w:rsid w:val="00BF6E77"/>
    <w:rsid w:val="00C00565"/>
    <w:rsid w:val="00C11BAF"/>
    <w:rsid w:val="00C21F05"/>
    <w:rsid w:val="00C2260F"/>
    <w:rsid w:val="00C24421"/>
    <w:rsid w:val="00C25B04"/>
    <w:rsid w:val="00C30332"/>
    <w:rsid w:val="00C349AB"/>
    <w:rsid w:val="00C37BAB"/>
    <w:rsid w:val="00C4123C"/>
    <w:rsid w:val="00C435EF"/>
    <w:rsid w:val="00C43A9E"/>
    <w:rsid w:val="00C445BC"/>
    <w:rsid w:val="00C452E0"/>
    <w:rsid w:val="00C45A07"/>
    <w:rsid w:val="00C53685"/>
    <w:rsid w:val="00C55B4E"/>
    <w:rsid w:val="00C60169"/>
    <w:rsid w:val="00C609F7"/>
    <w:rsid w:val="00C60C70"/>
    <w:rsid w:val="00C61144"/>
    <w:rsid w:val="00C63322"/>
    <w:rsid w:val="00C87668"/>
    <w:rsid w:val="00C9059A"/>
    <w:rsid w:val="00C92E18"/>
    <w:rsid w:val="00C96F99"/>
    <w:rsid w:val="00CA03D2"/>
    <w:rsid w:val="00CA64A0"/>
    <w:rsid w:val="00CB682E"/>
    <w:rsid w:val="00CB6EF7"/>
    <w:rsid w:val="00CC0B91"/>
    <w:rsid w:val="00CC2104"/>
    <w:rsid w:val="00CC5694"/>
    <w:rsid w:val="00CE1C0B"/>
    <w:rsid w:val="00CE3B76"/>
    <w:rsid w:val="00CE4007"/>
    <w:rsid w:val="00CF442C"/>
    <w:rsid w:val="00D00895"/>
    <w:rsid w:val="00D00C1D"/>
    <w:rsid w:val="00D019D3"/>
    <w:rsid w:val="00D05C96"/>
    <w:rsid w:val="00D07F61"/>
    <w:rsid w:val="00D128DB"/>
    <w:rsid w:val="00D21978"/>
    <w:rsid w:val="00D21E3F"/>
    <w:rsid w:val="00D246A8"/>
    <w:rsid w:val="00D24885"/>
    <w:rsid w:val="00D265F4"/>
    <w:rsid w:val="00D407CB"/>
    <w:rsid w:val="00D4292D"/>
    <w:rsid w:val="00D42B1C"/>
    <w:rsid w:val="00D516E0"/>
    <w:rsid w:val="00D52471"/>
    <w:rsid w:val="00D53B1B"/>
    <w:rsid w:val="00D54E6C"/>
    <w:rsid w:val="00D55FA7"/>
    <w:rsid w:val="00D56956"/>
    <w:rsid w:val="00D57811"/>
    <w:rsid w:val="00D654B1"/>
    <w:rsid w:val="00D65753"/>
    <w:rsid w:val="00D914B0"/>
    <w:rsid w:val="00D93093"/>
    <w:rsid w:val="00D942FA"/>
    <w:rsid w:val="00D964CA"/>
    <w:rsid w:val="00D9655A"/>
    <w:rsid w:val="00DA0306"/>
    <w:rsid w:val="00DA0A15"/>
    <w:rsid w:val="00DB7859"/>
    <w:rsid w:val="00DC161B"/>
    <w:rsid w:val="00DC21E6"/>
    <w:rsid w:val="00DC664D"/>
    <w:rsid w:val="00DD0AA7"/>
    <w:rsid w:val="00DD3270"/>
    <w:rsid w:val="00DD4C84"/>
    <w:rsid w:val="00DE39A2"/>
    <w:rsid w:val="00DE6373"/>
    <w:rsid w:val="00DF2ECA"/>
    <w:rsid w:val="00DF446C"/>
    <w:rsid w:val="00DF77E7"/>
    <w:rsid w:val="00E07FA0"/>
    <w:rsid w:val="00E17025"/>
    <w:rsid w:val="00E4039F"/>
    <w:rsid w:val="00E419E0"/>
    <w:rsid w:val="00E452D2"/>
    <w:rsid w:val="00E45C42"/>
    <w:rsid w:val="00E477F2"/>
    <w:rsid w:val="00E47A8D"/>
    <w:rsid w:val="00E55EFA"/>
    <w:rsid w:val="00E66D09"/>
    <w:rsid w:val="00E774D0"/>
    <w:rsid w:val="00E81975"/>
    <w:rsid w:val="00E81F69"/>
    <w:rsid w:val="00E83D09"/>
    <w:rsid w:val="00E85D49"/>
    <w:rsid w:val="00E8649E"/>
    <w:rsid w:val="00E91443"/>
    <w:rsid w:val="00E92A2D"/>
    <w:rsid w:val="00EA0AA3"/>
    <w:rsid w:val="00EA4E6D"/>
    <w:rsid w:val="00EB3315"/>
    <w:rsid w:val="00EB508D"/>
    <w:rsid w:val="00EC38B0"/>
    <w:rsid w:val="00EC43D8"/>
    <w:rsid w:val="00EE06C8"/>
    <w:rsid w:val="00EE0AD9"/>
    <w:rsid w:val="00EE15A4"/>
    <w:rsid w:val="00EE2F50"/>
    <w:rsid w:val="00EF77FA"/>
    <w:rsid w:val="00EF7E00"/>
    <w:rsid w:val="00F02352"/>
    <w:rsid w:val="00F03DAF"/>
    <w:rsid w:val="00F05A6D"/>
    <w:rsid w:val="00F10924"/>
    <w:rsid w:val="00F109D0"/>
    <w:rsid w:val="00F153E2"/>
    <w:rsid w:val="00F16D96"/>
    <w:rsid w:val="00F277EB"/>
    <w:rsid w:val="00F32963"/>
    <w:rsid w:val="00F4480E"/>
    <w:rsid w:val="00F53078"/>
    <w:rsid w:val="00F56248"/>
    <w:rsid w:val="00F56A6E"/>
    <w:rsid w:val="00F57194"/>
    <w:rsid w:val="00F63359"/>
    <w:rsid w:val="00F633E3"/>
    <w:rsid w:val="00F66168"/>
    <w:rsid w:val="00F67F01"/>
    <w:rsid w:val="00F703EE"/>
    <w:rsid w:val="00F71E09"/>
    <w:rsid w:val="00F7399A"/>
    <w:rsid w:val="00F74A11"/>
    <w:rsid w:val="00F835A4"/>
    <w:rsid w:val="00F842A9"/>
    <w:rsid w:val="00F914A2"/>
    <w:rsid w:val="00F91577"/>
    <w:rsid w:val="00F944AB"/>
    <w:rsid w:val="00F96D60"/>
    <w:rsid w:val="00FA22E9"/>
    <w:rsid w:val="00FA4902"/>
    <w:rsid w:val="00FB1917"/>
    <w:rsid w:val="00FB6E20"/>
    <w:rsid w:val="00FC097B"/>
    <w:rsid w:val="00FC2F51"/>
    <w:rsid w:val="00FD2E15"/>
    <w:rsid w:val="00FD3F8A"/>
    <w:rsid w:val="00FE2A05"/>
    <w:rsid w:val="00FE305B"/>
    <w:rsid w:val="00FE3D27"/>
    <w:rsid w:val="00FE4F9C"/>
    <w:rsid w:val="00FF48FD"/>
    <w:rsid w:val="00FF5757"/>
    <w:rsid w:val="04387860"/>
    <w:rsid w:val="04B95D27"/>
    <w:rsid w:val="050140F6"/>
    <w:rsid w:val="059B1E55"/>
    <w:rsid w:val="0D2F096C"/>
    <w:rsid w:val="0EA224A6"/>
    <w:rsid w:val="0F352982"/>
    <w:rsid w:val="0F9E6C88"/>
    <w:rsid w:val="120A5960"/>
    <w:rsid w:val="14184FB8"/>
    <w:rsid w:val="17B47985"/>
    <w:rsid w:val="19DD4C7B"/>
    <w:rsid w:val="223E3E3C"/>
    <w:rsid w:val="23B4085A"/>
    <w:rsid w:val="24930B4D"/>
    <w:rsid w:val="24BB5C18"/>
    <w:rsid w:val="2786250D"/>
    <w:rsid w:val="2BA0172F"/>
    <w:rsid w:val="2BC25ADE"/>
    <w:rsid w:val="2F292845"/>
    <w:rsid w:val="37201C5F"/>
    <w:rsid w:val="3A797F9F"/>
    <w:rsid w:val="3A83458F"/>
    <w:rsid w:val="3AAC3B1E"/>
    <w:rsid w:val="3ECF5007"/>
    <w:rsid w:val="45012D7B"/>
    <w:rsid w:val="496164DE"/>
    <w:rsid w:val="4A4F27DB"/>
    <w:rsid w:val="4A912D42"/>
    <w:rsid w:val="4FC275AB"/>
    <w:rsid w:val="52524C0A"/>
    <w:rsid w:val="578B4208"/>
    <w:rsid w:val="58B82EA3"/>
    <w:rsid w:val="5B433C96"/>
    <w:rsid w:val="633F11E7"/>
    <w:rsid w:val="63726CCE"/>
    <w:rsid w:val="65B44624"/>
    <w:rsid w:val="667E3DD4"/>
    <w:rsid w:val="67C14B3C"/>
    <w:rsid w:val="6B042FCA"/>
    <w:rsid w:val="6D1C44D4"/>
    <w:rsid w:val="729D47C4"/>
    <w:rsid w:val="731E548E"/>
    <w:rsid w:val="733B0CDE"/>
    <w:rsid w:val="78A27DF6"/>
    <w:rsid w:val="7A1659FE"/>
    <w:rsid w:val="7A4D1FE3"/>
    <w:rsid w:val="7F61566C"/>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100" w:after="90"/>
      <w:jc w:val="center"/>
      <w:outlineLvl w:val="0"/>
    </w:pPr>
    <w:rPr>
      <w:b/>
      <w:bCs/>
      <w:kern w:val="44"/>
      <w:sz w:val="36"/>
      <w:szCs w:val="44"/>
    </w:rPr>
  </w:style>
  <w:style w:type="paragraph" w:styleId="4">
    <w:name w:val="heading 4"/>
    <w:basedOn w:val="1"/>
    <w:next w:val="1"/>
    <w:link w:val="23"/>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5"/>
    <w:unhideWhenUsed/>
    <w:qFormat/>
    <w:uiPriority w:val="9"/>
    <w:pPr>
      <w:keepNext/>
      <w:keepLines/>
      <w:spacing w:before="160" w:after="170"/>
      <w:ind w:firstLine="200" w:firstLineChars="200"/>
      <w:outlineLvl w:val="4"/>
    </w:pPr>
    <w:rPr>
      <w:b/>
      <w:bCs/>
      <w:sz w:val="24"/>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6">
    <w:name w:val="Normal Indent"/>
    <w:basedOn w:val="1"/>
    <w:link w:val="21"/>
    <w:qFormat/>
    <w:uiPriority w:val="0"/>
    <w:pPr>
      <w:ind w:firstLine="420" w:firstLineChars="200"/>
    </w:pPr>
    <w:rPr>
      <w:rFonts w:ascii="Times New Roman" w:hAnsi="Times New Roman" w:eastAsia="宋体" w:cs="Times New Roman"/>
      <w:szCs w:val="24"/>
    </w:rPr>
  </w:style>
  <w:style w:type="paragraph" w:styleId="7">
    <w:name w:val="annotation text"/>
    <w:basedOn w:val="1"/>
    <w:semiHidden/>
    <w:unhideWhenUsed/>
    <w:qFormat/>
    <w:uiPriority w:val="99"/>
    <w:pPr>
      <w:jc w:val="left"/>
    </w:pPr>
  </w:style>
  <w:style w:type="paragraph" w:styleId="8">
    <w:name w:val="Plain Text"/>
    <w:basedOn w:val="1"/>
    <w:link w:val="31"/>
    <w:qFormat/>
    <w:uiPriority w:val="0"/>
    <w:rPr>
      <w:rFonts w:ascii="宋体" w:hAnsi="Courier New" w:eastAsia="宋体" w:cs="Times New Roman"/>
      <w:kern w:val="10"/>
      <w:szCs w:val="21"/>
    </w:r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semiHidden/>
    <w:unhideWhenUsed/>
    <w:qFormat/>
    <w:uiPriority w:val="99"/>
    <w:pPr>
      <w:spacing w:beforeAutospacing="1" w:afterAutospacing="1"/>
      <w:jc w:val="left"/>
    </w:pPr>
    <w:rPr>
      <w:rFonts w:cs="Times New Roman"/>
      <w:kern w:val="0"/>
      <w:sz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99"/>
    <w:rPr>
      <w:color w:val="0000FF"/>
      <w:u w:val="single"/>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11"/>
    <w:qFormat/>
    <w:uiPriority w:val="99"/>
    <w:rPr>
      <w:sz w:val="18"/>
      <w:szCs w:val="18"/>
    </w:rPr>
  </w:style>
  <w:style w:type="character" w:customStyle="1" w:styleId="20">
    <w:name w:val="页脚 字符"/>
    <w:basedOn w:val="16"/>
    <w:link w:val="10"/>
    <w:qFormat/>
    <w:uiPriority w:val="99"/>
    <w:rPr>
      <w:sz w:val="18"/>
      <w:szCs w:val="18"/>
    </w:rPr>
  </w:style>
  <w:style w:type="character" w:customStyle="1" w:styleId="21">
    <w:name w:val="正文缩进 字符"/>
    <w:link w:val="6"/>
    <w:qFormat/>
    <w:uiPriority w:val="0"/>
    <w:rPr>
      <w:rFonts w:ascii="Times New Roman" w:hAnsi="Times New Roman" w:eastAsia="宋体" w:cs="Times New Roman"/>
      <w:szCs w:val="24"/>
    </w:rPr>
  </w:style>
  <w:style w:type="table" w:customStyle="1" w:styleId="22">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4 字符"/>
    <w:basedOn w:val="16"/>
    <w:link w:val="4"/>
    <w:qFormat/>
    <w:uiPriority w:val="0"/>
    <w:rPr>
      <w:rFonts w:ascii="Cambria" w:hAnsi="Cambria" w:eastAsia="宋体" w:cs="Times New Roman"/>
      <w:b/>
      <w:bCs/>
      <w:sz w:val="24"/>
      <w:szCs w:val="28"/>
    </w:rPr>
  </w:style>
  <w:style w:type="character" w:customStyle="1" w:styleId="24">
    <w:name w:val="标题 1 字符"/>
    <w:basedOn w:val="16"/>
    <w:link w:val="3"/>
    <w:qFormat/>
    <w:uiPriority w:val="9"/>
    <w:rPr>
      <w:b/>
      <w:bCs/>
      <w:kern w:val="44"/>
      <w:sz w:val="36"/>
      <w:szCs w:val="44"/>
    </w:rPr>
  </w:style>
  <w:style w:type="character" w:customStyle="1" w:styleId="25">
    <w:name w:val="标题 5 字符"/>
    <w:basedOn w:val="16"/>
    <w:link w:val="5"/>
    <w:qFormat/>
    <w:uiPriority w:val="9"/>
    <w:rPr>
      <w:b/>
      <w:bCs/>
      <w:sz w:val="24"/>
      <w:szCs w:val="28"/>
    </w:rPr>
  </w:style>
  <w:style w:type="paragraph" w:customStyle="1" w:styleId="26">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7">
    <w:name w:val="批注框文本 字符"/>
    <w:basedOn w:val="16"/>
    <w:link w:val="9"/>
    <w:semiHidden/>
    <w:qFormat/>
    <w:uiPriority w:val="99"/>
    <w:rPr>
      <w:rFonts w:asciiTheme="minorHAnsi" w:hAnsiTheme="minorHAnsi" w:eastAsiaTheme="minorEastAsia" w:cstheme="minorBidi"/>
      <w:kern w:val="2"/>
      <w:sz w:val="18"/>
      <w:szCs w:val="18"/>
    </w:rPr>
  </w:style>
  <w:style w:type="paragraph" w:styleId="28">
    <w:name w:val="List Paragraph"/>
    <w:basedOn w:val="1"/>
    <w:unhideWhenUsed/>
    <w:qFormat/>
    <w:uiPriority w:val="99"/>
    <w:pPr>
      <w:ind w:firstLine="420" w:firstLineChars="200"/>
    </w:pPr>
  </w:style>
  <w:style w:type="table" w:customStyle="1" w:styleId="29">
    <w:name w:val="网格型2"/>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纯文本 字符"/>
    <w:basedOn w:val="16"/>
    <w:semiHidden/>
    <w:qFormat/>
    <w:uiPriority w:val="99"/>
    <w:rPr>
      <w:rFonts w:hAnsi="Courier New" w:cs="Courier New" w:asciiTheme="minorEastAsia" w:eastAsiaTheme="minorEastAsia"/>
      <w:kern w:val="2"/>
      <w:sz w:val="21"/>
      <w:szCs w:val="22"/>
    </w:rPr>
  </w:style>
  <w:style w:type="character" w:customStyle="1" w:styleId="31">
    <w:name w:val="纯文本 字符1"/>
    <w:link w:val="8"/>
    <w:qFormat/>
    <w:uiPriority w:val="0"/>
    <w:rPr>
      <w:rFonts w:ascii="宋体" w:hAnsi="Courier New"/>
      <w:kern w:val="1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38</Pages>
  <Words>4491</Words>
  <Characters>4690</Characters>
  <Lines>121</Lines>
  <Paragraphs>34</Paragraphs>
  <TotalTime>3</TotalTime>
  <ScaleCrop>false</ScaleCrop>
  <LinksUpToDate>false</LinksUpToDate>
  <CharactersWithSpaces>4724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J先生</cp:lastModifiedBy>
  <dcterms:modified xsi:type="dcterms:W3CDTF">2025-05-07T07:55:52Z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1F192C0BCC3B4AD587B7B3391AF6E2C2_13</vt:lpwstr>
  </property>
  <property fmtid="{D5CDD505-2E9C-101B-9397-08002B2CF9AE}" pid="4" name="KSOTemplateDocerSaveRecord">
    <vt:lpwstr>eyJoZGlkIjoiZDYxNzQwMWY4MzNlNjA1OTlmNzkxYjE4MGVmNTM1NDAiLCJ1c2VySWQiOiIyNjEwOTk1MTEifQ==</vt:lpwstr>
  </property>
</Properties>
</file>