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ind w:firstLine="3012" w:firstLineChars="1000"/>
        <w:jc w:val="both"/>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10</w:t>
      </w:r>
      <w:r>
        <w:rPr>
          <w:rFonts w:ascii="宋体" w:hAnsi="宋体" w:cs="宋体-18030"/>
          <w:b/>
          <w:bCs/>
          <w:color w:val="000000"/>
          <w:sz w:val="30"/>
          <w:szCs w:val="30"/>
        </w:rPr>
        <w:t>期</w:t>
      </w:r>
      <w:r>
        <w:rPr>
          <w:rFonts w:hint="eastAsia" w:ascii="宋体" w:hAnsi="宋体" w:eastAsia="宋体" w:cs="宋体-18030"/>
          <w:b/>
          <w:bCs/>
          <w:color w:val="000000"/>
          <w:sz w:val="30"/>
          <w:szCs w:val="30"/>
          <w:lang w:val="en-US" w:eastAsia="zh-CN"/>
        </w:rPr>
        <w:t>消毒供应室消毒配送服务</w:t>
      </w:r>
      <w:r>
        <w:rPr>
          <w:rFonts w:ascii="宋体" w:hAnsi="宋体" w:eastAsia="宋体" w:cs="宋体-18030"/>
          <w:b/>
          <w:bCs/>
          <w:color w:val="000000"/>
          <w:sz w:val="30"/>
          <w:szCs w:val="30"/>
        </w:rPr>
        <w:t>采购</w:t>
      </w:r>
      <w:r>
        <w:rPr>
          <w:rFonts w:ascii="宋体" w:hAnsi="宋体" w:cs="宋体-18030"/>
          <w:b/>
          <w:bCs/>
          <w:color w:val="000000"/>
          <w:sz w:val="30"/>
          <w:szCs w:val="30"/>
        </w:rPr>
        <w:t>公告</w:t>
      </w:r>
    </w:p>
    <w:p>
      <w:pPr>
        <w:widowControl/>
        <w:spacing w:line="460" w:lineRule="exact"/>
        <w:jc w:val="center"/>
        <w:rPr>
          <w:rFonts w:hint="default" w:eastAsia="仿宋"/>
          <w:lang w:val="en-US" w:eastAsia="zh-CN"/>
        </w:rPr>
      </w:pPr>
      <w:r>
        <w:rPr>
          <w:rFonts w:ascii="宋体" w:hAnsi="宋体"/>
          <w:b/>
          <w:bCs/>
          <w:sz w:val="30"/>
          <w:szCs w:val="30"/>
        </w:rPr>
        <w:t>采购编号:BYZBCG202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10</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2"/>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1965"/>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664" w:type="dxa"/>
            <w:vAlign w:val="center"/>
          </w:tcPr>
          <w:p>
            <w:pPr>
              <w:widowControl/>
              <w:snapToGrid w:val="0"/>
              <w:ind w:right="-617" w:rightChars="-294" w:firstLine="1890" w:firstLineChars="9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1965" w:type="dxa"/>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2654" w:type="dxa"/>
            <w:vAlign w:val="center"/>
          </w:tcPr>
          <w:p>
            <w:pPr>
              <w:widowControl/>
              <w:snapToGrid w:val="0"/>
              <w:ind w:right="-617" w:rightChars="-294" w:firstLine="840" w:firstLineChars="4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64" w:type="dxa"/>
            <w:vAlign w:val="center"/>
          </w:tcPr>
          <w:p>
            <w:pPr>
              <w:widowControl/>
              <w:snapToGrid w:val="0"/>
              <w:ind w:right="-617" w:rightChars="-294" w:firstLine="1260" w:firstLineChars="600"/>
              <w:contextualSpacing/>
              <w:jc w:val="both"/>
              <w:rPr>
                <w:rFonts w:hint="eastAsia" w:ascii="宋体" w:hAnsi="宋体" w:cs="宋体-18030"/>
                <w:color w:val="000000"/>
                <w:szCs w:val="21"/>
              </w:rPr>
            </w:pPr>
            <w:r>
              <w:rPr>
                <w:rFonts w:hint="eastAsia" w:ascii="宋体" w:hAnsi="宋体" w:cs="宋体-18030"/>
                <w:bCs/>
                <w:color w:val="000000"/>
                <w:szCs w:val="21"/>
                <w:lang w:val="en-US" w:eastAsia="zh-CN"/>
              </w:rPr>
              <w:t>消毒供应室消毒配送服务</w:t>
            </w:r>
          </w:p>
        </w:tc>
        <w:tc>
          <w:tcPr>
            <w:tcW w:w="1965" w:type="dxa"/>
            <w:vAlign w:val="center"/>
          </w:tcPr>
          <w:p>
            <w:pPr>
              <w:widowControl/>
              <w:snapToGrid w:val="0"/>
              <w:ind w:right="-617" w:rightChars="-294" w:firstLine="420" w:firstLineChars="200"/>
              <w:contextualSpacing/>
              <w:jc w:val="both"/>
              <w:rPr>
                <w:rFonts w:hint="default" w:ascii="宋体" w:hAnsi="宋体" w:eastAsia="宋体" w:cs="宋体-18030"/>
                <w:color w:val="000000"/>
                <w:szCs w:val="21"/>
                <w:lang w:val="en-US" w:eastAsia="zh-CN"/>
              </w:rPr>
            </w:pPr>
            <w:r>
              <w:rPr>
                <w:rFonts w:hint="eastAsia" w:ascii="宋体" w:hAnsi="宋体" w:cs="宋体-18030"/>
                <w:color w:val="000000"/>
                <w:szCs w:val="21"/>
                <w:lang w:val="en-US" w:eastAsia="zh-CN"/>
              </w:rPr>
              <w:t>消毒供应室</w:t>
            </w:r>
          </w:p>
        </w:tc>
        <w:tc>
          <w:tcPr>
            <w:tcW w:w="2654"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1. 具有独立法人资格或具有独立承担民事责任能力的其他组织（提供营业执照、社会组织登记证书或事业单位法人证书等证明资料扫描件，原件备查）</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2. 满足《中华人民共和国政府采购法》第二十二条第一款所列条件（在《投标履约承诺函》中作出声明）。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3. 参与本项目投标前三年内，在经营活动中没有重大违法记录。（由供应商在《投标履约承诺函》中作出声明）。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4. 参与本项目公开招标采购活动时不存在被有关部门禁止参与政府采购活动且在有效期内的情况。（由供应商在《投标履约承诺函》中作出声明）。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7. 本项目不接受同一个名称（含不同分店），或同一法定代表人，或同一负责人，或存在直接控股、管理关系的2个（含）以上的投标人同时参加招标采购活动。</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4</w:t>
      </w:r>
      <w:r>
        <w:rPr>
          <w:rFonts w:hint="eastAsia" w:ascii="宋体" w:hAnsi="宋体"/>
        </w:rPr>
        <w:t>月</w:t>
      </w:r>
      <w:r>
        <w:rPr>
          <w:rFonts w:hint="eastAsia" w:ascii="宋体" w:hAnsi="宋体"/>
          <w:lang w:val="en-US" w:eastAsia="zh-CN"/>
        </w:rPr>
        <w:t>17</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4</w:t>
      </w:r>
      <w:r>
        <w:rPr>
          <w:rFonts w:ascii="宋体" w:hAnsi="宋体"/>
        </w:rPr>
        <w:t>月</w:t>
      </w:r>
      <w:r>
        <w:rPr>
          <w:rFonts w:hint="eastAsia" w:ascii="宋体" w:hAnsi="宋体"/>
          <w:lang w:val="en-US" w:eastAsia="zh-CN"/>
        </w:rPr>
        <w:t>28</w:t>
      </w:r>
      <w:r>
        <w:rPr>
          <w:rFonts w:ascii="宋体" w:hAnsi="宋体"/>
        </w:rPr>
        <w:t>日下午4:00前,</w:t>
      </w:r>
      <w:r>
        <w:rPr>
          <w:rFonts w:hint="eastAsia" w:ascii="宋体" w:hAnsi="宋体" w:cs="Arial"/>
          <w:bCs/>
          <w:color w:val="000000"/>
          <w:szCs w:val="21"/>
        </w:rPr>
        <w:t>1.法定代表人或被授权人携《投标人报名材料》要求交至宝安区人民医院立体停车场出口对面A栋201室招标办审核;2.现场审核通过后，报名资料PDF版发送至电子邮箱,逾期送达或资料缺项者恕不接受｡</w:t>
      </w:r>
    </w:p>
    <w:p>
      <w:pPr>
        <w:widowControl/>
        <w:ind w:left="219" w:leftChars="0" w:hanging="219" w:hangingChars="104"/>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Arial"/>
          <w:b/>
          <w:color w:val="000000"/>
          <w:kern w:val="0"/>
          <w:szCs w:val="21"/>
          <w:lang w:val="en-US" w:eastAsia="zh-CN"/>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199" w:leftChars="-95" w:right="-166" w:rightChars="-79" w:firstLine="411" w:firstLineChars="195"/>
        <w:jc w:val="left"/>
        <w:rPr>
          <w:rFonts w:hint="eastAsia" w:ascii="宋体" w:hAnsi="宋体" w:eastAsia="宋体" w:cs="Arial"/>
          <w:color w:val="000000"/>
          <w:kern w:val="0"/>
          <w:szCs w:val="21"/>
          <w:lang w:eastAsia="zh-CN"/>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宋体" w:hAnsi="宋体" w:cs="宋体"/>
          <w:color w:val="000000"/>
          <w:kern w:val="0"/>
          <w:szCs w:val="21"/>
          <w:lang w:eastAsia="zh-CN"/>
        </w:rPr>
        <w:t>。</w:t>
      </w:r>
    </w:p>
    <w:p>
      <w:pPr>
        <w:widowControl/>
        <w:ind w:firstLine="211" w:firstLineChars="100"/>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firstLine="6720" w:firstLineChars="3200"/>
        <w:jc w:val="both"/>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4</w:t>
      </w:r>
      <w:r>
        <w:rPr>
          <w:rFonts w:ascii="宋体" w:hAnsi="宋体" w:cs="宋体-18030"/>
          <w:bCs/>
          <w:szCs w:val="21"/>
        </w:rPr>
        <w:t>月</w:t>
      </w:r>
      <w:r>
        <w:rPr>
          <w:rFonts w:hint="eastAsia" w:ascii="宋体" w:hAnsi="宋体" w:cs="宋体-18030"/>
          <w:bCs/>
          <w:szCs w:val="21"/>
          <w:lang w:val="en-US" w:eastAsia="zh-CN"/>
        </w:rPr>
        <w:t>17</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1"/>
        <w:tblW w:w="96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747"/>
        <w:gridCol w:w="973"/>
        <w:gridCol w:w="1611"/>
        <w:gridCol w:w="784"/>
        <w:gridCol w:w="556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747" w:type="dxa"/>
            <w:vAlign w:val="center"/>
          </w:tcPr>
          <w:p>
            <w:pPr>
              <w:spacing w:line="360" w:lineRule="auto"/>
              <w:jc w:val="center"/>
              <w:rPr>
                <w:rFonts w:ascii="宋体" w:hAnsi="宋体"/>
                <w:b/>
                <w:bCs/>
                <w:color w:val="auto"/>
                <w:sz w:val="24"/>
              </w:rPr>
            </w:pPr>
            <w:r>
              <w:rPr>
                <w:rFonts w:hint="eastAsia" w:ascii="宋体" w:hAnsi="宋体"/>
                <w:b/>
                <w:bCs/>
                <w:color w:val="auto"/>
                <w:sz w:val="24"/>
              </w:rPr>
              <w:t>序号</w:t>
            </w:r>
          </w:p>
        </w:tc>
        <w:tc>
          <w:tcPr>
            <w:tcW w:w="2584" w:type="dxa"/>
            <w:gridSpan w:val="2"/>
            <w:vAlign w:val="center"/>
          </w:tcPr>
          <w:p>
            <w:pPr>
              <w:spacing w:line="360" w:lineRule="auto"/>
              <w:jc w:val="center"/>
              <w:rPr>
                <w:rFonts w:ascii="宋体" w:hAnsi="宋体"/>
                <w:b/>
                <w:bCs/>
                <w:color w:val="auto"/>
                <w:sz w:val="24"/>
              </w:rPr>
            </w:pPr>
            <w:r>
              <w:rPr>
                <w:rFonts w:hint="eastAsia" w:ascii="宋体" w:hAnsi="宋体"/>
                <w:b/>
                <w:bCs/>
                <w:color w:val="auto"/>
                <w:sz w:val="24"/>
              </w:rPr>
              <w:t>评分因素</w:t>
            </w:r>
          </w:p>
        </w:tc>
        <w:tc>
          <w:tcPr>
            <w:tcW w:w="784" w:type="dxa"/>
            <w:vAlign w:val="center"/>
          </w:tcPr>
          <w:p>
            <w:pPr>
              <w:spacing w:line="360" w:lineRule="auto"/>
              <w:jc w:val="center"/>
              <w:rPr>
                <w:rFonts w:ascii="宋体" w:hAnsi="宋体"/>
                <w:b/>
                <w:bCs/>
                <w:color w:val="auto"/>
                <w:sz w:val="24"/>
              </w:rPr>
            </w:pPr>
            <w:r>
              <w:rPr>
                <w:rFonts w:hint="eastAsia" w:ascii="宋体" w:hAnsi="宋体"/>
                <w:b/>
                <w:bCs/>
                <w:color w:val="auto"/>
                <w:sz w:val="24"/>
              </w:rPr>
              <w:t>分值</w:t>
            </w:r>
          </w:p>
        </w:tc>
        <w:tc>
          <w:tcPr>
            <w:tcW w:w="5561" w:type="dxa"/>
            <w:vAlign w:val="center"/>
          </w:tcPr>
          <w:p>
            <w:pPr>
              <w:spacing w:line="360" w:lineRule="auto"/>
              <w:jc w:val="center"/>
              <w:rPr>
                <w:rFonts w:ascii="宋体" w:hAnsi="宋体"/>
                <w:b/>
                <w:bCs/>
                <w:color w:val="auto"/>
                <w:sz w:val="24"/>
              </w:rPr>
            </w:pPr>
            <w:r>
              <w:rPr>
                <w:rFonts w:hint="eastAsia" w:ascii="宋体" w:hAnsi="宋体"/>
                <w:b/>
                <w:bCs/>
                <w:color w:val="auto"/>
                <w:sz w:val="24"/>
              </w:rPr>
              <w:t>评价内容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265" w:hRule="atLeast"/>
          <w:jc w:val="center"/>
        </w:trPr>
        <w:tc>
          <w:tcPr>
            <w:tcW w:w="747" w:type="dxa"/>
            <w:vMerge w:val="restart"/>
            <w:vAlign w:val="center"/>
          </w:tcPr>
          <w:p>
            <w:pPr>
              <w:widowControl/>
              <w:spacing w:line="360" w:lineRule="exact"/>
              <w:jc w:val="both"/>
              <w:rPr>
                <w:rFonts w:hint="eastAsia" w:ascii="宋体" w:hAnsi="宋体" w:cs="宋体"/>
                <w:color w:val="auto"/>
                <w:szCs w:val="21"/>
              </w:rPr>
            </w:pPr>
          </w:p>
        </w:tc>
        <w:tc>
          <w:tcPr>
            <w:tcW w:w="973" w:type="dxa"/>
            <w:vMerge w:val="restart"/>
            <w:vAlign w:val="center"/>
          </w:tcPr>
          <w:p>
            <w:pPr>
              <w:widowControl/>
              <w:spacing w:line="36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技术部分</w:t>
            </w:r>
          </w:p>
        </w:tc>
        <w:tc>
          <w:tcPr>
            <w:tcW w:w="1611" w:type="dxa"/>
            <w:vAlign w:val="center"/>
          </w:tcPr>
          <w:p>
            <w:pPr>
              <w:widowControl/>
              <w:spacing w:line="360" w:lineRule="exact"/>
              <w:ind w:firstLine="210" w:firstLineChars="100"/>
              <w:jc w:val="left"/>
              <w:rPr>
                <w:rFonts w:hint="eastAsia" w:ascii="宋体" w:hAnsi="宋体" w:cs="宋体"/>
                <w:color w:val="auto"/>
                <w:szCs w:val="21"/>
                <w:lang w:val="zh-CN" w:eastAsia="zh-CN"/>
              </w:rPr>
            </w:pPr>
            <w:r>
              <w:rPr>
                <w:rFonts w:hint="eastAsia" w:ascii="宋体" w:hAnsi="宋体" w:cs="宋体"/>
                <w:color w:val="auto"/>
                <w:szCs w:val="21"/>
                <w:lang w:val="en-US" w:eastAsia="zh-CN"/>
              </w:rPr>
              <w:t>实施方案</w:t>
            </w:r>
          </w:p>
        </w:tc>
        <w:tc>
          <w:tcPr>
            <w:tcW w:w="784" w:type="dxa"/>
            <w:vAlign w:val="center"/>
          </w:tcPr>
          <w:p>
            <w:pPr>
              <w:widowControl/>
              <w:spacing w:line="360" w:lineRule="exact"/>
              <w:ind w:firstLine="210" w:firstLineChars="100"/>
              <w:jc w:val="left"/>
              <w:rPr>
                <w:rFonts w:hint="default" w:ascii="宋体" w:hAnsi="宋体" w:cs="宋体"/>
                <w:color w:val="auto"/>
                <w:szCs w:val="21"/>
                <w:lang w:val="en-US" w:eastAsia="zh-CN"/>
              </w:rPr>
            </w:pPr>
            <w:r>
              <w:rPr>
                <w:rFonts w:hint="eastAsia" w:ascii="宋体" w:hAnsi="宋体" w:cs="宋体"/>
                <w:color w:val="auto"/>
                <w:szCs w:val="21"/>
                <w:lang w:val="en-US" w:eastAsia="zh-CN"/>
              </w:rPr>
              <w:t>15</w:t>
            </w:r>
          </w:p>
        </w:tc>
        <w:tc>
          <w:tcPr>
            <w:tcW w:w="5561" w:type="dxa"/>
            <w:vAlign w:val="center"/>
          </w:tcPr>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（一）评审内容：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投标人提供的实施方案须包含以下内容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（1）运营模式；</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（2）管理方案；</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（3）车辆运输组织方案；</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（二）评审依据：</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1、提供上述三项内容的得9分；提供上述两项的得6分；提供上述一项的得3分；未提供不得分。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2、在此基础上，由评审委员会进行评价：</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（1）方案整体科学合理、针对性强、可操作性强，评审为优的，加6分；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（2）方案较合理、有一定针对性、一定可操作性，评审为良的，加4分； </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（3）方案不尽合理、针对性一般、可操作性一般，评审为中的，加 2分； </w:t>
            </w:r>
          </w:p>
          <w:p>
            <w:pPr>
              <w:widowControl/>
              <w:spacing w:line="360" w:lineRule="exact"/>
              <w:jc w:val="left"/>
              <w:rPr>
                <w:rFonts w:hint="eastAsia" w:ascii="宋体" w:hAnsi="宋体" w:cs="宋体"/>
                <w:color w:val="auto"/>
                <w:szCs w:val="21"/>
                <w:lang w:val="zh-CN" w:eastAsia="zh-CN"/>
              </w:rPr>
            </w:pPr>
            <w:r>
              <w:rPr>
                <w:rFonts w:hint="eastAsia" w:ascii="宋体" w:hAnsi="宋体" w:cs="宋体"/>
                <w:color w:val="auto"/>
                <w:szCs w:val="21"/>
                <w:lang w:val="en-US" w:eastAsia="zh-CN"/>
              </w:rPr>
              <w:t>（4）方案不合理、无针对性、无可操作性，评审为差的，得0分。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235" w:hRule="atLeast"/>
          <w:jc w:val="center"/>
        </w:trPr>
        <w:tc>
          <w:tcPr>
            <w:tcW w:w="747" w:type="dxa"/>
            <w:vMerge w:val="continue"/>
            <w:vAlign w:val="center"/>
          </w:tcPr>
          <w:p>
            <w:pPr>
              <w:widowControl/>
              <w:spacing w:line="360" w:lineRule="exact"/>
              <w:jc w:val="both"/>
              <w:rPr>
                <w:rFonts w:hint="eastAsia" w:ascii="宋体" w:hAnsi="宋体" w:cs="宋体"/>
                <w:color w:val="auto"/>
                <w:szCs w:val="21"/>
              </w:rPr>
            </w:pPr>
          </w:p>
        </w:tc>
        <w:tc>
          <w:tcPr>
            <w:tcW w:w="973" w:type="dxa"/>
            <w:vMerge w:val="continue"/>
            <w:vAlign w:val="center"/>
          </w:tcPr>
          <w:p>
            <w:pPr>
              <w:widowControl/>
              <w:spacing w:line="360" w:lineRule="exact"/>
              <w:jc w:val="center"/>
              <w:rPr>
                <w:rFonts w:ascii="宋体" w:hAnsi="宋体" w:cs="宋体"/>
                <w:color w:val="auto"/>
                <w:szCs w:val="21"/>
              </w:rPr>
            </w:pPr>
          </w:p>
        </w:tc>
        <w:tc>
          <w:tcPr>
            <w:tcW w:w="1611" w:type="dxa"/>
            <w:vAlign w:val="center"/>
          </w:tcPr>
          <w:p>
            <w:pPr>
              <w:spacing w:line="360" w:lineRule="exact"/>
              <w:jc w:val="center"/>
              <w:rPr>
                <w:rFonts w:hint="eastAsia" w:ascii="新宋体" w:hAnsi="新宋体" w:eastAsia="新宋体"/>
                <w:color w:val="auto"/>
                <w:szCs w:val="21"/>
              </w:rPr>
            </w:pPr>
            <w:r>
              <w:rPr>
                <w:rFonts w:hint="eastAsia" w:ascii="宋体" w:hAnsi="宋体" w:cs="宋体"/>
                <w:color w:val="auto"/>
                <w:szCs w:val="21"/>
                <w:lang w:val="en-US" w:eastAsia="zh-CN"/>
              </w:rPr>
              <w:t>服务质量保障方案</w:t>
            </w:r>
          </w:p>
        </w:tc>
        <w:tc>
          <w:tcPr>
            <w:tcW w:w="784" w:type="dxa"/>
            <w:vAlign w:val="center"/>
          </w:tcPr>
          <w:p>
            <w:pPr>
              <w:autoSpaceDE w:val="0"/>
              <w:autoSpaceDN w:val="0"/>
              <w:adjustRightInd w:val="0"/>
              <w:spacing w:line="360" w:lineRule="exact"/>
              <w:jc w:val="center"/>
              <w:rPr>
                <w:rFonts w:hint="default" w:cs="仿宋_GB2312"/>
                <w:color w:val="auto"/>
                <w:sz w:val="22"/>
                <w:szCs w:val="21"/>
                <w:lang w:val="en-US" w:eastAsia="zh-CN"/>
              </w:rPr>
            </w:pPr>
            <w:r>
              <w:rPr>
                <w:rFonts w:hint="eastAsia" w:cs="仿宋_GB2312"/>
                <w:color w:val="auto"/>
                <w:sz w:val="22"/>
                <w:szCs w:val="21"/>
                <w:lang w:val="en-US" w:eastAsia="zh-CN"/>
              </w:rPr>
              <w:t>18</w:t>
            </w:r>
          </w:p>
        </w:tc>
        <w:tc>
          <w:tcPr>
            <w:tcW w:w="5561" w:type="dxa"/>
            <w:vAlign w:val="center"/>
          </w:tcPr>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（一）评审内容：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投标人提供的服务质量保障方案须包含以下内容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（1）质量管理体系；</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（2）运营安全；</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（3）服务质量；</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（4）车辆技术保障、</w:t>
            </w:r>
            <w:r>
              <w:rPr>
                <w:rFonts w:hint="eastAsia" w:ascii="宋体" w:hAnsi="宋体" w:cs="宋体"/>
                <w:color w:val="auto"/>
                <w:szCs w:val="21"/>
                <w:lang w:val="zh-CN" w:eastAsia="zh-CN"/>
              </w:rPr>
              <w:t>服务车辆维修保养</w:t>
            </w:r>
            <w:r>
              <w:rPr>
                <w:rFonts w:hint="eastAsia" w:ascii="宋体" w:hAnsi="宋体" w:cs="宋体"/>
                <w:color w:val="auto"/>
                <w:szCs w:val="21"/>
                <w:lang w:val="en-US" w:eastAsia="zh-CN"/>
              </w:rPr>
              <w:t>。</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（二）评审依据：</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1、提供上述四项内容的得12分；提供上述三项的得9分；提供上述二项的得6分；提供上述一项的得3分；未提供不得分。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2、在此基础上，由评审委员会进行评价：</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（1）方案整体科学合理、针对性强、可操作性强，评审为优的，加6分；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（2）方案较合理、有一定针对性、一定可操作性，评审为良的，加 4分； </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（3）方案不尽合理、针对性一般、可操作性一般，评审为中的，加 2分； </w:t>
            </w:r>
          </w:p>
          <w:p>
            <w:pPr>
              <w:widowControl/>
              <w:spacing w:line="360" w:lineRule="exact"/>
              <w:jc w:val="left"/>
              <w:rPr>
                <w:rFonts w:hint="eastAsia" w:ascii="宋体" w:hAnsi="宋体"/>
                <w:color w:val="auto"/>
                <w:szCs w:val="21"/>
              </w:rPr>
            </w:pPr>
            <w:r>
              <w:rPr>
                <w:rFonts w:hint="eastAsia" w:ascii="宋体" w:hAnsi="宋体" w:cs="宋体"/>
                <w:color w:val="auto"/>
                <w:szCs w:val="21"/>
                <w:lang w:val="en-US" w:eastAsia="zh-CN"/>
              </w:rPr>
              <w:t>（4）方案不合理、无针对性、无可操作性，评审为差的，得0分。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459" w:hRule="atLeast"/>
          <w:jc w:val="center"/>
        </w:trPr>
        <w:tc>
          <w:tcPr>
            <w:tcW w:w="747" w:type="dxa"/>
            <w:vMerge w:val="continue"/>
            <w:vAlign w:val="center"/>
          </w:tcPr>
          <w:p>
            <w:pPr>
              <w:widowControl/>
              <w:spacing w:line="360" w:lineRule="exact"/>
              <w:jc w:val="both"/>
              <w:rPr>
                <w:rFonts w:hint="eastAsia" w:ascii="宋体" w:hAnsi="宋体" w:cs="宋体"/>
                <w:color w:val="auto"/>
                <w:szCs w:val="21"/>
              </w:rPr>
            </w:pPr>
          </w:p>
        </w:tc>
        <w:tc>
          <w:tcPr>
            <w:tcW w:w="973" w:type="dxa"/>
            <w:vMerge w:val="continue"/>
            <w:vAlign w:val="center"/>
          </w:tcPr>
          <w:p>
            <w:pPr>
              <w:widowControl/>
              <w:spacing w:line="360" w:lineRule="exact"/>
              <w:jc w:val="center"/>
              <w:rPr>
                <w:rFonts w:ascii="宋体" w:hAnsi="宋体" w:cs="宋体"/>
                <w:color w:val="auto"/>
                <w:szCs w:val="21"/>
              </w:rPr>
            </w:pPr>
          </w:p>
        </w:tc>
        <w:tc>
          <w:tcPr>
            <w:tcW w:w="1611" w:type="dxa"/>
            <w:vAlign w:val="center"/>
          </w:tcPr>
          <w:p>
            <w:pPr>
              <w:spacing w:line="360"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规章制度的完整情况</w:t>
            </w:r>
          </w:p>
        </w:tc>
        <w:tc>
          <w:tcPr>
            <w:tcW w:w="784" w:type="dxa"/>
            <w:vAlign w:val="center"/>
          </w:tcPr>
          <w:p>
            <w:pPr>
              <w:spacing w:line="36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15</w:t>
            </w:r>
          </w:p>
        </w:tc>
        <w:tc>
          <w:tcPr>
            <w:tcW w:w="5561" w:type="dxa"/>
            <w:vAlign w:val="center"/>
          </w:tcPr>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（一）评审内容：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投标人提供的规章制度的完整情况须包含以下内容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（1）安全生产制度；</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（2）服务质量管理制度；</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（3）投诉处理机制；</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（二）评审依据：</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1、提供上述三项的得9分；提供上述二项的得6分；提供上述一项的得3分；未提供不得分。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2、在此基础上，由评审委员会进行评价：</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（1）制度整体科学合理、针对性强、可操作性强，评审为优的，加6分；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（2）制度较合理、有一定针对性、一定可操作性，评审为良的，加 4分； </w:t>
            </w:r>
          </w:p>
          <w:p>
            <w:pPr>
              <w:widowControl/>
              <w:spacing w:line="360" w:lineRule="exact"/>
              <w:jc w:val="left"/>
              <w:rPr>
                <w:rFonts w:hint="eastAsia" w:asciiTheme="majorEastAsia" w:hAnsiTheme="majorEastAsia" w:eastAsiaTheme="majorEastAsia" w:cstheme="majorEastAsia"/>
                <w:bCs w:val="0"/>
                <w:color w:val="auto"/>
                <w:spacing w:val="0"/>
                <w:kern w:val="2"/>
                <w:sz w:val="21"/>
                <w:szCs w:val="21"/>
                <w:highlight w:val="none"/>
              </w:rPr>
            </w:pPr>
            <w:r>
              <w:rPr>
                <w:rFonts w:hint="eastAsia" w:ascii="宋体" w:hAnsi="宋体" w:cs="宋体"/>
                <w:color w:val="auto"/>
                <w:szCs w:val="21"/>
                <w:lang w:val="en-US" w:eastAsia="zh-CN"/>
              </w:rPr>
              <w:t>（3）制度不尽合理、针对性一般、可操作性一般，评审为中的，加 2分；</w:t>
            </w:r>
            <w:r>
              <w:rPr>
                <w:rFonts w:hint="eastAsia" w:asciiTheme="majorEastAsia" w:hAnsiTheme="majorEastAsia" w:eastAsiaTheme="majorEastAsia" w:cstheme="majorEastAsia"/>
                <w:bCs w:val="0"/>
                <w:color w:val="auto"/>
                <w:spacing w:val="0"/>
                <w:kern w:val="2"/>
                <w:sz w:val="21"/>
                <w:szCs w:val="21"/>
                <w:highlight w:val="none"/>
              </w:rPr>
              <w:t xml:space="preserve"> </w:t>
            </w:r>
          </w:p>
          <w:p>
            <w:pPr>
              <w:autoSpaceDE w:val="0"/>
              <w:autoSpaceDN w:val="0"/>
              <w:adjustRightInd w:val="0"/>
              <w:spacing w:line="360" w:lineRule="exact"/>
              <w:rPr>
                <w:rFonts w:hint="eastAsia" w:asciiTheme="majorEastAsia" w:hAnsiTheme="majorEastAsia" w:eastAsiaTheme="majorEastAsia" w:cstheme="majorEastAsia"/>
                <w:color w:val="auto"/>
                <w:kern w:val="2"/>
                <w:sz w:val="21"/>
                <w:szCs w:val="21"/>
                <w:highlight w:val="none"/>
              </w:rPr>
            </w:pPr>
            <w:r>
              <w:rPr>
                <w:rFonts w:hint="eastAsia" w:ascii="宋体" w:hAnsi="宋体" w:cs="宋体"/>
                <w:color w:val="auto"/>
                <w:szCs w:val="21"/>
                <w:lang w:val="en-US" w:eastAsia="zh-CN"/>
              </w:rPr>
              <w:t>（4）制度不合理、无针对性、无可操作性，评审为差的，得0分。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755" w:hRule="atLeast"/>
          <w:jc w:val="center"/>
        </w:trPr>
        <w:tc>
          <w:tcPr>
            <w:tcW w:w="747" w:type="dxa"/>
            <w:vMerge w:val="continue"/>
            <w:vAlign w:val="center"/>
          </w:tcPr>
          <w:p>
            <w:pPr>
              <w:widowControl/>
              <w:spacing w:line="360" w:lineRule="exact"/>
              <w:jc w:val="both"/>
              <w:rPr>
                <w:rFonts w:hint="eastAsia" w:ascii="宋体" w:hAnsi="宋体" w:cs="宋体"/>
                <w:color w:val="auto"/>
                <w:szCs w:val="21"/>
              </w:rPr>
            </w:pPr>
          </w:p>
        </w:tc>
        <w:tc>
          <w:tcPr>
            <w:tcW w:w="973" w:type="dxa"/>
            <w:vMerge w:val="continue"/>
            <w:vAlign w:val="center"/>
          </w:tcPr>
          <w:p>
            <w:pPr>
              <w:widowControl/>
              <w:spacing w:line="360" w:lineRule="exact"/>
              <w:jc w:val="center"/>
              <w:rPr>
                <w:rFonts w:ascii="宋体" w:hAnsi="宋体" w:cs="宋体"/>
                <w:color w:val="auto"/>
                <w:szCs w:val="21"/>
              </w:rPr>
            </w:pPr>
          </w:p>
        </w:tc>
        <w:tc>
          <w:tcPr>
            <w:tcW w:w="1611" w:type="dxa"/>
            <w:vAlign w:val="center"/>
          </w:tcPr>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拟投入车辆情况</w:t>
            </w:r>
          </w:p>
        </w:tc>
        <w:tc>
          <w:tcPr>
            <w:tcW w:w="784" w:type="dxa"/>
            <w:vAlign w:val="center"/>
          </w:tcPr>
          <w:p>
            <w:pPr>
              <w:widowControl/>
              <w:spacing w:line="360" w:lineRule="exact"/>
              <w:ind w:firstLine="210" w:firstLineChars="100"/>
              <w:jc w:val="left"/>
              <w:rPr>
                <w:rFonts w:hint="default" w:ascii="宋体" w:hAnsi="宋体" w:cs="宋体"/>
                <w:color w:val="auto"/>
                <w:szCs w:val="21"/>
                <w:lang w:val="en-US" w:eastAsia="zh-CN"/>
              </w:rPr>
            </w:pPr>
            <w:r>
              <w:rPr>
                <w:rFonts w:hint="eastAsia" w:ascii="宋体" w:hAnsi="宋体" w:cs="宋体"/>
                <w:color w:val="auto"/>
                <w:szCs w:val="21"/>
                <w:lang w:val="en-US" w:eastAsia="zh-CN"/>
              </w:rPr>
              <w:t>4</w:t>
            </w:r>
          </w:p>
        </w:tc>
        <w:tc>
          <w:tcPr>
            <w:tcW w:w="5561" w:type="dxa"/>
            <w:vAlign w:val="center"/>
          </w:tcPr>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（一）评审内容：</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（1）根据投标人拟为本项目提供的车辆进行评分：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1.车辆使用年限≤1年，得4分；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2.1年＜车辆使用年限≤3年的，得2分；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3.3年＜车辆使用年限≤5年的，得1分；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其他不得分。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zh-CN" w:eastAsia="zh-CN"/>
              </w:rPr>
              <w:t>（</w:t>
            </w:r>
            <w:r>
              <w:rPr>
                <w:rFonts w:hint="eastAsia" w:ascii="宋体" w:hAnsi="宋体" w:cs="宋体"/>
                <w:color w:val="auto"/>
                <w:szCs w:val="21"/>
                <w:lang w:val="en-US" w:eastAsia="zh-CN"/>
              </w:rPr>
              <w:t>2</w:t>
            </w:r>
            <w:r>
              <w:rPr>
                <w:rFonts w:hint="eastAsia" w:ascii="宋体" w:hAnsi="宋体" w:cs="宋体"/>
                <w:color w:val="auto"/>
                <w:szCs w:val="21"/>
                <w:lang w:val="zh-CN" w:eastAsia="zh-CN"/>
              </w:rPr>
              <w:t>）拥有不少于两台</w:t>
            </w:r>
            <w:r>
              <w:rPr>
                <w:rFonts w:hint="eastAsia" w:ascii="宋体" w:hAnsi="宋体" w:cs="宋体"/>
                <w:color w:val="auto"/>
                <w:szCs w:val="21"/>
                <w:lang w:val="en-US" w:eastAsia="zh-CN"/>
              </w:rPr>
              <w:t>符合配送要求</w:t>
            </w:r>
            <w:r>
              <w:rPr>
                <w:rFonts w:hint="eastAsia" w:ascii="宋体" w:hAnsi="宋体" w:cs="宋体"/>
                <w:color w:val="auto"/>
                <w:szCs w:val="21"/>
                <w:lang w:val="zh-CN" w:eastAsia="zh-CN"/>
              </w:rPr>
              <w:t>的货运配送车辆，并可以按</w:t>
            </w:r>
            <w:r>
              <w:rPr>
                <w:rFonts w:hint="eastAsia" w:ascii="宋体" w:hAnsi="宋体" w:cs="宋体"/>
                <w:color w:val="auto"/>
                <w:szCs w:val="21"/>
                <w:lang w:val="en-US" w:eastAsia="zh-CN"/>
              </w:rPr>
              <w:t>采购人</w:t>
            </w:r>
            <w:r>
              <w:rPr>
                <w:rFonts w:hint="eastAsia" w:ascii="宋体" w:hAnsi="宋体" w:cs="宋体"/>
                <w:color w:val="auto"/>
                <w:szCs w:val="21"/>
                <w:lang w:val="zh-CN" w:eastAsia="zh-CN"/>
              </w:rPr>
              <w:t>要求对车辆进行内部改装</w:t>
            </w:r>
            <w:r>
              <w:rPr>
                <w:rFonts w:hint="eastAsia" w:ascii="宋体" w:hAnsi="宋体" w:cs="宋体"/>
                <w:color w:val="auto"/>
                <w:szCs w:val="21"/>
                <w:lang w:val="en-US" w:eastAsia="zh-CN"/>
              </w:rPr>
              <w:t>，得2分，否则不得分</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（二）评审依据：</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1.同时提供：</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（1）有效期内的车辆《机动车行驶证》扫描件（需包含行驶证的注册日期），行驶证登记的所有人须为投标人；</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（2）车头完整正面图片（含车牌号码）；</w:t>
            </w:r>
          </w:p>
          <w:p>
            <w:pPr>
              <w:widowControl/>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2.以上文件原件备查。未提供或提供不清晰导致无法识别的不得分。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725" w:hRule="atLeast"/>
          <w:jc w:val="center"/>
        </w:trPr>
        <w:tc>
          <w:tcPr>
            <w:tcW w:w="747" w:type="dxa"/>
            <w:vMerge w:val="continue"/>
            <w:vAlign w:val="center"/>
          </w:tcPr>
          <w:p>
            <w:pPr>
              <w:widowControl/>
              <w:spacing w:line="360" w:lineRule="exact"/>
              <w:jc w:val="center"/>
              <w:rPr>
                <w:rFonts w:hint="eastAsia" w:ascii="宋体" w:hAnsi="宋体" w:cs="宋体"/>
                <w:color w:val="auto"/>
                <w:szCs w:val="21"/>
              </w:rPr>
            </w:pPr>
          </w:p>
        </w:tc>
        <w:tc>
          <w:tcPr>
            <w:tcW w:w="973" w:type="dxa"/>
            <w:vMerge w:val="continue"/>
            <w:vAlign w:val="center"/>
          </w:tcPr>
          <w:p>
            <w:pPr>
              <w:widowControl/>
              <w:spacing w:line="360" w:lineRule="exact"/>
              <w:jc w:val="center"/>
              <w:rPr>
                <w:rFonts w:ascii="宋体" w:hAnsi="宋体" w:cs="宋体"/>
                <w:color w:val="auto"/>
                <w:szCs w:val="21"/>
              </w:rPr>
            </w:pPr>
          </w:p>
        </w:tc>
        <w:tc>
          <w:tcPr>
            <w:tcW w:w="1611" w:type="dxa"/>
            <w:shd w:val="clear" w:color="auto" w:fill="auto"/>
            <w:vAlign w:val="center"/>
          </w:tcPr>
          <w:p>
            <w:pPr>
              <w:keepNext w:val="0"/>
              <w:keepLines w:val="0"/>
              <w:suppressLineNumbers w:val="0"/>
              <w:wordWrap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应急处理方案</w:t>
            </w:r>
          </w:p>
        </w:tc>
        <w:tc>
          <w:tcPr>
            <w:tcW w:w="784" w:type="dxa"/>
            <w:shd w:val="clear" w:color="auto" w:fill="auto"/>
            <w:vAlign w:val="center"/>
          </w:tcPr>
          <w:p>
            <w:pPr>
              <w:keepNext w:val="0"/>
              <w:keepLines w:val="0"/>
              <w:suppressLineNumbers w:val="0"/>
              <w:wordWrap w:val="0"/>
              <w:spacing w:before="0" w:beforeAutospacing="0" w:after="0" w:afterAutospacing="0" w:line="240" w:lineRule="auto"/>
              <w:ind w:left="0" w:leftChars="0" w:right="0" w:rightChars="0"/>
              <w:jc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556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一</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评审</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内容</w:t>
            </w:r>
            <w:r>
              <w:rPr>
                <w:rFonts w:hint="eastAsia" w:ascii="宋体" w:hAnsi="宋体" w:eastAsia="宋体" w:cs="宋体"/>
                <w:b w:val="0"/>
                <w:bCs w:val="0"/>
                <w:color w:val="000000" w:themeColor="text1"/>
                <w:sz w:val="21"/>
                <w:szCs w:val="21"/>
                <w:highlight w:val="none"/>
                <w14:textFill>
                  <w14:solidFill>
                    <w14:schemeClr w14:val="tx1"/>
                  </w14:solidFill>
                </w14:textFill>
              </w:rPr>
              <w:t>：</w:t>
            </w:r>
          </w:p>
          <w:p>
            <w:pPr>
              <w:keepNext w:val="0"/>
              <w:keepLines w:val="0"/>
              <w:numPr>
                <w:ilvl w:val="0"/>
                <w:numId w:val="1"/>
              </w:numPr>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投标人承诺对采购人的服务通知能0.5小时内响应，在1小时内（含1小时）到达的，得4分；</w:t>
            </w:r>
          </w:p>
          <w:p>
            <w:pPr>
              <w:keepNext w:val="0"/>
              <w:keepLines w:val="0"/>
              <w:numPr>
                <w:ilvl w:val="0"/>
                <w:numId w:val="1"/>
              </w:numPr>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投标人对采购人的服务通知能1小时内响应，在1.5小时内（含1.5小时）到达的，得2分；</w:t>
            </w:r>
          </w:p>
          <w:p>
            <w:pPr>
              <w:keepNext w:val="0"/>
              <w:keepLines w:val="0"/>
              <w:numPr>
                <w:ilvl w:val="0"/>
                <w:numId w:val="1"/>
              </w:numPr>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投标人对采购人的服务通知能1.5小时内响应，2小时内（含2小时）到达的，得1分；</w:t>
            </w:r>
          </w:p>
          <w:p>
            <w:pPr>
              <w:keepNext w:val="0"/>
              <w:keepLines w:val="0"/>
              <w:numPr>
                <w:ilvl w:val="0"/>
                <w:numId w:val="1"/>
              </w:numPr>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投标人承诺对采购人的服务通知在2小时内无法响应的，不得分；</w:t>
            </w:r>
          </w:p>
          <w:p>
            <w:pPr>
              <w:keepNext w:val="0"/>
              <w:keepLines w:val="0"/>
              <w:numPr>
                <w:ilvl w:val="0"/>
                <w:numId w:val="0"/>
              </w:numPr>
              <w:suppressLineNumbers w:val="0"/>
              <w:adjustRightInd w:val="0"/>
              <w:snapToGrid w:val="0"/>
              <w:spacing w:before="0" w:beforeAutospacing="0" w:after="0" w:afterAutospacing="0" w:line="240" w:lineRule="auto"/>
              <w:ind w:right="0" w:rightChars="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评审依据：</w:t>
            </w:r>
          </w:p>
          <w:p>
            <w:pPr>
              <w:keepNext w:val="0"/>
              <w:keepLines w:val="0"/>
              <w:numPr>
                <w:ilvl w:val="0"/>
                <w:numId w:val="0"/>
              </w:numPr>
              <w:suppressLineNumbers w:val="0"/>
              <w:adjustRightInd w:val="0"/>
              <w:snapToGrid w:val="0"/>
              <w:spacing w:before="0" w:beforeAutospacing="0" w:after="0" w:afterAutospacing="0" w:line="240" w:lineRule="auto"/>
              <w:ind w:right="0" w:rightChars="0"/>
              <w:rPr>
                <w:rFonts w:hint="eastAsia" w:ascii="宋体" w:hAnsi="宋体" w:eastAsia="宋体" w:cs="宋体"/>
                <w:b w:val="0"/>
                <w:bC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提供服务响应时间相关证明材料或承诺函（格式自拟），未按要求提供证明文件的不得分。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610" w:hRule="atLeast"/>
          <w:jc w:val="center"/>
        </w:trPr>
        <w:tc>
          <w:tcPr>
            <w:tcW w:w="747" w:type="dxa"/>
            <w:vMerge w:val="restart"/>
            <w:vAlign w:val="center"/>
          </w:tcPr>
          <w:p>
            <w:pPr>
              <w:autoSpaceDE w:val="0"/>
              <w:autoSpaceDN w:val="0"/>
              <w:adjustRightInd w:val="0"/>
              <w:spacing w:line="360" w:lineRule="exact"/>
              <w:ind w:firstLine="210" w:firstLineChars="100"/>
              <w:rPr>
                <w:rFonts w:ascii="宋体" w:hAnsi="宋体"/>
                <w:color w:val="auto"/>
                <w:kern w:val="0"/>
                <w:szCs w:val="21"/>
              </w:rPr>
            </w:pPr>
            <w:r>
              <w:rPr>
                <w:rFonts w:hint="eastAsia" w:ascii="宋体" w:hAnsi="宋体"/>
                <w:color w:val="auto"/>
                <w:kern w:val="0"/>
                <w:szCs w:val="21"/>
              </w:rPr>
              <w:t>二</w:t>
            </w:r>
          </w:p>
        </w:tc>
        <w:tc>
          <w:tcPr>
            <w:tcW w:w="973" w:type="dxa"/>
            <w:vMerge w:val="restart"/>
            <w:vAlign w:val="center"/>
          </w:tcPr>
          <w:p>
            <w:pPr>
              <w:autoSpaceDE w:val="0"/>
              <w:autoSpaceDN w:val="0"/>
              <w:adjustRightInd w:val="0"/>
              <w:spacing w:line="360" w:lineRule="exact"/>
              <w:jc w:val="left"/>
              <w:rPr>
                <w:rFonts w:ascii="宋体" w:hAnsi="宋体"/>
                <w:color w:val="auto"/>
                <w:kern w:val="0"/>
                <w:szCs w:val="21"/>
              </w:rPr>
            </w:pPr>
          </w:p>
          <w:p>
            <w:pPr>
              <w:autoSpaceDE w:val="0"/>
              <w:autoSpaceDN w:val="0"/>
              <w:adjustRightInd w:val="0"/>
              <w:spacing w:line="360" w:lineRule="exact"/>
              <w:jc w:val="left"/>
              <w:rPr>
                <w:rFonts w:ascii="宋体" w:hAnsi="宋体"/>
                <w:color w:val="auto"/>
                <w:kern w:val="0"/>
                <w:szCs w:val="21"/>
              </w:rPr>
            </w:pPr>
          </w:p>
          <w:p>
            <w:pPr>
              <w:autoSpaceDE w:val="0"/>
              <w:autoSpaceDN w:val="0"/>
              <w:adjustRightInd w:val="0"/>
              <w:spacing w:line="360" w:lineRule="exact"/>
              <w:jc w:val="left"/>
              <w:rPr>
                <w:rFonts w:ascii="宋体" w:hAnsi="宋体"/>
                <w:color w:val="auto"/>
                <w:kern w:val="0"/>
                <w:szCs w:val="21"/>
              </w:rPr>
            </w:pPr>
            <w:r>
              <w:rPr>
                <w:rFonts w:hint="eastAsia" w:ascii="宋体" w:hAnsi="宋体"/>
                <w:color w:val="auto"/>
                <w:kern w:val="0"/>
                <w:szCs w:val="21"/>
              </w:rPr>
              <w:t>商务部分</w:t>
            </w:r>
          </w:p>
        </w:tc>
        <w:tc>
          <w:tcPr>
            <w:tcW w:w="161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right="0"/>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团队成员情况</w:t>
            </w:r>
          </w:p>
        </w:tc>
        <w:tc>
          <w:tcPr>
            <w:tcW w:w="784"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210" w:firstLineChars="100"/>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w:t>
            </w:r>
          </w:p>
        </w:tc>
        <w:tc>
          <w:tcPr>
            <w:tcW w:w="556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（一）评审内容：</w:t>
            </w:r>
          </w:p>
          <w:p>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每台车配备1名符合要求的固定驾驶员及1名搬运人员，符合得2.5分，不满足不得分。</w:t>
            </w:r>
          </w:p>
          <w:p>
            <w:pPr>
              <w:keepNext w:val="0"/>
              <w:keepLines w:val="0"/>
              <w:suppressLineNumbers w:val="0"/>
              <w:adjustRightInd w:val="0"/>
              <w:snapToGrid w:val="0"/>
              <w:spacing w:before="0" w:beforeAutospacing="0" w:after="0" w:afterAutospacing="0" w:line="240" w:lineRule="auto"/>
              <w:ind w:left="0" w:right="0"/>
              <w:rPr>
                <w:rFonts w:hint="default"/>
                <w:lang w:val="en-US" w:eastAsia="zh-CN"/>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2.另配备至少1名符合要求的备用驾驶员（具备A1驾照），符合得2.5分，不满足不得分。</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（二）评审依据：</w:t>
            </w:r>
          </w:p>
          <w:p>
            <w:pPr>
              <w:jc w:val="left"/>
              <w:rPr>
                <w:rFonts w:hint="eastAsia" w:ascii="宋体" w:hAnsi="宋体" w:eastAsia="宋体"/>
                <w:szCs w:val="21"/>
                <w:lang w:eastAsia="zh-CN"/>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szCs w:val="21"/>
              </w:rPr>
              <w:t>. 提供项目负责人通过投标单位缴纳的载有社保部门或税务部门公章</w:t>
            </w:r>
            <w:r>
              <w:rPr>
                <w:rFonts w:hint="eastAsia" w:ascii="宋体" w:hAnsi="宋体"/>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Pr>
                <w:rFonts w:hint="eastAsia" w:ascii="宋体" w:hAnsi="宋体"/>
                <w:bCs/>
                <w:szCs w:val="21"/>
                <w:lang w:eastAsia="zh-CN"/>
              </w:rPr>
              <w:t>；</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2.驾驶经验要求提供劳动合同，若劳动合同不体现工作内容，还须同时提供劳动合同甲方出具的证明文件；</w:t>
            </w:r>
          </w:p>
          <w:p>
            <w:pPr>
              <w:keepNext w:val="0"/>
              <w:keepLines w:val="0"/>
              <w:suppressLineNumbers w:val="0"/>
              <w:adjustRightInd w:val="0"/>
              <w:snapToGrid w:val="0"/>
              <w:spacing w:before="0" w:beforeAutospacing="0" w:after="0" w:afterAutospacing="0" w:line="240" w:lineRule="auto"/>
              <w:ind w:left="0" w:right="0"/>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3.以上文件原件备查。未按要求提供或提供不清晰导致无法识别的不得分。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164" w:hRule="atLeast"/>
          <w:jc w:val="center"/>
        </w:trPr>
        <w:tc>
          <w:tcPr>
            <w:tcW w:w="747" w:type="dxa"/>
            <w:vMerge w:val="continue"/>
            <w:vAlign w:val="center"/>
          </w:tcPr>
          <w:p>
            <w:pPr>
              <w:autoSpaceDE w:val="0"/>
              <w:autoSpaceDN w:val="0"/>
              <w:adjustRightInd w:val="0"/>
              <w:spacing w:line="360" w:lineRule="exact"/>
              <w:ind w:firstLine="210" w:firstLineChars="100"/>
              <w:jc w:val="center"/>
              <w:rPr>
                <w:rFonts w:ascii="宋体" w:hAnsi="宋体"/>
                <w:color w:val="auto"/>
                <w:kern w:val="0"/>
                <w:szCs w:val="21"/>
              </w:rPr>
            </w:pPr>
          </w:p>
        </w:tc>
        <w:tc>
          <w:tcPr>
            <w:tcW w:w="973" w:type="dxa"/>
            <w:vMerge w:val="continue"/>
            <w:vAlign w:val="center"/>
          </w:tcPr>
          <w:p>
            <w:pPr>
              <w:autoSpaceDE w:val="0"/>
              <w:autoSpaceDN w:val="0"/>
              <w:adjustRightInd w:val="0"/>
              <w:spacing w:line="360" w:lineRule="exact"/>
              <w:jc w:val="left"/>
              <w:rPr>
                <w:rFonts w:ascii="宋体" w:hAnsi="宋体"/>
                <w:color w:val="auto"/>
                <w:kern w:val="0"/>
                <w:szCs w:val="21"/>
              </w:rPr>
            </w:pPr>
          </w:p>
        </w:tc>
        <w:tc>
          <w:tcPr>
            <w:tcW w:w="1611" w:type="dxa"/>
            <w:vAlign w:val="center"/>
          </w:tcPr>
          <w:p>
            <w:pPr>
              <w:keepNext w:val="0"/>
              <w:keepLines w:val="0"/>
              <w:suppressLineNumbers w:val="0"/>
              <w:adjustRightInd w:val="0"/>
              <w:snapToGrid w:val="0"/>
              <w:spacing w:before="0" w:beforeAutospacing="0" w:after="0" w:afterAutospacing="0" w:line="240" w:lineRule="auto"/>
              <w:ind w:left="0" w:right="0" w:firstLine="210" w:firstLineChars="10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同类业绩</w:t>
            </w:r>
          </w:p>
        </w:tc>
        <w:tc>
          <w:tcPr>
            <w:tcW w:w="784" w:type="dxa"/>
            <w:vAlign w:val="center"/>
          </w:tcPr>
          <w:p>
            <w:pPr>
              <w:keepNext w:val="0"/>
              <w:keepLines w:val="0"/>
              <w:suppressLineNumbers w:val="0"/>
              <w:adjustRightInd w:val="0"/>
              <w:snapToGrid w:val="0"/>
              <w:spacing w:before="0" w:beforeAutospacing="0" w:after="0" w:afterAutospacing="0" w:line="240" w:lineRule="auto"/>
              <w:ind w:left="0" w:right="0" w:firstLine="210" w:firstLineChars="100"/>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6</w:t>
            </w:r>
          </w:p>
        </w:tc>
        <w:tc>
          <w:tcPr>
            <w:tcW w:w="5561" w:type="dxa"/>
            <w:vAlign w:val="center"/>
          </w:tcPr>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（一）评审内容：</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投标人自2022年1月1日至本项目投标截止时间（以合同签订日期为准）：每提供一份同类项目业绩的得1.5分，最高得6分。（长期合同一年一签按一份计算业绩）</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（二）评审依据：</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1.同时提供：</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（1）中标（成交）通知书扫描件； </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（2）合同关键页扫描件（包括但不限于：合同服务期限、合同甲乙双方页、合同签署日期、服务内容）</w:t>
            </w:r>
          </w:p>
          <w:p>
            <w:pPr>
              <w:keepNext w:val="0"/>
              <w:keepLines w:val="0"/>
              <w:suppressLineNumbers w:val="0"/>
              <w:adjustRightInd w:val="0"/>
              <w:snapToGrid w:val="0"/>
              <w:spacing w:before="0" w:beforeAutospacing="0" w:after="0" w:afterAutospacing="0" w:line="240" w:lineRule="auto"/>
              <w:ind w:left="0" w:right="0"/>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2.以上文件原件备查。未按要求提供或提供不清晰导致无法识别的不得分。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719" w:hRule="atLeast"/>
          <w:jc w:val="center"/>
        </w:trPr>
        <w:tc>
          <w:tcPr>
            <w:tcW w:w="747" w:type="dxa"/>
            <w:vMerge w:val="continue"/>
            <w:vAlign w:val="center"/>
          </w:tcPr>
          <w:p>
            <w:pPr>
              <w:widowControl/>
              <w:jc w:val="center"/>
              <w:rPr>
                <w:rFonts w:ascii="宋体" w:hAnsi="宋体" w:cs="Arial"/>
                <w:color w:val="auto"/>
                <w:kern w:val="0"/>
                <w:szCs w:val="21"/>
              </w:rPr>
            </w:pPr>
          </w:p>
        </w:tc>
        <w:tc>
          <w:tcPr>
            <w:tcW w:w="973" w:type="dxa"/>
            <w:vMerge w:val="continue"/>
            <w:vAlign w:val="center"/>
          </w:tcPr>
          <w:p>
            <w:pPr>
              <w:widowControl/>
              <w:jc w:val="left"/>
              <w:rPr>
                <w:rFonts w:ascii="宋体" w:hAnsi="宋体" w:cs="Arial"/>
                <w:color w:val="auto"/>
                <w:kern w:val="0"/>
                <w:szCs w:val="21"/>
              </w:rPr>
            </w:pPr>
          </w:p>
        </w:tc>
        <w:tc>
          <w:tcPr>
            <w:tcW w:w="1611" w:type="dxa"/>
            <w:vAlign w:val="center"/>
          </w:tcPr>
          <w:p>
            <w:pPr>
              <w:spacing w:line="360" w:lineRule="exact"/>
              <w:jc w:val="center"/>
              <w:rPr>
                <w:rFonts w:hint="eastAsia" w:ascii="宋体" w:hAnsi="宋体" w:cs="Arial" w:eastAsiaTheme="minorEastAsia"/>
                <w:color w:val="auto"/>
                <w:kern w:val="0"/>
                <w:sz w:val="21"/>
                <w:szCs w:val="21"/>
                <w:lang w:val="en-US" w:eastAsia="zh-CN" w:bidi="ar-SA"/>
              </w:rPr>
            </w:pPr>
            <w:r>
              <w:rPr>
                <w:rFonts w:hint="eastAsia" w:ascii="宋体" w:hAnsi="宋体" w:cs="仿宋"/>
                <w:color w:val="auto"/>
                <w:szCs w:val="21"/>
              </w:rPr>
              <w:t>诚信评审</w:t>
            </w:r>
          </w:p>
        </w:tc>
        <w:tc>
          <w:tcPr>
            <w:tcW w:w="784" w:type="dxa"/>
            <w:vAlign w:val="center"/>
          </w:tcPr>
          <w:p>
            <w:pPr>
              <w:spacing w:line="360" w:lineRule="exact"/>
              <w:jc w:val="center"/>
              <w:rPr>
                <w:rFonts w:hint="default" w:ascii="宋体" w:hAnsi="宋体" w:cs="Arial" w:eastAsiaTheme="minorEastAsia"/>
                <w:color w:val="auto"/>
                <w:kern w:val="0"/>
                <w:sz w:val="21"/>
                <w:szCs w:val="21"/>
                <w:lang w:val="en-US" w:eastAsia="zh-CN" w:bidi="ar-SA"/>
              </w:rPr>
            </w:pPr>
            <w:r>
              <w:rPr>
                <w:rFonts w:hint="eastAsia" w:ascii="宋体" w:hAnsi="宋体" w:cs="Arial"/>
                <w:color w:val="auto"/>
                <w:kern w:val="0"/>
                <w:szCs w:val="21"/>
                <w:lang w:val="en-US" w:eastAsia="zh-CN"/>
              </w:rPr>
              <w:t>3</w:t>
            </w:r>
          </w:p>
        </w:tc>
        <w:tc>
          <w:tcPr>
            <w:tcW w:w="5561" w:type="dxa"/>
            <w:vAlign w:val="center"/>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val="0"/>
                <w:bCs/>
                <w:color w:val="auto"/>
                <w:spacing w:val="0"/>
                <w:position w:val="0"/>
                <w:sz w:val="21"/>
                <w:highlight w:val="none"/>
                <w:shd w:val="clear" w:fill="auto"/>
                <w:lang w:eastAsia="zh-CN"/>
              </w:rPr>
              <w:t>评</w:t>
            </w:r>
            <w:r>
              <w:rPr>
                <w:rFonts w:hint="eastAsia" w:ascii="宋体" w:hAnsi="宋体" w:eastAsia="宋体" w:cs="宋体"/>
                <w:b w:val="0"/>
                <w:bCs/>
                <w:color w:val="auto"/>
                <w:spacing w:val="0"/>
                <w:position w:val="0"/>
                <w:sz w:val="21"/>
                <w:highlight w:val="none"/>
                <w:shd w:val="clear" w:fill="auto"/>
                <w:lang w:val="en-US" w:eastAsia="zh-CN"/>
              </w:rPr>
              <w:t>审</w:t>
            </w:r>
            <w:r>
              <w:rPr>
                <w:rFonts w:hint="eastAsia" w:ascii="宋体" w:hAnsi="宋体" w:eastAsia="宋体" w:cs="宋体"/>
                <w:b w:val="0"/>
                <w:bCs/>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eastAsia="宋体" w:cs="Calibri"/>
                <w:color w:val="auto"/>
                <w:spacing w:val="0"/>
                <w:position w:val="0"/>
                <w:sz w:val="21"/>
                <w:highlight w:val="none"/>
                <w:shd w:val="clear" w:fill="auto"/>
                <w:lang w:val="en-US" w:eastAsia="zh-CN"/>
              </w:rPr>
              <w:t>3</w:t>
            </w:r>
            <w:r>
              <w:rPr>
                <w:rFonts w:ascii="Calibri" w:hAnsi="Calibri" w:eastAsia="Calibri" w:cs="Calibri"/>
                <w:color w:val="auto"/>
                <w:spacing w:val="0"/>
                <w:position w:val="0"/>
                <w:sz w:val="21"/>
                <w:highlight w:val="none"/>
                <w:shd w:val="clear" w:fill="auto"/>
              </w:rPr>
              <w:t>分。</w:t>
            </w:r>
            <w:r>
              <w:br w:type="textWrapping"/>
            </w:r>
            <w:r>
              <w:rPr>
                <w:rFonts w:hint="eastAsia"/>
                <w:b w:val="0"/>
                <w:bCs w:val="0"/>
                <w:lang w:eastAsia="zh-CN"/>
              </w:rPr>
              <w:t>（</w:t>
            </w:r>
            <w:r>
              <w:rPr>
                <w:rFonts w:hint="eastAsia"/>
                <w:b w:val="0"/>
                <w:bCs w:val="0"/>
                <w:lang w:val="en-US" w:eastAsia="zh-CN"/>
              </w:rPr>
              <w:t>二</w:t>
            </w:r>
            <w:r>
              <w:rPr>
                <w:rFonts w:hint="eastAsia"/>
                <w:b w:val="0"/>
                <w:bCs w:val="0"/>
                <w:lang w:eastAsia="zh-CN"/>
              </w:rPr>
              <w:t>）</w:t>
            </w:r>
            <w:r>
              <w:rPr>
                <w:rFonts w:hint="eastAsia" w:ascii="宋体" w:hAnsi="宋体" w:eastAsia="宋体" w:cs="宋体"/>
                <w:b w:val="0"/>
                <w:bCs w:val="0"/>
                <w:color w:val="auto"/>
                <w:spacing w:val="0"/>
                <w:position w:val="0"/>
                <w:sz w:val="21"/>
                <w:highlight w:val="none"/>
                <w:shd w:val="clear" w:fill="auto"/>
                <w:lang w:eastAsia="zh-CN"/>
              </w:rPr>
              <w:t>评</w:t>
            </w:r>
            <w:r>
              <w:rPr>
                <w:rFonts w:hint="eastAsia" w:ascii="宋体" w:hAnsi="宋体" w:eastAsia="宋体" w:cs="宋体"/>
                <w:b w:val="0"/>
                <w:bCs w:val="0"/>
                <w:color w:val="auto"/>
                <w:spacing w:val="0"/>
                <w:position w:val="0"/>
                <w:sz w:val="21"/>
                <w:highlight w:val="none"/>
                <w:shd w:val="clear" w:fill="auto"/>
                <w:lang w:val="en-US" w:eastAsia="zh-CN"/>
              </w:rPr>
              <w:t>审</w:t>
            </w:r>
            <w:r>
              <w:rPr>
                <w:rFonts w:hint="eastAsia" w:ascii="宋体" w:hAnsi="宋体" w:eastAsia="宋体" w:cs="宋体"/>
                <w:b w:val="0"/>
                <w:bCs w:val="0"/>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tabs>
                <w:tab w:val="left" w:pos="175"/>
              </w:tabs>
              <w:spacing w:line="360" w:lineRule="exact"/>
              <w:ind w:left="33" w:leftChars="0"/>
              <w:jc w:val="left"/>
              <w:rPr>
                <w:rFonts w:ascii="宋体" w:hAnsi="宋体" w:cs="Arial" w:eastAsiaTheme="minorEastAsia"/>
                <w:color w:val="auto"/>
                <w:kern w:val="0"/>
                <w:sz w:val="21"/>
                <w:szCs w:val="21"/>
                <w:lang w:val="en-US" w:eastAsia="zh-CN" w:bidi="ar-SA"/>
              </w:rPr>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881" w:hRule="atLeast"/>
          <w:jc w:val="center"/>
        </w:trPr>
        <w:tc>
          <w:tcPr>
            <w:tcW w:w="747" w:type="dxa"/>
            <w:vAlign w:val="center"/>
          </w:tcPr>
          <w:p>
            <w:pPr>
              <w:widowControl/>
              <w:jc w:val="center"/>
              <w:rPr>
                <w:rFonts w:ascii="宋体" w:hAnsi="宋体" w:cs="Arial"/>
                <w:color w:val="auto"/>
                <w:kern w:val="0"/>
                <w:szCs w:val="21"/>
              </w:rPr>
            </w:pPr>
            <w:r>
              <w:rPr>
                <w:rFonts w:hint="eastAsia" w:ascii="宋体" w:hAnsi="宋体" w:cs="Arial"/>
                <w:color w:val="auto"/>
                <w:kern w:val="0"/>
                <w:szCs w:val="21"/>
              </w:rPr>
              <w:t>三</w:t>
            </w:r>
          </w:p>
        </w:tc>
        <w:tc>
          <w:tcPr>
            <w:tcW w:w="973" w:type="dxa"/>
            <w:vAlign w:val="center"/>
          </w:tcPr>
          <w:p>
            <w:pPr>
              <w:widowControl/>
              <w:jc w:val="left"/>
              <w:rPr>
                <w:rFonts w:ascii="宋体" w:hAnsi="宋体" w:cs="Arial"/>
                <w:color w:val="auto"/>
                <w:kern w:val="0"/>
                <w:szCs w:val="21"/>
              </w:rPr>
            </w:pPr>
            <w:r>
              <w:rPr>
                <w:rFonts w:hint="eastAsia" w:ascii="宋体" w:hAnsi="宋体" w:cs="Arial"/>
                <w:color w:val="auto"/>
                <w:kern w:val="0"/>
                <w:szCs w:val="21"/>
              </w:rPr>
              <w:t>价格部分（</w:t>
            </w:r>
            <w:r>
              <w:rPr>
                <w:rFonts w:hint="eastAsia" w:ascii="宋体" w:hAnsi="宋体" w:cs="Arial"/>
                <w:color w:val="auto"/>
                <w:kern w:val="0"/>
                <w:szCs w:val="21"/>
                <w:lang w:val="en-US" w:eastAsia="zh-CN"/>
              </w:rPr>
              <w:t>3</w:t>
            </w:r>
            <w:r>
              <w:rPr>
                <w:rFonts w:hint="eastAsia" w:ascii="宋体" w:hAnsi="宋体" w:cs="Arial"/>
                <w:color w:val="auto"/>
                <w:kern w:val="0"/>
                <w:szCs w:val="21"/>
              </w:rPr>
              <w:t>0）分</w:t>
            </w:r>
          </w:p>
        </w:tc>
        <w:tc>
          <w:tcPr>
            <w:tcW w:w="7956" w:type="dxa"/>
            <w:gridSpan w:val="3"/>
            <w:vAlign w:val="center"/>
          </w:tcPr>
          <w:p>
            <w:pPr>
              <w:widowControl/>
              <w:jc w:val="left"/>
              <w:rPr>
                <w:rFonts w:hint="default" w:ascii="宋体" w:hAnsi="宋体" w:cs="Arial" w:eastAsiaTheme="minorEastAsia"/>
                <w:color w:val="auto"/>
                <w:kern w:val="0"/>
                <w:szCs w:val="21"/>
                <w:lang w:val="en-US" w:eastAsia="zh-CN"/>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lang w:val="zh-CN"/>
              </w:rPr>
              <w:t>投标报价得分=(评标基准价／投标报价)×30</w:t>
            </w:r>
          </w:p>
        </w:tc>
      </w:tr>
    </w:tbl>
    <w:p>
      <w:pPr>
        <w:pStyle w:val="13"/>
        <w:rPr>
          <w:rFonts w:hint="eastAsia"/>
        </w:rPr>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2"/>
        <w:tblW w:w="47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7"/>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056" w:type="pct"/>
            <w:vAlign w:val="center"/>
          </w:tcPr>
          <w:p>
            <w:pPr>
              <w:pStyle w:val="13"/>
              <w:jc w:val="center"/>
              <w:rPr>
                <w:rFonts w:hint="eastAsia" w:hAnsi="宋体"/>
                <w:b/>
                <w:kern w:val="0"/>
              </w:rPr>
            </w:pPr>
            <w:r>
              <w:rPr>
                <w:rFonts w:hint="eastAsia" w:hAnsi="宋体"/>
                <w:b/>
                <w:kern w:val="0"/>
              </w:rPr>
              <w:t>采购项目名称</w:t>
            </w:r>
          </w:p>
        </w:tc>
        <w:tc>
          <w:tcPr>
            <w:tcW w:w="1943" w:type="pct"/>
            <w:vAlign w:val="center"/>
          </w:tcPr>
          <w:p>
            <w:pPr>
              <w:pStyle w:val="1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56" w:type="pct"/>
            <w:vAlign w:val="center"/>
          </w:tcPr>
          <w:p>
            <w:pPr>
              <w:widowControl/>
              <w:snapToGrid w:val="0"/>
              <w:ind w:left="0" w:leftChars="-260" w:right="-617" w:rightChars="-294" w:hanging="546" w:hangingChars="260"/>
              <w:contextualSpacing/>
              <w:jc w:val="center"/>
              <w:rPr>
                <w:rFonts w:hint="default" w:ascii="宋体" w:hAnsi="宋体" w:eastAsia="宋体" w:cs="Arial"/>
                <w:color w:val="000000"/>
                <w:kern w:val="0"/>
                <w:szCs w:val="21"/>
                <w:lang w:val="en-US" w:eastAsia="zh-CN"/>
              </w:rPr>
            </w:pPr>
            <w:r>
              <w:rPr>
                <w:rFonts w:hint="eastAsia" w:ascii="宋体" w:hAnsi="宋体" w:cs="宋体-18030"/>
                <w:bCs/>
                <w:color w:val="000000"/>
                <w:szCs w:val="21"/>
                <w:lang w:val="en-US" w:eastAsia="zh-CN"/>
              </w:rPr>
              <w:t>消毒供应室消毒配送服务</w:t>
            </w:r>
          </w:p>
        </w:tc>
        <w:tc>
          <w:tcPr>
            <w:tcW w:w="1943" w:type="pct"/>
            <w:vAlign w:val="center"/>
          </w:tcPr>
          <w:p>
            <w:pPr>
              <w:pStyle w:val="13"/>
              <w:jc w:val="center"/>
              <w:rPr>
                <w:rFonts w:hint="eastAsia" w:hAnsi="宋体"/>
                <w:bCs/>
                <w:kern w:val="0"/>
                <w:lang w:val="en-US" w:eastAsia="zh-CN"/>
              </w:rPr>
            </w:pPr>
            <w:r>
              <w:rPr>
                <w:rFonts w:hint="eastAsia" w:hAnsi="宋体"/>
                <w:bCs/>
                <w:kern w:val="0"/>
                <w:lang w:val="en-US" w:eastAsia="zh-CN"/>
              </w:rPr>
              <w:t>280000</w:t>
            </w:r>
          </w:p>
        </w:tc>
      </w:tr>
    </w:tbl>
    <w:p>
      <w:pPr>
        <w:pStyle w:val="1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4"/>
          <w:b/>
          <w:bCs/>
        </w:rPr>
      </w:pPr>
      <w:bookmarkStart w:id="3" w:name="_Toc178049979"/>
      <w:bookmarkStart w:id="4" w:name="_Toc480449081"/>
      <w:bookmarkStart w:id="5" w:name="_Toc450137347"/>
      <w:r>
        <w:rPr>
          <w:rStyle w:val="34"/>
          <w:rFonts w:hint="eastAsia"/>
          <w:b/>
          <w:bCs/>
        </w:rPr>
        <w:t>（一）项目概况</w:t>
      </w:r>
    </w:p>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因消毒供应室搬迁至建安院区，我院需采购配送服务，用于在院本部以及消毒供应室之间配送物品。</w:t>
      </w:r>
    </w:p>
    <w:p>
      <w:pPr>
        <w:widowControl/>
        <w:snapToGrid w:val="0"/>
        <w:ind w:left="86" w:leftChars="41" w:right="-617" w:rightChars="-294" w:firstLine="86" w:firstLineChars="41"/>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不超过120元/次，总预算不超过28万元。</w:t>
      </w:r>
    </w:p>
    <w:p>
      <w:pPr>
        <w:pStyle w:val="6"/>
        <w:ind w:firstLine="0"/>
        <w:rPr>
          <w:rStyle w:val="34"/>
          <w:rFonts w:hint="eastAsia" w:ascii="Times New Roman" w:hAnsi="Times New Roman" w:eastAsia="宋体" w:cs="Times New Roman"/>
          <w:b/>
          <w:bCs/>
        </w:rPr>
      </w:pPr>
      <w:r>
        <w:rPr>
          <w:rStyle w:val="34"/>
          <w:rFonts w:hint="eastAsia" w:ascii="Times New Roman" w:hAnsi="Times New Roman" w:eastAsia="宋体" w:cs="Times New Roman"/>
          <w:b/>
          <w:bCs/>
          <w:lang w:eastAsia="zh-CN"/>
        </w:rPr>
        <w:t>（</w:t>
      </w:r>
      <w:r>
        <w:rPr>
          <w:rStyle w:val="34"/>
          <w:rFonts w:hint="eastAsia" w:ascii="Times New Roman" w:hAnsi="Times New Roman" w:eastAsia="宋体" w:cs="Times New Roman"/>
          <w:b/>
          <w:bCs/>
          <w:lang w:val="en-US" w:eastAsia="zh-CN"/>
        </w:rPr>
        <w:t>二</w:t>
      </w:r>
      <w:r>
        <w:rPr>
          <w:rStyle w:val="34"/>
          <w:rFonts w:hint="eastAsia" w:ascii="Times New Roman" w:hAnsi="Times New Roman" w:eastAsia="宋体" w:cs="Times New Roman"/>
          <w:b/>
          <w:bCs/>
          <w:lang w:eastAsia="zh-CN"/>
        </w:rPr>
        <w:t>）</w:t>
      </w:r>
      <w:r>
        <w:rPr>
          <w:rStyle w:val="34"/>
          <w:rFonts w:hint="eastAsia" w:ascii="Times New Roman" w:hAnsi="Times New Roman" w:eastAsia="宋体" w:cs="Times New Roman"/>
          <w:b/>
          <w:bCs/>
          <w:lang w:val="en-US" w:eastAsia="zh-CN"/>
        </w:rPr>
        <w:t>服务线路和时刻表</w:t>
      </w:r>
    </w:p>
    <w:tbl>
      <w:tblPr>
        <w:tblStyle w:val="21"/>
        <w:tblW w:w="10311" w:type="dxa"/>
        <w:tblInd w:w="93" w:type="dxa"/>
        <w:tblLayout w:type="fixed"/>
        <w:tblCellMar>
          <w:top w:w="0" w:type="dxa"/>
          <w:left w:w="108" w:type="dxa"/>
          <w:bottom w:w="0" w:type="dxa"/>
          <w:right w:w="108" w:type="dxa"/>
        </w:tblCellMar>
      </w:tblPr>
      <w:tblGrid>
        <w:gridCol w:w="2121"/>
        <w:gridCol w:w="1605"/>
        <w:gridCol w:w="2520"/>
        <w:gridCol w:w="1530"/>
        <w:gridCol w:w="1290"/>
        <w:gridCol w:w="1245"/>
      </w:tblGrid>
      <w:tr>
        <w:tblPrEx>
          <w:tblCellMar>
            <w:top w:w="0" w:type="dxa"/>
            <w:left w:w="108" w:type="dxa"/>
            <w:bottom w:w="0" w:type="dxa"/>
            <w:right w:w="108" w:type="dxa"/>
          </w:tblCellMar>
        </w:tblPrEx>
        <w:trPr>
          <w:trHeight w:val="300" w:hRule="atLeast"/>
        </w:trPr>
        <w:tc>
          <w:tcPr>
            <w:tcW w:w="7776"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宋体" w:hAnsi="宋体" w:cs="宋体" w:eastAsiaTheme="minorEastAsia"/>
                <w:color w:val="auto"/>
                <w:kern w:val="0"/>
                <w:sz w:val="20"/>
                <w:szCs w:val="20"/>
                <w:lang w:val="en-US" w:eastAsia="zh-CN"/>
              </w:rPr>
            </w:pPr>
            <w:r>
              <w:rPr>
                <w:rFonts w:hint="eastAsia" w:ascii="宋体" w:hAnsi="宋体" w:cs="宋体"/>
                <w:color w:val="auto"/>
                <w:kern w:val="0"/>
                <w:sz w:val="20"/>
                <w:szCs w:val="20"/>
              </w:rPr>
              <w:t>工作时间</w:t>
            </w:r>
          </w:p>
        </w:tc>
        <w:tc>
          <w:tcPr>
            <w:tcW w:w="1290" w:type="dxa"/>
            <w:vMerge w:val="restart"/>
            <w:tcBorders>
              <w:top w:val="single" w:color="auto" w:sz="4"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单程费用（元）</w:t>
            </w:r>
          </w:p>
        </w:tc>
        <w:tc>
          <w:tcPr>
            <w:tcW w:w="1245" w:type="dxa"/>
            <w:tcBorders>
              <w:top w:val="single" w:color="auto" w:sz="4"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0"/>
                <w:szCs w:val="20"/>
              </w:rPr>
            </w:pPr>
          </w:p>
        </w:tc>
      </w:tr>
      <w:tr>
        <w:tblPrEx>
          <w:tblCellMar>
            <w:top w:w="0" w:type="dxa"/>
            <w:left w:w="108" w:type="dxa"/>
            <w:bottom w:w="0" w:type="dxa"/>
            <w:right w:w="108" w:type="dxa"/>
          </w:tblCellMar>
        </w:tblPrEx>
        <w:trPr>
          <w:trHeight w:val="300" w:hRule="atLeast"/>
        </w:trPr>
        <w:tc>
          <w:tcPr>
            <w:tcW w:w="372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0"/>
                <w:szCs w:val="20"/>
              </w:rPr>
            </w:pPr>
            <w:r>
              <w:rPr>
                <w:rFonts w:hint="eastAsia" w:ascii="宋体" w:hAnsi="宋体" w:cs="宋体"/>
                <w:color w:val="auto"/>
                <w:kern w:val="0"/>
                <w:sz w:val="20"/>
                <w:szCs w:val="20"/>
              </w:rPr>
              <w:t>出   发</w:t>
            </w:r>
          </w:p>
        </w:tc>
        <w:tc>
          <w:tcPr>
            <w:tcW w:w="4050"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20"/>
                <w:szCs w:val="20"/>
              </w:rPr>
            </w:pPr>
            <w:r>
              <w:rPr>
                <w:rFonts w:hint="eastAsia" w:ascii="宋体" w:hAnsi="宋体" w:cs="宋体"/>
                <w:color w:val="auto"/>
                <w:kern w:val="0"/>
                <w:sz w:val="20"/>
                <w:szCs w:val="20"/>
              </w:rPr>
              <w:t>抵   达</w:t>
            </w:r>
          </w:p>
        </w:tc>
        <w:tc>
          <w:tcPr>
            <w:tcW w:w="1290" w:type="dxa"/>
            <w:vMerge w:val="continue"/>
            <w:tcBorders>
              <w:left w:val="single" w:color="auto" w:sz="4" w:space="0"/>
              <w:right w:val="single" w:color="auto" w:sz="4" w:space="0"/>
            </w:tcBorders>
            <w:noWrap w:val="0"/>
            <w:vAlign w:val="center"/>
          </w:tcPr>
          <w:p>
            <w:pPr>
              <w:widowControl/>
              <w:jc w:val="center"/>
              <w:rPr>
                <w:rFonts w:hint="eastAsia" w:ascii="宋体" w:hAnsi="宋体" w:cs="宋体"/>
                <w:color w:val="auto"/>
                <w:kern w:val="0"/>
                <w:sz w:val="20"/>
                <w:szCs w:val="20"/>
              </w:rPr>
            </w:pPr>
          </w:p>
        </w:tc>
        <w:tc>
          <w:tcPr>
            <w:tcW w:w="1245" w:type="dxa"/>
            <w:tcBorders>
              <w:left w:val="single" w:color="auto" w:sz="4" w:space="0"/>
              <w:right w:val="single" w:color="auto" w:sz="4" w:space="0"/>
            </w:tcBorders>
            <w:noWrap w:val="0"/>
            <w:vAlign w:val="center"/>
          </w:tcPr>
          <w:p>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备注</w:t>
            </w:r>
          </w:p>
        </w:tc>
      </w:tr>
      <w:tr>
        <w:tblPrEx>
          <w:tblCellMar>
            <w:top w:w="0" w:type="dxa"/>
            <w:left w:w="108" w:type="dxa"/>
            <w:bottom w:w="0" w:type="dxa"/>
            <w:right w:w="108" w:type="dxa"/>
          </w:tblCellMar>
        </w:tblPrEx>
        <w:trPr>
          <w:trHeight w:val="297" w:hRule="atLeast"/>
        </w:trPr>
        <w:tc>
          <w:tcPr>
            <w:tcW w:w="212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0"/>
                <w:szCs w:val="20"/>
              </w:rPr>
            </w:pPr>
            <w:r>
              <w:rPr>
                <w:rFonts w:hint="eastAsia" w:ascii="宋体" w:hAnsi="宋体" w:cs="宋体"/>
                <w:color w:val="auto"/>
                <w:kern w:val="0"/>
                <w:sz w:val="20"/>
                <w:szCs w:val="20"/>
              </w:rPr>
              <w:t>地点</w:t>
            </w:r>
          </w:p>
        </w:tc>
        <w:tc>
          <w:tcPr>
            <w:tcW w:w="160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20"/>
                <w:szCs w:val="20"/>
              </w:rPr>
            </w:pPr>
            <w:r>
              <w:rPr>
                <w:rFonts w:hint="eastAsia" w:ascii="宋体" w:hAnsi="宋体" w:cs="宋体"/>
                <w:color w:val="auto"/>
                <w:kern w:val="0"/>
                <w:sz w:val="20"/>
                <w:szCs w:val="20"/>
              </w:rPr>
              <w:t>时间</w:t>
            </w:r>
          </w:p>
        </w:tc>
        <w:tc>
          <w:tcPr>
            <w:tcW w:w="252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20"/>
                <w:szCs w:val="20"/>
              </w:rPr>
            </w:pPr>
            <w:r>
              <w:rPr>
                <w:rFonts w:hint="eastAsia" w:ascii="宋体" w:hAnsi="宋体" w:cs="宋体"/>
                <w:color w:val="auto"/>
                <w:kern w:val="0"/>
                <w:sz w:val="20"/>
                <w:szCs w:val="20"/>
              </w:rPr>
              <w:t>地点</w:t>
            </w:r>
          </w:p>
        </w:tc>
        <w:tc>
          <w:tcPr>
            <w:tcW w:w="1530"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20"/>
                <w:szCs w:val="20"/>
              </w:rPr>
            </w:pPr>
            <w:r>
              <w:rPr>
                <w:rFonts w:hint="eastAsia" w:ascii="宋体" w:hAnsi="宋体" w:cs="宋体"/>
                <w:color w:val="auto"/>
                <w:kern w:val="0"/>
                <w:sz w:val="20"/>
                <w:szCs w:val="20"/>
              </w:rPr>
              <w:t>时间</w:t>
            </w:r>
          </w:p>
        </w:tc>
        <w:tc>
          <w:tcPr>
            <w:tcW w:w="1290"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20"/>
                <w:szCs w:val="20"/>
              </w:rPr>
            </w:pPr>
          </w:p>
        </w:tc>
        <w:tc>
          <w:tcPr>
            <w:tcW w:w="1245" w:type="dxa"/>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20"/>
                <w:szCs w:val="20"/>
              </w:rPr>
            </w:pPr>
          </w:p>
        </w:tc>
      </w:tr>
      <w:tr>
        <w:tblPrEx>
          <w:tblCellMar>
            <w:top w:w="0" w:type="dxa"/>
            <w:left w:w="108" w:type="dxa"/>
            <w:bottom w:w="0" w:type="dxa"/>
            <w:right w:w="108" w:type="dxa"/>
          </w:tblCellMar>
        </w:tblPrEx>
        <w:trPr>
          <w:trHeight w:val="300" w:hRule="atLeast"/>
        </w:trPr>
        <w:tc>
          <w:tcPr>
            <w:tcW w:w="212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建安院区</w:t>
            </w:r>
          </w:p>
        </w:tc>
        <w:tc>
          <w:tcPr>
            <w:tcW w:w="16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8:00 AM</w:t>
            </w:r>
          </w:p>
        </w:tc>
        <w:tc>
          <w:tcPr>
            <w:tcW w:w="2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集团一院临时发放点</w:t>
            </w:r>
          </w:p>
        </w:tc>
        <w:tc>
          <w:tcPr>
            <w:tcW w:w="15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9:00AM</w:t>
            </w:r>
          </w:p>
        </w:tc>
        <w:tc>
          <w:tcPr>
            <w:tcW w:w="12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120</w:t>
            </w:r>
          </w:p>
        </w:tc>
        <w:tc>
          <w:tcPr>
            <w:tcW w:w="1245" w:type="dxa"/>
            <w:vMerge w:val="restart"/>
            <w:tcBorders>
              <w:top w:val="nil"/>
              <w:left w:val="single" w:color="auto" w:sz="4" w:space="0"/>
              <w:right w:val="single" w:color="auto" w:sz="4" w:space="0"/>
            </w:tcBorders>
            <w:noWrap w:val="0"/>
            <w:vAlign w:val="center"/>
          </w:tcPr>
          <w:p>
            <w:pPr>
              <w:widowControl/>
              <w:jc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含停车、装卸时间</w:t>
            </w:r>
          </w:p>
        </w:tc>
      </w:tr>
      <w:tr>
        <w:tblPrEx>
          <w:tblCellMar>
            <w:top w:w="0" w:type="dxa"/>
            <w:left w:w="108" w:type="dxa"/>
            <w:bottom w:w="0" w:type="dxa"/>
            <w:right w:w="108" w:type="dxa"/>
          </w:tblCellMar>
        </w:tblPrEx>
        <w:trPr>
          <w:trHeight w:val="300" w:hRule="atLeast"/>
        </w:trPr>
        <w:tc>
          <w:tcPr>
            <w:tcW w:w="212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集团一院临时发放点</w:t>
            </w:r>
          </w:p>
        </w:tc>
        <w:tc>
          <w:tcPr>
            <w:tcW w:w="16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9:30AM</w:t>
            </w:r>
          </w:p>
        </w:tc>
        <w:tc>
          <w:tcPr>
            <w:tcW w:w="2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建安院区</w:t>
            </w:r>
          </w:p>
        </w:tc>
        <w:tc>
          <w:tcPr>
            <w:tcW w:w="15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10:30 PM</w:t>
            </w:r>
          </w:p>
        </w:tc>
        <w:tc>
          <w:tcPr>
            <w:tcW w:w="12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120</w:t>
            </w:r>
          </w:p>
        </w:tc>
        <w:tc>
          <w:tcPr>
            <w:tcW w:w="1245" w:type="dxa"/>
            <w:vMerge w:val="continue"/>
            <w:tcBorders>
              <w:left w:val="single" w:color="auto" w:sz="4" w:space="0"/>
              <w:right w:val="single" w:color="auto" w:sz="4" w:space="0"/>
            </w:tcBorders>
            <w:noWrap w:val="0"/>
            <w:vAlign w:val="center"/>
          </w:tcPr>
          <w:p>
            <w:pPr>
              <w:widowControl/>
              <w:jc w:val="left"/>
              <w:rPr>
                <w:rFonts w:hint="eastAsia" w:ascii="宋体" w:hAnsi="宋体" w:cs="宋体"/>
                <w:color w:val="auto"/>
                <w:kern w:val="0"/>
                <w:sz w:val="20"/>
                <w:szCs w:val="20"/>
                <w:lang w:val="en-US" w:eastAsia="zh-CN"/>
              </w:rPr>
            </w:pPr>
          </w:p>
        </w:tc>
      </w:tr>
      <w:tr>
        <w:tblPrEx>
          <w:tblCellMar>
            <w:top w:w="0" w:type="dxa"/>
            <w:left w:w="108" w:type="dxa"/>
            <w:bottom w:w="0" w:type="dxa"/>
            <w:right w:w="108" w:type="dxa"/>
          </w:tblCellMar>
        </w:tblPrEx>
        <w:trPr>
          <w:trHeight w:val="300" w:hRule="atLeast"/>
        </w:trPr>
        <w:tc>
          <w:tcPr>
            <w:tcW w:w="21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建安院区</w:t>
            </w:r>
          </w:p>
        </w:tc>
        <w:tc>
          <w:tcPr>
            <w:tcW w:w="16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14:30 PM</w:t>
            </w:r>
          </w:p>
        </w:tc>
        <w:tc>
          <w:tcPr>
            <w:tcW w:w="2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集团一院临时发放点</w:t>
            </w:r>
          </w:p>
        </w:tc>
        <w:tc>
          <w:tcPr>
            <w:tcW w:w="15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15:30PM</w:t>
            </w:r>
          </w:p>
        </w:tc>
        <w:tc>
          <w:tcPr>
            <w:tcW w:w="12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120</w:t>
            </w:r>
          </w:p>
        </w:tc>
        <w:tc>
          <w:tcPr>
            <w:tcW w:w="1245" w:type="dxa"/>
            <w:vMerge w:val="continue"/>
            <w:tcBorders>
              <w:left w:val="single" w:color="auto" w:sz="4" w:space="0"/>
              <w:right w:val="single" w:color="auto" w:sz="4" w:space="0"/>
            </w:tcBorders>
            <w:noWrap w:val="0"/>
            <w:vAlign w:val="center"/>
          </w:tcPr>
          <w:p>
            <w:pPr>
              <w:widowControl/>
              <w:jc w:val="left"/>
              <w:rPr>
                <w:rFonts w:hint="eastAsia" w:ascii="宋体" w:hAnsi="宋体" w:cs="宋体"/>
                <w:color w:val="auto"/>
                <w:kern w:val="0"/>
                <w:sz w:val="20"/>
                <w:szCs w:val="20"/>
                <w:lang w:val="en-US" w:eastAsia="zh-CN"/>
              </w:rPr>
            </w:pPr>
          </w:p>
        </w:tc>
      </w:tr>
      <w:tr>
        <w:tblPrEx>
          <w:tblCellMar>
            <w:top w:w="0" w:type="dxa"/>
            <w:left w:w="108" w:type="dxa"/>
            <w:bottom w:w="0" w:type="dxa"/>
            <w:right w:w="108" w:type="dxa"/>
          </w:tblCellMar>
        </w:tblPrEx>
        <w:trPr>
          <w:trHeight w:val="300" w:hRule="atLeast"/>
        </w:trPr>
        <w:tc>
          <w:tcPr>
            <w:tcW w:w="21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集团一院临时发放点</w:t>
            </w:r>
          </w:p>
        </w:tc>
        <w:tc>
          <w:tcPr>
            <w:tcW w:w="16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16:00 PM</w:t>
            </w:r>
          </w:p>
        </w:tc>
        <w:tc>
          <w:tcPr>
            <w:tcW w:w="2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建安院区</w:t>
            </w:r>
          </w:p>
        </w:tc>
        <w:tc>
          <w:tcPr>
            <w:tcW w:w="15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17:00 PM</w:t>
            </w:r>
          </w:p>
        </w:tc>
        <w:tc>
          <w:tcPr>
            <w:tcW w:w="129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0"/>
                <w:szCs w:val="20"/>
                <w:lang w:val="en-US" w:eastAsia="zh-CN"/>
              </w:rPr>
            </w:pPr>
            <w:r>
              <w:rPr>
                <w:rFonts w:hint="eastAsia" w:ascii="宋体" w:hAnsi="宋体" w:eastAsia="宋体" w:cs="宋体"/>
                <w:color w:val="auto"/>
                <w:kern w:val="0"/>
                <w:sz w:val="20"/>
                <w:szCs w:val="20"/>
                <w:lang w:val="en-US" w:eastAsia="zh-CN"/>
              </w:rPr>
              <w:t>120</w:t>
            </w:r>
          </w:p>
        </w:tc>
        <w:tc>
          <w:tcPr>
            <w:tcW w:w="1245"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auto"/>
                <w:kern w:val="0"/>
                <w:sz w:val="20"/>
                <w:szCs w:val="20"/>
                <w:lang w:val="en-US" w:eastAsia="zh-CN"/>
              </w:rPr>
            </w:pPr>
          </w:p>
        </w:tc>
      </w:tr>
    </w:tbl>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说明：（1）因运输到达时间受路况影响大，工作安排时间前后有15-30分钟误差；（2）服务时间会因</w:t>
      </w:r>
    </w:p>
    <w:p>
      <w:pPr>
        <w:widowControl/>
        <w:snapToGrid w:val="0"/>
        <w:ind w:left="84" w:leftChars="40" w:right="-617" w:rightChars="-294" w:firstLine="132" w:firstLineChars="63"/>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采购人实际工作进行调整，不全部按以上时间，有夜间工作运输，投标人需无条件服从采购人工作时间调配，</w:t>
      </w:r>
    </w:p>
    <w:p>
      <w:pPr>
        <w:widowControl/>
        <w:snapToGrid w:val="0"/>
        <w:ind w:left="84" w:leftChars="40" w:right="-617" w:rightChars="-294" w:firstLine="132" w:firstLineChars="63"/>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节假日运输时间会减少。</w:t>
      </w:r>
    </w:p>
    <w:p>
      <w:pPr>
        <w:pStyle w:val="49"/>
        <w:spacing w:before="0" w:after="0" w:line="240" w:lineRule="auto"/>
        <w:ind w:left="0" w:leftChars="0" w:firstLine="0" w:firstLineChars="0"/>
        <w:contextualSpacing/>
        <w:rPr>
          <w:rFonts w:hint="eastAsia"/>
          <w:b/>
          <w:color w:val="auto"/>
          <w:sz w:val="28"/>
          <w:szCs w:val="28"/>
          <w:lang w:val="en-US" w:eastAsia="zh-CN"/>
        </w:rPr>
      </w:pPr>
      <w:r>
        <w:rPr>
          <w:rFonts w:hint="eastAsia" w:ascii="宋体" w:hAnsi="宋体"/>
          <w:b/>
          <w:bCs/>
          <w:sz w:val="21"/>
          <w:szCs w:val="21"/>
        </w:rPr>
        <w:t>（</w:t>
      </w:r>
      <w:r>
        <w:rPr>
          <w:rFonts w:hint="eastAsia" w:ascii="宋体" w:hAnsi="宋体"/>
          <w:b/>
          <w:bCs/>
          <w:sz w:val="21"/>
          <w:szCs w:val="21"/>
          <w:lang w:val="en-US" w:eastAsia="zh-CN"/>
        </w:rPr>
        <w:t>三</w:t>
      </w:r>
      <w:r>
        <w:rPr>
          <w:rFonts w:hint="eastAsia" w:ascii="宋体" w:hAnsi="宋体"/>
          <w:b/>
          <w:bCs/>
          <w:sz w:val="21"/>
          <w:szCs w:val="21"/>
        </w:rPr>
        <w:t>）</w:t>
      </w:r>
      <w:r>
        <w:rPr>
          <w:rStyle w:val="34"/>
          <w:rFonts w:hint="eastAsia" w:ascii="Times New Roman" w:hAnsi="Times New Roman" w:eastAsia="宋体" w:cs="Times New Roman"/>
          <w:b/>
          <w:bCs/>
          <w:szCs w:val="20"/>
          <w:lang w:val="en-US" w:eastAsia="zh-CN" w:bidi="ar-SA"/>
        </w:rPr>
        <w:t>运输要求</w:t>
      </w:r>
    </w:p>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安全驾驶，每日按照“服务线路和时刻表”，进行消毒供应物品的收发工作，认真核对调度单，要求及时、</w:t>
      </w:r>
    </w:p>
    <w:p>
      <w:pPr>
        <w:widowControl/>
        <w:snapToGrid w:val="0"/>
        <w:ind w:left="210" w:leftChars="100" w:right="-617" w:rightChars="-294" w:firstLine="10" w:firstLineChars="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准确。在消毒中心处理突发事件时，同意配合院方临时调整运输线路和工作时间。运输过程中负责物品的</w:t>
      </w:r>
    </w:p>
    <w:p>
      <w:pPr>
        <w:widowControl/>
        <w:snapToGrid w:val="0"/>
        <w:ind w:left="216" w:leftChars="103" w:right="-617" w:rightChars="-294" w:firstLine="0" w:firstLineChars="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搬运和与客户的业务往来交接工作。在运输全过程中，确保洁污物品分仓放置，转运箱内物品密闭、完整，</w:t>
      </w:r>
    </w:p>
    <w:p>
      <w:pPr>
        <w:widowControl/>
        <w:snapToGrid w:val="0"/>
        <w:ind w:left="209" w:leftChars="95" w:right="-617" w:rightChars="-294" w:hanging="10" w:firstLineChars="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不能倾倒泄露，严禁混放。工作期间突发交通意外及时报告，投标人承诺对采购人的服务通知能0.5小时</w:t>
      </w:r>
    </w:p>
    <w:p>
      <w:pPr>
        <w:widowControl/>
        <w:snapToGrid w:val="0"/>
        <w:ind w:left="210" w:leftChars="100" w:right="-617" w:rightChars="-294" w:firstLine="10" w:firstLineChars="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内响应，在1小时内（含1小时）到达，确保运输工作正常完成。</w:t>
      </w:r>
    </w:p>
    <w:p>
      <w:pPr>
        <w:pStyle w:val="49"/>
        <w:spacing w:before="0" w:after="0" w:line="240" w:lineRule="auto"/>
        <w:ind w:left="0" w:leftChars="0" w:firstLine="0" w:firstLineChars="0"/>
        <w:contextualSpacing/>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（四）投入设施要求</w:t>
      </w:r>
    </w:p>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1.车辆数量：至少2台。</w:t>
      </w:r>
    </w:p>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2.车辆规格：小型箱式货车，额定人数3人，厢长大于3米（约放30个转运箱），每台车配备4-6辆</w:t>
      </w:r>
    </w:p>
    <w:p>
      <w:pPr>
        <w:widowControl/>
        <w:snapToGrid w:val="0"/>
        <w:ind w:left="84" w:leftChars="40" w:right="-617" w:rightChars="-294" w:firstLine="113" w:firstLineChars="54"/>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平板转运车，规格：洁物转运箱≥690*470*455MM，污物转运箱≥600*500*400MM。车辆需有升降板，车辆定</w:t>
      </w:r>
    </w:p>
    <w:p>
      <w:pPr>
        <w:widowControl/>
        <w:snapToGrid w:val="0"/>
        <w:ind w:left="84" w:leftChars="40" w:right="-617" w:rightChars="-294" w:firstLine="113" w:firstLineChars="54"/>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期保养，无故障车辆。工作期间突发车辆故障有应急车辆在30分钟就位，确保运输工作正常完成。</w:t>
      </w:r>
    </w:p>
    <w:p>
      <w:pPr>
        <w:widowControl/>
        <w:snapToGrid w:val="0"/>
        <w:ind w:left="84" w:leftChars="40" w:right="-617" w:rightChars="-294" w:firstLine="529" w:firstLineChars="252"/>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3.车辆按要求内部改装：人货分开，有实际屏障。货仓在1/3处横隔，分为洁污两区。人、洁、污3区</w:t>
      </w:r>
    </w:p>
    <w:p>
      <w:pPr>
        <w:widowControl/>
        <w:snapToGrid w:val="0"/>
        <w:ind w:left="84" w:leftChars="40" w:right="-617" w:rightChars="-294" w:firstLine="113" w:firstLineChars="54"/>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均不相通，独立开门。货仓的洁、污2区要求每趟运输工作结束按照要求清洗消毒，并记录。车内安装空气消</w:t>
      </w:r>
    </w:p>
    <w:p>
      <w:pPr>
        <w:widowControl/>
        <w:snapToGrid w:val="0"/>
        <w:ind w:left="84" w:leftChars="40" w:right="-617" w:rightChars="-294" w:firstLine="113" w:firstLineChars="54"/>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毒装置（如紫外线灯管），并有固定货物（转运箱）装置，防止货物在运输途中碰撞（损坏客户的转运箱）、</w:t>
      </w:r>
    </w:p>
    <w:p>
      <w:pPr>
        <w:widowControl/>
        <w:snapToGrid w:val="0"/>
        <w:ind w:left="84" w:leftChars="40" w:right="-617" w:rightChars="-294" w:firstLine="113" w:firstLineChars="54"/>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倾倒。</w:t>
      </w:r>
    </w:p>
    <w:p>
      <w:pPr>
        <w:widowControl/>
        <w:snapToGrid w:val="0"/>
        <w:ind w:left="84" w:leftChars="40" w:right="-617" w:rightChars="-294" w:firstLine="531" w:firstLineChars="252"/>
        <w:contextualSpacing/>
        <w:jc w:val="left"/>
        <w:rPr>
          <w:rFonts w:hint="eastAsia" w:ascii="宋体" w:hAnsi="宋体" w:eastAsia="宋体" w:cs="宋体-18030"/>
          <w:bCs/>
          <w:color w:val="000000"/>
          <w:szCs w:val="21"/>
          <w:lang w:val="en-US" w:eastAsia="zh-CN"/>
        </w:rPr>
      </w:pPr>
      <w:r>
        <w:rPr>
          <w:rFonts w:hint="eastAsia" w:ascii="宋体" w:hAnsi="宋体" w:cs="宋体"/>
          <w:b/>
          <w:kern w:val="0"/>
          <w:szCs w:val="21"/>
        </w:rPr>
        <w:t>★</w:t>
      </w:r>
      <w:r>
        <w:rPr>
          <w:rFonts w:hint="eastAsia" w:ascii="宋体" w:hAnsi="宋体" w:eastAsia="宋体" w:cs="宋体-18030"/>
          <w:bCs/>
          <w:color w:val="000000"/>
          <w:szCs w:val="21"/>
          <w:lang w:val="en-US" w:eastAsia="zh-CN"/>
        </w:rPr>
        <w:t>4.公司需具有道路运输经营许可证。</w:t>
      </w:r>
    </w:p>
    <w:p>
      <w:pPr>
        <w:widowControl/>
        <w:snapToGrid w:val="0"/>
        <w:ind w:left="84" w:leftChars="40" w:right="-617" w:rightChars="-294" w:firstLine="529" w:firstLineChars="252"/>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5.车辆有购置保险（商业险及交强险）。</w:t>
      </w:r>
    </w:p>
    <w:p>
      <w:pPr>
        <w:widowControl/>
        <w:snapToGrid w:val="0"/>
        <w:ind w:left="84" w:leftChars="40" w:right="-617" w:rightChars="-294" w:firstLine="529" w:firstLineChars="252"/>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6.车辆运行期间如发生交通事故由投标人承担全部损害赔偿责任，与采购人无关。</w:t>
      </w:r>
    </w:p>
    <w:p>
      <w:pPr>
        <w:widowControl/>
        <w:snapToGrid w:val="0"/>
        <w:ind w:left="84" w:leftChars="40" w:right="-617" w:rightChars="-294" w:firstLine="113" w:firstLineChars="54"/>
        <w:contextualSpacing/>
        <w:jc w:val="left"/>
        <w:rPr>
          <w:rFonts w:hint="default" w:ascii="宋体" w:hAnsi="宋体" w:eastAsia="宋体" w:cs="宋体-18030"/>
          <w:bCs/>
          <w:color w:val="000000"/>
          <w:szCs w:val="21"/>
          <w:lang w:val="en-US" w:eastAsia="zh-CN"/>
        </w:rPr>
      </w:pPr>
    </w:p>
    <w:p>
      <w:pPr>
        <w:pStyle w:val="49"/>
        <w:spacing w:before="0" w:after="0" w:line="240" w:lineRule="auto"/>
        <w:ind w:left="0" w:leftChars="0" w:firstLine="0" w:firstLineChars="0"/>
        <w:contextualSpacing/>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（四）其它服务要求</w:t>
      </w:r>
    </w:p>
    <w:p>
      <w:pPr>
        <w:widowControl/>
        <w:snapToGrid w:val="0"/>
        <w:ind w:left="86" w:leftChars="41" w:right="-617" w:rightChars="-294" w:firstLine="504" w:firstLineChars="240"/>
        <w:contextualSpacing/>
        <w:jc w:val="left"/>
        <w:rPr>
          <w:rFonts w:hint="eastAsia"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建立健全一系列安全生产制度、服务质量管理制度以及投诉处理机制，确保服务安全与质量得到有效保障，</w:t>
      </w:r>
    </w:p>
    <w:p>
      <w:pPr>
        <w:widowControl/>
        <w:snapToGrid w:val="0"/>
        <w:ind w:left="84" w:leftChars="40" w:right="-617" w:rightChars="-294" w:firstLine="132" w:firstLineChars="63"/>
        <w:contextualSpacing/>
        <w:jc w:val="left"/>
        <w:rPr>
          <w:rFonts w:hint="default"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及时响应并妥善处理各类反馈问题。</w:t>
      </w:r>
    </w:p>
    <w:p>
      <w:pPr>
        <w:widowControl/>
        <w:spacing w:before="90"/>
        <w:ind w:right="384" w:rightChars="183" w:firstLine="301" w:firstLineChars="100"/>
        <w:jc w:val="center"/>
        <w:rPr>
          <w:b/>
          <w:bCs/>
          <w:sz w:val="30"/>
          <w:szCs w:val="30"/>
        </w:rPr>
      </w:pPr>
      <w:r>
        <w:rPr>
          <w:rFonts w:hint="eastAsia"/>
          <w:b/>
          <w:bCs/>
          <w:sz w:val="30"/>
          <w:szCs w:val="30"/>
        </w:rPr>
        <w:t>三、实质性条款</w:t>
      </w:r>
    </w:p>
    <w:tbl>
      <w:tblPr>
        <w:tblStyle w:val="21"/>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12"/>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Cs w:val="21"/>
        </w:rPr>
      </w:pPr>
    </w:p>
    <w:p>
      <w:pPr>
        <w:pStyle w:val="6"/>
        <w:ind w:firstLine="0"/>
        <w:jc w:val="center"/>
        <w:rPr>
          <w:b/>
          <w:bCs/>
          <w:sz w:val="30"/>
          <w:szCs w:val="30"/>
        </w:rPr>
      </w:pPr>
      <w:r>
        <w:rPr>
          <w:rFonts w:hint="eastAsia"/>
          <w:b/>
          <w:bCs/>
          <w:sz w:val="30"/>
          <w:szCs w:val="30"/>
        </w:rPr>
        <w:t>四、商务条款要求</w:t>
      </w:r>
    </w:p>
    <w:bookmarkEnd w:id="3"/>
    <w:bookmarkEnd w:id="4"/>
    <w:bookmarkEnd w:id="5"/>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（一）服务期要求：</w:t>
      </w:r>
    </w:p>
    <w:p>
      <w:pPr>
        <w:numPr>
          <w:ilvl w:val="0"/>
          <w:numId w:val="0"/>
        </w:numPr>
        <w:snapToGrid w:val="0"/>
        <w:ind w:left="0" w:leftChars="0" w:firstLine="420" w:firstLineChars="200"/>
        <w:contextualSpacing/>
        <w:jc w:val="left"/>
        <w:rPr>
          <w:rFonts w:hint="eastAsia" w:ascii="宋体" w:hAnsi="宋体"/>
          <w:szCs w:val="21"/>
        </w:rPr>
      </w:pPr>
      <w:r>
        <w:rPr>
          <w:rFonts w:hint="eastAsia" w:ascii="宋体" w:hAnsi="宋体" w:eastAsia="宋体"/>
          <w:szCs w:val="21"/>
        </w:rPr>
        <w:t>自签订采购合同之日起一年。</w:t>
      </w:r>
      <w:r>
        <w:rPr>
          <w:rFonts w:hint="eastAsia" w:ascii="宋体" w:hAnsi="宋体"/>
          <w:szCs w:val="21"/>
        </w:rPr>
        <w:t>本项目服务期满后，采购单位保留续签的权利，可根据中标供应商履约情况确定合同期限是否延长，最长不超过三年，合同一年一签。</w:t>
      </w:r>
    </w:p>
    <w:p>
      <w:pPr>
        <w:numPr>
          <w:ilvl w:val="0"/>
          <w:numId w:val="0"/>
        </w:numPr>
        <w:snapToGrid w:val="0"/>
        <w:ind w:leftChars="0"/>
        <w:contextualSpacing/>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二</w:t>
      </w:r>
      <w:r>
        <w:rPr>
          <w:rFonts w:hint="eastAsia" w:ascii="宋体" w:hAnsi="宋体"/>
          <w:szCs w:val="21"/>
          <w:lang w:eastAsia="zh-CN"/>
        </w:rPr>
        <w:t>）</w:t>
      </w:r>
      <w:r>
        <w:rPr>
          <w:rFonts w:hint="eastAsia" w:ascii="宋体" w:hAnsi="宋体"/>
          <w:szCs w:val="21"/>
        </w:rPr>
        <w:t xml:space="preserve">服务地点： </w:t>
      </w:r>
    </w:p>
    <w:p>
      <w:pPr>
        <w:numPr>
          <w:ilvl w:val="0"/>
          <w:numId w:val="0"/>
        </w:numPr>
        <w:snapToGrid w:val="0"/>
        <w:ind w:leftChars="0" w:firstLine="420" w:firstLineChars="200"/>
        <w:contextualSpacing/>
        <w:jc w:val="left"/>
        <w:rPr>
          <w:rFonts w:hint="eastAsia" w:ascii="宋体" w:hAnsi="宋体"/>
          <w:szCs w:val="21"/>
        </w:rPr>
      </w:pPr>
      <w:r>
        <w:rPr>
          <w:rFonts w:hint="eastAsia" w:ascii="宋体" w:hAnsi="宋体" w:eastAsia="宋体" w:cs="Times New Roman"/>
          <w:szCs w:val="21"/>
        </w:rPr>
        <w:t>深圳市宝安区人民医院</w:t>
      </w:r>
      <w:r>
        <w:rPr>
          <w:rFonts w:hint="eastAsia" w:ascii="宋体" w:hAnsi="宋体" w:eastAsia="宋体" w:cs="Times New Roman"/>
          <w:szCs w:val="21"/>
          <w:lang w:val="en-US" w:eastAsia="zh-CN"/>
        </w:rPr>
        <w:t>以及宝安区人民医院建安院区</w:t>
      </w:r>
      <w:r>
        <w:rPr>
          <w:rFonts w:hint="eastAsia" w:ascii="宋体" w:hAnsi="宋体" w:eastAsia="宋体" w:cs="Times New Roman"/>
          <w:szCs w:val="21"/>
        </w:rPr>
        <w:t xml:space="preserve"> </w:t>
      </w:r>
      <w:r>
        <w:rPr>
          <w:rFonts w:hint="eastAsia" w:ascii="宋体" w:hAnsi="宋体"/>
          <w:szCs w:val="21"/>
        </w:rPr>
        <w:t xml:space="preserve"> </w:t>
      </w:r>
    </w:p>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（三）</w:t>
      </w:r>
      <w:r>
        <w:rPr>
          <w:rFonts w:hint="eastAsia" w:ascii="宋体" w:hAnsi="宋体"/>
          <w:szCs w:val="21"/>
          <w:lang w:val="en-US" w:eastAsia="zh-CN"/>
        </w:rPr>
        <w:t>人员</w:t>
      </w:r>
      <w:r>
        <w:rPr>
          <w:rFonts w:hint="eastAsia" w:ascii="宋体" w:hAnsi="宋体"/>
          <w:szCs w:val="21"/>
        </w:rPr>
        <w:t>要求：</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必须提供司机和搬运人员各1名，负责从两院区供应部清洁区及去污区将物品转运箱搬运车上进行运输，为保证搬运时间尽量加快，两人需有协助精神。接受院方相关消毒隔离知识培训，负责物品交接和搬运工作以及交接双方的相关信息传达；负责运输工具及箱的清洁消毒。</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每台车需配备1名固定驾驶员，驾驶员需具备A1驾照，五年以上（含）驾龄，驾驶技术良好的专职驾驶员。工作人员在工作时应准时、礼貌、服务热情、必须服从采购方人员的安排，并严格遵守交通法规。服务期内如工作人员未按服务内容要求提供服务的，采购方有权要求中标人立即更换工作人员。</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出租方配备的驾驶员年龄不超过55岁，长期从事驾驶工作，无影响驾驶的疾病，必须持有所驾车型中国驾驶执照及五年以上驾驶经验，驾驶经验要求提供劳动合同，若劳动合同不体现工作内容，还须同时提供劳动合同成交供应商出具的证明文件，未提供则投标无效。</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4.另外至少配备1名驾驶员（具备A1驾照）作为本项目备用驾驶员，原则上由固定驾驶员负责日常班车运行，确因特殊情况驾驶员需请假的，供应商须经采购人同意后，由备用驾驶员临时替换。</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无不良驾驶记录，3年内无重大以上交通责任事故，无重大事故及交通违章咨询，具有较强的安全意识｡合同服务期间，做好车辆的日常检查，遵守交通规则，不随意停车、停靠、接听电话，着装整洁，不吸烟，出租方司机如有不文明行车行为，承租方可要求出租方无条件更换司机｡</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6.我院可随时对未按服务内容要求提供服务的工作人员进行更换。</w:t>
      </w:r>
    </w:p>
    <w:p>
      <w:pPr>
        <w:numPr>
          <w:ilvl w:val="0"/>
          <w:numId w:val="0"/>
        </w:numPr>
        <w:snapToGrid w:val="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w:t>
      </w:r>
      <w:r>
        <w:rPr>
          <w:rFonts w:hint="eastAsia" w:ascii="宋体" w:hAnsi="宋体" w:cs="Times New Roman"/>
          <w:szCs w:val="21"/>
          <w:lang w:val="en-US" w:eastAsia="zh-CN"/>
        </w:rPr>
        <w:t>四</w:t>
      </w:r>
      <w:r>
        <w:rPr>
          <w:rFonts w:hint="eastAsia" w:ascii="宋体" w:hAnsi="宋体" w:eastAsia="宋体" w:cs="Times New Roman"/>
          <w:szCs w:val="21"/>
          <w:lang w:val="en-US" w:eastAsia="zh-CN"/>
        </w:rPr>
        <w:t>）售后及其他管理要求：</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采购人有权按季度对中标人进行考核，考核结果为“中”及以下的，采购人可对中标人进行约谈，并要求中标人在指定时限内提供整改方案并整改完毕；连续两个考核周期为“中”及以下的，采购人可终止服务合同，不承担违约责任，但需提前10日通知中标人。</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中标人应按合同约定或甲方指定的时间及地点，向采购人提供接送交通车服务，不得迟到。如果迟到20分钟或以上的次数达到3次，则自第3次起扣减当次车程10%费用。累计迟到10次或以上的，采购人有权解除合同，要求投标人支付合同期限内双方已发生交易金额20%的违约金，因此造成采购人损失的，中标人应予赔偿。</w:t>
      </w:r>
    </w:p>
    <w:p>
      <w:pPr>
        <w:numPr>
          <w:ilvl w:val="0"/>
          <w:numId w:val="0"/>
        </w:numPr>
        <w:snapToGrid w:val="0"/>
        <w:ind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3.在运输过程中发生器械丢失、损毁或污染导致无法使用的，中标人应按照采购人采购价承担赔偿责任。</w:t>
      </w:r>
    </w:p>
    <w:p>
      <w:pPr>
        <w:numPr>
          <w:ilvl w:val="0"/>
          <w:numId w:val="0"/>
        </w:numPr>
        <w:snapToGrid w:val="0"/>
        <w:contextualSpacing/>
        <w:jc w:val="left"/>
        <w:rPr>
          <w:rFonts w:hint="eastAsia" w:ascii="宋体" w:hAnsi="宋体"/>
          <w:szCs w:val="21"/>
          <w:lang w:val="en-US" w:eastAsia="zh-CN"/>
        </w:rPr>
      </w:pPr>
      <w:r>
        <w:rPr>
          <w:rFonts w:hint="eastAsia" w:ascii="宋体" w:hAnsi="宋体"/>
          <w:szCs w:val="21"/>
          <w:lang w:val="en-US" w:eastAsia="zh-CN"/>
        </w:rPr>
        <w:t>（五）报价要求：</w:t>
      </w:r>
    </w:p>
    <w:p>
      <w:pPr>
        <w:numPr>
          <w:ilvl w:val="0"/>
          <w:numId w:val="0"/>
        </w:numPr>
        <w:snapToGrid w:val="0"/>
        <w:ind w:leftChars="0" w:firstLine="420" w:firstLineChars="200"/>
        <w:contextualSpacing/>
        <w:jc w:val="left"/>
        <w:rPr>
          <w:rFonts w:hint="eastAsia" w:ascii="宋体" w:hAnsi="宋体"/>
          <w:szCs w:val="21"/>
          <w:lang w:val="en-US" w:eastAsia="zh-CN"/>
        </w:rPr>
      </w:pPr>
      <w:r>
        <w:rPr>
          <w:rFonts w:hint="eastAsia" w:ascii="宋体" w:hAnsi="宋体"/>
          <w:szCs w:val="21"/>
          <w:lang w:val="en-US" w:eastAsia="zh-CN"/>
        </w:rPr>
        <w:t>投标总价必须是完成该项目的一切费用总和，包括人工费、保险费、管理费、技术培训费、售后服务费、国家规定的各项税费等全部费用。</w:t>
      </w:r>
    </w:p>
    <w:p>
      <w:pPr>
        <w:numPr>
          <w:ilvl w:val="0"/>
          <w:numId w:val="0"/>
        </w:numPr>
        <w:snapToGrid w:val="0"/>
        <w:contextualSpacing/>
        <w:jc w:val="left"/>
        <w:rPr>
          <w:rFonts w:hint="eastAsia" w:ascii="宋体" w:hAnsi="宋体"/>
          <w:szCs w:val="21"/>
          <w:lang w:val="en-US" w:eastAsia="zh-CN"/>
        </w:rPr>
      </w:pPr>
      <w:r>
        <w:rPr>
          <w:rFonts w:hint="eastAsia" w:ascii="宋体" w:hAnsi="宋体"/>
          <w:szCs w:val="21"/>
          <w:lang w:val="en-US" w:eastAsia="zh-CN"/>
        </w:rPr>
        <w:t>（六）付款方式：</w:t>
      </w:r>
    </w:p>
    <w:p>
      <w:pPr>
        <w:pStyle w:val="13"/>
        <w:ind w:firstLine="420" w:firstLineChars="200"/>
        <w:rPr>
          <w:rFonts w:hint="default"/>
          <w:lang w:val="en-US" w:eastAsia="zh-CN"/>
        </w:rPr>
      </w:pPr>
      <w:r>
        <w:rPr>
          <w:rFonts w:hint="eastAsia" w:ascii="宋体" w:hAnsi="宋体" w:eastAsia="宋体" w:cs="Times New Roman"/>
          <w:szCs w:val="21"/>
          <w:lang w:val="en-US" w:eastAsia="zh-CN"/>
        </w:rPr>
        <w:t>本项目为总价招标，采购人应支付中标人的费用，按月结算，每月结算费用为：招标单价*服务次数。每月5日前，中标人提供采购人上月配送服务清单，经采购人核对无误后，中标人开具合法有效的全额发票，采购人在收到发票之日起30日前将上月服务费以银行转账方式支付给中标人。</w:t>
      </w:r>
    </w:p>
    <w:p>
      <w:r>
        <w:br w:type="page"/>
      </w:r>
    </w:p>
    <w:p>
      <w:pPr>
        <w:pStyle w:val="13"/>
      </w:pPr>
    </w:p>
    <w:p>
      <w:pPr>
        <w:pStyle w:val="13"/>
        <w:ind w:firstLine="420" w:firstLineChars="200"/>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10</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10</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7"/>
          <w:rFonts w:hint="eastAsia" w:eastAsia="宋体"/>
          <w:color w:val="000000"/>
        </w:rPr>
      </w:pPr>
    </w:p>
    <w:p>
      <w:pPr>
        <w:widowControl/>
        <w:spacing w:line="500" w:lineRule="exact"/>
        <w:ind w:firstLine="970" w:firstLineChars="345"/>
        <w:rPr>
          <w:rStyle w:val="27"/>
          <w:rFonts w:hint="eastAsia" w:eastAsia="宋体"/>
          <w:color w:val="000000"/>
          <w:szCs w:val="28"/>
          <w:u w:val="single"/>
        </w:rPr>
      </w:pPr>
      <w:r>
        <w:rPr>
          <w:rStyle w:val="27"/>
          <w:rFonts w:eastAsia="宋体"/>
          <w:color w:val="000000"/>
          <w:szCs w:val="28"/>
        </w:rPr>
        <w:t>项目名称:</w:t>
      </w:r>
      <w:r>
        <w:rPr>
          <w:rFonts w:hint="eastAsia" w:ascii="宋体" w:hAnsi="宋体" w:cs="宋体-18030"/>
          <w:color w:val="000000"/>
          <w:szCs w:val="21"/>
        </w:rPr>
        <w:t xml:space="preserve"> </w:t>
      </w:r>
      <w:r>
        <w:rPr>
          <w:rFonts w:hint="eastAsia" w:ascii="宋体" w:hAnsi="宋体" w:cs="宋体-18030"/>
          <w:b/>
          <w:bCs/>
          <w:color w:val="000000"/>
          <w:sz w:val="28"/>
          <w:szCs w:val="28"/>
          <w:u w:val="single"/>
        </w:rPr>
        <w:t xml:space="preserve">            </w:t>
      </w:r>
      <w:r>
        <w:rPr>
          <w:rFonts w:ascii="宋体" w:hAnsi="宋体" w:cs="宋体-18030"/>
          <w:b/>
          <w:bCs/>
          <w:color w:val="000000"/>
          <w:sz w:val="28"/>
          <w:szCs w:val="28"/>
          <w:u w:val="single"/>
        </w:rPr>
        <w:t xml:space="preserve"> </w:t>
      </w:r>
      <w:r>
        <w:rPr>
          <w:rStyle w:val="27"/>
          <w:rFonts w:eastAsia="宋体"/>
          <w:b w:val="0"/>
          <w:bCs w:val="0"/>
          <w:color w:val="000000"/>
          <w:szCs w:val="28"/>
          <w:u w:val="single"/>
        </w:rPr>
        <w:t xml:space="preserve"> </w:t>
      </w:r>
      <w:r>
        <w:rPr>
          <w:rStyle w:val="27"/>
          <w:rFonts w:eastAsia="宋体"/>
          <w:color w:val="000000"/>
          <w:szCs w:val="28"/>
          <w:u w:val="single"/>
        </w:rPr>
        <w:t xml:space="preserve"> </w:t>
      </w:r>
      <w:r>
        <w:rPr>
          <w:rStyle w:val="27"/>
          <w:rFonts w:hint="eastAsia"/>
          <w:color w:val="000000"/>
          <w:szCs w:val="28"/>
          <w:u w:val="single"/>
        </w:rPr>
        <w:t xml:space="preserve">    </w:t>
      </w:r>
    </w:p>
    <w:p>
      <w:pPr>
        <w:widowControl/>
        <w:spacing w:line="500" w:lineRule="exact"/>
        <w:ind w:firstLine="970" w:firstLineChars="345"/>
      </w:pPr>
      <w:r>
        <w:rPr>
          <w:rStyle w:val="27"/>
          <w:rFonts w:eastAsia="宋体"/>
          <w:color w:val="000000"/>
          <w:szCs w:val="28"/>
        </w:rPr>
        <w:t>投标单位:</w:t>
      </w:r>
      <w:r>
        <w:rPr>
          <w:rStyle w:val="27"/>
          <w:rFonts w:eastAsia="宋体"/>
          <w:color w:val="000000"/>
          <w:szCs w:val="28"/>
          <w:u w:val="single"/>
        </w:rPr>
        <w:t xml:space="preserve">                                 </w:t>
      </w:r>
      <w:r>
        <w:rPr>
          <w:rFonts w:hint="eastAsia"/>
        </w:rPr>
        <w:t xml:space="preserve"> </w:t>
      </w:r>
    </w:p>
    <w:p>
      <w:pPr>
        <w:widowControl/>
        <w:spacing w:line="500" w:lineRule="exact"/>
        <w:ind w:firstLine="567" w:firstLineChars="270"/>
        <w:rPr>
          <w:rStyle w:val="27"/>
          <w:rFonts w:hint="eastAsia" w:eastAsia="宋体"/>
          <w:color w:val="000000"/>
          <w:szCs w:val="28"/>
        </w:rPr>
      </w:pPr>
      <w:r>
        <w:rPr>
          <w:rFonts w:hint="eastAsia"/>
        </w:rPr>
        <w:t xml:space="preserve">  </w:t>
      </w:r>
      <w:r>
        <w:rPr>
          <w:rStyle w:val="27"/>
          <w:rFonts w:hint="eastAsia" w:eastAsia="宋体"/>
          <w:color w:val="000000"/>
          <w:szCs w:val="28"/>
        </w:rPr>
        <w:t xml:space="preserve"> </w:t>
      </w:r>
      <w:r>
        <w:rPr>
          <w:rStyle w:val="27"/>
          <w:rFonts w:eastAsia="宋体"/>
          <w:color w:val="000000"/>
          <w:szCs w:val="28"/>
        </w:rPr>
        <w:t>制造厂商</w:t>
      </w:r>
      <w:r>
        <w:rPr>
          <w:rStyle w:val="27"/>
          <w:rFonts w:hint="eastAsia" w:eastAsia="宋体"/>
          <w:color w:val="000000"/>
          <w:szCs w:val="28"/>
        </w:rPr>
        <w:t>：</w:t>
      </w:r>
      <w:r>
        <w:rPr>
          <w:rStyle w:val="27"/>
          <w:rFonts w:hint="eastAsia" w:eastAsia="宋体"/>
          <w:color w:val="000000"/>
          <w:szCs w:val="28"/>
          <w:u w:val="single"/>
        </w:rPr>
        <w:t xml:space="preserve">                                </w:t>
      </w:r>
      <w:r>
        <w:rPr>
          <w:rStyle w:val="27"/>
          <w:rFonts w:hint="eastAsia" w:eastAsia="宋体"/>
          <w:color w:val="000000"/>
          <w:szCs w:val="28"/>
        </w:rPr>
        <w:t xml:space="preserve">  </w:t>
      </w:r>
    </w:p>
    <w:p>
      <w:pPr>
        <w:widowControl/>
        <w:spacing w:line="500" w:lineRule="exact"/>
        <w:ind w:firstLine="970" w:firstLineChars="345"/>
        <w:rPr>
          <w:rStyle w:val="27"/>
          <w:rFonts w:hint="eastAsia" w:eastAsia="宋体"/>
          <w:color w:val="000000"/>
          <w:szCs w:val="28"/>
        </w:rPr>
      </w:pPr>
      <w:r>
        <w:rPr>
          <w:rStyle w:val="27"/>
          <w:rFonts w:eastAsia="宋体"/>
          <w:color w:val="000000"/>
          <w:szCs w:val="28"/>
        </w:rPr>
        <w:t xml:space="preserve">联系人:  </w:t>
      </w:r>
      <w:r>
        <w:rPr>
          <w:rStyle w:val="27"/>
          <w:rFonts w:eastAsia="宋体"/>
          <w:color w:val="000000"/>
          <w:szCs w:val="28"/>
          <w:u w:val="single"/>
        </w:rPr>
        <w:t xml:space="preserve">                                  </w:t>
      </w:r>
    </w:p>
    <w:p>
      <w:pPr>
        <w:widowControl/>
        <w:spacing w:line="500" w:lineRule="exact"/>
        <w:ind w:firstLine="970" w:firstLineChars="345"/>
        <w:rPr>
          <w:rStyle w:val="27"/>
          <w:rFonts w:hint="eastAsia" w:eastAsia="宋体"/>
          <w:color w:val="000000"/>
          <w:szCs w:val="28"/>
          <w:u w:val="single"/>
        </w:rPr>
      </w:pPr>
      <w:r>
        <w:rPr>
          <w:rStyle w:val="27"/>
          <w:rFonts w:eastAsia="宋体"/>
          <w:color w:val="000000"/>
          <w:szCs w:val="28"/>
        </w:rPr>
        <w:t>联系电话:</w:t>
      </w:r>
      <w:r>
        <w:rPr>
          <w:rStyle w:val="27"/>
          <w:rFonts w:eastAsia="宋体"/>
          <w:color w:val="000000"/>
          <w:szCs w:val="28"/>
          <w:u w:val="single"/>
        </w:rPr>
        <w:t xml:space="preserve">                </w:t>
      </w:r>
      <w:r>
        <w:rPr>
          <w:rStyle w:val="27"/>
          <w:rFonts w:eastAsia="宋体"/>
          <w:b w:val="0"/>
          <w:color w:val="000000"/>
          <w:sz w:val="18"/>
          <w:szCs w:val="18"/>
        </w:rPr>
        <w:t>(手机)</w:t>
      </w:r>
      <w:r>
        <w:rPr>
          <w:rStyle w:val="27"/>
          <w:rFonts w:eastAsia="宋体"/>
          <w:color w:val="000000"/>
          <w:szCs w:val="28"/>
          <w:u w:val="single"/>
        </w:rPr>
        <w:t xml:space="preserve">            </w:t>
      </w:r>
      <w:r>
        <w:rPr>
          <w:rStyle w:val="27"/>
          <w:rFonts w:eastAsia="宋体"/>
          <w:b w:val="0"/>
          <w:color w:val="000000"/>
          <w:sz w:val="18"/>
          <w:szCs w:val="18"/>
        </w:rPr>
        <w:t>(办公)</w:t>
      </w:r>
    </w:p>
    <w:p>
      <w:pPr>
        <w:widowControl/>
        <w:spacing w:line="500" w:lineRule="exact"/>
        <w:ind w:firstLine="970" w:firstLineChars="345"/>
        <w:rPr>
          <w:rStyle w:val="27"/>
          <w:rFonts w:hint="eastAsia" w:eastAsia="宋体"/>
          <w:color w:val="000000"/>
          <w:szCs w:val="28"/>
          <w:u w:val="single"/>
        </w:rPr>
      </w:pPr>
      <w:r>
        <w:rPr>
          <w:rStyle w:val="27"/>
          <w:rFonts w:eastAsia="宋体"/>
          <w:color w:val="000000"/>
          <w:szCs w:val="28"/>
        </w:rPr>
        <w:t>地址:</w:t>
      </w:r>
      <w:r>
        <w:rPr>
          <w:rStyle w:val="27"/>
          <w:rFonts w:eastAsia="宋体"/>
          <w:color w:val="000000"/>
          <w:szCs w:val="28"/>
          <w:u w:val="single"/>
        </w:rPr>
        <w:t xml:space="preserve">                                        </w:t>
      </w:r>
    </w:p>
    <w:p>
      <w:pPr>
        <w:widowControl/>
        <w:spacing w:line="500" w:lineRule="exact"/>
        <w:ind w:firstLine="970" w:firstLineChars="345"/>
        <w:rPr>
          <w:rStyle w:val="27"/>
          <w:rFonts w:hint="eastAsia" w:eastAsia="宋体"/>
          <w:color w:val="000000"/>
          <w:szCs w:val="28"/>
        </w:rPr>
      </w:pPr>
      <w:r>
        <w:rPr>
          <w:rStyle w:val="27"/>
          <w:rFonts w:eastAsia="宋体"/>
          <w:color w:val="000000"/>
          <w:szCs w:val="28"/>
        </w:rPr>
        <w:t>日期:2025年</w:t>
      </w:r>
      <w:r>
        <w:rPr>
          <w:rStyle w:val="27"/>
          <w:rFonts w:eastAsia="宋体"/>
          <w:color w:val="000000"/>
          <w:szCs w:val="28"/>
          <w:u w:val="single"/>
        </w:rPr>
        <w:t xml:space="preserve">    </w:t>
      </w:r>
      <w:r>
        <w:rPr>
          <w:rStyle w:val="27"/>
          <w:rFonts w:eastAsia="宋体"/>
          <w:color w:val="000000"/>
          <w:szCs w:val="28"/>
        </w:rPr>
        <w:t>月</w:t>
      </w:r>
      <w:r>
        <w:rPr>
          <w:rStyle w:val="27"/>
          <w:rFonts w:eastAsia="宋体"/>
          <w:color w:val="000000"/>
          <w:szCs w:val="28"/>
          <w:u w:val="single"/>
        </w:rPr>
        <w:t xml:space="preserve">    </w:t>
      </w:r>
      <w:r>
        <w:rPr>
          <w:rStyle w:val="27"/>
          <w:rFonts w:eastAsia="宋体"/>
          <w:color w:val="000000"/>
          <w:szCs w:val="28"/>
        </w:rPr>
        <w:t xml:space="preserve">日                                           </w:t>
      </w:r>
    </w:p>
    <w:p>
      <w:pPr>
        <w:widowControl/>
        <w:spacing w:line="500" w:lineRule="exact"/>
        <w:ind w:firstLine="970" w:firstLineChars="345"/>
        <w:rPr>
          <w:rStyle w:val="27"/>
          <w:rFonts w:hint="eastAsia" w:eastAsia="宋体"/>
          <w:color w:val="000000"/>
          <w:szCs w:val="28"/>
        </w:rPr>
      </w:pPr>
      <w:r>
        <w:rPr>
          <w:rStyle w:val="27"/>
          <w:rFonts w:eastAsia="宋体"/>
          <w:color w:val="000000"/>
          <w:szCs w:val="28"/>
        </w:rPr>
        <w:t xml:space="preserve">                                           </w:t>
      </w:r>
    </w:p>
    <w:p>
      <w:pPr>
        <w:widowControl/>
        <w:spacing w:line="500" w:lineRule="exact"/>
        <w:jc w:val="left"/>
        <w:rPr>
          <w:rStyle w:val="27"/>
          <w:rFonts w:hint="eastAsia" w:cs="宋体"/>
          <w:color w:val="000000"/>
          <w:szCs w:val="28"/>
        </w:rPr>
      </w:pPr>
      <w:r>
        <w:rPr>
          <w:rStyle w:val="27"/>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7"/>
          <w:rFonts w:hint="eastAsia" w:cs="宋体"/>
          <w:color w:val="000000"/>
          <w:szCs w:val="28"/>
        </w:rPr>
        <w:t>一</w:t>
      </w:r>
      <w:r>
        <w:rPr>
          <w:rStyle w:val="27"/>
          <w:rFonts w:hint="eastAsia" w:ascii="微软雅黑" w:hAnsi="微软雅黑" w:eastAsia="微软雅黑" w:cs="微软雅黑"/>
          <w:color w:val="000000"/>
          <w:szCs w:val="28"/>
        </w:rPr>
        <w:t>､</w:t>
      </w:r>
      <w:r>
        <w:rPr>
          <w:rStyle w:val="27"/>
          <w:rFonts w:hint="eastAsia" w:ascii="黑体" w:hAnsi="黑体" w:cs="黑体"/>
          <w:color w:val="000000"/>
          <w:szCs w:val="28"/>
        </w:rPr>
        <w:t>报名时</w:t>
      </w:r>
      <w:r>
        <w:rPr>
          <w:rStyle w:val="27"/>
          <w:rFonts w:hint="eastAsia" w:cs="宋体"/>
          <w:color w:val="000000"/>
          <w:szCs w:val="28"/>
        </w:rPr>
        <w:t xml:space="preserve">,提交 </w:t>
      </w:r>
      <w:r>
        <w:rPr>
          <w:rStyle w:val="27"/>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7"/>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7"/>
          <w:rFonts w:hint="eastAsia" w:cs="宋体"/>
          <w:color w:val="000000"/>
          <w:szCs w:val="28"/>
        </w:rPr>
      </w:pPr>
      <w:r>
        <w:rPr>
          <w:rStyle w:val="27"/>
          <w:rFonts w:hint="eastAsia" w:cs="宋体"/>
          <w:color w:val="000000"/>
          <w:szCs w:val="28"/>
        </w:rPr>
        <w:t>二</w:t>
      </w:r>
      <w:r>
        <w:rPr>
          <w:rStyle w:val="27"/>
          <w:rFonts w:hint="eastAsia" w:ascii="微软雅黑" w:hAnsi="微软雅黑" w:eastAsia="微软雅黑" w:cs="微软雅黑"/>
          <w:color w:val="000000"/>
          <w:szCs w:val="28"/>
        </w:rPr>
        <w:t>､</w:t>
      </w:r>
      <w:r>
        <w:rPr>
          <w:rStyle w:val="27"/>
          <w:rFonts w:hint="eastAsia" w:ascii="黑体" w:hAnsi="黑体" w:cs="黑体"/>
          <w:color w:val="000000"/>
          <w:szCs w:val="28"/>
        </w:rPr>
        <w:t>谈判现场</w:t>
      </w:r>
      <w:r>
        <w:rPr>
          <w:rStyle w:val="27"/>
          <w:rFonts w:hint="eastAsia" w:cs="宋体"/>
          <w:color w:val="000000"/>
          <w:szCs w:val="28"/>
        </w:rPr>
        <w:t>,需提交6份密封投标书（2正4副）(胶装成册)</w:t>
      </w:r>
      <w:r>
        <w:rPr>
          <w:rStyle w:val="27"/>
          <w:rFonts w:hint="eastAsia" w:ascii="微软雅黑" w:hAnsi="微软雅黑" w:eastAsia="微软雅黑" w:cs="微软雅黑"/>
          <w:color w:val="000000"/>
          <w:szCs w:val="28"/>
        </w:rPr>
        <w:t>､</w:t>
      </w:r>
      <w:r>
        <w:rPr>
          <w:rStyle w:val="27"/>
          <w:rFonts w:hint="eastAsia" w:ascii="黑体" w:hAnsi="黑体" w:cs="黑体"/>
          <w:color w:val="000000"/>
          <w:szCs w:val="28"/>
        </w:rPr>
        <w:t>1份密封报价单、招标文件PDF版</w:t>
      </w:r>
      <w:r>
        <w:rPr>
          <w:rStyle w:val="27"/>
          <w:rFonts w:hint="eastAsia" w:ascii="微软雅黑" w:hAnsi="微软雅黑" w:eastAsia="微软雅黑" w:cs="微软雅黑"/>
          <w:color w:val="000000"/>
          <w:szCs w:val="28"/>
        </w:rPr>
        <w:t>｡</w:t>
      </w:r>
    </w:p>
    <w:p>
      <w:pPr>
        <w:widowControl/>
        <w:spacing w:line="360" w:lineRule="atLeast"/>
        <w:rPr>
          <w:rStyle w:val="27"/>
          <w:rFonts w:hint="eastAsia" w:ascii="微软雅黑" w:hAnsi="微软雅黑" w:eastAsia="微软雅黑" w:cs="微软雅黑"/>
          <w:szCs w:val="28"/>
        </w:rPr>
      </w:pPr>
      <w:r>
        <w:rPr>
          <w:rStyle w:val="27"/>
          <w:rFonts w:hint="eastAsia" w:cs="宋体"/>
          <w:szCs w:val="28"/>
        </w:rPr>
        <w:t>三</w:t>
      </w:r>
      <w:r>
        <w:rPr>
          <w:rStyle w:val="27"/>
          <w:rFonts w:hint="eastAsia" w:ascii="微软雅黑" w:hAnsi="微软雅黑" w:eastAsia="微软雅黑" w:cs="微软雅黑"/>
          <w:szCs w:val="28"/>
        </w:rPr>
        <w:t>､</w:t>
      </w:r>
      <w:r>
        <w:rPr>
          <w:rStyle w:val="27"/>
          <w:rFonts w:hint="eastAsia" w:ascii="黑体" w:hAnsi="黑体" w:cs="黑体"/>
          <w:szCs w:val="28"/>
        </w:rPr>
        <w:t>节约纸张</w:t>
      </w:r>
      <w:r>
        <w:rPr>
          <w:rStyle w:val="27"/>
          <w:rFonts w:hint="eastAsia" w:cs="宋体"/>
          <w:szCs w:val="28"/>
        </w:rPr>
        <w:t>,请双面打印</w:t>
      </w:r>
      <w:r>
        <w:rPr>
          <w:rStyle w:val="27"/>
          <w:rFonts w:hint="eastAsia" w:ascii="微软雅黑" w:hAnsi="微软雅黑" w:eastAsia="微软雅黑" w:cs="微软雅黑"/>
          <w:szCs w:val="28"/>
        </w:rPr>
        <w:t>｡</w:t>
      </w:r>
    </w:p>
    <w:p>
      <w:pPr>
        <w:widowControl/>
        <w:spacing w:line="500" w:lineRule="exact"/>
        <w:jc w:val="left"/>
        <w:rPr>
          <w:rStyle w:val="27"/>
          <w:rFonts w:hint="eastAsia" w:eastAsia="宋体"/>
          <w:color w:val="FF0000"/>
          <w:szCs w:val="28"/>
        </w:rPr>
      </w:pPr>
      <w:r>
        <w:rPr>
          <w:rStyle w:val="27"/>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9"/>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9"/>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60"/>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9"/>
        <w:rPr>
          <w:rFonts w:hint="eastAsia" w:ascii="宋体" w:hAnsi="宋体" w:eastAsia="宋体"/>
          <w:smallCaps/>
          <w:sz w:val="24"/>
        </w:rPr>
      </w:pPr>
      <w:r>
        <w:rPr>
          <w:rFonts w:hint="eastAsia" w:ascii="宋体" w:hAnsi="宋体" w:eastAsia="宋体"/>
          <w:szCs w:val="21"/>
        </w:rPr>
        <w:t>六、</w:t>
      </w:r>
      <w:r>
        <w:rPr>
          <w:rStyle w:val="60"/>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3"/>
        <w:rPr>
          <w:color w:val="FF0000"/>
          <w:sz w:val="24"/>
          <w:szCs w:val="24"/>
        </w:rPr>
      </w:pPr>
      <w:r>
        <w:rPr>
          <w:rFonts w:hint="eastAsia"/>
          <w:color w:val="FF0000"/>
          <w:sz w:val="24"/>
          <w:szCs w:val="24"/>
          <w:highlight w:val="yellow"/>
        </w:rPr>
        <w:t>（此警示条款需与投标文件一起装订入册）</w:t>
      </w:r>
    </w:p>
    <w:p>
      <w:pPr>
        <w:pStyle w:val="13"/>
      </w:pPr>
    </w:p>
    <w:p>
      <w:pPr>
        <w:pStyle w:val="13"/>
      </w:pPr>
    </w:p>
    <w:p>
      <w:pPr>
        <w:pStyle w:val="13"/>
      </w:pPr>
    </w:p>
    <w:p>
      <w:pPr>
        <w:pStyle w:val="1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7"/>
          <w:rFonts w:hint="eastAsia"/>
          <w:sz w:val="36"/>
          <w:szCs w:val="36"/>
        </w:rPr>
      </w:pPr>
      <w:r>
        <w:rPr>
          <w:rStyle w:val="27"/>
          <w:sz w:val="36"/>
          <w:szCs w:val="36"/>
        </w:rPr>
        <w:t>目  录</w:t>
      </w:r>
    </w:p>
    <w:p>
      <w:pPr>
        <w:numPr>
          <w:ilvl w:val="0"/>
          <w:numId w:val="3"/>
        </w:numPr>
        <w:spacing w:after="6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cs="宋体"/>
          <w:bCs/>
          <w:color w:val="000000"/>
          <w:szCs w:val="21"/>
        </w:rPr>
        <w:t>服务要求偏离表 2.2</w:t>
      </w:r>
      <w:r>
        <w:rPr>
          <w:rFonts w:hint="eastAsia" w:ascii="宋体" w:hAnsi="宋体" w:cs="宋体"/>
          <w:bCs/>
          <w:color w:val="000000"/>
          <w:szCs w:val="21"/>
        </w:rPr>
        <w:t>.</w:t>
      </w:r>
      <w:r>
        <w:rPr>
          <w:rFonts w:hint="eastAsia"/>
          <w:bCs/>
        </w:rPr>
        <w:t>实质性条款偏离表 2.3.</w:t>
      </w:r>
      <w:r>
        <w:rPr>
          <w:rFonts w:hint="eastAsia"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hint="eastAsia" w:ascii="宋体" w:hAnsi="宋体"/>
          <w:szCs w:val="21"/>
        </w:rPr>
      </w:pPr>
      <w:r>
        <w:rPr>
          <w:rFonts w:hint="eastAsia" w:ascii="宋体" w:hAnsi="宋体"/>
          <w:szCs w:val="21"/>
        </w:rPr>
        <w:t>投标函</w:t>
      </w:r>
    </w:p>
    <w:p>
      <w:pPr>
        <w:numPr>
          <w:ilvl w:val="0"/>
          <w:numId w:val="3"/>
        </w:numPr>
        <w:snapToGrid w:val="0"/>
        <w:ind w:left="442" w:hanging="442"/>
        <w:contextualSpacing/>
        <w:rPr>
          <w:rFonts w:hint="eastAsia" w:ascii="宋体" w:hAnsi="宋体"/>
          <w:szCs w:val="21"/>
        </w:rPr>
      </w:pPr>
      <w:r>
        <w:rPr>
          <w:rFonts w:hint="eastAsia" w:ascii="宋体" w:hAnsi="宋体"/>
          <w:szCs w:val="21"/>
        </w:rPr>
        <w:t>投标履约承诺函</w:t>
      </w:r>
    </w:p>
    <w:p>
      <w:pPr>
        <w:numPr>
          <w:ilvl w:val="0"/>
          <w:numId w:val="3"/>
        </w:numPr>
        <w:spacing w:after="60"/>
        <w:contextualSpacing/>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关于围标串标风险防控的承诺函</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法定代表人授权书(附身份证扫描件)</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供应商基本情况表</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法定代表人、主要经营负责人、项目投标授权代表人最近一个月社会保险证明</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企业法人有统一社会信用代码(三证合一)的《营业执照》扫描件(代理商)</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同类项目成功案例一览表(合同关键页或验收报告原件和扫描件)</w:t>
      </w:r>
    </w:p>
    <w:p>
      <w:pPr>
        <w:numPr>
          <w:ilvl w:val="0"/>
          <w:numId w:val="3"/>
        </w:numPr>
        <w:spacing w:after="60"/>
        <w:contextualSpacing/>
        <w:rPr>
          <w:rFonts w:hint="eastAsia" w:ascii="宋体" w:hAnsi="宋体" w:eastAsia="宋体" w:cs="Times New Roman"/>
          <w:szCs w:val="21"/>
        </w:rPr>
      </w:pPr>
      <w:r>
        <w:rPr>
          <w:rFonts w:hint="eastAsia" w:ascii="宋体" w:hAnsi="宋体" w:eastAsia="宋体" w:cs="Times New Roman"/>
          <w:szCs w:val="21"/>
        </w:rPr>
        <w:t>项目管理主要技术和售后服务人员情况表及最近一个月社会保险证明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2</w:t>
      </w:r>
      <w:r>
        <w:rPr>
          <w:rFonts w:ascii="宋体" w:hAnsi="宋体"/>
          <w:szCs w:val="21"/>
        </w:rPr>
        <w:t>.</w:t>
      </w:r>
      <w:r>
        <w:rPr>
          <w:rFonts w:hint="eastAsia" w:ascii="宋体" w:hAnsi="宋体"/>
          <w:szCs w:val="21"/>
        </w:rPr>
        <w:t xml:space="preserve"> </w:t>
      </w:r>
      <w:r>
        <w:rPr>
          <w:rFonts w:hint="eastAsia" w:hAnsi="宋体"/>
        </w:rPr>
        <w:t>项目服务方案及保障措施方案</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lang w:val="en-US" w:eastAsia="zh-CN"/>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4"/>
          <w:rFonts w:ascii="宋体" w:hAnsi="宋体"/>
          <w:color w:val="auto"/>
          <w:szCs w:val="21"/>
        </w:rPr>
        <w:t>www.ccgp.gov.cn</w:t>
      </w:r>
      <w:r>
        <w:rPr>
          <w:rStyle w:val="24"/>
          <w:rFonts w:hint="eastAsia" w:ascii="宋体" w:hAnsi="宋体"/>
          <w:color w:val="auto"/>
          <w:szCs w:val="21"/>
        </w:rPr>
        <w:t>)</w:t>
      </w:r>
      <w:r>
        <w:rPr>
          <w:rStyle w:val="24"/>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6"/>
          <w:rFonts w:hint="default"/>
        </w:rPr>
      </w:pPr>
      <w:r>
        <w:rPr>
          <w:rFonts w:hint="eastAsia" w:ascii="宋体" w:hAnsi="宋体"/>
          <w:szCs w:val="21"/>
        </w:rPr>
        <w:t>13.4</w:t>
      </w:r>
      <w:r>
        <w:rPr>
          <w:rStyle w:val="56"/>
          <w:rFonts w:hint="default"/>
        </w:rPr>
        <w:t>深圳信用网</w:t>
      </w:r>
      <w:r>
        <w:rPr>
          <w:rStyle w:val="56"/>
          <w:rFonts w:hint="default"/>
          <w:color w:val="auto"/>
        </w:rPr>
        <w:t>（</w:t>
      </w:r>
      <w:r>
        <w:fldChar w:fldCharType="begin"/>
      </w:r>
      <w:r>
        <w:instrText xml:space="preserve"> HYPERLINK "https://www.szcredit.org.cn/?cdType=sgsl&amp;type=XZXK" \l "/xyfw" </w:instrText>
      </w:r>
      <w:r>
        <w:fldChar w:fldCharType="separate"/>
      </w:r>
      <w:r>
        <w:rPr>
          <w:rStyle w:val="24"/>
          <w:rFonts w:ascii="宋体" w:hAnsi="宋体" w:cs="宋体"/>
          <w:color w:val="auto"/>
          <w:szCs w:val="21"/>
        </w:rPr>
        <w:t>https://www.szcredit.org.cn/?cdType=sgsl&amp;type=XZXK#/xyfw</w:t>
      </w:r>
      <w:r>
        <w:rPr>
          <w:rStyle w:val="24"/>
          <w:rFonts w:ascii="宋体" w:hAnsi="宋体" w:cs="宋体"/>
          <w:color w:val="auto"/>
          <w:szCs w:val="21"/>
        </w:rPr>
        <w:fldChar w:fldCharType="end"/>
      </w:r>
      <w:r>
        <w:rPr>
          <w:rStyle w:val="56"/>
          <w:rFonts w:hint="default"/>
        </w:rPr>
        <w:t>）</w:t>
      </w:r>
    </w:p>
    <w:p>
      <w:pPr>
        <w:snapToGrid w:val="0"/>
        <w:ind w:firstLine="1260" w:firstLineChars="600"/>
        <w:contextualSpacing/>
        <w:rPr>
          <w:rFonts w:hint="eastAsia" w:ascii="宋体" w:hAnsi="宋体"/>
          <w:szCs w:val="21"/>
        </w:rPr>
      </w:pPr>
      <w:r>
        <w:rPr>
          <w:rStyle w:val="56"/>
          <w:rFonts w:hint="default"/>
        </w:rPr>
        <w:t>13.5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4"/>
          <w:rFonts w:ascii="宋体" w:hAnsi="宋体"/>
          <w:color w:val="auto"/>
          <w:szCs w:val="21"/>
        </w:rPr>
        <w:t>https://www.gsxt.gov.cnindex.html</w:t>
      </w:r>
      <w:r>
        <w:rPr>
          <w:rStyle w:val="24"/>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5</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9"/>
        <w:snapToGrid w:val="0"/>
        <w:spacing w:line="240" w:lineRule="exact"/>
        <w:ind w:firstLine="0" w:firstLineChars="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6</w:t>
      </w:r>
      <w:r>
        <w:rPr>
          <w:rFonts w:hint="eastAsia" w:ascii="宋体" w:hAnsi="宋体"/>
          <w:szCs w:val="21"/>
        </w:rPr>
        <w:t>.</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7</w:t>
      </w:r>
      <w:r>
        <w:rPr>
          <w:rFonts w:hint="eastAsia" w:ascii="宋体" w:hAnsi="宋体"/>
          <w:szCs w:val="21"/>
        </w:rPr>
        <w:t>.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1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21"/>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3"/>
      </w:pPr>
    </w:p>
    <w:p>
      <w:pPr>
        <w:pStyle w:val="13"/>
      </w:pPr>
    </w:p>
    <w:p>
      <w:pPr>
        <w:pStyle w:val="13"/>
      </w:pPr>
    </w:p>
    <w:p>
      <w:pPr>
        <w:pStyle w:val="1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2"/>
        <w:ind w:left="1060" w:hanging="640"/>
      </w:pPr>
    </w:p>
    <w:p>
      <w:pPr>
        <w:jc w:val="center"/>
        <w:outlineLvl w:val="0"/>
        <w:rPr>
          <w:rFonts w:cs="宋体"/>
          <w:b/>
          <w:color w:val="000000"/>
          <w:szCs w:val="21"/>
        </w:rPr>
      </w:pPr>
    </w:p>
    <w:p>
      <w:pPr>
        <w:pStyle w:val="1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21"/>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3"/>
        <w:ind w:left="1060" w:hanging="640"/>
      </w:pPr>
    </w:p>
    <w:p>
      <w:pPr>
        <w:pStyle w:val="13"/>
        <w:ind w:left="1060" w:hanging="1344"/>
        <w:jc w:val="left"/>
      </w:pPr>
      <w:r>
        <w:rPr>
          <w:rFonts w:hint="eastAsia"/>
        </w:rPr>
        <w:t>填写说明:</w:t>
      </w:r>
    </w:p>
    <w:p>
      <w:pPr>
        <w:pStyle w:val="13"/>
        <w:ind w:left="850" w:leftChars="100" w:hanging="640"/>
        <w:jc w:val="left"/>
      </w:pPr>
      <w:r>
        <w:rPr>
          <w:rFonts w:hint="eastAsia"/>
        </w:rPr>
        <w:t>1. 上表所列各项均为不可负偏离条款。</w:t>
      </w:r>
    </w:p>
    <w:p>
      <w:pPr>
        <w:pStyle w:val="1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3"/>
        <w:ind w:left="-283" w:leftChars="-135" w:firstLine="493" w:firstLineChars="235"/>
        <w:jc w:val="left"/>
      </w:pPr>
      <w:r>
        <w:rPr>
          <w:rFonts w:hint="eastAsia"/>
        </w:rPr>
        <w:t>4. 评审委员会有权对投标响应情况作出判断。</w:t>
      </w:r>
    </w:p>
    <w:p>
      <w:pPr>
        <w:pStyle w:val="13"/>
        <w:ind w:left="-73" w:leftChars="-35" w:firstLine="281" w:firstLineChars="134"/>
        <w:jc w:val="left"/>
      </w:pPr>
      <w:r>
        <w:rPr>
          <w:rFonts w:hint="eastAsia"/>
        </w:rPr>
        <w:t>5. 实质性响应条款“投标响应情况”与投标文件其它内容冲突的，以实质性响应条款“投标响应情况”为准。</w:t>
      </w:r>
    </w:p>
    <w:p>
      <w:pPr>
        <w:pStyle w:val="1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pStyle w:val="1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12"/>
        <w:ind w:left="900" w:hanging="480"/>
        <w:rPr>
          <w:rFonts w:hint="eastAsia" w:ascii="宋体" w:hAnsi="宋体" w:eastAsia="宋体"/>
          <w:sz w:val="24"/>
          <w:szCs w:val="24"/>
        </w:rPr>
      </w:pPr>
    </w:p>
    <w:tbl>
      <w:tblPr>
        <w:tblStyle w:val="21"/>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3"/>
        <w:ind w:left="1060" w:hanging="640"/>
        <w:jc w:val="left"/>
      </w:pPr>
    </w:p>
    <w:p>
      <w:pPr>
        <w:pStyle w:val="13"/>
        <w:ind w:left="1060" w:hanging="1344"/>
        <w:jc w:val="left"/>
      </w:pPr>
      <w:r>
        <w:rPr>
          <w:rFonts w:hint="eastAsia"/>
        </w:rPr>
        <w:t>填写说明:</w:t>
      </w:r>
    </w:p>
    <w:p>
      <w:pPr>
        <w:pStyle w:val="13"/>
        <w:ind w:left="-283" w:leftChars="-135" w:firstLine="493" w:firstLineChars="235"/>
        <w:jc w:val="left"/>
        <w:rPr>
          <w:b/>
          <w:bCs/>
        </w:rPr>
      </w:pPr>
      <w:r>
        <w:rPr>
          <w:rFonts w:hint="eastAsia"/>
          <w:lang w:val="en-US" w:eastAsia="zh-CN"/>
        </w:rPr>
        <w:t>1</w:t>
      </w:r>
      <w:r>
        <w:rPr>
          <w:rFonts w:hint="eastAsia"/>
        </w:rPr>
        <w:t>.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3"/>
        <w:ind w:left="-283" w:leftChars="-135" w:firstLine="493" w:firstLineChars="235"/>
        <w:jc w:val="left"/>
      </w:pPr>
      <w:r>
        <w:rPr>
          <w:rFonts w:hint="eastAsia"/>
          <w:lang w:val="en-US" w:eastAsia="zh-CN"/>
        </w:rPr>
        <w:t>2</w:t>
      </w:r>
      <w:r>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3"/>
        <w:ind w:left="-283" w:leftChars="-135" w:firstLine="493" w:firstLineChars="235"/>
        <w:jc w:val="left"/>
      </w:pPr>
      <w:r>
        <w:rPr>
          <w:rFonts w:hint="eastAsia"/>
          <w:lang w:val="en-US" w:eastAsia="zh-CN"/>
        </w:rPr>
        <w:t>3</w:t>
      </w:r>
      <w:r>
        <w:rPr>
          <w:rFonts w:hint="eastAsia"/>
        </w:rPr>
        <w:t>. 评审委员会有权对投标响应情况作出判断。</w:t>
      </w:r>
    </w:p>
    <w:p>
      <w:pPr>
        <w:pStyle w:val="13"/>
        <w:ind w:left="-73" w:leftChars="-35" w:firstLine="281" w:firstLineChars="134"/>
        <w:jc w:val="left"/>
      </w:pPr>
      <w:r>
        <w:rPr>
          <w:rFonts w:hint="eastAsia"/>
          <w:lang w:val="en-US" w:eastAsia="zh-CN"/>
        </w:rPr>
        <w:t>4</w:t>
      </w:r>
      <w:r>
        <w:rPr>
          <w:rFonts w:hint="eastAsia"/>
        </w:rPr>
        <w:t>. 实质性响应条款“投标响应情况”与投标文件其它内容冲突的，以实质性响应条款“投标响应情况”为准。</w:t>
      </w:r>
    </w:p>
    <w:p>
      <w:pPr>
        <w:pStyle w:val="13"/>
        <w:ind w:left="-141" w:leftChars="-67" w:firstLine="348" w:firstLineChars="166"/>
        <w:jc w:val="left"/>
      </w:pPr>
      <w:r>
        <w:rPr>
          <w:rFonts w:hint="eastAsia"/>
          <w:lang w:val="en-US" w:eastAsia="zh-CN"/>
        </w:rPr>
        <w:t>5</w:t>
      </w:r>
      <w:r>
        <w:rPr>
          <w:rFonts w:hint="eastAsia"/>
        </w:rPr>
        <w:t>.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3"/>
        <w:ind w:left="1060" w:hanging="640"/>
      </w:pPr>
    </w:p>
    <w:p>
      <w:pPr>
        <w:pStyle w:val="13"/>
        <w:ind w:left="1060" w:hanging="640"/>
      </w:pPr>
    </w:p>
    <w:p>
      <w:pPr>
        <w:pStyle w:val="13"/>
        <w:ind w:left="1060" w:hanging="640"/>
      </w:pPr>
    </w:p>
    <w:p>
      <w:pPr>
        <w:pStyle w:val="13"/>
        <w:ind w:left="1060" w:hanging="640"/>
      </w:pPr>
    </w:p>
    <w:p>
      <w:pPr>
        <w:pStyle w:val="13"/>
        <w:ind w:left="1060" w:hanging="640"/>
      </w:pPr>
    </w:p>
    <w:p>
      <w:pPr>
        <w:pStyle w:val="13"/>
        <w:ind w:left="1060" w:hanging="640"/>
      </w:pPr>
    </w:p>
    <w:p>
      <w:pPr>
        <w:pStyle w:val="13"/>
        <w:ind w:left="1060" w:hanging="640"/>
      </w:pPr>
    </w:p>
    <w:p>
      <w:pPr>
        <w:pStyle w:val="13"/>
        <w:ind w:left="1060" w:hanging="640"/>
      </w:pPr>
    </w:p>
    <w:p>
      <w:pPr>
        <w:pStyle w:val="13"/>
        <w:ind w:left="1060" w:hanging="640"/>
      </w:pPr>
    </w:p>
    <w:p>
      <w:pPr>
        <w:widowControl/>
        <w:ind w:left="1"/>
        <w:jc w:val="left"/>
        <w:rPr>
          <w:rFonts w:hint="eastAsia" w:hAnsi="宋体"/>
          <w:b/>
          <w:kern w:val="0"/>
        </w:rPr>
      </w:pPr>
    </w:p>
    <w:p>
      <w:pPr>
        <w:pStyle w:val="12"/>
        <w:ind w:left="1060" w:hanging="640"/>
      </w:pPr>
    </w:p>
    <w:p>
      <w:pPr>
        <w:pStyle w:val="13"/>
      </w:pPr>
    </w:p>
    <w:p>
      <w:pPr>
        <w:pStyle w:val="13"/>
      </w:pPr>
    </w:p>
    <w:p>
      <w:pPr>
        <w:pStyle w:val="13"/>
      </w:pPr>
    </w:p>
    <w:p>
      <w:pPr>
        <w:pStyle w:val="13"/>
      </w:pPr>
    </w:p>
    <w:p>
      <w:pPr>
        <w:pStyle w:val="13"/>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3"/>
      </w:pPr>
    </w:p>
    <w:p>
      <w:pPr>
        <w:pStyle w:val="13"/>
      </w:pPr>
    </w:p>
    <w:p>
      <w:pPr>
        <w:pStyle w:val="13"/>
      </w:pPr>
    </w:p>
    <w:p>
      <w:pPr>
        <w:pStyle w:val="1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lang w:val="en-US" w:eastAsia="zh-CN"/>
        </w:rPr>
      </w:pPr>
      <w:r>
        <w:rPr>
          <w:rFonts w:hint="eastAsia" w:ascii="宋体" w:hAnsi="宋体" w:cs="Arial"/>
          <w:b/>
          <w:color w:val="000000"/>
          <w:sz w:val="28"/>
          <w:szCs w:val="28"/>
        </w:rPr>
        <w:br w:type="page"/>
      </w:r>
      <w:r>
        <w:rPr>
          <w:rFonts w:hint="eastAsia" w:ascii="宋体" w:hAnsi="宋体" w:cs="Arial"/>
          <w:b/>
          <w:color w:val="000000"/>
          <w:sz w:val="28"/>
          <w:szCs w:val="28"/>
          <w:lang w:val="en-US" w:eastAsia="zh-CN"/>
        </w:rPr>
        <w:t>五.关于围标串标风险防控的承诺函</w:t>
      </w:r>
    </w:p>
    <w:p>
      <w:pPr>
        <w:spacing w:line="360" w:lineRule="auto"/>
        <w:rPr>
          <w:rFonts w:hint="eastAsia"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致：深圳市宝安区人民医院</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pPr>
        <w:spacing w:line="360" w:lineRule="auto"/>
        <w:ind w:firstLine="420"/>
        <w:jc w:val="right"/>
        <w:rPr>
          <w:rFonts w:hint="eastAsia" w:ascii="宋体" w:hAnsi="宋体" w:eastAsia="宋体" w:cs="宋体"/>
          <w:b/>
          <w:bCs/>
          <w:color w:val="auto"/>
          <w:sz w:val="21"/>
          <w:szCs w:val="21"/>
          <w:highlight w:val="none"/>
        </w:rPr>
      </w:pPr>
    </w:p>
    <w:p>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pPr>
        <w:rPr>
          <w:rFonts w:hint="eastAsia" w:ascii="宋体" w:hAnsi="宋体" w:cs="宋体"/>
          <w:b/>
          <w:kern w:val="2"/>
          <w:sz w:val="24"/>
          <w:szCs w:val="24"/>
          <w:lang w:val="en-US" w:eastAsia="zh-CN" w:bidi="ar-SA"/>
        </w:rPr>
      </w:pPr>
    </w:p>
    <w:p>
      <w:pPr>
        <w:rPr>
          <w:rFonts w:hint="eastAsia" w:ascii="宋体" w:hAnsi="宋体" w:cs="Arial"/>
          <w:b/>
          <w:color w:val="000000"/>
          <w:sz w:val="28"/>
          <w:szCs w:val="28"/>
        </w:rPr>
      </w:pPr>
    </w:p>
    <w:p>
      <w:pP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eastAsia="宋体" w:cs="宋体"/>
          <w:b/>
          <w:sz w:val="24"/>
          <w:lang w:val="en-US" w:eastAsia="zh-CN"/>
        </w:rPr>
        <w:t>六､法定代表人授</w:t>
      </w:r>
      <w:r>
        <w:rPr>
          <w:rFonts w:hint="eastAsia" w:ascii="Arial" w:hAnsi="Arial" w:cs="Arial"/>
          <w:b/>
          <w:sz w:val="24"/>
        </w:rPr>
        <w:t>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1"/>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1"/>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1"/>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1"/>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1"/>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1"/>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1"/>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1"/>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lang w:val="en-US" w:eastAsia="zh-CN"/>
        </w:rPr>
        <w:t>七</w:t>
      </w:r>
      <w:r>
        <w:rPr>
          <w:rFonts w:hint="eastAsia" w:cs="Arial"/>
          <w:b/>
          <w:color w:val="000000"/>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21"/>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7"/>
              <w:kinsoku w:val="0"/>
              <w:overflowPunct w:val="0"/>
              <w:spacing w:line="232" w:lineRule="exact"/>
              <w:ind w:left="103"/>
              <w:rPr>
                <w:rFonts w:hint="eastAsia" w:ascii="宋体" w:hAnsi="宋体" w:eastAsia="宋体" w:cs="Microsoft JhengHei"/>
                <w:sz w:val="21"/>
                <w:szCs w:val="21"/>
              </w:rPr>
            </w:pPr>
          </w:p>
          <w:p>
            <w:pPr>
              <w:pStyle w:val="6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3"/>
      </w:pPr>
    </w:p>
    <w:p>
      <w:pPr>
        <w:pStyle w:val="13"/>
      </w:pPr>
    </w:p>
    <w:p>
      <w:pPr>
        <w:pStyle w:val="13"/>
      </w:pPr>
    </w:p>
    <w:p>
      <w:pPr>
        <w:pStyle w:val="13"/>
      </w:pPr>
    </w:p>
    <w:p>
      <w:pPr>
        <w:spacing w:after="60"/>
        <w:ind w:left="440"/>
        <w:contextualSpacing/>
        <w:rPr>
          <w:rFonts w:hint="eastAsia" w:ascii="宋体" w:hAnsi="宋体"/>
          <w:szCs w:val="21"/>
        </w:rPr>
      </w:pPr>
      <w:r>
        <w:rPr>
          <w:rFonts w:hint="eastAsia"/>
          <w:b/>
          <w:color w:val="000000"/>
          <w:sz w:val="28"/>
          <w:szCs w:val="28"/>
          <w:lang w:val="en-US" w:eastAsia="zh-CN"/>
        </w:rPr>
        <w:t>八</w:t>
      </w:r>
      <w:r>
        <w:rPr>
          <w:rFonts w:hint="eastAsia"/>
          <w:b/>
          <w:color w:val="000000"/>
          <w:sz w:val="28"/>
          <w:szCs w:val="28"/>
        </w:rPr>
        <w:t>、法定代表人、主要经营负责人、项目投标授权代表人最近一个月社会保险证明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3"/>
      </w:pPr>
    </w:p>
    <w:p>
      <w:pPr>
        <w:pStyle w:val="13"/>
      </w:pPr>
    </w:p>
    <w:p>
      <w:pPr>
        <w:pStyle w:val="13"/>
      </w:pPr>
    </w:p>
    <w:p>
      <w:pPr>
        <w:pStyle w:val="13"/>
      </w:pPr>
    </w:p>
    <w:p>
      <w:pPr>
        <w:pStyle w:val="13"/>
      </w:pPr>
    </w:p>
    <w:p>
      <w:pPr>
        <w:pStyle w:val="13"/>
      </w:pPr>
    </w:p>
    <w:p>
      <w:pPr>
        <w:pStyle w:val="13"/>
      </w:pPr>
    </w:p>
    <w:p>
      <w:pPr>
        <w:pStyle w:val="13"/>
      </w:pPr>
    </w:p>
    <w:p>
      <w:pPr>
        <w:rPr>
          <w:rFonts w:hint="eastAsia" w:ascii="Times New Roman" w:hAnsi="Times New Roman" w:eastAsia="宋体" w:cs="Times New Roman"/>
          <w:b/>
          <w:color w:val="000000"/>
          <w:sz w:val="28"/>
          <w:szCs w:val="28"/>
          <w:lang w:val="en-US" w:eastAsia="zh-CN"/>
        </w:rPr>
      </w:pPr>
      <w:r>
        <w:rPr>
          <w:rFonts w:hint="eastAsia" w:ascii="Times New Roman" w:hAnsi="Times New Roman" w:eastAsia="宋体" w:cs="Times New Roman"/>
          <w:b/>
          <w:color w:val="000000"/>
          <w:sz w:val="28"/>
          <w:szCs w:val="28"/>
          <w:lang w:val="en-US" w:eastAsia="zh-CN"/>
        </w:rPr>
        <w:br w:type="page"/>
      </w:r>
    </w:p>
    <w:p>
      <w:pPr>
        <w:spacing w:after="60" w:line="360" w:lineRule="auto"/>
        <w:jc w:val="center"/>
        <w:rPr>
          <w:color w:val="000000"/>
          <w:szCs w:val="21"/>
        </w:rPr>
      </w:pPr>
      <w:r>
        <w:rPr>
          <w:rFonts w:hint="eastAsia" w:ascii="Times New Roman" w:hAnsi="Times New Roman" w:eastAsia="宋体" w:cs="Times New Roman"/>
          <w:b/>
          <w:color w:val="000000"/>
          <w:sz w:val="28"/>
          <w:szCs w:val="28"/>
          <w:lang w:val="en-US" w:eastAsia="zh-CN"/>
        </w:rPr>
        <w:t>九､企业</w:t>
      </w:r>
      <w:r>
        <w:rPr>
          <w:rFonts w:hint="eastAsia"/>
          <w:b/>
          <w:color w:val="000000"/>
          <w:sz w:val="28"/>
          <w:szCs w:val="28"/>
        </w:rPr>
        <w:t>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3"/>
      </w:pPr>
    </w:p>
    <w:p>
      <w:pPr>
        <w:pStyle w:val="1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lang w:val="en-US" w:eastAsia="zh-CN"/>
        </w:rPr>
        <w:t>十</w:t>
      </w:r>
      <w:r>
        <w:rPr>
          <w:rFonts w:hint="eastAsia"/>
          <w:b/>
          <w:color w:val="000000"/>
          <w:sz w:val="28"/>
          <w:szCs w:val="28"/>
        </w:rPr>
        <w:t>、</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w:t>
      </w:r>
      <w:r>
        <w:rPr>
          <w:rFonts w:hint="eastAsia" w:ascii="宋体" w:hAnsi="宋体"/>
          <w:b/>
          <w:color w:val="000000"/>
          <w:sz w:val="28"/>
          <w:szCs w:val="28"/>
          <w:lang w:val="en-US" w:eastAsia="zh-CN"/>
        </w:rPr>
        <w:t>一</w:t>
      </w:r>
      <w:r>
        <w:rPr>
          <w:rFonts w:hint="eastAsia" w:ascii="宋体" w:hAnsi="宋体"/>
          <w:b/>
          <w:color w:val="000000"/>
          <w:sz w:val="28"/>
          <w:szCs w:val="28"/>
        </w:rPr>
        <w:t>、项目管理主要技术和售后服务人员情况表及最近一个月社会保险证明</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w:t>
      </w:r>
      <w:r>
        <w:rPr>
          <w:rFonts w:hint="eastAsia"/>
          <w:b/>
          <w:color w:val="000000"/>
          <w:sz w:val="28"/>
          <w:szCs w:val="28"/>
          <w:lang w:val="en-US" w:eastAsia="zh-CN"/>
        </w:rPr>
        <w:t>二</w:t>
      </w:r>
      <w:r>
        <w:rPr>
          <w:rFonts w:hint="eastAsia"/>
          <w:b/>
          <w:color w:val="000000"/>
          <w:sz w:val="28"/>
          <w:szCs w:val="28"/>
        </w:rPr>
        <w:t>、</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w:t>
      </w:r>
      <w:r>
        <w:rPr>
          <w:rFonts w:hint="eastAsia" w:cs="Arial"/>
          <w:b/>
          <w:sz w:val="28"/>
          <w:szCs w:val="28"/>
          <w:lang w:val="en-US" w:eastAsia="zh-CN"/>
        </w:rPr>
        <w:t>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w:t>
      </w:r>
      <w:r>
        <w:rPr>
          <w:rFonts w:hint="eastAsia" w:ascii="宋体" w:hAnsi="宋体" w:cs="Arial"/>
          <w:b/>
          <w:sz w:val="28"/>
          <w:szCs w:val="28"/>
          <w:lang w:val="en-US" w:eastAsia="zh-CN"/>
        </w:rPr>
        <w:t>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4"/>
          <w:rFonts w:ascii="宋体" w:hAnsi="宋体"/>
          <w:b/>
          <w:bCs/>
          <w:color w:val="auto"/>
          <w:sz w:val="28"/>
          <w:szCs w:val="28"/>
          <w:u w:val="none"/>
        </w:rPr>
        <w:t>https://www.szcredit.org.cn/?cdType=sgsl&amp;type=XZXK#/xyfw</w:t>
      </w:r>
      <w:r>
        <w:rPr>
          <w:rStyle w:val="24"/>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3"/>
      </w:pPr>
    </w:p>
    <w:p>
      <w:pPr>
        <w:jc w:val="center"/>
        <w:rPr>
          <w:rFonts w:hint="eastAsia" w:ascii="宋体" w:hAnsi="宋体" w:cs="Arial"/>
          <w:b/>
          <w:sz w:val="24"/>
        </w:rPr>
      </w:pPr>
      <w:r>
        <w:rPr>
          <w:rFonts w:hint="eastAsia" w:ascii="宋体" w:hAnsi="宋体" w:cs="Arial"/>
          <w:b/>
          <w:sz w:val="24"/>
        </w:rPr>
        <w:t>4. 深圳信用网</w:t>
      </w:r>
    </w:p>
    <w:p>
      <w:pPr>
        <w:pStyle w:val="1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4"/>
          <w:b/>
          <w:bCs/>
          <w:color w:val="auto"/>
          <w:sz w:val="24"/>
          <w:szCs w:val="24"/>
        </w:rPr>
        <w:t>https://www.szcredit.org.cn/?cdType=sgsl&amp;type=XZXK#/xyfw</w:t>
      </w:r>
      <w:r>
        <w:rPr>
          <w:rStyle w:val="24"/>
          <w:b/>
          <w:bCs/>
          <w:color w:val="auto"/>
          <w:sz w:val="24"/>
          <w:szCs w:val="24"/>
        </w:rPr>
        <w:fldChar w:fldCharType="end"/>
      </w:r>
      <w:r>
        <w:rPr>
          <w:rFonts w:hint="eastAsia"/>
          <w:b/>
          <w:bCs/>
          <w:sz w:val="24"/>
          <w:szCs w:val="24"/>
        </w:rPr>
        <w:t>）</w:t>
      </w:r>
    </w:p>
    <w:p>
      <w:pPr>
        <w:pStyle w:val="13"/>
        <w:rPr>
          <w:b/>
          <w:bCs/>
          <w:sz w:val="24"/>
          <w:szCs w:val="24"/>
        </w:rPr>
      </w:pPr>
      <w:r>
        <w:rPr>
          <w:rFonts w:hint="eastAsia"/>
          <w:b/>
          <w:bCs/>
          <w:sz w:val="24"/>
          <w:szCs w:val="24"/>
        </w:rPr>
        <w:t>示例图片：</w:t>
      </w:r>
    </w:p>
    <w:p>
      <w:pPr>
        <w:pStyle w:val="1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3"/>
        <w:jc w:val="center"/>
        <w:rPr>
          <w:b/>
          <w:bCs/>
          <w:sz w:val="24"/>
          <w:szCs w:val="24"/>
        </w:rPr>
      </w:pPr>
    </w:p>
    <w:p>
      <w:pPr>
        <w:pStyle w:val="1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w:t>
      </w:r>
      <w:r>
        <w:rPr>
          <w:rFonts w:hint="eastAsia" w:ascii="宋体" w:hAnsi="宋体"/>
          <w:b/>
          <w:color w:val="000000"/>
          <w:sz w:val="28"/>
          <w:szCs w:val="28"/>
          <w:lang w:val="en-US" w:eastAsia="zh-CN"/>
        </w:rPr>
        <w:t>五</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pStyle w:val="1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w:t>
      </w:r>
      <w:r>
        <w:rPr>
          <w:rFonts w:hint="eastAsia" w:ascii="宋体" w:hAnsi="宋体"/>
          <w:b/>
          <w:bCs/>
          <w:sz w:val="28"/>
          <w:szCs w:val="28"/>
          <w:lang w:val="en-US" w:eastAsia="zh-CN"/>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w:t>
      </w:r>
      <w:r>
        <w:rPr>
          <w:rFonts w:hint="eastAsia" w:ascii="宋体" w:hAnsi="宋体" w:cs="Arial"/>
          <w:b/>
          <w:color w:val="000000"/>
          <w:sz w:val="28"/>
          <w:szCs w:val="28"/>
          <w:lang w:val="en-US" w:eastAsia="zh-CN"/>
        </w:rPr>
        <w:t>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10</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12"/>
        <w:snapToGrid w:val="0"/>
        <w:spacing w:line="240" w:lineRule="auto"/>
        <w:ind w:left="73" w:leftChars="4" w:hanging="65" w:hangingChars="31"/>
        <w:contextualSpacing/>
        <w:rPr>
          <w:rFonts w:hint="eastAsia" w:ascii="宋体" w:hAnsi="宋体" w:eastAsia="宋体"/>
          <w:sz w:val="21"/>
          <w:szCs w:val="21"/>
        </w:rPr>
      </w:pPr>
    </w:p>
    <w:tbl>
      <w:tblPr>
        <w:tblStyle w:val="21"/>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7"/>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597" w:type="dxa"/>
            <w:noWrap w:val="0"/>
            <w:vAlign w:val="top"/>
          </w:tcPr>
          <w:p>
            <w:pPr>
              <w:widowControl/>
              <w:spacing w:line="360" w:lineRule="exact"/>
              <w:ind w:left="1" w:hanging="1"/>
              <w:jc w:val="center"/>
              <w:rPr>
                <w:rFonts w:hint="eastAsia" w:ascii="宋体" w:hAnsi="宋体"/>
                <w:sz w:val="30"/>
                <w:szCs w:val="30"/>
              </w:rPr>
            </w:pPr>
            <w:bookmarkStart w:id="9" w:name="_GoBack" w:colFirst="0" w:colLast="1"/>
            <w:r>
              <w:rPr>
                <w:rFonts w:hint="eastAsia" w:ascii="宋体" w:hAnsi="宋体"/>
                <w:sz w:val="30"/>
                <w:szCs w:val="30"/>
              </w:rPr>
              <w:t>项目名称</w:t>
            </w:r>
          </w:p>
        </w:tc>
        <w:tc>
          <w:tcPr>
            <w:tcW w:w="4397" w:type="dxa"/>
            <w:noWrap w:val="0"/>
            <w:vAlign w:val="center"/>
          </w:tcPr>
          <w:p>
            <w:pPr>
              <w:widowControl/>
              <w:spacing w:line="360" w:lineRule="exact"/>
              <w:ind w:left="1" w:hanging="1"/>
              <w:jc w:val="center"/>
              <w:rPr>
                <w:rFonts w:hint="eastAsia" w:ascii="宋体" w:hAnsi="宋体"/>
                <w:sz w:val="30"/>
                <w:szCs w:val="30"/>
              </w:rPr>
            </w:pPr>
            <w:r>
              <w:rPr>
                <w:rFonts w:hint="eastAsia" w:ascii="宋体" w:hAnsi="宋体"/>
                <w:sz w:val="30"/>
                <w:szCs w:val="30"/>
              </w:rPr>
              <w:t>单程费用（元</w:t>
            </w:r>
            <w:r>
              <w:rPr>
                <w:rFonts w:hint="eastAsia" w:ascii="宋体" w:hAnsi="宋体"/>
                <w:sz w:val="30"/>
                <w:szCs w:val="30"/>
                <w:lang w:val="en-US" w:eastAsia="zh-CN"/>
              </w:rPr>
              <w:t>/次</w:t>
            </w:r>
            <w:r>
              <w:rPr>
                <w:rFonts w:hint="eastAsia" w:ascii="宋体" w:hAnsi="宋体"/>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597" w:type="dxa"/>
            <w:noWrap w:val="0"/>
            <w:vAlign w:val="center"/>
          </w:tcPr>
          <w:p>
            <w:pPr>
              <w:widowControl/>
              <w:spacing w:line="360" w:lineRule="exact"/>
              <w:ind w:left="1" w:hanging="1"/>
              <w:jc w:val="center"/>
              <w:rPr>
                <w:rFonts w:hint="eastAsia" w:ascii="宋体" w:hAnsi="宋体"/>
                <w:sz w:val="30"/>
                <w:szCs w:val="30"/>
              </w:rPr>
            </w:pPr>
            <w:r>
              <w:rPr>
                <w:rFonts w:hint="eastAsia" w:ascii="宋体" w:hAnsi="宋体"/>
                <w:sz w:val="30"/>
                <w:szCs w:val="30"/>
                <w:lang w:val="en-US" w:eastAsia="zh-CN"/>
              </w:rPr>
              <w:t>消毒供应室消毒配送服务</w:t>
            </w:r>
          </w:p>
        </w:tc>
        <w:tc>
          <w:tcPr>
            <w:tcW w:w="4397" w:type="dxa"/>
            <w:noWrap w:val="0"/>
            <w:vAlign w:val="center"/>
          </w:tcPr>
          <w:p>
            <w:pPr>
              <w:widowControl/>
              <w:spacing w:line="360" w:lineRule="exact"/>
              <w:ind w:left="1" w:hanging="1"/>
              <w:jc w:val="center"/>
              <w:rPr>
                <w:rFonts w:hint="eastAsia" w:ascii="宋体" w:hAnsi="宋体"/>
                <w:sz w:val="30"/>
                <w:szCs w:val="30"/>
              </w:rPr>
            </w:pPr>
          </w:p>
        </w:tc>
      </w:tr>
      <w:bookmarkEnd w:id="9"/>
    </w:tbl>
    <w:p>
      <w:pPr>
        <w:pStyle w:val="1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新宋体">
    <w:panose1 w:val="02010609030101010101"/>
    <w:charset w:val="86"/>
    <w:family w:val="modern"/>
    <w:pitch w:val="default"/>
    <w:sig w:usb0="000002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singleLevel"/>
    <w:tmpl w:val="00000004"/>
    <w:lvl w:ilvl="0" w:tentative="0">
      <w:start w:val="1"/>
      <w:numFmt w:val="decimal"/>
      <w:suff w:val="nothing"/>
      <w:lvlText w:val="%1、"/>
      <w:lvlJc w:val="left"/>
    </w:lvl>
  </w:abstractNum>
  <w:abstractNum w:abstractNumId="1">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val="0"/>
        <w:bCs w:val="0"/>
      </w:r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873"/>
    <w:rsid w:val="00006320"/>
    <w:rsid w:val="0000793C"/>
    <w:rsid w:val="00007B0B"/>
    <w:rsid w:val="000102F1"/>
    <w:rsid w:val="00011789"/>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7452"/>
    <w:rsid w:val="00090C0A"/>
    <w:rsid w:val="00090C4B"/>
    <w:rsid w:val="00091616"/>
    <w:rsid w:val="000958B9"/>
    <w:rsid w:val="00095955"/>
    <w:rsid w:val="0009739B"/>
    <w:rsid w:val="000A0779"/>
    <w:rsid w:val="000A18FA"/>
    <w:rsid w:val="000A1EF2"/>
    <w:rsid w:val="000A2BA8"/>
    <w:rsid w:val="000A2F79"/>
    <w:rsid w:val="000A58A6"/>
    <w:rsid w:val="000A6FB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5D0F"/>
    <w:rsid w:val="00100D65"/>
    <w:rsid w:val="00100EED"/>
    <w:rsid w:val="00100F62"/>
    <w:rsid w:val="00101B90"/>
    <w:rsid w:val="00104905"/>
    <w:rsid w:val="00106609"/>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F90"/>
    <w:rsid w:val="001607AF"/>
    <w:rsid w:val="00165544"/>
    <w:rsid w:val="001658AA"/>
    <w:rsid w:val="001710BF"/>
    <w:rsid w:val="00177F0B"/>
    <w:rsid w:val="001803FD"/>
    <w:rsid w:val="00183565"/>
    <w:rsid w:val="00184C93"/>
    <w:rsid w:val="00193C6D"/>
    <w:rsid w:val="00193EDA"/>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323B"/>
    <w:rsid w:val="001C4813"/>
    <w:rsid w:val="001C61C1"/>
    <w:rsid w:val="001C6C0F"/>
    <w:rsid w:val="001C752A"/>
    <w:rsid w:val="001C791D"/>
    <w:rsid w:val="001D10CB"/>
    <w:rsid w:val="001D130F"/>
    <w:rsid w:val="001D15BE"/>
    <w:rsid w:val="001E7279"/>
    <w:rsid w:val="001F0721"/>
    <w:rsid w:val="001F2AD4"/>
    <w:rsid w:val="001F34B6"/>
    <w:rsid w:val="00203B43"/>
    <w:rsid w:val="00203D3C"/>
    <w:rsid w:val="002042DC"/>
    <w:rsid w:val="00204BAA"/>
    <w:rsid w:val="00205257"/>
    <w:rsid w:val="002152B7"/>
    <w:rsid w:val="00217374"/>
    <w:rsid w:val="002212E5"/>
    <w:rsid w:val="002228AA"/>
    <w:rsid w:val="00222CF7"/>
    <w:rsid w:val="0022489C"/>
    <w:rsid w:val="00226DE9"/>
    <w:rsid w:val="00227565"/>
    <w:rsid w:val="00227E44"/>
    <w:rsid w:val="00230894"/>
    <w:rsid w:val="0023436B"/>
    <w:rsid w:val="00235561"/>
    <w:rsid w:val="00236614"/>
    <w:rsid w:val="00237150"/>
    <w:rsid w:val="00237D2B"/>
    <w:rsid w:val="002426EF"/>
    <w:rsid w:val="002430E0"/>
    <w:rsid w:val="00243CF0"/>
    <w:rsid w:val="00247B32"/>
    <w:rsid w:val="00251F4F"/>
    <w:rsid w:val="00253E48"/>
    <w:rsid w:val="00254127"/>
    <w:rsid w:val="00254949"/>
    <w:rsid w:val="00255EFC"/>
    <w:rsid w:val="002612ED"/>
    <w:rsid w:val="002627A3"/>
    <w:rsid w:val="00263CB1"/>
    <w:rsid w:val="00264C15"/>
    <w:rsid w:val="00266AA2"/>
    <w:rsid w:val="0026737D"/>
    <w:rsid w:val="00272284"/>
    <w:rsid w:val="00272952"/>
    <w:rsid w:val="002828EA"/>
    <w:rsid w:val="0028321D"/>
    <w:rsid w:val="002906B4"/>
    <w:rsid w:val="00293481"/>
    <w:rsid w:val="00295F48"/>
    <w:rsid w:val="00297265"/>
    <w:rsid w:val="002A14AC"/>
    <w:rsid w:val="002A30CA"/>
    <w:rsid w:val="002A576F"/>
    <w:rsid w:val="002A7FFB"/>
    <w:rsid w:val="002B1321"/>
    <w:rsid w:val="002B338D"/>
    <w:rsid w:val="002B6B37"/>
    <w:rsid w:val="002B75A3"/>
    <w:rsid w:val="002B7BAC"/>
    <w:rsid w:val="002C04D0"/>
    <w:rsid w:val="002C3FA1"/>
    <w:rsid w:val="002C6AE9"/>
    <w:rsid w:val="002C7226"/>
    <w:rsid w:val="002D1C94"/>
    <w:rsid w:val="002D2C64"/>
    <w:rsid w:val="002D4B74"/>
    <w:rsid w:val="002D732F"/>
    <w:rsid w:val="002D734B"/>
    <w:rsid w:val="002E0453"/>
    <w:rsid w:val="002E1066"/>
    <w:rsid w:val="002E2F4D"/>
    <w:rsid w:val="002E4AD1"/>
    <w:rsid w:val="002E6FAC"/>
    <w:rsid w:val="002F131C"/>
    <w:rsid w:val="002F3F1B"/>
    <w:rsid w:val="002F4257"/>
    <w:rsid w:val="002F71F0"/>
    <w:rsid w:val="00301201"/>
    <w:rsid w:val="00301716"/>
    <w:rsid w:val="00303567"/>
    <w:rsid w:val="00304455"/>
    <w:rsid w:val="00304F08"/>
    <w:rsid w:val="0030760C"/>
    <w:rsid w:val="00316F98"/>
    <w:rsid w:val="00321B70"/>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53D1"/>
    <w:rsid w:val="00407D6D"/>
    <w:rsid w:val="0041217F"/>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6045"/>
    <w:rsid w:val="00457A11"/>
    <w:rsid w:val="00464885"/>
    <w:rsid w:val="004651C3"/>
    <w:rsid w:val="00465481"/>
    <w:rsid w:val="004665AE"/>
    <w:rsid w:val="00466F81"/>
    <w:rsid w:val="00470A1A"/>
    <w:rsid w:val="0047228C"/>
    <w:rsid w:val="0047305B"/>
    <w:rsid w:val="00475924"/>
    <w:rsid w:val="00475E52"/>
    <w:rsid w:val="00476E99"/>
    <w:rsid w:val="00481693"/>
    <w:rsid w:val="00484513"/>
    <w:rsid w:val="004928A2"/>
    <w:rsid w:val="00492BC7"/>
    <w:rsid w:val="00493413"/>
    <w:rsid w:val="004957A5"/>
    <w:rsid w:val="004958B6"/>
    <w:rsid w:val="004A5756"/>
    <w:rsid w:val="004A602C"/>
    <w:rsid w:val="004A695F"/>
    <w:rsid w:val="004B2BB0"/>
    <w:rsid w:val="004B6577"/>
    <w:rsid w:val="004C0337"/>
    <w:rsid w:val="004C38C1"/>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6757"/>
    <w:rsid w:val="00530610"/>
    <w:rsid w:val="00530F85"/>
    <w:rsid w:val="0053209C"/>
    <w:rsid w:val="005331A1"/>
    <w:rsid w:val="00533F97"/>
    <w:rsid w:val="005366D0"/>
    <w:rsid w:val="00537B70"/>
    <w:rsid w:val="00541582"/>
    <w:rsid w:val="00545EE8"/>
    <w:rsid w:val="00547E5A"/>
    <w:rsid w:val="005509AC"/>
    <w:rsid w:val="005546F6"/>
    <w:rsid w:val="00560677"/>
    <w:rsid w:val="0056246C"/>
    <w:rsid w:val="005627A8"/>
    <w:rsid w:val="00565BE4"/>
    <w:rsid w:val="005753A2"/>
    <w:rsid w:val="005773C0"/>
    <w:rsid w:val="00580AEF"/>
    <w:rsid w:val="00581309"/>
    <w:rsid w:val="0058309A"/>
    <w:rsid w:val="00584EFC"/>
    <w:rsid w:val="00593241"/>
    <w:rsid w:val="00593596"/>
    <w:rsid w:val="005A1878"/>
    <w:rsid w:val="005A2256"/>
    <w:rsid w:val="005A3FE2"/>
    <w:rsid w:val="005A60E5"/>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44C0"/>
    <w:rsid w:val="00604D43"/>
    <w:rsid w:val="006056B2"/>
    <w:rsid w:val="00605CA2"/>
    <w:rsid w:val="0060710B"/>
    <w:rsid w:val="0061687E"/>
    <w:rsid w:val="00617888"/>
    <w:rsid w:val="006252E6"/>
    <w:rsid w:val="0062768C"/>
    <w:rsid w:val="00627B05"/>
    <w:rsid w:val="00632F2E"/>
    <w:rsid w:val="0063330B"/>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76A8"/>
    <w:rsid w:val="00690CD9"/>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6902"/>
    <w:rsid w:val="006F0962"/>
    <w:rsid w:val="006F0A02"/>
    <w:rsid w:val="006F4E32"/>
    <w:rsid w:val="006F7A9B"/>
    <w:rsid w:val="00700642"/>
    <w:rsid w:val="0070452E"/>
    <w:rsid w:val="00704F00"/>
    <w:rsid w:val="007061F5"/>
    <w:rsid w:val="0072640C"/>
    <w:rsid w:val="00726A23"/>
    <w:rsid w:val="00731346"/>
    <w:rsid w:val="007316C8"/>
    <w:rsid w:val="00731E4F"/>
    <w:rsid w:val="007329FB"/>
    <w:rsid w:val="0073320B"/>
    <w:rsid w:val="007336E0"/>
    <w:rsid w:val="00736606"/>
    <w:rsid w:val="007376FD"/>
    <w:rsid w:val="0074275C"/>
    <w:rsid w:val="00742F7B"/>
    <w:rsid w:val="007460B8"/>
    <w:rsid w:val="00747B37"/>
    <w:rsid w:val="0075120A"/>
    <w:rsid w:val="00752443"/>
    <w:rsid w:val="0075319F"/>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C1226"/>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35FE"/>
    <w:rsid w:val="007F3E26"/>
    <w:rsid w:val="007F4E9A"/>
    <w:rsid w:val="007F6A7F"/>
    <w:rsid w:val="008046DC"/>
    <w:rsid w:val="00810FE0"/>
    <w:rsid w:val="00811F91"/>
    <w:rsid w:val="00812196"/>
    <w:rsid w:val="00820145"/>
    <w:rsid w:val="0082199A"/>
    <w:rsid w:val="00822142"/>
    <w:rsid w:val="0082496A"/>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A5BE9"/>
    <w:rsid w:val="008A608B"/>
    <w:rsid w:val="008B00E9"/>
    <w:rsid w:val="008B0CED"/>
    <w:rsid w:val="008B4387"/>
    <w:rsid w:val="008B64A2"/>
    <w:rsid w:val="008B7021"/>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934"/>
    <w:rsid w:val="00903F29"/>
    <w:rsid w:val="009040D7"/>
    <w:rsid w:val="00905879"/>
    <w:rsid w:val="009072D6"/>
    <w:rsid w:val="00910729"/>
    <w:rsid w:val="00910978"/>
    <w:rsid w:val="00911CB8"/>
    <w:rsid w:val="00914EA0"/>
    <w:rsid w:val="00914F52"/>
    <w:rsid w:val="009200B3"/>
    <w:rsid w:val="00920F46"/>
    <w:rsid w:val="00922D26"/>
    <w:rsid w:val="00925C45"/>
    <w:rsid w:val="0093293B"/>
    <w:rsid w:val="00934BDD"/>
    <w:rsid w:val="0093523F"/>
    <w:rsid w:val="00950EE8"/>
    <w:rsid w:val="00951A52"/>
    <w:rsid w:val="00954189"/>
    <w:rsid w:val="009543FB"/>
    <w:rsid w:val="00954A47"/>
    <w:rsid w:val="00957E88"/>
    <w:rsid w:val="00961134"/>
    <w:rsid w:val="00961B85"/>
    <w:rsid w:val="00963B23"/>
    <w:rsid w:val="00963C4A"/>
    <w:rsid w:val="009640E2"/>
    <w:rsid w:val="00965DB7"/>
    <w:rsid w:val="00967587"/>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1387"/>
    <w:rsid w:val="009A7824"/>
    <w:rsid w:val="009B0DEF"/>
    <w:rsid w:val="009B15A2"/>
    <w:rsid w:val="009B1DA4"/>
    <w:rsid w:val="009B5CE7"/>
    <w:rsid w:val="009C097C"/>
    <w:rsid w:val="009C7121"/>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368D1"/>
    <w:rsid w:val="00A40AA0"/>
    <w:rsid w:val="00A40AD9"/>
    <w:rsid w:val="00A41EBF"/>
    <w:rsid w:val="00A441BE"/>
    <w:rsid w:val="00A47DD1"/>
    <w:rsid w:val="00A51E50"/>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64E6"/>
    <w:rsid w:val="00AB1041"/>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5923"/>
    <w:rsid w:val="00B86563"/>
    <w:rsid w:val="00B9088B"/>
    <w:rsid w:val="00B91724"/>
    <w:rsid w:val="00B92C40"/>
    <w:rsid w:val="00B93457"/>
    <w:rsid w:val="00B96161"/>
    <w:rsid w:val="00BA1321"/>
    <w:rsid w:val="00BA1868"/>
    <w:rsid w:val="00BA33E8"/>
    <w:rsid w:val="00BA4125"/>
    <w:rsid w:val="00BA5007"/>
    <w:rsid w:val="00BA5D2C"/>
    <w:rsid w:val="00BA70F1"/>
    <w:rsid w:val="00BA7AF1"/>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30926"/>
    <w:rsid w:val="00C30EAD"/>
    <w:rsid w:val="00C33189"/>
    <w:rsid w:val="00C34DFC"/>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BC8"/>
    <w:rsid w:val="00CA399F"/>
    <w:rsid w:val="00CA59D9"/>
    <w:rsid w:val="00CB0783"/>
    <w:rsid w:val="00CB429F"/>
    <w:rsid w:val="00CB6716"/>
    <w:rsid w:val="00CC386D"/>
    <w:rsid w:val="00CC4037"/>
    <w:rsid w:val="00CC5A6C"/>
    <w:rsid w:val="00CC76DD"/>
    <w:rsid w:val="00CD0F9C"/>
    <w:rsid w:val="00CD32FE"/>
    <w:rsid w:val="00CD36CD"/>
    <w:rsid w:val="00CD3AF9"/>
    <w:rsid w:val="00CD607A"/>
    <w:rsid w:val="00CD69B2"/>
    <w:rsid w:val="00CD720F"/>
    <w:rsid w:val="00CD7A1E"/>
    <w:rsid w:val="00CE0A60"/>
    <w:rsid w:val="00CE1D82"/>
    <w:rsid w:val="00CE2836"/>
    <w:rsid w:val="00CE39B5"/>
    <w:rsid w:val="00CE44C8"/>
    <w:rsid w:val="00CE54C3"/>
    <w:rsid w:val="00CE7BA4"/>
    <w:rsid w:val="00CF136E"/>
    <w:rsid w:val="00CF373D"/>
    <w:rsid w:val="00CF3E7E"/>
    <w:rsid w:val="00CF7E74"/>
    <w:rsid w:val="00D01623"/>
    <w:rsid w:val="00D059DA"/>
    <w:rsid w:val="00D06094"/>
    <w:rsid w:val="00D07464"/>
    <w:rsid w:val="00D123DC"/>
    <w:rsid w:val="00D12711"/>
    <w:rsid w:val="00D13D24"/>
    <w:rsid w:val="00D2267C"/>
    <w:rsid w:val="00D23C99"/>
    <w:rsid w:val="00D278B0"/>
    <w:rsid w:val="00D3295F"/>
    <w:rsid w:val="00D33EE4"/>
    <w:rsid w:val="00D3588C"/>
    <w:rsid w:val="00D359E0"/>
    <w:rsid w:val="00D408F9"/>
    <w:rsid w:val="00D4224C"/>
    <w:rsid w:val="00D4335B"/>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369B"/>
    <w:rsid w:val="00E246EA"/>
    <w:rsid w:val="00E24CB5"/>
    <w:rsid w:val="00E26218"/>
    <w:rsid w:val="00E301A3"/>
    <w:rsid w:val="00E30DAD"/>
    <w:rsid w:val="00E32677"/>
    <w:rsid w:val="00E32F62"/>
    <w:rsid w:val="00E359C0"/>
    <w:rsid w:val="00E4034A"/>
    <w:rsid w:val="00E408B8"/>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768E"/>
    <w:rsid w:val="00EA7BE9"/>
    <w:rsid w:val="00EB07D5"/>
    <w:rsid w:val="00EB1B36"/>
    <w:rsid w:val="00EB1CF5"/>
    <w:rsid w:val="00EB3A59"/>
    <w:rsid w:val="00EB3BAD"/>
    <w:rsid w:val="00EB400F"/>
    <w:rsid w:val="00EB5F7A"/>
    <w:rsid w:val="00EB6C70"/>
    <w:rsid w:val="00EB7EC9"/>
    <w:rsid w:val="00EC227F"/>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25FA"/>
    <w:rsid w:val="00EF3F91"/>
    <w:rsid w:val="00EF528A"/>
    <w:rsid w:val="00EF5584"/>
    <w:rsid w:val="00EF74E4"/>
    <w:rsid w:val="00EF76F4"/>
    <w:rsid w:val="00F03371"/>
    <w:rsid w:val="00F11A63"/>
    <w:rsid w:val="00F130CB"/>
    <w:rsid w:val="00F20C14"/>
    <w:rsid w:val="00F21DBE"/>
    <w:rsid w:val="00F225B4"/>
    <w:rsid w:val="00F22CE0"/>
    <w:rsid w:val="00F23463"/>
    <w:rsid w:val="00F260C4"/>
    <w:rsid w:val="00F30095"/>
    <w:rsid w:val="00F3011A"/>
    <w:rsid w:val="00F31614"/>
    <w:rsid w:val="00F35B01"/>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E1E48"/>
    <w:rsid w:val="00FE3BF2"/>
    <w:rsid w:val="00FE55DC"/>
    <w:rsid w:val="00FF0B68"/>
    <w:rsid w:val="00FF2BBC"/>
    <w:rsid w:val="00FF6AE5"/>
    <w:rsid w:val="01B3097E"/>
    <w:rsid w:val="02BA602B"/>
    <w:rsid w:val="02E041EE"/>
    <w:rsid w:val="04BA6D56"/>
    <w:rsid w:val="054D6166"/>
    <w:rsid w:val="05772532"/>
    <w:rsid w:val="065B72F3"/>
    <w:rsid w:val="068103B0"/>
    <w:rsid w:val="09016473"/>
    <w:rsid w:val="09073821"/>
    <w:rsid w:val="0970184A"/>
    <w:rsid w:val="0C8C4337"/>
    <w:rsid w:val="100B69F4"/>
    <w:rsid w:val="1475010A"/>
    <w:rsid w:val="14B85F89"/>
    <w:rsid w:val="153E3549"/>
    <w:rsid w:val="168F3C34"/>
    <w:rsid w:val="18A37495"/>
    <w:rsid w:val="1984103F"/>
    <w:rsid w:val="19A67747"/>
    <w:rsid w:val="1A663D17"/>
    <w:rsid w:val="1D102208"/>
    <w:rsid w:val="1E37428D"/>
    <w:rsid w:val="1E8245AD"/>
    <w:rsid w:val="25685CAB"/>
    <w:rsid w:val="25916979"/>
    <w:rsid w:val="28321027"/>
    <w:rsid w:val="287B37A3"/>
    <w:rsid w:val="29126661"/>
    <w:rsid w:val="299D5ED5"/>
    <w:rsid w:val="29B63249"/>
    <w:rsid w:val="29F8398C"/>
    <w:rsid w:val="29FC4F8B"/>
    <w:rsid w:val="2A6E6190"/>
    <w:rsid w:val="2DFD4BAB"/>
    <w:rsid w:val="2F2B1BEC"/>
    <w:rsid w:val="2F682F01"/>
    <w:rsid w:val="307C56EC"/>
    <w:rsid w:val="317F1137"/>
    <w:rsid w:val="329C76FF"/>
    <w:rsid w:val="32EF50C4"/>
    <w:rsid w:val="33ED1987"/>
    <w:rsid w:val="341E587B"/>
    <w:rsid w:val="34D7691B"/>
    <w:rsid w:val="34E13287"/>
    <w:rsid w:val="360D1771"/>
    <w:rsid w:val="38F80D91"/>
    <w:rsid w:val="3A227ADB"/>
    <w:rsid w:val="3C6A5B02"/>
    <w:rsid w:val="40C65D41"/>
    <w:rsid w:val="42E3216A"/>
    <w:rsid w:val="43EC179D"/>
    <w:rsid w:val="46E80A0F"/>
    <w:rsid w:val="49A308A5"/>
    <w:rsid w:val="49E22A33"/>
    <w:rsid w:val="4B36751C"/>
    <w:rsid w:val="4B8A7F8A"/>
    <w:rsid w:val="4D6C5536"/>
    <w:rsid w:val="4E4C7A1B"/>
    <w:rsid w:val="4E5744B8"/>
    <w:rsid w:val="4E8F1C60"/>
    <w:rsid w:val="4F245FE4"/>
    <w:rsid w:val="50CF3D93"/>
    <w:rsid w:val="51981FF4"/>
    <w:rsid w:val="51FF032F"/>
    <w:rsid w:val="53CD19F7"/>
    <w:rsid w:val="556E6AF5"/>
    <w:rsid w:val="564F6EA2"/>
    <w:rsid w:val="5A0477B8"/>
    <w:rsid w:val="5A3D7F5A"/>
    <w:rsid w:val="5CCC3817"/>
    <w:rsid w:val="5DCF7A63"/>
    <w:rsid w:val="5DFF4054"/>
    <w:rsid w:val="5E03200D"/>
    <w:rsid w:val="5F404B37"/>
    <w:rsid w:val="5F5F2503"/>
    <w:rsid w:val="60FD7D2E"/>
    <w:rsid w:val="61187829"/>
    <w:rsid w:val="611E71C2"/>
    <w:rsid w:val="62E0445B"/>
    <w:rsid w:val="633845E9"/>
    <w:rsid w:val="645D3BCA"/>
    <w:rsid w:val="64C45B85"/>
    <w:rsid w:val="673E09F7"/>
    <w:rsid w:val="677C37D9"/>
    <w:rsid w:val="684E7CC7"/>
    <w:rsid w:val="69AE5357"/>
    <w:rsid w:val="6A073068"/>
    <w:rsid w:val="6A912821"/>
    <w:rsid w:val="6BB3666B"/>
    <w:rsid w:val="6C67530A"/>
    <w:rsid w:val="6D9D4CB1"/>
    <w:rsid w:val="6EC425A0"/>
    <w:rsid w:val="6EE20BF3"/>
    <w:rsid w:val="6F2276CB"/>
    <w:rsid w:val="70437B9A"/>
    <w:rsid w:val="72BA03CC"/>
    <w:rsid w:val="733C6D53"/>
    <w:rsid w:val="74F82A87"/>
    <w:rsid w:val="77362267"/>
    <w:rsid w:val="7C2C6CA8"/>
    <w:rsid w:val="7E982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qFormat/>
    <w:uiPriority w:val="0"/>
    <w:pPr>
      <w:spacing w:before="25" w:after="25"/>
    </w:pPr>
    <w:rPr>
      <w:bCs/>
      <w:spacing w:val="10"/>
      <w:szCs w:val="20"/>
    </w:rPr>
  </w:style>
  <w:style w:type="paragraph" w:customStyle="1" w:styleId="3">
    <w:name w:val="正文 New"/>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6">
    <w:name w:val="Normal Indent"/>
    <w:basedOn w:val="1"/>
    <w:link w:val="29"/>
    <w:qFormat/>
    <w:uiPriority w:val="0"/>
    <w:pPr>
      <w:ind w:firstLine="420"/>
    </w:pPr>
    <w:rPr>
      <w:szCs w:val="20"/>
    </w:rPr>
  </w:style>
  <w:style w:type="paragraph" w:styleId="7">
    <w:name w:val="annotation text"/>
    <w:basedOn w:val="1"/>
    <w:link w:val="44"/>
    <w:qFormat/>
    <w:uiPriority w:val="99"/>
    <w:pPr>
      <w:jc w:val="left"/>
    </w:pPr>
  </w:style>
  <w:style w:type="paragraph" w:styleId="8">
    <w:name w:val="index 6"/>
    <w:basedOn w:val="1"/>
    <w:next w:val="1"/>
    <w:qFormat/>
    <w:uiPriority w:val="0"/>
  </w:style>
  <w:style w:type="paragraph" w:styleId="9">
    <w:name w:val="Body Text"/>
    <w:basedOn w:val="1"/>
    <w:next w:val="10"/>
    <w:link w:val="37"/>
    <w:qFormat/>
    <w:uiPriority w:val="99"/>
    <w:pPr>
      <w:spacing w:after="120"/>
    </w:pPr>
  </w:style>
  <w:style w:type="paragraph" w:styleId="10">
    <w:name w:val="Title"/>
    <w:basedOn w:val="1"/>
    <w:next w:val="1"/>
    <w:qFormat/>
    <w:uiPriority w:val="0"/>
    <w:pPr>
      <w:spacing w:before="240" w:after="60"/>
      <w:jc w:val="center"/>
      <w:outlineLvl w:val="0"/>
    </w:pPr>
    <w:rPr>
      <w:rFonts w:ascii="Arial" w:hAnsi="Arial" w:eastAsia="隶书"/>
      <w:b/>
      <w:bCs/>
      <w:sz w:val="32"/>
      <w:szCs w:val="32"/>
    </w:rPr>
  </w:style>
  <w:style w:type="paragraph" w:styleId="11">
    <w:name w:val="Body Text Indent"/>
    <w:basedOn w:val="1"/>
    <w:link w:val="58"/>
    <w:semiHidden/>
    <w:unhideWhenUsed/>
    <w:qFormat/>
    <w:uiPriority w:val="99"/>
    <w:pPr>
      <w:spacing w:after="120"/>
      <w:ind w:left="420" w:leftChars="200"/>
    </w:pPr>
  </w:style>
  <w:style w:type="paragraph" w:styleId="12">
    <w:name w:val="List 2"/>
    <w:basedOn w:val="1"/>
    <w:next w:val="1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3">
    <w:name w:val="Plain Text"/>
    <w:basedOn w:val="1"/>
    <w:link w:val="30"/>
    <w:qFormat/>
    <w:uiPriority w:val="0"/>
    <w:rPr>
      <w:rFonts w:ascii="宋体" w:hAnsi="Courier New" w:cs="宋体"/>
      <w:szCs w:val="21"/>
    </w:rPr>
  </w:style>
  <w:style w:type="paragraph" w:styleId="14">
    <w:name w:val="Date"/>
    <w:basedOn w:val="1"/>
    <w:next w:val="1"/>
    <w:link w:val="43"/>
    <w:semiHidden/>
    <w:unhideWhenUsed/>
    <w:qFormat/>
    <w:uiPriority w:val="99"/>
    <w:pPr>
      <w:ind w:left="100" w:leftChars="2500"/>
    </w:pPr>
  </w:style>
  <w:style w:type="paragraph" w:styleId="15">
    <w:name w:val="Balloon Text"/>
    <w:basedOn w:val="1"/>
    <w:link w:val="47"/>
    <w:semiHidden/>
    <w:unhideWhenUsed/>
    <w:qFormat/>
    <w:uiPriority w:val="99"/>
    <w:rPr>
      <w:sz w:val="18"/>
      <w:szCs w:val="18"/>
    </w:rPr>
  </w:style>
  <w:style w:type="paragraph" w:styleId="16">
    <w:name w:val="footer"/>
    <w:basedOn w:val="1"/>
    <w:link w:val="32"/>
    <w:unhideWhenUsed/>
    <w:qFormat/>
    <w:uiPriority w:val="99"/>
    <w:pPr>
      <w:tabs>
        <w:tab w:val="center" w:pos="4153"/>
        <w:tab w:val="right" w:pos="8306"/>
      </w:tabs>
      <w:snapToGrid w:val="0"/>
      <w:jc w:val="left"/>
    </w:pPr>
    <w:rPr>
      <w:sz w:val="18"/>
      <w:szCs w:val="18"/>
    </w:rPr>
  </w:style>
  <w:style w:type="paragraph" w:styleId="17">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Body Text 2"/>
    <w:basedOn w:val="1"/>
    <w:link w:val="68"/>
    <w:semiHidden/>
    <w:unhideWhenUsed/>
    <w:qFormat/>
    <w:uiPriority w:val="99"/>
    <w:pPr>
      <w:spacing w:after="120" w:line="480" w:lineRule="auto"/>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0">
    <w:name w:val="Body Text First Indent 2"/>
    <w:basedOn w:val="11"/>
    <w:link w:val="59"/>
    <w:semiHidden/>
    <w:unhideWhenUsed/>
    <w:qFormat/>
    <w:uiPriority w:val="99"/>
    <w:pPr>
      <w:ind w:firstLine="420" w:firstLineChars="200"/>
    </w:p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qFormat/>
    <w:uiPriority w:val="99"/>
    <w:rPr>
      <w:color w:val="0000FF"/>
      <w:u w:val="single"/>
    </w:rPr>
  </w:style>
  <w:style w:type="character" w:styleId="25">
    <w:name w:val="annotation reference"/>
    <w:basedOn w:val="23"/>
    <w:qFormat/>
    <w:uiPriority w:val="99"/>
    <w:rPr>
      <w:sz w:val="21"/>
      <w:szCs w:val="21"/>
    </w:rPr>
  </w:style>
  <w:style w:type="paragraph" w:customStyle="1" w:styleId="26">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7">
    <w:name w:val="标题 1 Char"/>
    <w:qFormat/>
    <w:uiPriority w:val="0"/>
    <w:rPr>
      <w:rFonts w:ascii="宋体" w:hAnsi="宋体" w:eastAsia="黑体"/>
      <w:b/>
      <w:bCs/>
      <w:kern w:val="44"/>
      <w:sz w:val="28"/>
      <w:szCs w:val="44"/>
      <w:lang w:val="en-US" w:eastAsia="zh-CN" w:bidi="ar-SA"/>
    </w:rPr>
  </w:style>
  <w:style w:type="character" w:customStyle="1" w:styleId="28">
    <w:name w:val="纯文本 字符"/>
    <w:basedOn w:val="23"/>
    <w:qFormat/>
    <w:uiPriority w:val="0"/>
    <w:rPr>
      <w:rFonts w:hAnsi="Courier New" w:cs="Courier New" w:asciiTheme="minorEastAsia"/>
      <w:szCs w:val="24"/>
    </w:rPr>
  </w:style>
  <w:style w:type="character" w:customStyle="1" w:styleId="29">
    <w:name w:val="正文缩进 字符"/>
    <w:basedOn w:val="23"/>
    <w:link w:val="6"/>
    <w:qFormat/>
    <w:uiPriority w:val="0"/>
    <w:rPr>
      <w:rFonts w:ascii="Times New Roman" w:hAnsi="Times New Roman" w:eastAsia="宋体" w:cs="Times New Roman"/>
      <w:szCs w:val="20"/>
    </w:rPr>
  </w:style>
  <w:style w:type="character" w:customStyle="1" w:styleId="30">
    <w:name w:val="纯文本 字符1"/>
    <w:basedOn w:val="23"/>
    <w:link w:val="13"/>
    <w:qFormat/>
    <w:uiPriority w:val="0"/>
    <w:rPr>
      <w:rFonts w:ascii="宋体" w:hAnsi="Courier New" w:eastAsia="宋体" w:cs="宋体"/>
      <w:szCs w:val="21"/>
    </w:rPr>
  </w:style>
  <w:style w:type="character" w:customStyle="1" w:styleId="31">
    <w:name w:val="页眉 字符"/>
    <w:basedOn w:val="23"/>
    <w:link w:val="17"/>
    <w:qFormat/>
    <w:uiPriority w:val="99"/>
    <w:rPr>
      <w:rFonts w:ascii="Times New Roman" w:hAnsi="Times New Roman" w:eastAsia="宋体" w:cs="Times New Roman"/>
      <w:sz w:val="18"/>
      <w:szCs w:val="18"/>
    </w:rPr>
  </w:style>
  <w:style w:type="character" w:customStyle="1" w:styleId="32">
    <w:name w:val="页脚 字符"/>
    <w:basedOn w:val="23"/>
    <w:link w:val="16"/>
    <w:qFormat/>
    <w:uiPriority w:val="99"/>
    <w:rPr>
      <w:rFonts w:ascii="Times New Roman" w:hAnsi="Times New Roman" w:eastAsia="宋体" w:cs="Times New Roman"/>
      <w:sz w:val="18"/>
      <w:szCs w:val="18"/>
    </w:rPr>
  </w:style>
  <w:style w:type="paragraph" w:customStyle="1" w:styleId="33">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4">
    <w:name w:val="正文缩进 Char1 Char"/>
    <w:basedOn w:val="23"/>
    <w:qFormat/>
    <w:uiPriority w:val="0"/>
    <w:rPr>
      <w:kern w:val="2"/>
      <w:sz w:val="21"/>
    </w:rPr>
  </w:style>
  <w:style w:type="character" w:customStyle="1" w:styleId="35">
    <w:name w:val="纯文本 Char"/>
    <w:basedOn w:val="23"/>
    <w:qFormat/>
    <w:uiPriority w:val="0"/>
    <w:rPr>
      <w:rFonts w:ascii="宋体" w:hAnsi="Courier New" w:cs="宋体"/>
      <w:kern w:val="2"/>
      <w:sz w:val="21"/>
      <w:szCs w:val="21"/>
    </w:rPr>
  </w:style>
  <w:style w:type="paragraph" w:customStyle="1" w:styleId="36">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7">
    <w:name w:val="正文文本 字符"/>
    <w:basedOn w:val="23"/>
    <w:link w:val="9"/>
    <w:qFormat/>
    <w:uiPriority w:val="1"/>
    <w:rPr>
      <w:rFonts w:ascii="Times New Roman" w:hAnsi="Times New Roman" w:eastAsia="宋体" w:cs="Times New Roman"/>
      <w:szCs w:val="24"/>
    </w:rPr>
  </w:style>
  <w:style w:type="character" w:customStyle="1" w:styleId="38">
    <w:name w:val="列表段落 字符"/>
    <w:link w:val="39"/>
    <w:qFormat/>
    <w:uiPriority w:val="34"/>
    <w:rPr>
      <w:szCs w:val="24"/>
    </w:rPr>
  </w:style>
  <w:style w:type="paragraph" w:styleId="39">
    <w:name w:val="List Paragraph"/>
    <w:basedOn w:val="1"/>
    <w:link w:val="38"/>
    <w:qFormat/>
    <w:uiPriority w:val="34"/>
    <w:pPr>
      <w:ind w:firstLine="420" w:firstLineChars="200"/>
    </w:pPr>
    <w:rPr>
      <w:rFonts w:asciiTheme="minorHAnsi" w:hAnsiTheme="minorHAnsi" w:eastAsiaTheme="minorEastAsia" w:cstheme="minorBidi"/>
    </w:rPr>
  </w:style>
  <w:style w:type="character" w:customStyle="1" w:styleId="40">
    <w:name w:val="正文1 Char Char"/>
    <w:link w:val="41"/>
    <w:qFormat/>
    <w:uiPriority w:val="0"/>
    <w:rPr>
      <w:rFonts w:ascii="宋体"/>
      <w:sz w:val="24"/>
    </w:rPr>
  </w:style>
  <w:style w:type="paragraph" w:customStyle="1" w:styleId="41">
    <w:name w:val="正文1"/>
    <w:link w:val="40"/>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2">
    <w:name w:val="002级标题"/>
    <w:basedOn w:val="1"/>
    <w:qFormat/>
    <w:uiPriority w:val="0"/>
    <w:pPr>
      <w:widowControl/>
      <w:spacing w:before="120" w:after="120"/>
      <w:ind w:firstLine="200"/>
      <w:jc w:val="left"/>
      <w:outlineLvl w:val="1"/>
    </w:pPr>
    <w:rPr>
      <w:rFonts w:ascii="Calibri" w:hAnsi="Calibri"/>
      <w:b/>
    </w:rPr>
  </w:style>
  <w:style w:type="character" w:customStyle="1" w:styleId="43">
    <w:name w:val="日期 字符"/>
    <w:basedOn w:val="23"/>
    <w:link w:val="14"/>
    <w:semiHidden/>
    <w:qFormat/>
    <w:uiPriority w:val="99"/>
    <w:rPr>
      <w:rFonts w:ascii="Times New Roman" w:hAnsi="Times New Roman" w:eastAsia="宋体" w:cs="Times New Roman"/>
      <w:szCs w:val="24"/>
    </w:rPr>
  </w:style>
  <w:style w:type="character" w:customStyle="1" w:styleId="44">
    <w:name w:val="批注文字 字符"/>
    <w:basedOn w:val="23"/>
    <w:link w:val="7"/>
    <w:qFormat/>
    <w:uiPriority w:val="99"/>
    <w:rPr>
      <w:rFonts w:ascii="Times New Roman" w:hAnsi="Times New Roman" w:eastAsia="宋体" w:cs="Times New Roman"/>
      <w:szCs w:val="24"/>
    </w:rPr>
  </w:style>
  <w:style w:type="table" w:customStyle="1" w:styleId="45">
    <w:name w:val="Table Normal"/>
    <w:semiHidden/>
    <w:unhideWhenUsed/>
    <w:qFormat/>
    <w:uiPriority w:val="0"/>
    <w:tblPr>
      <w:tblCellMar>
        <w:top w:w="0" w:type="dxa"/>
        <w:left w:w="0" w:type="dxa"/>
        <w:bottom w:w="0" w:type="dxa"/>
        <w:right w:w="0" w:type="dxa"/>
      </w:tblCellMar>
    </w:tblPr>
  </w:style>
  <w:style w:type="character" w:customStyle="1" w:styleId="46">
    <w:name w:val="正文文本 Char1"/>
    <w:qFormat/>
    <w:uiPriority w:val="99"/>
    <w:rPr>
      <w:kern w:val="2"/>
      <w:sz w:val="21"/>
      <w:szCs w:val="24"/>
    </w:rPr>
  </w:style>
  <w:style w:type="character" w:customStyle="1" w:styleId="47">
    <w:name w:val="批注框文本 字符"/>
    <w:basedOn w:val="23"/>
    <w:link w:val="15"/>
    <w:semiHidden/>
    <w:qFormat/>
    <w:uiPriority w:val="99"/>
    <w:rPr>
      <w:rFonts w:ascii="Times New Roman" w:hAnsi="Times New Roman" w:eastAsia="宋体" w:cs="Times New Roman"/>
      <w:sz w:val="18"/>
      <w:szCs w:val="18"/>
    </w:rPr>
  </w:style>
  <w:style w:type="character" w:customStyle="1" w:styleId="48">
    <w:name w:val="_正文段落 Char"/>
    <w:link w:val="49"/>
    <w:qFormat/>
    <w:uiPriority w:val="0"/>
    <w:rPr>
      <w:sz w:val="24"/>
      <w:szCs w:val="24"/>
    </w:rPr>
  </w:style>
  <w:style w:type="paragraph" w:customStyle="1" w:styleId="49">
    <w:name w:val="_正文段落"/>
    <w:basedOn w:val="1"/>
    <w:link w:val="48"/>
    <w:qFormat/>
    <w:uiPriority w:val="0"/>
    <w:pPr>
      <w:snapToGrid w:val="0"/>
      <w:spacing w:before="240" w:after="120" w:line="360" w:lineRule="auto"/>
      <w:ind w:firstLine="200" w:firstLineChars="200"/>
      <w:jc w:val="left"/>
    </w:pPr>
    <w:rPr>
      <w:kern w:val="0"/>
      <w:sz w:val="24"/>
    </w:rPr>
  </w:style>
  <w:style w:type="paragraph" w:customStyle="1" w:styleId="50">
    <w:name w:val="列出段落1"/>
    <w:basedOn w:val="1"/>
    <w:link w:val="62"/>
    <w:qFormat/>
    <w:uiPriority w:val="0"/>
    <w:pPr>
      <w:ind w:firstLine="420" w:firstLineChars="200"/>
    </w:pPr>
    <w:rPr>
      <w:rFonts w:ascii="Calibri" w:hAnsi="Calibri"/>
      <w:szCs w:val="22"/>
    </w:rPr>
  </w:style>
  <w:style w:type="paragraph" w:customStyle="1" w:styleId="51">
    <w:name w:val="表格"/>
    <w:basedOn w:val="1"/>
    <w:qFormat/>
    <w:uiPriority w:val="0"/>
    <w:pPr>
      <w:spacing w:line="360" w:lineRule="auto"/>
    </w:pPr>
    <w:rPr>
      <w:rFonts w:ascii="仿宋_GB2312" w:hAnsi="宋体" w:eastAsia="仿宋_GB2312"/>
      <w:bCs/>
      <w:color w:val="333333"/>
      <w:kern w:val="0"/>
      <w:sz w:val="28"/>
    </w:rPr>
  </w:style>
  <w:style w:type="character" w:customStyle="1" w:styleId="52">
    <w:name w:val="font31"/>
    <w:basedOn w:val="23"/>
    <w:qFormat/>
    <w:uiPriority w:val="0"/>
    <w:rPr>
      <w:rFonts w:hint="eastAsia" w:ascii="微软雅黑" w:hAnsi="微软雅黑" w:eastAsia="微软雅黑" w:cs="微软雅黑"/>
      <w:color w:val="FF0000"/>
      <w:sz w:val="24"/>
      <w:szCs w:val="24"/>
      <w:u w:val="none"/>
    </w:rPr>
  </w:style>
  <w:style w:type="character" w:customStyle="1" w:styleId="53">
    <w:name w:val="font01"/>
    <w:basedOn w:val="23"/>
    <w:qFormat/>
    <w:uiPriority w:val="0"/>
    <w:rPr>
      <w:rFonts w:hint="eastAsia" w:ascii="微软雅黑" w:hAnsi="微软雅黑" w:eastAsia="微软雅黑" w:cs="微软雅黑"/>
      <w:color w:val="000000"/>
      <w:sz w:val="24"/>
      <w:szCs w:val="24"/>
      <w:u w:val="none"/>
    </w:rPr>
  </w:style>
  <w:style w:type="paragraph" w:customStyle="1" w:styleId="54">
    <w:name w:val="正文文本首行缩进 21"/>
    <w:basedOn w:val="1"/>
    <w:qFormat/>
    <w:uiPriority w:val="0"/>
    <w:pPr>
      <w:spacing w:line="500" w:lineRule="exact"/>
      <w:ind w:firstLine="420" w:firstLineChars="200"/>
    </w:pPr>
    <w:rPr>
      <w:rFonts w:ascii="Calibri" w:hAnsi="Calibri"/>
      <w:szCs w:val="22"/>
    </w:rPr>
  </w:style>
  <w:style w:type="table" w:customStyle="1" w:styleId="55">
    <w:name w:val="标书网格型表格正文1"/>
    <w:basedOn w:val="2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6">
    <w:name w:val="font21"/>
    <w:qFormat/>
    <w:uiPriority w:val="0"/>
    <w:rPr>
      <w:rFonts w:hint="eastAsia" w:ascii="宋体" w:hAnsi="宋体" w:eastAsia="宋体" w:cs="宋体"/>
      <w:color w:val="000000"/>
      <w:sz w:val="21"/>
      <w:szCs w:val="21"/>
      <w:u w:val="none"/>
    </w:rPr>
  </w:style>
  <w:style w:type="character" w:customStyle="1" w:styleId="57">
    <w:name w:val="NormalCharacter"/>
    <w:qFormat/>
    <w:uiPriority w:val="0"/>
  </w:style>
  <w:style w:type="character" w:customStyle="1" w:styleId="58">
    <w:name w:val="正文文本缩进 字符"/>
    <w:basedOn w:val="23"/>
    <w:link w:val="11"/>
    <w:semiHidden/>
    <w:qFormat/>
    <w:uiPriority w:val="99"/>
    <w:rPr>
      <w:kern w:val="2"/>
      <w:sz w:val="21"/>
      <w:szCs w:val="24"/>
    </w:rPr>
  </w:style>
  <w:style w:type="character" w:customStyle="1" w:styleId="59">
    <w:name w:val="正文文本首行缩进 2 字符"/>
    <w:basedOn w:val="58"/>
    <w:link w:val="20"/>
    <w:semiHidden/>
    <w:qFormat/>
    <w:uiPriority w:val="99"/>
    <w:rPr>
      <w:kern w:val="2"/>
      <w:sz w:val="21"/>
      <w:szCs w:val="24"/>
    </w:rPr>
  </w:style>
  <w:style w:type="character" w:customStyle="1" w:styleId="60">
    <w:name w:val="不明显参考1"/>
    <w:qFormat/>
    <w:uiPriority w:val="31"/>
    <w:rPr>
      <w:smallCaps/>
      <w:color w:val="5A5A5A"/>
    </w:rPr>
  </w:style>
  <w:style w:type="character" w:customStyle="1" w:styleId="61">
    <w:name w:val="未处理的提及1"/>
    <w:basedOn w:val="23"/>
    <w:semiHidden/>
    <w:unhideWhenUsed/>
    <w:qFormat/>
    <w:uiPriority w:val="99"/>
    <w:rPr>
      <w:color w:val="605E5C"/>
      <w:shd w:val="clear" w:color="auto" w:fill="E1DFDD"/>
    </w:rPr>
  </w:style>
  <w:style w:type="character" w:customStyle="1" w:styleId="62">
    <w:name w:val="列出段落 字符"/>
    <w:link w:val="50"/>
    <w:qFormat/>
    <w:uiPriority w:val="0"/>
    <w:rPr>
      <w:rFonts w:ascii="Calibri" w:hAnsi="Calibri"/>
      <w:kern w:val="2"/>
      <w:sz w:val="21"/>
      <w:szCs w:val="22"/>
    </w:rPr>
  </w:style>
  <w:style w:type="character" w:customStyle="1" w:styleId="63">
    <w:name w:val="正文缩进 Char"/>
    <w:qFormat/>
    <w:locked/>
    <w:uiPriority w:val="0"/>
    <w:rPr>
      <w:rFonts w:ascii="Times New Roman" w:hAnsi="Times New Roman"/>
      <w:kern w:val="2"/>
      <w:sz w:val="21"/>
    </w:rPr>
  </w:style>
  <w:style w:type="character" w:customStyle="1" w:styleId="64">
    <w:name w:val="正文文本 字符2"/>
    <w:qFormat/>
    <w:uiPriority w:val="99"/>
    <w:rPr>
      <w:kern w:val="2"/>
      <w:sz w:val="21"/>
      <w:szCs w:val="24"/>
    </w:rPr>
  </w:style>
  <w:style w:type="paragraph" w:customStyle="1" w:styleId="65">
    <w:name w:val=".正文"/>
    <w:basedOn w:val="1"/>
    <w:qFormat/>
    <w:uiPriority w:val="0"/>
    <w:pPr>
      <w:spacing w:beforeLines="50"/>
      <w:ind w:firstLine="200" w:firstLineChars="200"/>
    </w:pPr>
    <w:rPr>
      <w:rFonts w:ascii="Calibri" w:hAnsi="Calibri" w:eastAsia="华文仿宋"/>
    </w:rPr>
  </w:style>
  <w:style w:type="paragraph" w:customStyle="1" w:styleId="66">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8">
    <w:name w:val="正文文本 2 字符"/>
    <w:basedOn w:val="23"/>
    <w:link w:val="18"/>
    <w:semiHidden/>
    <w:qFormat/>
    <w:uiPriority w:val="99"/>
    <w:rPr>
      <w:kern w:val="2"/>
      <w:sz w:val="21"/>
      <w:szCs w:val="24"/>
    </w:rPr>
  </w:style>
  <w:style w:type="character" w:customStyle="1" w:styleId="69">
    <w:name w:val="Unresolved Mention"/>
    <w:basedOn w:val="23"/>
    <w:semiHidden/>
    <w:unhideWhenUsed/>
    <w:qFormat/>
    <w:uiPriority w:val="99"/>
    <w:rPr>
      <w:color w:val="605E5C"/>
      <w:shd w:val="clear" w:color="auto" w:fill="E1DFDD"/>
    </w:rPr>
  </w:style>
  <w:style w:type="paragraph" w:customStyle="1" w:styleId="70">
    <w:name w:val="Table Text"/>
    <w:basedOn w:val="1"/>
    <w:semiHidden/>
    <w:qFormat/>
    <w:uiPriority w:val="0"/>
    <w:rPr>
      <w:rFonts w:ascii="宋体" w:hAnsi="宋体" w:cs="宋体"/>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38</Pages>
  <Words>18513</Words>
  <Characters>19576</Characters>
  <Lines>180</Lines>
  <Paragraphs>50</Paragraphs>
  <TotalTime>2</TotalTime>
  <ScaleCrop>false</ScaleCrop>
  <LinksUpToDate>false</LinksUpToDate>
  <CharactersWithSpaces>21955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2025-04-15T09:14:00Z</cp:lastPrinted>
  <dcterms:modified xsi:type="dcterms:W3CDTF">2025-04-16T07:08:01Z</dcterms:modified>
  <dc:title>院内招标采购公告</dc:title>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D643B371A81C40E5890AAEDA7BAD6E1F</vt:lpwstr>
  </property>
  <property fmtid="{D5CDD505-2E9C-101B-9397-08002B2CF9AE}" pid="4" name="KSOTemplateDocerSaveRecord">
    <vt:lpwstr>eyJoZGlkIjoiOWZkMzE4YjE3ZTIyZGNmZWJlZjE2OGRlZTBmMmZkOGIifQ==</vt:lpwstr>
  </property>
</Properties>
</file>