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A69625">
      <w:pPr>
        <w:spacing w:line="360" w:lineRule="auto"/>
        <w:ind w:firstLine="420" w:firstLineChars="200"/>
      </w:pPr>
    </w:p>
    <w:p w14:paraId="131760A5">
      <w:pPr>
        <w:spacing w:line="360" w:lineRule="auto"/>
        <w:ind w:firstLine="420" w:firstLineChars="200"/>
      </w:pPr>
    </w:p>
    <w:p w14:paraId="0DC028DF">
      <w:pPr>
        <w:spacing w:line="360" w:lineRule="auto"/>
        <w:ind w:firstLine="420" w:firstLineChars="200"/>
      </w:pPr>
    </w:p>
    <w:p w14:paraId="0BEEE4F5">
      <w:pPr>
        <w:spacing w:line="360" w:lineRule="auto"/>
      </w:pPr>
    </w:p>
    <w:p w14:paraId="3B68E343">
      <w:pPr>
        <w:jc w:val="center"/>
        <w:rPr>
          <w:b/>
          <w:sz w:val="44"/>
          <w:szCs w:val="44"/>
        </w:rPr>
      </w:pPr>
      <w:r>
        <w:rPr>
          <w:rFonts w:hint="eastAsia"/>
          <w:b/>
          <w:sz w:val="44"/>
          <w:szCs w:val="44"/>
        </w:rPr>
        <w:t>购买一批实验室检测试剂项目</w:t>
      </w:r>
    </w:p>
    <w:p w14:paraId="7F5761A7">
      <w:pPr>
        <w:jc w:val="center"/>
        <w:rPr>
          <w:b/>
          <w:sz w:val="44"/>
          <w:szCs w:val="44"/>
        </w:rPr>
      </w:pPr>
    </w:p>
    <w:p w14:paraId="487CCE29">
      <w:pPr>
        <w:jc w:val="center"/>
        <w:rPr>
          <w:rFonts w:hint="eastAsia" w:eastAsiaTheme="minorEastAsia"/>
          <w:lang w:val="en-US" w:eastAsia="zh-CN"/>
        </w:rPr>
      </w:pPr>
      <w:r>
        <w:rPr>
          <w:rFonts w:hint="eastAsia"/>
          <w:b/>
          <w:sz w:val="30"/>
          <w:szCs w:val="30"/>
        </w:rPr>
        <w:t>项目编号：</w:t>
      </w:r>
      <w:r>
        <w:rPr>
          <w:b/>
          <w:sz w:val="30"/>
          <w:szCs w:val="30"/>
        </w:rPr>
        <w:t>BACDCCG202</w:t>
      </w:r>
      <w:r>
        <w:rPr>
          <w:rFonts w:hint="eastAsia"/>
          <w:b/>
          <w:sz w:val="30"/>
          <w:szCs w:val="30"/>
          <w:lang w:val="en-US" w:eastAsia="zh-CN"/>
        </w:rPr>
        <w:t>5</w:t>
      </w:r>
      <w:r>
        <w:rPr>
          <w:b/>
          <w:sz w:val="30"/>
          <w:szCs w:val="30"/>
        </w:rPr>
        <w:t>00</w:t>
      </w:r>
      <w:r>
        <w:rPr>
          <w:rFonts w:hint="eastAsia"/>
          <w:b/>
          <w:sz w:val="30"/>
          <w:szCs w:val="30"/>
          <w:lang w:val="en-US" w:eastAsia="zh-CN"/>
        </w:rPr>
        <w:t>3</w:t>
      </w:r>
    </w:p>
    <w:p w14:paraId="5052C718">
      <w:pPr>
        <w:spacing w:line="360" w:lineRule="auto"/>
        <w:ind w:firstLine="420" w:firstLineChars="200"/>
      </w:pPr>
    </w:p>
    <w:p w14:paraId="3892F746">
      <w:pPr>
        <w:spacing w:line="360" w:lineRule="auto"/>
        <w:ind w:firstLine="420" w:firstLineChars="200"/>
      </w:pPr>
    </w:p>
    <w:p w14:paraId="52A68AC8">
      <w:pPr>
        <w:spacing w:line="360" w:lineRule="auto"/>
        <w:ind w:firstLine="420" w:firstLineChars="200"/>
      </w:pPr>
    </w:p>
    <w:p w14:paraId="53F1FF5D">
      <w:pPr>
        <w:spacing w:line="360" w:lineRule="auto"/>
        <w:ind w:firstLine="420" w:firstLineChars="200"/>
      </w:pPr>
    </w:p>
    <w:p w14:paraId="194E31C9">
      <w:pPr>
        <w:spacing w:line="360" w:lineRule="auto"/>
        <w:ind w:firstLine="420" w:firstLineChars="200"/>
      </w:pPr>
    </w:p>
    <w:p w14:paraId="14C5305F">
      <w:pPr>
        <w:spacing w:line="360" w:lineRule="auto"/>
        <w:jc w:val="center"/>
        <w:rPr>
          <w:b/>
          <w:sz w:val="72"/>
          <w:szCs w:val="72"/>
        </w:rPr>
      </w:pPr>
      <w:r>
        <w:rPr>
          <w:rFonts w:hint="eastAsia"/>
          <w:b/>
          <w:sz w:val="72"/>
          <w:szCs w:val="72"/>
        </w:rPr>
        <w:t>招标文件</w:t>
      </w:r>
    </w:p>
    <w:p w14:paraId="2819DC55">
      <w:pPr>
        <w:spacing w:line="360" w:lineRule="auto"/>
        <w:ind w:firstLine="420" w:firstLineChars="200"/>
      </w:pPr>
    </w:p>
    <w:p w14:paraId="099D246E">
      <w:pPr>
        <w:spacing w:line="360" w:lineRule="auto"/>
        <w:ind w:firstLine="420" w:firstLineChars="200"/>
      </w:pPr>
    </w:p>
    <w:p w14:paraId="589C18BC">
      <w:pPr>
        <w:spacing w:line="360" w:lineRule="auto"/>
        <w:ind w:firstLine="420" w:firstLineChars="200"/>
      </w:pPr>
    </w:p>
    <w:p w14:paraId="5A9EA4CA">
      <w:pPr>
        <w:spacing w:line="360" w:lineRule="auto"/>
        <w:ind w:firstLine="420" w:firstLineChars="200"/>
      </w:pPr>
    </w:p>
    <w:p w14:paraId="0512425E">
      <w:pPr>
        <w:spacing w:line="360" w:lineRule="auto"/>
        <w:ind w:firstLine="420" w:firstLineChars="200"/>
      </w:pPr>
    </w:p>
    <w:p w14:paraId="6E903514">
      <w:pPr>
        <w:spacing w:line="360" w:lineRule="auto"/>
      </w:pPr>
    </w:p>
    <w:p w14:paraId="5ED4B8CC">
      <w:pPr>
        <w:spacing w:line="360" w:lineRule="auto"/>
      </w:pPr>
    </w:p>
    <w:p w14:paraId="15EB4026">
      <w:pPr>
        <w:spacing w:line="360" w:lineRule="auto"/>
        <w:ind w:firstLine="420" w:firstLineChars="200"/>
      </w:pPr>
    </w:p>
    <w:p w14:paraId="2975D251">
      <w:pPr>
        <w:spacing w:line="360" w:lineRule="auto"/>
        <w:jc w:val="center"/>
        <w:rPr>
          <w:rFonts w:hint="eastAsia"/>
          <w:b/>
          <w:sz w:val="30"/>
          <w:szCs w:val="30"/>
        </w:rPr>
      </w:pPr>
      <w:r>
        <w:rPr>
          <w:rFonts w:hint="eastAsia"/>
          <w:b/>
          <w:sz w:val="30"/>
          <w:szCs w:val="30"/>
        </w:rPr>
        <w:t>深圳市宝安区疾病预防控制中心</w:t>
      </w:r>
    </w:p>
    <w:p w14:paraId="780F4D7E">
      <w:pPr>
        <w:spacing w:line="360" w:lineRule="auto"/>
        <w:jc w:val="center"/>
        <w:rPr>
          <w:b/>
          <w:sz w:val="30"/>
          <w:szCs w:val="30"/>
        </w:rPr>
      </w:pPr>
      <w:r>
        <w:rPr>
          <w:rFonts w:hint="eastAsia"/>
          <w:b/>
          <w:sz w:val="30"/>
          <w:szCs w:val="30"/>
          <w:lang w:eastAsia="zh-CN"/>
        </w:rPr>
        <w:t>（</w:t>
      </w:r>
      <w:r>
        <w:rPr>
          <w:rFonts w:hint="eastAsia"/>
          <w:b/>
          <w:sz w:val="30"/>
          <w:szCs w:val="30"/>
          <w:lang w:val="en-US" w:eastAsia="zh-CN"/>
        </w:rPr>
        <w:t>深圳市宝安区卫生监督所</w:t>
      </w:r>
      <w:r>
        <w:rPr>
          <w:rFonts w:hint="eastAsia"/>
          <w:b/>
          <w:sz w:val="30"/>
          <w:szCs w:val="30"/>
          <w:lang w:eastAsia="zh-CN"/>
        </w:rPr>
        <w:t>）</w:t>
      </w:r>
    </w:p>
    <w:p w14:paraId="4E7C5FDB">
      <w:pPr>
        <w:spacing w:line="360" w:lineRule="auto"/>
        <w:jc w:val="center"/>
        <w:rPr>
          <w:b/>
          <w:sz w:val="30"/>
          <w:szCs w:val="30"/>
        </w:rPr>
      </w:pPr>
      <w:r>
        <w:rPr>
          <w:rFonts w:hint="eastAsia"/>
          <w:b/>
          <w:sz w:val="30"/>
          <w:szCs w:val="30"/>
        </w:rPr>
        <w:t>二〇二</w:t>
      </w:r>
      <w:r>
        <w:rPr>
          <w:rFonts w:hint="eastAsia"/>
          <w:b/>
          <w:sz w:val="30"/>
          <w:szCs w:val="30"/>
          <w:lang w:val="en-US" w:eastAsia="zh-CN"/>
        </w:rPr>
        <w:t>五</w:t>
      </w:r>
      <w:r>
        <w:rPr>
          <w:rFonts w:hint="eastAsia"/>
          <w:b/>
          <w:sz w:val="30"/>
          <w:szCs w:val="30"/>
        </w:rPr>
        <w:t>年</w:t>
      </w:r>
      <w:r>
        <w:rPr>
          <w:rFonts w:hint="eastAsia"/>
          <w:b/>
          <w:sz w:val="30"/>
          <w:szCs w:val="30"/>
          <w:lang w:val="en-US" w:eastAsia="zh-CN"/>
        </w:rPr>
        <w:t>4</w:t>
      </w:r>
      <w:r>
        <w:rPr>
          <w:rFonts w:hint="eastAsia"/>
          <w:b/>
          <w:sz w:val="30"/>
          <w:szCs w:val="30"/>
        </w:rPr>
        <w:t>月</w:t>
      </w:r>
    </w:p>
    <w:p w14:paraId="2C0999F4">
      <w:pPr>
        <w:spacing w:line="360" w:lineRule="auto"/>
        <w:ind w:firstLine="420" w:firstLineChars="200"/>
      </w:pPr>
    </w:p>
    <w:p w14:paraId="031C4C3E">
      <w:pPr>
        <w:spacing w:line="360" w:lineRule="auto"/>
        <w:ind w:firstLine="420" w:firstLineChars="200"/>
        <w:sectPr>
          <w:headerReference r:id="rId3" w:type="default"/>
          <w:footerReference r:id="rId4" w:type="default"/>
          <w:pgSz w:w="11906" w:h="16838"/>
          <w:pgMar w:top="1418" w:right="1474" w:bottom="1418" w:left="1474" w:header="851" w:footer="992" w:gutter="0"/>
          <w:cols w:space="425" w:num="1"/>
          <w:docGrid w:type="lines" w:linePitch="312" w:charSpace="0"/>
        </w:sectPr>
      </w:pPr>
    </w:p>
    <w:p w14:paraId="3822372A">
      <w:pPr>
        <w:pStyle w:val="2"/>
      </w:pPr>
      <w:bookmarkStart w:id="0" w:name="_Toc61539108"/>
      <w:bookmarkStart w:id="1" w:name="_Toc86939328"/>
      <w:r>
        <w:rPr>
          <w:rFonts w:hint="eastAsia"/>
        </w:rPr>
        <w:t xml:space="preserve">第一章  </w:t>
      </w:r>
      <w:bookmarkEnd w:id="0"/>
      <w:r>
        <w:rPr>
          <w:rFonts w:hint="eastAsia"/>
        </w:rPr>
        <w:t>招标公告</w:t>
      </w:r>
      <w:bookmarkEnd w:id="1"/>
    </w:p>
    <w:p w14:paraId="50498E3F">
      <w:pPr>
        <w:spacing w:line="360" w:lineRule="auto"/>
        <w:ind w:firstLine="420" w:firstLineChars="200"/>
      </w:pPr>
      <w:bookmarkStart w:id="2" w:name="_Hlk69568487"/>
      <w:r>
        <w:rPr>
          <w:rFonts w:hint="eastAsia"/>
        </w:rPr>
        <w:t>深圳市宝安区疾病预防控制中心</w:t>
      </w:r>
      <w:bookmarkEnd w:id="2"/>
      <w:r>
        <w:rPr>
          <w:rFonts w:hint="eastAsia"/>
          <w:color w:val="000000" w:themeColor="text1"/>
          <w14:textFill>
            <w14:solidFill>
              <w14:schemeClr w14:val="tx1"/>
            </w14:solidFill>
          </w14:textFill>
        </w:rPr>
        <w:t>就</w:t>
      </w:r>
      <w:r>
        <w:rPr>
          <w:rFonts w:hint="eastAsia"/>
          <w:color w:val="000000" w:themeColor="text1"/>
          <w:lang w:eastAsia="zh-CN"/>
          <w14:textFill>
            <w14:solidFill>
              <w14:schemeClr w14:val="tx1"/>
            </w14:solidFill>
          </w14:textFill>
        </w:rPr>
        <w:t>购买一批实验室检测试剂项目</w:t>
      </w:r>
      <w:r>
        <w:rPr>
          <w:rFonts w:hint="eastAsia"/>
        </w:rPr>
        <w:t>接受以下投标人提交密封响应文件。有关事项如下：</w:t>
      </w:r>
    </w:p>
    <w:p w14:paraId="2E44EA54">
      <w:pPr>
        <w:pStyle w:val="5"/>
        <w:ind w:firstLine="482"/>
      </w:pPr>
      <w:bookmarkStart w:id="3" w:name="_Hlk69568538"/>
      <w:r>
        <w:rPr>
          <w:rFonts w:hint="eastAsia"/>
        </w:rPr>
        <w:t>一、项目基本信息</w:t>
      </w:r>
    </w:p>
    <w:p w14:paraId="1230A707">
      <w:pPr>
        <w:spacing w:line="360" w:lineRule="auto"/>
        <w:ind w:firstLine="420" w:firstLineChars="200"/>
        <w:rPr>
          <w:color w:val="000000" w:themeColor="text1"/>
          <w14:textFill>
            <w14:solidFill>
              <w14:schemeClr w14:val="tx1"/>
            </w14:solidFill>
          </w14:textFill>
        </w:rPr>
      </w:pPr>
      <w:r>
        <w:rPr>
          <w:rFonts w:hint="eastAsia"/>
        </w:rPr>
        <w:t>1、项</w:t>
      </w:r>
      <w:r>
        <w:rPr>
          <w:rFonts w:hint="eastAsia"/>
          <w:color w:val="000000" w:themeColor="text1"/>
          <w14:textFill>
            <w14:solidFill>
              <w14:schemeClr w14:val="tx1"/>
            </w14:solidFill>
          </w14:textFill>
        </w:rPr>
        <w:t>目名称：</w:t>
      </w:r>
      <w:r>
        <w:rPr>
          <w:rFonts w:hint="eastAsia"/>
        </w:rPr>
        <w:t>购买一批实验室检测试剂项目</w:t>
      </w:r>
    </w:p>
    <w:p w14:paraId="4B18ECCE">
      <w:pPr>
        <w:spacing w:line="360" w:lineRule="auto"/>
        <w:ind w:firstLine="420" w:firstLineChars="200"/>
        <w:rPr>
          <w:rFonts w:hint="eastAsia" w:eastAsiaTheme="minorEastAsia"/>
          <w:lang w:eastAsia="zh-CN"/>
        </w:rPr>
      </w:pPr>
      <w:r>
        <w:rPr>
          <w:rFonts w:hint="eastAsia"/>
        </w:rPr>
        <w:t>2、</w:t>
      </w:r>
      <w:r>
        <w:t>项目编号：</w:t>
      </w:r>
      <w:r>
        <w:rPr>
          <w:rFonts w:hint="eastAsia"/>
          <w:lang w:eastAsia="zh-CN"/>
        </w:rPr>
        <w:t>BACDCCG2025003</w:t>
      </w:r>
    </w:p>
    <w:p w14:paraId="2915F678">
      <w:pPr>
        <w:spacing w:line="360" w:lineRule="auto"/>
        <w:ind w:firstLine="420" w:firstLineChars="200"/>
      </w:pPr>
      <w:r>
        <w:rPr>
          <w:rFonts w:hint="eastAsia"/>
        </w:rPr>
        <w:t>3、项目类别：货物类</w:t>
      </w:r>
    </w:p>
    <w:p w14:paraId="47B4BA25">
      <w:pPr>
        <w:spacing w:line="360" w:lineRule="auto"/>
        <w:ind w:firstLine="420" w:firstLineChars="200"/>
      </w:pPr>
      <w:r>
        <w:t>4</w:t>
      </w:r>
      <w:r>
        <w:rPr>
          <w:rFonts w:hint="eastAsia"/>
        </w:rPr>
        <w:t>、</w:t>
      </w:r>
      <w:r>
        <w:t>采购单位：</w:t>
      </w:r>
      <w:r>
        <w:rPr>
          <w:rFonts w:hint="eastAsia"/>
        </w:rPr>
        <w:t>深圳市宝安区疾病预防控制中心</w:t>
      </w:r>
    </w:p>
    <w:p w14:paraId="77A380F1">
      <w:pPr>
        <w:spacing w:line="360" w:lineRule="auto"/>
        <w:ind w:firstLine="420" w:firstLineChars="200"/>
      </w:pPr>
      <w:r>
        <w:t>5</w:t>
      </w:r>
      <w:r>
        <w:rPr>
          <w:rFonts w:hint="eastAsia"/>
        </w:rPr>
        <w:t>、采购方式：公开招标</w:t>
      </w:r>
    </w:p>
    <w:p w14:paraId="2CAD69A2">
      <w:pPr>
        <w:spacing w:line="360" w:lineRule="auto"/>
        <w:ind w:firstLine="420" w:firstLineChars="200"/>
      </w:pPr>
      <w:r>
        <w:rPr>
          <w:rFonts w:hint="eastAsia"/>
        </w:rPr>
        <w:t>6、评标方法：综合评分法</w:t>
      </w:r>
    </w:p>
    <w:bookmarkEnd w:id="3"/>
    <w:p w14:paraId="1C9D3DC6">
      <w:pPr>
        <w:pStyle w:val="5"/>
        <w:ind w:firstLine="482"/>
      </w:pPr>
      <w:r>
        <w:rPr>
          <w:rFonts w:hint="eastAsia"/>
        </w:rPr>
        <w:t>二、采购预算</w:t>
      </w:r>
    </w:p>
    <w:p w14:paraId="00304D3A">
      <w:pPr>
        <w:spacing w:line="360" w:lineRule="auto"/>
        <w:ind w:firstLine="420" w:firstLineChars="200"/>
      </w:pPr>
      <w:r>
        <w:rPr>
          <w:rFonts w:hint="eastAsia"/>
        </w:rPr>
        <w:t>本项目采购预算金额为</w:t>
      </w:r>
      <w:r>
        <w:rPr>
          <w:rFonts w:hint="eastAsia"/>
          <w:lang w:val="en-US" w:eastAsia="zh-CN"/>
        </w:rPr>
        <w:t>65</w:t>
      </w:r>
      <w:r>
        <w:rPr>
          <w:rFonts w:hint="eastAsia"/>
        </w:rPr>
        <w:t>，</w:t>
      </w:r>
      <w:r>
        <w:rPr>
          <w:rFonts w:hint="eastAsia"/>
          <w:lang w:val="en-US" w:eastAsia="zh-CN"/>
        </w:rPr>
        <w:t>711</w:t>
      </w:r>
      <w:r>
        <w:rPr>
          <w:rFonts w:hint="eastAsia"/>
        </w:rPr>
        <w:t>.00元。</w:t>
      </w:r>
    </w:p>
    <w:p w14:paraId="56D23D7A">
      <w:pPr>
        <w:pStyle w:val="5"/>
        <w:ind w:firstLine="482"/>
      </w:pPr>
      <w:bookmarkStart w:id="4" w:name="_Hlk69568757"/>
      <w:r>
        <w:rPr>
          <w:rFonts w:hint="eastAsia"/>
        </w:rPr>
        <w:t>三、需落实的采购政策</w:t>
      </w:r>
    </w:p>
    <w:p w14:paraId="12B711C7">
      <w:pPr>
        <w:spacing w:line="360" w:lineRule="auto"/>
        <w:ind w:firstLine="420" w:firstLineChars="200"/>
      </w:pPr>
      <w:r>
        <w:rPr>
          <w:rFonts w:hint="eastAsia"/>
        </w:rPr>
        <w:t>按照相关规定执行，详见采购需求标准。</w:t>
      </w:r>
    </w:p>
    <w:p w14:paraId="54E48530">
      <w:pPr>
        <w:pStyle w:val="5"/>
        <w:ind w:firstLine="482"/>
      </w:pPr>
      <w:r>
        <w:rPr>
          <w:rFonts w:hint="eastAsia"/>
        </w:rPr>
        <w:t>四、供应商资格要求</w:t>
      </w:r>
    </w:p>
    <w:p w14:paraId="17EDF4D1">
      <w:pPr>
        <w:spacing w:line="360" w:lineRule="auto"/>
        <w:ind w:firstLine="420" w:firstLineChars="200"/>
      </w:pPr>
      <w:r>
        <w:rPr>
          <w:rFonts w:hint="eastAsia"/>
        </w:rPr>
        <w:t>1、</w:t>
      </w:r>
      <w:bookmarkStart w:id="5" w:name="_Hlk145674892"/>
      <w:r>
        <w:rPr>
          <w:rFonts w:hint="eastAsia"/>
        </w:rPr>
        <w:t>投标人</w:t>
      </w:r>
      <w:bookmarkEnd w:id="5"/>
      <w:r>
        <w:rPr>
          <w:rFonts w:hint="eastAsia"/>
        </w:rPr>
        <w:t>必须是在中华人民共和国境内注册的独立法人或其他组织</w:t>
      </w:r>
      <w:bookmarkStart w:id="6" w:name="_Hlk145674976"/>
      <w:r>
        <w:rPr>
          <w:rFonts w:hint="eastAsia"/>
        </w:rPr>
        <w:t>（提供营业执照复印件）；</w:t>
      </w:r>
      <w:bookmarkEnd w:id="6"/>
    </w:p>
    <w:p w14:paraId="4D4C9845">
      <w:pPr>
        <w:spacing w:line="360" w:lineRule="auto"/>
        <w:ind w:firstLine="420" w:firstLineChars="200"/>
      </w:pPr>
      <w:r>
        <w:rPr>
          <w:rFonts w:hint="eastAsia"/>
        </w:rPr>
        <w:t>2、投标人参加本次政府采购活动前3年内在经营活动中没有重大违法记录（提供声明函）；</w:t>
      </w:r>
    </w:p>
    <w:p w14:paraId="6650B73B">
      <w:pPr>
        <w:spacing w:line="360" w:lineRule="auto"/>
        <w:ind w:firstLine="420" w:firstLineChars="200"/>
      </w:pPr>
      <w:r>
        <w:rPr>
          <w:rFonts w:hint="eastAsia"/>
        </w:rPr>
        <w:t>3、截至开标时间为止，未被深圳市各级政府采购主管部门行政处罚（指禁止参与政府采购活动且在有效期内）的投标人；</w:t>
      </w:r>
    </w:p>
    <w:p w14:paraId="695B0D8A">
      <w:pPr>
        <w:spacing w:line="360" w:lineRule="auto"/>
        <w:ind w:firstLine="420" w:firstLineChars="200"/>
      </w:pPr>
      <w:r>
        <w:rPr>
          <w:rFonts w:hint="eastAsia"/>
        </w:rPr>
        <w:t>4、通过“信用中国”网站（www.creditchina.gov.cn）和中国政府采购网（www.ccgp.gov.cn）查询信用记录（相关信息以中标通知书发出前的查询结果为准），被列入失信被执行人、重大税收违法案件当事人名单或政府采购严重违法失信行为记录名单的供应商，拒绝参与本项目的采购活动(网上查询)；</w:t>
      </w:r>
    </w:p>
    <w:p w14:paraId="7D15A032">
      <w:pPr>
        <w:spacing w:line="360" w:lineRule="auto"/>
        <w:ind w:firstLine="420" w:firstLineChars="200"/>
      </w:pPr>
      <w:r>
        <w:rPr>
          <w:rFonts w:hint="eastAsia"/>
        </w:rPr>
        <w:t>5、本项目不接受联合体投标。</w:t>
      </w:r>
    </w:p>
    <w:p w14:paraId="4680CD8F">
      <w:pPr>
        <w:pStyle w:val="5"/>
        <w:ind w:firstLine="482"/>
      </w:pPr>
      <w:r>
        <w:rPr>
          <w:rFonts w:hint="eastAsia"/>
        </w:rPr>
        <w:t>五、获取采购文件的时间、地点及方式</w:t>
      </w:r>
    </w:p>
    <w:bookmarkEnd w:id="4"/>
    <w:p w14:paraId="434AD16E">
      <w:pPr>
        <w:spacing w:line="360" w:lineRule="auto"/>
        <w:ind w:firstLine="420" w:firstLineChars="200"/>
        <w:rPr>
          <w:rFonts w:hint="eastAsia"/>
          <w:highlight w:val="yellow"/>
        </w:rPr>
      </w:pPr>
      <w:r>
        <w:rPr>
          <w:rFonts w:hint="eastAsia"/>
        </w:rPr>
        <w:t>1、获取招标文件时间：</w:t>
      </w:r>
      <w:r>
        <w:rPr>
          <w:rFonts w:hint="eastAsia"/>
          <w:highlight w:val="yellow"/>
        </w:rPr>
        <w:t>202</w:t>
      </w:r>
      <w:r>
        <w:rPr>
          <w:rFonts w:hint="eastAsia"/>
          <w:highlight w:val="yellow"/>
          <w:lang w:val="en-US" w:eastAsia="zh-CN"/>
        </w:rPr>
        <w:t>5</w:t>
      </w:r>
      <w:r>
        <w:rPr>
          <w:rFonts w:hint="eastAsia"/>
          <w:highlight w:val="yellow"/>
        </w:rPr>
        <w:t>年</w:t>
      </w:r>
      <w:r>
        <w:rPr>
          <w:rFonts w:hint="eastAsia"/>
          <w:highlight w:val="yellow"/>
          <w:lang w:val="en-US" w:eastAsia="zh-CN"/>
        </w:rPr>
        <w:t>4</w:t>
      </w:r>
      <w:r>
        <w:rPr>
          <w:rFonts w:hint="eastAsia"/>
          <w:highlight w:val="yellow"/>
        </w:rPr>
        <w:t>月</w:t>
      </w:r>
      <w:r>
        <w:rPr>
          <w:rFonts w:hint="eastAsia"/>
          <w:highlight w:val="yellow"/>
          <w:lang w:val="en-US" w:eastAsia="zh-CN"/>
        </w:rPr>
        <w:t>14</w:t>
      </w:r>
      <w:r>
        <w:rPr>
          <w:rFonts w:hint="eastAsia"/>
          <w:highlight w:val="yellow"/>
        </w:rPr>
        <w:t>日起至202</w:t>
      </w:r>
      <w:r>
        <w:rPr>
          <w:rFonts w:hint="eastAsia"/>
          <w:highlight w:val="yellow"/>
          <w:lang w:val="en-US" w:eastAsia="zh-CN"/>
        </w:rPr>
        <w:t>5</w:t>
      </w:r>
      <w:r>
        <w:rPr>
          <w:rFonts w:hint="eastAsia"/>
          <w:highlight w:val="yellow"/>
        </w:rPr>
        <w:t>年</w:t>
      </w:r>
      <w:r>
        <w:rPr>
          <w:rFonts w:hint="eastAsia"/>
          <w:highlight w:val="yellow"/>
          <w:lang w:val="en-US" w:eastAsia="zh-CN"/>
        </w:rPr>
        <w:t>4</w:t>
      </w:r>
      <w:r>
        <w:rPr>
          <w:rFonts w:hint="eastAsia"/>
          <w:highlight w:val="yellow"/>
        </w:rPr>
        <w:t>月</w:t>
      </w:r>
      <w:r>
        <w:rPr>
          <w:rFonts w:hint="eastAsia"/>
          <w:highlight w:val="yellow"/>
          <w:lang w:val="en-US" w:eastAsia="zh-CN"/>
        </w:rPr>
        <w:t>18</w:t>
      </w:r>
      <w:r>
        <w:rPr>
          <w:rFonts w:hint="eastAsia"/>
          <w:highlight w:val="yellow"/>
        </w:rPr>
        <w:t>日</w:t>
      </w:r>
    </w:p>
    <w:p w14:paraId="133E1003">
      <w:pPr>
        <w:spacing w:line="360" w:lineRule="auto"/>
        <w:ind w:firstLine="420" w:firstLineChars="200"/>
        <w:rPr>
          <w:rFonts w:hint="default" w:eastAsiaTheme="minorEastAsia"/>
          <w:lang w:val="en-US" w:eastAsia="zh-CN"/>
        </w:rPr>
      </w:pPr>
      <w:r>
        <w:rPr>
          <w:rFonts w:hint="eastAsia"/>
        </w:rPr>
        <w:t>2、获取招标文件地点：</w:t>
      </w:r>
      <w:r>
        <w:rPr>
          <w:rFonts w:hint="eastAsia"/>
          <w:lang w:val="en-US" w:eastAsia="zh-CN"/>
        </w:rPr>
        <w:t>线上下载</w:t>
      </w:r>
    </w:p>
    <w:p w14:paraId="2BD0B0C9">
      <w:pPr>
        <w:spacing w:line="360" w:lineRule="auto"/>
        <w:ind w:firstLine="420" w:firstLineChars="200"/>
      </w:pPr>
      <w:r>
        <w:rPr>
          <w:rFonts w:hint="eastAsia"/>
          <w:lang w:val="en-US" w:eastAsia="zh-CN"/>
        </w:rPr>
        <w:t>3</w:t>
      </w:r>
      <w:r>
        <w:rPr>
          <w:rFonts w:hint="eastAsia"/>
        </w:rPr>
        <w:t>、联系人：</w:t>
      </w:r>
      <w:r>
        <w:rPr>
          <w:rFonts w:hint="eastAsia"/>
          <w:lang w:val="en-US" w:eastAsia="zh-CN"/>
        </w:rPr>
        <w:t>姜</w:t>
      </w:r>
      <w:r>
        <w:rPr>
          <w:rFonts w:hint="eastAsia"/>
        </w:rPr>
        <w:t>工</w:t>
      </w:r>
    </w:p>
    <w:p w14:paraId="001ACD70">
      <w:pPr>
        <w:spacing w:line="360" w:lineRule="auto"/>
        <w:ind w:firstLine="420" w:firstLineChars="200"/>
        <w:rPr>
          <w:rFonts w:hint="eastAsia" w:eastAsiaTheme="minorEastAsia"/>
          <w:lang w:eastAsia="zh-CN"/>
        </w:rPr>
      </w:pPr>
      <w:r>
        <w:rPr>
          <w:rFonts w:hint="eastAsia"/>
        </w:rPr>
        <w:t>5、联系电话：</w:t>
      </w:r>
      <w:r>
        <w:t xml:space="preserve">0755- </w:t>
      </w:r>
      <w:r>
        <w:rPr>
          <w:rFonts w:hint="eastAsia"/>
          <w:lang w:eastAsia="zh-CN"/>
        </w:rPr>
        <w:t>27751586</w:t>
      </w:r>
    </w:p>
    <w:p w14:paraId="1F4800EE">
      <w:pPr>
        <w:pStyle w:val="5"/>
        <w:ind w:firstLine="482"/>
      </w:pPr>
      <w:r>
        <w:rPr>
          <w:rFonts w:hint="eastAsia"/>
        </w:rPr>
        <w:t>六、投标截止时间</w:t>
      </w:r>
    </w:p>
    <w:p w14:paraId="285869A1">
      <w:pPr>
        <w:spacing w:line="360" w:lineRule="auto"/>
        <w:ind w:firstLine="420" w:firstLineChars="200"/>
      </w:pPr>
      <w:r>
        <w:rPr>
          <w:rFonts w:hint="eastAsia"/>
        </w:rPr>
        <w:t>1、递交投标文件时间：</w:t>
      </w:r>
      <w:r>
        <w:rPr>
          <w:rFonts w:hint="eastAsia"/>
          <w:highlight w:val="yellow"/>
        </w:rPr>
        <w:t>202</w:t>
      </w:r>
      <w:r>
        <w:rPr>
          <w:rFonts w:hint="eastAsia"/>
          <w:highlight w:val="yellow"/>
          <w:lang w:val="en-US" w:eastAsia="zh-CN"/>
        </w:rPr>
        <w:t>5</w:t>
      </w:r>
      <w:r>
        <w:rPr>
          <w:rFonts w:hint="eastAsia"/>
          <w:highlight w:val="yellow"/>
        </w:rPr>
        <w:t>年</w:t>
      </w:r>
      <w:r>
        <w:rPr>
          <w:rFonts w:hint="eastAsia"/>
          <w:highlight w:val="yellow"/>
          <w:lang w:val="en-US" w:eastAsia="zh-CN"/>
        </w:rPr>
        <w:t>4</w:t>
      </w:r>
      <w:r>
        <w:rPr>
          <w:rFonts w:hint="eastAsia"/>
          <w:highlight w:val="yellow"/>
        </w:rPr>
        <w:t>月</w:t>
      </w:r>
      <w:r>
        <w:rPr>
          <w:rFonts w:hint="eastAsia"/>
          <w:highlight w:val="yellow"/>
          <w:lang w:val="en-US" w:eastAsia="zh-CN"/>
        </w:rPr>
        <w:t>18</w:t>
      </w:r>
      <w:r>
        <w:rPr>
          <w:rFonts w:hint="eastAsia"/>
          <w:highlight w:val="yellow"/>
        </w:rPr>
        <w:t>日</w:t>
      </w:r>
      <w:r>
        <w:rPr>
          <w:rFonts w:hint="eastAsia"/>
        </w:rPr>
        <w:t>下午1</w:t>
      </w:r>
      <w:r>
        <w:rPr>
          <w:rFonts w:hint="eastAsia"/>
          <w:lang w:val="en-US" w:eastAsia="zh-CN"/>
        </w:rPr>
        <w:t>8</w:t>
      </w:r>
      <w:r>
        <w:rPr>
          <w:rFonts w:hint="eastAsia"/>
        </w:rPr>
        <w:t>：</w:t>
      </w:r>
      <w:r>
        <w:t>0</w:t>
      </w:r>
      <w:r>
        <w:rPr>
          <w:rFonts w:hint="eastAsia"/>
        </w:rPr>
        <w:t>0前（可快递，以签收时间为准）。</w:t>
      </w:r>
    </w:p>
    <w:p w14:paraId="62D90C12">
      <w:pPr>
        <w:spacing w:line="360" w:lineRule="auto"/>
        <w:ind w:firstLine="420" w:firstLineChars="200"/>
      </w:pPr>
      <w:r>
        <w:t>2</w:t>
      </w:r>
      <w:r>
        <w:rPr>
          <w:rFonts w:hint="eastAsia"/>
        </w:rPr>
        <w:t>、递交投标文件地点：深圳市宝安区海秀路3号（深圳市宝安区疾病预防控制中心）</w:t>
      </w:r>
      <w:r>
        <w:rPr>
          <w:rFonts w:hint="eastAsia"/>
          <w:lang w:val="en-US" w:eastAsia="zh-CN"/>
        </w:rPr>
        <w:t>525，</w:t>
      </w:r>
      <w:r>
        <w:rPr>
          <w:rFonts w:hint="eastAsia"/>
        </w:rPr>
        <w:t>如无法进入大楼可放置保安室。</w:t>
      </w:r>
    </w:p>
    <w:p w14:paraId="3BB0EC6D">
      <w:pPr>
        <w:pStyle w:val="5"/>
        <w:ind w:firstLine="482"/>
      </w:pPr>
      <w:r>
        <w:rPr>
          <w:rFonts w:hint="eastAsia"/>
        </w:rPr>
        <w:t>七、采购公告查询：</w:t>
      </w:r>
    </w:p>
    <w:p w14:paraId="0D6ADBEE">
      <w:pPr>
        <w:spacing w:line="360" w:lineRule="auto"/>
        <w:ind w:firstLine="420" w:firstLineChars="200"/>
      </w:pPr>
      <w:r>
        <w:rPr>
          <w:rFonts w:hint="eastAsia"/>
        </w:rPr>
        <w:t>https://www.bawjxt.net/baqjbyfkzzx/(深圳市宝安区疾病预防控制中心官网)</w:t>
      </w:r>
    </w:p>
    <w:p w14:paraId="5783F421">
      <w:pPr>
        <w:spacing w:line="360" w:lineRule="auto"/>
        <w:ind w:firstLine="420" w:firstLineChars="200"/>
      </w:pPr>
    </w:p>
    <w:p w14:paraId="7C397871">
      <w:pPr>
        <w:spacing w:line="360" w:lineRule="auto"/>
        <w:ind w:firstLine="420" w:firstLineChars="200"/>
      </w:pPr>
    </w:p>
    <w:p w14:paraId="4FBE17F7">
      <w:pPr>
        <w:spacing w:line="360" w:lineRule="auto"/>
        <w:ind w:firstLine="5460" w:firstLineChars="2600"/>
        <w:rPr>
          <w:rFonts w:hint="eastAsia"/>
        </w:rPr>
      </w:pPr>
      <w:r>
        <w:rPr>
          <w:rFonts w:hint="eastAsia"/>
        </w:rPr>
        <w:t>深圳市宝安区疾病预防控制中心</w:t>
      </w:r>
    </w:p>
    <w:p w14:paraId="43CE7AD1">
      <w:pPr>
        <w:spacing w:line="360" w:lineRule="auto"/>
        <w:ind w:firstLine="5460" w:firstLineChars="2600"/>
        <w:rPr>
          <w:rFonts w:hint="eastAsia" w:eastAsiaTheme="minorEastAsia"/>
          <w:lang w:eastAsia="zh-CN"/>
        </w:rPr>
      </w:pPr>
      <w:r>
        <w:rPr>
          <w:rFonts w:hint="eastAsia"/>
          <w:lang w:eastAsia="zh-CN"/>
        </w:rPr>
        <w:t>（</w:t>
      </w:r>
      <w:r>
        <w:rPr>
          <w:rFonts w:hint="eastAsia"/>
          <w:lang w:val="en-US" w:eastAsia="zh-CN"/>
        </w:rPr>
        <w:t>深圳市宝安区卫生监督所</w:t>
      </w:r>
      <w:r>
        <w:rPr>
          <w:rFonts w:hint="eastAsia"/>
          <w:lang w:eastAsia="zh-CN"/>
        </w:rPr>
        <w:t>）</w:t>
      </w:r>
    </w:p>
    <w:p w14:paraId="1FE86B6C">
      <w:pPr>
        <w:spacing w:line="360" w:lineRule="auto"/>
        <w:ind w:firstLine="5880" w:firstLineChars="2800"/>
      </w:pPr>
      <w:r>
        <w:rPr>
          <w:rFonts w:hint="eastAsia"/>
        </w:rPr>
        <w:t>2</w:t>
      </w:r>
      <w:r>
        <w:t>02</w:t>
      </w:r>
      <w:r>
        <w:rPr>
          <w:rFonts w:hint="eastAsia"/>
          <w:lang w:val="en-US" w:eastAsia="zh-CN"/>
        </w:rPr>
        <w:t>5</w:t>
      </w:r>
      <w:r>
        <w:rPr>
          <w:rFonts w:hint="eastAsia"/>
        </w:rPr>
        <w:t>年</w:t>
      </w:r>
      <w:r>
        <w:rPr>
          <w:rFonts w:hint="eastAsia"/>
          <w:lang w:val="en-US" w:eastAsia="zh-CN"/>
        </w:rPr>
        <w:t>4</w:t>
      </w:r>
      <w:r>
        <w:rPr>
          <w:rFonts w:hint="eastAsia"/>
        </w:rPr>
        <w:t>月</w:t>
      </w:r>
      <w:r>
        <w:rPr>
          <w:rFonts w:hint="eastAsia"/>
          <w:lang w:val="en-US" w:eastAsia="zh-CN"/>
        </w:rPr>
        <w:t>9</w:t>
      </w:r>
      <w:r>
        <w:rPr>
          <w:rFonts w:hint="eastAsia"/>
        </w:rPr>
        <w:t>日</w:t>
      </w:r>
    </w:p>
    <w:p w14:paraId="4EEFC1AD">
      <w:pPr>
        <w:spacing w:line="360" w:lineRule="auto"/>
        <w:ind w:firstLine="420" w:firstLineChars="200"/>
        <w:sectPr>
          <w:pgSz w:w="11906" w:h="16838"/>
          <w:pgMar w:top="1418" w:right="1474" w:bottom="1418" w:left="1474" w:header="851" w:footer="992" w:gutter="0"/>
          <w:cols w:space="425" w:num="1"/>
          <w:docGrid w:type="lines" w:linePitch="312" w:charSpace="0"/>
        </w:sectPr>
      </w:pPr>
    </w:p>
    <w:p w14:paraId="68E0E3FF">
      <w:pPr>
        <w:pStyle w:val="2"/>
      </w:pPr>
      <w:bookmarkStart w:id="7" w:name="_Toc61539109"/>
      <w:bookmarkStart w:id="8" w:name="_Toc86939329"/>
      <w:r>
        <w:rPr>
          <w:rFonts w:hint="eastAsia"/>
        </w:rPr>
        <w:t>第二章  用户需求书</w:t>
      </w:r>
      <w:bookmarkEnd w:id="7"/>
      <w:bookmarkEnd w:id="8"/>
    </w:p>
    <w:p w14:paraId="53BC6BE8">
      <w:pPr>
        <w:pStyle w:val="3"/>
      </w:pPr>
      <w:bookmarkStart w:id="9" w:name="_Toc86939330"/>
      <w:bookmarkStart w:id="10" w:name="_Toc86741961"/>
      <w:r>
        <w:rPr>
          <w:rFonts w:hint="eastAsia"/>
        </w:rPr>
        <w:t>一、货物清单</w:t>
      </w:r>
    </w:p>
    <w:tbl>
      <w:tblPr>
        <w:tblStyle w:val="16"/>
        <w:tblW w:w="9351" w:type="dxa"/>
        <w:tblInd w:w="0" w:type="dxa"/>
        <w:tblLayout w:type="autofit"/>
        <w:tblCellMar>
          <w:top w:w="0" w:type="dxa"/>
          <w:left w:w="108" w:type="dxa"/>
          <w:bottom w:w="0" w:type="dxa"/>
          <w:right w:w="108" w:type="dxa"/>
        </w:tblCellMar>
      </w:tblPr>
      <w:tblGrid>
        <w:gridCol w:w="782"/>
        <w:gridCol w:w="2616"/>
        <w:gridCol w:w="3226"/>
        <w:gridCol w:w="1296"/>
        <w:gridCol w:w="703"/>
        <w:gridCol w:w="728"/>
      </w:tblGrid>
      <w:tr w14:paraId="79F22948">
        <w:tblPrEx>
          <w:tblCellMar>
            <w:top w:w="0" w:type="dxa"/>
            <w:left w:w="108" w:type="dxa"/>
            <w:bottom w:w="0" w:type="dxa"/>
            <w:right w:w="108" w:type="dxa"/>
          </w:tblCellMar>
        </w:tblPrEx>
        <w:trPr>
          <w:trHeight w:val="800" w:hRule="atLeast"/>
        </w:trPr>
        <w:tc>
          <w:tcPr>
            <w:tcW w:w="867" w:type="dxa"/>
            <w:tcBorders>
              <w:top w:val="single" w:color="auto" w:sz="4" w:space="0"/>
              <w:left w:val="single" w:color="auto" w:sz="4" w:space="0"/>
              <w:bottom w:val="single" w:color="auto" w:sz="4" w:space="0"/>
              <w:right w:val="single" w:color="auto" w:sz="4" w:space="0"/>
            </w:tcBorders>
            <w:shd w:val="clear" w:color="000000" w:fill="FFFFFF"/>
            <w:vAlign w:val="center"/>
          </w:tcPr>
          <w:p w14:paraId="793E9464">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序号</w:t>
            </w:r>
          </w:p>
        </w:tc>
        <w:tc>
          <w:tcPr>
            <w:tcW w:w="2616" w:type="dxa"/>
            <w:tcBorders>
              <w:top w:val="single" w:color="auto" w:sz="4" w:space="0"/>
              <w:left w:val="nil"/>
              <w:bottom w:val="single" w:color="auto" w:sz="4" w:space="0"/>
              <w:right w:val="single" w:color="auto" w:sz="4" w:space="0"/>
            </w:tcBorders>
            <w:shd w:val="clear" w:color="000000" w:fill="FFFFFF"/>
            <w:vAlign w:val="center"/>
          </w:tcPr>
          <w:p w14:paraId="48A19515">
            <w:pPr>
              <w:widowControl/>
              <w:jc w:val="center"/>
              <w:rPr>
                <w:rFonts w:ascii="Times New Roman" w:hAnsi="Times New Roman" w:eastAsia="宋体" w:cs="Times New Roman"/>
                <w:b/>
                <w:bCs/>
                <w:color w:val="000000"/>
                <w:kern w:val="0"/>
                <w:sz w:val="20"/>
                <w:szCs w:val="20"/>
              </w:rPr>
            </w:pPr>
            <w:r>
              <w:rPr>
                <w:rFonts w:hint="eastAsia" w:ascii="宋体" w:hAnsi="宋体" w:eastAsia="宋体" w:cs="Times New Roman"/>
                <w:b/>
                <w:bCs/>
                <w:color w:val="000000"/>
                <w:kern w:val="0"/>
                <w:sz w:val="20"/>
                <w:szCs w:val="20"/>
              </w:rPr>
              <w:t>名称</w:t>
            </w:r>
          </w:p>
        </w:tc>
        <w:tc>
          <w:tcPr>
            <w:tcW w:w="3426" w:type="dxa"/>
            <w:tcBorders>
              <w:top w:val="single" w:color="auto" w:sz="4" w:space="0"/>
              <w:left w:val="nil"/>
              <w:bottom w:val="single" w:color="auto" w:sz="4" w:space="0"/>
              <w:right w:val="single" w:color="auto" w:sz="4" w:space="0"/>
            </w:tcBorders>
            <w:shd w:val="clear" w:color="000000" w:fill="FFFFFF"/>
            <w:vAlign w:val="center"/>
          </w:tcPr>
          <w:p w14:paraId="21B0D566">
            <w:pPr>
              <w:widowControl/>
              <w:jc w:val="center"/>
              <w:rPr>
                <w:rFonts w:ascii="Times New Roman" w:hAnsi="Times New Roman" w:eastAsia="宋体" w:cs="Times New Roman"/>
                <w:b/>
                <w:bCs/>
                <w:color w:val="000000"/>
                <w:kern w:val="0"/>
                <w:sz w:val="20"/>
                <w:szCs w:val="20"/>
              </w:rPr>
            </w:pPr>
            <w:r>
              <w:rPr>
                <w:rFonts w:hint="eastAsia" w:ascii="宋体" w:hAnsi="宋体" w:eastAsia="宋体" w:cs="Times New Roman"/>
                <w:b/>
                <w:bCs/>
                <w:color w:val="000000"/>
                <w:kern w:val="0"/>
                <w:sz w:val="20"/>
                <w:szCs w:val="20"/>
              </w:rPr>
              <w:t>规格</w:t>
            </w:r>
            <w:r>
              <w:rPr>
                <w:rFonts w:ascii="Times New Roman" w:hAnsi="Times New Roman" w:eastAsia="宋体" w:cs="Times New Roman"/>
                <w:b/>
                <w:bCs/>
                <w:color w:val="000000"/>
                <w:kern w:val="0"/>
                <w:sz w:val="20"/>
                <w:szCs w:val="20"/>
              </w:rPr>
              <w:t>/</w:t>
            </w:r>
            <w:r>
              <w:rPr>
                <w:rFonts w:hint="eastAsia" w:ascii="宋体" w:hAnsi="宋体" w:eastAsia="宋体" w:cs="Times New Roman"/>
                <w:b/>
                <w:bCs/>
                <w:color w:val="000000"/>
                <w:kern w:val="0"/>
                <w:sz w:val="20"/>
                <w:szCs w:val="20"/>
              </w:rPr>
              <w:t>编号</w:t>
            </w:r>
          </w:p>
        </w:tc>
        <w:tc>
          <w:tcPr>
            <w:tcW w:w="878" w:type="dxa"/>
            <w:tcBorders>
              <w:top w:val="single" w:color="auto" w:sz="4" w:space="0"/>
              <w:left w:val="nil"/>
              <w:bottom w:val="single" w:color="auto" w:sz="4" w:space="0"/>
              <w:right w:val="single" w:color="auto" w:sz="4" w:space="0"/>
            </w:tcBorders>
            <w:shd w:val="clear" w:color="000000" w:fill="FFFFFF"/>
            <w:vAlign w:val="center"/>
          </w:tcPr>
          <w:p w14:paraId="6B872708">
            <w:pPr>
              <w:widowControl/>
              <w:jc w:val="center"/>
              <w:rPr>
                <w:rFonts w:ascii="Times New Roman" w:hAnsi="Times New Roman" w:eastAsia="宋体" w:cs="Times New Roman"/>
                <w:b/>
                <w:bCs/>
                <w:color w:val="000000"/>
                <w:kern w:val="0"/>
                <w:sz w:val="20"/>
                <w:szCs w:val="20"/>
              </w:rPr>
            </w:pPr>
            <w:r>
              <w:rPr>
                <w:rFonts w:hint="eastAsia" w:ascii="宋体" w:hAnsi="宋体" w:eastAsia="宋体" w:cs="Times New Roman"/>
                <w:b/>
                <w:bCs/>
                <w:color w:val="000000"/>
                <w:kern w:val="0"/>
                <w:sz w:val="20"/>
                <w:szCs w:val="20"/>
              </w:rPr>
              <w:t>单位</w:t>
            </w:r>
          </w:p>
        </w:tc>
        <w:tc>
          <w:tcPr>
            <w:tcW w:w="764" w:type="dxa"/>
            <w:tcBorders>
              <w:top w:val="single" w:color="auto" w:sz="4" w:space="0"/>
              <w:left w:val="nil"/>
              <w:bottom w:val="single" w:color="auto" w:sz="4" w:space="0"/>
              <w:right w:val="single" w:color="auto" w:sz="4" w:space="0"/>
            </w:tcBorders>
            <w:shd w:val="clear" w:color="000000" w:fill="FFFFFF"/>
            <w:vAlign w:val="center"/>
          </w:tcPr>
          <w:p w14:paraId="01EEE378">
            <w:pPr>
              <w:widowControl/>
              <w:jc w:val="center"/>
              <w:rPr>
                <w:rFonts w:ascii="Times New Roman" w:hAnsi="Times New Roman" w:eastAsia="宋体" w:cs="Times New Roman"/>
                <w:b/>
                <w:bCs/>
                <w:color w:val="000000"/>
                <w:kern w:val="0"/>
                <w:sz w:val="20"/>
                <w:szCs w:val="20"/>
              </w:rPr>
            </w:pPr>
            <w:r>
              <w:rPr>
                <w:rFonts w:hint="eastAsia" w:ascii="宋体" w:hAnsi="宋体" w:eastAsia="宋体" w:cs="Times New Roman"/>
                <w:b/>
                <w:bCs/>
                <w:color w:val="000000"/>
                <w:kern w:val="0"/>
                <w:sz w:val="20"/>
                <w:szCs w:val="20"/>
              </w:rPr>
              <w:t>数量</w:t>
            </w:r>
          </w:p>
        </w:tc>
        <w:tc>
          <w:tcPr>
            <w:tcW w:w="800" w:type="dxa"/>
            <w:tcBorders>
              <w:top w:val="single" w:color="auto" w:sz="4" w:space="0"/>
              <w:left w:val="nil"/>
              <w:bottom w:val="single" w:color="auto" w:sz="4" w:space="0"/>
              <w:right w:val="single" w:color="auto" w:sz="4" w:space="0"/>
            </w:tcBorders>
            <w:shd w:val="clear" w:color="000000" w:fill="FFFFFF"/>
            <w:vAlign w:val="center"/>
          </w:tcPr>
          <w:p w14:paraId="360A8CFD">
            <w:pPr>
              <w:widowControl/>
              <w:jc w:val="center"/>
              <w:rPr>
                <w:rFonts w:hint="eastAsia" w:ascii="宋体" w:hAnsi="宋体" w:eastAsia="宋体" w:cs="宋体"/>
                <w:color w:val="000000"/>
                <w:kern w:val="0"/>
                <w:sz w:val="22"/>
                <w:lang w:eastAsia="zh-CN"/>
              </w:rPr>
            </w:pPr>
            <w:r>
              <w:rPr>
                <w:rFonts w:hint="eastAsia" w:ascii="宋体" w:hAnsi="宋体" w:eastAsia="宋体" w:cs="Times New Roman"/>
                <w:b/>
                <w:bCs/>
                <w:color w:val="000000"/>
                <w:kern w:val="0"/>
                <w:sz w:val="20"/>
                <w:szCs w:val="20"/>
                <w:lang w:val="en-US" w:eastAsia="zh-CN"/>
              </w:rPr>
              <w:t>备注</w:t>
            </w:r>
          </w:p>
        </w:tc>
      </w:tr>
      <w:tr w14:paraId="552C4F04">
        <w:tblPrEx>
          <w:tblCellMar>
            <w:top w:w="0" w:type="dxa"/>
            <w:left w:w="108" w:type="dxa"/>
            <w:bottom w:w="0" w:type="dxa"/>
            <w:right w:w="108" w:type="dxa"/>
          </w:tblCellMar>
        </w:tblPrEx>
        <w:trPr>
          <w:trHeight w:val="800" w:hRule="atLeast"/>
        </w:trPr>
        <w:tc>
          <w:tcPr>
            <w:tcW w:w="867" w:type="dxa"/>
            <w:tcBorders>
              <w:top w:val="single" w:color="auto" w:sz="4" w:space="0"/>
              <w:left w:val="single" w:color="auto" w:sz="4" w:space="0"/>
              <w:bottom w:val="single" w:color="auto" w:sz="4" w:space="0"/>
              <w:right w:val="single" w:color="auto" w:sz="4" w:space="0"/>
            </w:tcBorders>
            <w:shd w:val="clear" w:color="000000" w:fill="FFFFFF"/>
            <w:vAlign w:val="center"/>
          </w:tcPr>
          <w:p w14:paraId="190EBABD">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iCs w:val="0"/>
                <w:color w:val="000000"/>
                <w:kern w:val="0"/>
                <w:sz w:val="24"/>
                <w:szCs w:val="24"/>
                <w:u w:val="none"/>
                <w:lang w:val="en-US" w:eastAsia="zh-CN" w:bidi="ar"/>
              </w:rPr>
            </w:pPr>
            <w:bookmarkStart w:id="170" w:name="_GoBack" w:colFirst="5" w:colLast="5"/>
          </w:p>
        </w:tc>
        <w:tc>
          <w:tcPr>
            <w:tcW w:w="2616" w:type="dxa"/>
            <w:tcBorders>
              <w:top w:val="single" w:color="auto" w:sz="4" w:space="0"/>
              <w:left w:val="nil"/>
              <w:bottom w:val="single" w:color="auto" w:sz="4" w:space="0"/>
              <w:right w:val="single" w:color="auto" w:sz="4" w:space="0"/>
            </w:tcBorders>
            <w:shd w:val="clear" w:color="000000" w:fill="FFFFFF"/>
            <w:vAlign w:val="center"/>
          </w:tcPr>
          <w:p w14:paraId="1D7F66E4">
            <w:pPr>
              <w:keepNext w:val="0"/>
              <w:keepLines w:val="0"/>
              <w:widowControl/>
              <w:suppressLineNumbers w:val="0"/>
              <w:jc w:val="center"/>
              <w:textAlignment w:val="center"/>
              <w:rPr>
                <w:rFonts w:hint="eastAsia" w:ascii="宋体" w:hAnsi="宋体" w:eastAsia="宋体" w:cs="Times New Roman"/>
                <w:b/>
                <w:bCs/>
                <w:color w:val="000000"/>
                <w:kern w:val="0"/>
                <w:sz w:val="20"/>
                <w:szCs w:val="20"/>
              </w:rPr>
            </w:pPr>
            <w:r>
              <w:rPr>
                <w:rFonts w:hint="eastAsia" w:ascii="宋体" w:hAnsi="宋体" w:eastAsia="宋体" w:cs="宋体"/>
                <w:i w:val="0"/>
                <w:iCs w:val="0"/>
                <w:color w:val="000000"/>
                <w:kern w:val="0"/>
                <w:sz w:val="24"/>
                <w:szCs w:val="24"/>
                <w:u w:val="none"/>
                <w:lang w:val="en-US" w:eastAsia="zh-CN" w:bidi="ar"/>
              </w:rPr>
              <w:t>pdmH1N1(HA)/H3N2(HA)亚型流感病毒核酸检测试剂盒 (双重荧光PCR法)</w:t>
            </w:r>
          </w:p>
        </w:tc>
        <w:tc>
          <w:tcPr>
            <w:tcW w:w="3426" w:type="dxa"/>
            <w:tcBorders>
              <w:top w:val="single" w:color="auto" w:sz="4" w:space="0"/>
              <w:left w:val="nil"/>
              <w:bottom w:val="single" w:color="auto" w:sz="4" w:space="0"/>
              <w:right w:val="single" w:color="auto" w:sz="4" w:space="0"/>
            </w:tcBorders>
            <w:shd w:val="clear" w:color="000000" w:fill="FFFFFF"/>
            <w:vAlign w:val="center"/>
          </w:tcPr>
          <w:p w14:paraId="43D161A5">
            <w:pPr>
              <w:keepNext w:val="0"/>
              <w:keepLines w:val="0"/>
              <w:widowControl/>
              <w:suppressLineNumbers w:val="0"/>
              <w:jc w:val="left"/>
              <w:textAlignment w:val="center"/>
              <w:rPr>
                <w:rFonts w:hint="eastAsia" w:ascii="宋体" w:hAnsi="宋体" w:eastAsia="宋体" w:cs="Times New Roman"/>
                <w:b/>
                <w:bCs/>
                <w:color w:val="000000"/>
                <w:kern w:val="0"/>
                <w:sz w:val="20"/>
                <w:szCs w:val="20"/>
              </w:rPr>
            </w:pPr>
            <w:r>
              <w:rPr>
                <w:rFonts w:hint="eastAsia" w:ascii="宋体" w:hAnsi="宋体" w:eastAsia="宋体" w:cs="宋体"/>
                <w:i w:val="0"/>
                <w:iCs w:val="0"/>
                <w:color w:val="000000"/>
                <w:kern w:val="0"/>
                <w:sz w:val="22"/>
                <w:szCs w:val="22"/>
                <w:u w:val="none"/>
                <w:lang w:val="en-US" w:eastAsia="zh-CN" w:bidi="ar"/>
              </w:rPr>
              <w:t>1、样品种类：鼻/咽拭子、痰液、支气管肺泡灌洗液；细胞、鸡胚培养物；禽类咽喉拭子、粪便；环境标本等样品。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2、适用于 ABI 7500、Bio-Rad CFX96、Roche Lightcycler480I、Lightcycler480II、cobasZ480、宏石 SLAN-96S、SLAN-96P等实时荧光定量PCR仪。</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3、有效期≥12个月，规格：25人份/盒或50人份/盒。 4、本试剂盒根据荧光PCR技术原理，针对pdmH1N1(HA)/H3N2(HA)亚型流感病毒设计特异性引物和探针，通过荧光PCR扩增仪进行检测，从而实现对dmH1N1(HA)/H3N2(HA)亚型流感病毒核酸的鉴别。</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4、反应时间：≤80分钟。</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5、最低检测限：500copies/mL。</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6、特异性：针对可能与检测靶标产生交叉的其他病原无交叉反应。</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▲7、生产企业通过ISO13485认证；提供质量检测合格报告。</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▲8、生产企业：拥有生物安全二级实验室备案、医疗机构(医学检验实验室)执业许可及测序服务平台，能对此产品提供数据验证支撑(提供证明文件)。</w:t>
            </w:r>
          </w:p>
        </w:tc>
        <w:tc>
          <w:tcPr>
            <w:tcW w:w="878" w:type="dxa"/>
            <w:tcBorders>
              <w:top w:val="single" w:color="auto" w:sz="4" w:space="0"/>
              <w:left w:val="nil"/>
              <w:bottom w:val="single" w:color="auto" w:sz="4" w:space="0"/>
              <w:right w:val="single" w:color="auto" w:sz="4" w:space="0"/>
            </w:tcBorders>
            <w:shd w:val="clear" w:color="000000" w:fill="FFFFFF"/>
            <w:vAlign w:val="center"/>
          </w:tcPr>
          <w:p w14:paraId="3C1060CE">
            <w:pPr>
              <w:keepNext w:val="0"/>
              <w:keepLines w:val="0"/>
              <w:widowControl/>
              <w:suppressLineNumbers w:val="0"/>
              <w:jc w:val="center"/>
              <w:textAlignment w:val="center"/>
              <w:rPr>
                <w:rFonts w:hint="eastAsia" w:ascii="宋体" w:hAnsi="宋体" w:eastAsia="宋体" w:cs="Times New Roman"/>
                <w:b/>
                <w:bCs/>
                <w:color w:val="000000"/>
                <w:kern w:val="0"/>
                <w:sz w:val="20"/>
                <w:szCs w:val="20"/>
              </w:rPr>
            </w:pPr>
            <w:r>
              <w:rPr>
                <w:rFonts w:hint="eastAsia" w:ascii="宋体" w:hAnsi="宋体" w:eastAsia="宋体" w:cs="宋体"/>
                <w:i w:val="0"/>
                <w:iCs w:val="0"/>
                <w:color w:val="000000"/>
                <w:kern w:val="0"/>
                <w:sz w:val="24"/>
                <w:szCs w:val="24"/>
                <w:u w:val="none"/>
                <w:lang w:val="en-US" w:eastAsia="zh-CN" w:bidi="ar"/>
              </w:rPr>
              <w:t>50人份/盒</w:t>
            </w:r>
          </w:p>
        </w:tc>
        <w:tc>
          <w:tcPr>
            <w:tcW w:w="764" w:type="dxa"/>
            <w:tcBorders>
              <w:top w:val="single" w:color="auto" w:sz="4" w:space="0"/>
              <w:left w:val="nil"/>
              <w:bottom w:val="single" w:color="auto" w:sz="4" w:space="0"/>
              <w:right w:val="single" w:color="auto" w:sz="4" w:space="0"/>
            </w:tcBorders>
            <w:shd w:val="clear" w:color="000000" w:fill="FFFFFF"/>
            <w:vAlign w:val="center"/>
          </w:tcPr>
          <w:p w14:paraId="359C5913">
            <w:pPr>
              <w:keepNext w:val="0"/>
              <w:keepLines w:val="0"/>
              <w:widowControl/>
              <w:suppressLineNumbers w:val="0"/>
              <w:jc w:val="center"/>
              <w:textAlignment w:val="center"/>
              <w:rPr>
                <w:rFonts w:hint="eastAsia" w:ascii="宋体" w:hAnsi="宋体" w:eastAsia="宋体" w:cs="Times New Roman"/>
                <w:b/>
                <w:bCs/>
                <w:color w:val="000000"/>
                <w:kern w:val="0"/>
                <w:sz w:val="20"/>
                <w:szCs w:val="20"/>
              </w:rPr>
            </w:pPr>
            <w:r>
              <w:rPr>
                <w:rFonts w:hint="eastAsia" w:ascii="宋体" w:hAnsi="宋体" w:eastAsia="宋体" w:cs="宋体"/>
                <w:i w:val="0"/>
                <w:iCs w:val="0"/>
                <w:color w:val="000000"/>
                <w:kern w:val="0"/>
                <w:sz w:val="24"/>
                <w:szCs w:val="24"/>
                <w:u w:val="none"/>
                <w:lang w:val="en-US" w:eastAsia="zh-CN" w:bidi="ar"/>
              </w:rPr>
              <w:t>4</w:t>
            </w:r>
          </w:p>
        </w:tc>
        <w:tc>
          <w:tcPr>
            <w:tcW w:w="800" w:type="dxa"/>
            <w:tcBorders>
              <w:top w:val="single" w:color="auto" w:sz="4" w:space="0"/>
              <w:left w:val="nil"/>
              <w:bottom w:val="single" w:color="auto" w:sz="4" w:space="0"/>
              <w:right w:val="single" w:color="auto" w:sz="4" w:space="0"/>
            </w:tcBorders>
            <w:shd w:val="clear" w:color="000000" w:fill="FFFFFF"/>
            <w:vAlign w:val="center"/>
          </w:tcPr>
          <w:p w14:paraId="2A243F17">
            <w:pPr>
              <w:widowControl/>
              <w:jc w:val="center"/>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需注明生产厂家</w:t>
            </w:r>
          </w:p>
        </w:tc>
      </w:tr>
      <w:tr w14:paraId="26E637A7">
        <w:tblPrEx>
          <w:tblCellMar>
            <w:top w:w="0" w:type="dxa"/>
            <w:left w:w="108" w:type="dxa"/>
            <w:bottom w:w="0" w:type="dxa"/>
            <w:right w:w="108" w:type="dxa"/>
          </w:tblCellMar>
        </w:tblPrEx>
        <w:trPr>
          <w:trHeight w:val="800" w:hRule="atLeast"/>
        </w:trPr>
        <w:tc>
          <w:tcPr>
            <w:tcW w:w="867" w:type="dxa"/>
            <w:tcBorders>
              <w:top w:val="single" w:color="auto" w:sz="4" w:space="0"/>
              <w:left w:val="single" w:color="auto" w:sz="4" w:space="0"/>
              <w:bottom w:val="single" w:color="auto" w:sz="4" w:space="0"/>
              <w:right w:val="single" w:color="auto" w:sz="4" w:space="0"/>
            </w:tcBorders>
            <w:shd w:val="clear" w:color="000000" w:fill="FFFFFF"/>
            <w:vAlign w:val="center"/>
          </w:tcPr>
          <w:p w14:paraId="4A54E125">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2616" w:type="dxa"/>
            <w:tcBorders>
              <w:top w:val="single" w:color="auto" w:sz="4" w:space="0"/>
              <w:left w:val="nil"/>
              <w:bottom w:val="single" w:color="auto" w:sz="4" w:space="0"/>
              <w:right w:val="single" w:color="auto" w:sz="4" w:space="0"/>
            </w:tcBorders>
            <w:shd w:val="clear" w:color="000000" w:fill="FFFFFF"/>
            <w:vAlign w:val="center"/>
          </w:tcPr>
          <w:p w14:paraId="4E84D863">
            <w:pPr>
              <w:keepNext w:val="0"/>
              <w:keepLines w:val="0"/>
              <w:widowControl/>
              <w:suppressLineNumbers w:val="0"/>
              <w:jc w:val="center"/>
              <w:textAlignment w:val="center"/>
              <w:rPr>
                <w:rFonts w:hint="eastAsia" w:ascii="宋体" w:hAnsi="宋体" w:eastAsia="宋体" w:cs="Times New Roman"/>
                <w:b/>
                <w:bCs/>
                <w:color w:val="000000"/>
                <w:kern w:val="0"/>
                <w:sz w:val="20"/>
                <w:szCs w:val="20"/>
              </w:rPr>
            </w:pPr>
            <w:r>
              <w:rPr>
                <w:rFonts w:hint="eastAsia" w:ascii="宋体" w:hAnsi="宋体" w:eastAsia="宋体" w:cs="宋体"/>
                <w:i w:val="0"/>
                <w:iCs w:val="0"/>
                <w:color w:val="000000"/>
                <w:kern w:val="0"/>
                <w:sz w:val="24"/>
                <w:szCs w:val="24"/>
                <w:u w:val="none"/>
                <w:lang w:val="en-US" w:eastAsia="zh-CN" w:bidi="ar"/>
              </w:rPr>
              <w:t>札如病毒核酸检测试剂盒 (荧光PCR法)</w:t>
            </w:r>
          </w:p>
        </w:tc>
        <w:tc>
          <w:tcPr>
            <w:tcW w:w="3426" w:type="dxa"/>
            <w:tcBorders>
              <w:top w:val="single" w:color="auto" w:sz="4" w:space="0"/>
              <w:left w:val="nil"/>
              <w:bottom w:val="single" w:color="auto" w:sz="4" w:space="0"/>
              <w:right w:val="single" w:color="auto" w:sz="4" w:space="0"/>
            </w:tcBorders>
            <w:shd w:val="clear" w:color="000000" w:fill="FFFFFF"/>
            <w:vAlign w:val="center"/>
          </w:tcPr>
          <w:p w14:paraId="7EAD983A">
            <w:pPr>
              <w:keepNext w:val="0"/>
              <w:keepLines w:val="0"/>
              <w:widowControl/>
              <w:suppressLineNumbers w:val="0"/>
              <w:jc w:val="left"/>
              <w:textAlignment w:val="center"/>
              <w:rPr>
                <w:rFonts w:hint="eastAsia" w:ascii="宋体" w:hAnsi="宋体" w:eastAsia="宋体" w:cs="Times New Roman"/>
                <w:b/>
                <w:bCs/>
                <w:color w:val="000000"/>
                <w:kern w:val="0"/>
                <w:sz w:val="20"/>
                <w:szCs w:val="20"/>
              </w:rPr>
            </w:pPr>
            <w:r>
              <w:rPr>
                <w:rFonts w:hint="eastAsia" w:ascii="宋体" w:hAnsi="宋体" w:eastAsia="宋体" w:cs="宋体"/>
                <w:i w:val="0"/>
                <w:iCs w:val="0"/>
                <w:color w:val="000000"/>
                <w:kern w:val="0"/>
                <w:sz w:val="22"/>
                <w:szCs w:val="22"/>
                <w:u w:val="none"/>
                <w:lang w:val="en-US" w:eastAsia="zh-CN" w:bidi="ar"/>
              </w:rPr>
              <w:t>1、样品种类：粪便、呕吐物等。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2、适用于 ABI 7500、Bio-Rad CFX96、Roche Lightcycler480I、Lightcycler480II、cobasZ480、宏石 SLAN-96S、SLAN-96P等实时荧光定量PCR仪。</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3、有效期≥12个月，规格：25人份/盒或50人份/盒。</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4、本试剂盒根据荧光PCR技术原理，针对札如病毒设计特异性引物和探针，通过荧光PCR扩增仪进行检测，从而实现对札如病毒核酸的鉴别。</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5、反应时间：≤80分钟。</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6、最低检测限：500copies/mL。</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7、特异性：针对可能与检测靶标产生交叉的其他病原无交叉反应。</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▲8、生产企业通过ISO13485认证；提供质量检测合格报告。</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▲9、生产企业：拥有生物安全二级实验室备案、医疗机构(医学检验实验室)执业许可及测序服务平台，能对此产品提供数据验证支撑(提供证明文件)。</w:t>
            </w:r>
          </w:p>
        </w:tc>
        <w:tc>
          <w:tcPr>
            <w:tcW w:w="878" w:type="dxa"/>
            <w:tcBorders>
              <w:top w:val="single" w:color="auto" w:sz="4" w:space="0"/>
              <w:left w:val="nil"/>
              <w:bottom w:val="single" w:color="auto" w:sz="4" w:space="0"/>
              <w:right w:val="single" w:color="auto" w:sz="4" w:space="0"/>
            </w:tcBorders>
            <w:shd w:val="clear" w:color="000000" w:fill="FFFFFF"/>
            <w:vAlign w:val="center"/>
          </w:tcPr>
          <w:p w14:paraId="51AAA3D2">
            <w:pPr>
              <w:keepNext w:val="0"/>
              <w:keepLines w:val="0"/>
              <w:widowControl/>
              <w:suppressLineNumbers w:val="0"/>
              <w:jc w:val="center"/>
              <w:textAlignment w:val="center"/>
              <w:rPr>
                <w:rFonts w:hint="eastAsia" w:ascii="宋体" w:hAnsi="宋体" w:eastAsia="宋体" w:cs="Times New Roman"/>
                <w:b/>
                <w:bCs/>
                <w:color w:val="000000"/>
                <w:kern w:val="0"/>
                <w:sz w:val="20"/>
                <w:szCs w:val="20"/>
              </w:rPr>
            </w:pPr>
            <w:r>
              <w:rPr>
                <w:rFonts w:hint="eastAsia" w:ascii="宋体" w:hAnsi="宋体" w:eastAsia="宋体" w:cs="宋体"/>
                <w:i w:val="0"/>
                <w:iCs w:val="0"/>
                <w:color w:val="000000"/>
                <w:kern w:val="0"/>
                <w:sz w:val="24"/>
                <w:szCs w:val="24"/>
                <w:u w:val="none"/>
                <w:lang w:val="en-US" w:eastAsia="zh-CN" w:bidi="ar"/>
              </w:rPr>
              <w:t>50人份/盒</w:t>
            </w:r>
          </w:p>
        </w:tc>
        <w:tc>
          <w:tcPr>
            <w:tcW w:w="764" w:type="dxa"/>
            <w:tcBorders>
              <w:top w:val="single" w:color="auto" w:sz="4" w:space="0"/>
              <w:left w:val="nil"/>
              <w:bottom w:val="single" w:color="auto" w:sz="4" w:space="0"/>
              <w:right w:val="single" w:color="auto" w:sz="4" w:space="0"/>
            </w:tcBorders>
            <w:shd w:val="clear" w:color="000000" w:fill="FFFFFF"/>
            <w:vAlign w:val="center"/>
          </w:tcPr>
          <w:p w14:paraId="2EAFF01B">
            <w:pPr>
              <w:keepNext w:val="0"/>
              <w:keepLines w:val="0"/>
              <w:widowControl/>
              <w:suppressLineNumbers w:val="0"/>
              <w:jc w:val="center"/>
              <w:textAlignment w:val="center"/>
              <w:rPr>
                <w:rFonts w:hint="eastAsia" w:ascii="宋体" w:hAnsi="宋体" w:eastAsia="宋体" w:cs="Times New Roman"/>
                <w:b/>
                <w:bCs/>
                <w:color w:val="000000"/>
                <w:kern w:val="0"/>
                <w:sz w:val="20"/>
                <w:szCs w:val="20"/>
              </w:rPr>
            </w:pPr>
            <w:r>
              <w:rPr>
                <w:rFonts w:hint="eastAsia" w:ascii="宋体" w:hAnsi="宋体" w:eastAsia="宋体" w:cs="宋体"/>
                <w:i w:val="0"/>
                <w:iCs w:val="0"/>
                <w:color w:val="000000"/>
                <w:kern w:val="0"/>
                <w:sz w:val="24"/>
                <w:szCs w:val="24"/>
                <w:u w:val="none"/>
                <w:lang w:val="en-US" w:eastAsia="zh-CN" w:bidi="ar"/>
              </w:rPr>
              <w:t>1</w:t>
            </w:r>
          </w:p>
        </w:tc>
        <w:tc>
          <w:tcPr>
            <w:tcW w:w="800" w:type="dxa"/>
            <w:tcBorders>
              <w:top w:val="single" w:color="auto" w:sz="4" w:space="0"/>
              <w:left w:val="nil"/>
              <w:bottom w:val="single" w:color="auto" w:sz="4" w:space="0"/>
              <w:right w:val="single" w:color="auto" w:sz="4" w:space="0"/>
            </w:tcBorders>
            <w:shd w:val="clear" w:color="000000" w:fill="FFFFFF"/>
            <w:vAlign w:val="center"/>
          </w:tcPr>
          <w:p w14:paraId="6E6A57C0">
            <w:pPr>
              <w:widowControl/>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需注明生产厂家</w:t>
            </w:r>
          </w:p>
        </w:tc>
      </w:tr>
      <w:tr w14:paraId="08ED6780">
        <w:tblPrEx>
          <w:tblCellMar>
            <w:top w:w="0" w:type="dxa"/>
            <w:left w:w="108" w:type="dxa"/>
            <w:bottom w:w="0" w:type="dxa"/>
            <w:right w:w="108" w:type="dxa"/>
          </w:tblCellMar>
        </w:tblPrEx>
        <w:trPr>
          <w:trHeight w:val="800" w:hRule="atLeast"/>
        </w:trPr>
        <w:tc>
          <w:tcPr>
            <w:tcW w:w="867" w:type="dxa"/>
            <w:tcBorders>
              <w:top w:val="single" w:color="auto" w:sz="4" w:space="0"/>
              <w:left w:val="single" w:color="auto" w:sz="4" w:space="0"/>
              <w:bottom w:val="single" w:color="auto" w:sz="4" w:space="0"/>
              <w:right w:val="single" w:color="auto" w:sz="4" w:space="0"/>
            </w:tcBorders>
            <w:shd w:val="clear" w:color="000000" w:fill="FFFFFF"/>
            <w:vAlign w:val="center"/>
          </w:tcPr>
          <w:p w14:paraId="25907A81">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2616" w:type="dxa"/>
            <w:tcBorders>
              <w:top w:val="single" w:color="auto" w:sz="4" w:space="0"/>
              <w:left w:val="nil"/>
              <w:bottom w:val="single" w:color="auto" w:sz="4" w:space="0"/>
              <w:right w:val="single" w:color="auto" w:sz="4" w:space="0"/>
            </w:tcBorders>
            <w:shd w:val="clear" w:color="000000" w:fill="FFFFFF"/>
            <w:vAlign w:val="center"/>
          </w:tcPr>
          <w:p w14:paraId="0FBB654A">
            <w:pPr>
              <w:keepNext w:val="0"/>
              <w:keepLines w:val="0"/>
              <w:widowControl/>
              <w:suppressLineNumbers w:val="0"/>
              <w:jc w:val="center"/>
              <w:textAlignment w:val="center"/>
              <w:rPr>
                <w:rFonts w:hint="eastAsia" w:ascii="宋体" w:hAnsi="宋体" w:eastAsia="宋体" w:cs="Times New Roman"/>
                <w:b/>
                <w:bCs/>
                <w:color w:val="000000"/>
                <w:kern w:val="0"/>
                <w:sz w:val="20"/>
                <w:szCs w:val="20"/>
              </w:rPr>
            </w:pPr>
            <w:r>
              <w:rPr>
                <w:rFonts w:hint="eastAsia" w:ascii="宋体" w:hAnsi="宋体" w:eastAsia="宋体" w:cs="宋体"/>
                <w:i w:val="0"/>
                <w:iCs w:val="0"/>
                <w:color w:val="000000"/>
                <w:kern w:val="0"/>
                <w:sz w:val="24"/>
                <w:szCs w:val="24"/>
                <w:u w:val="none"/>
                <w:lang w:val="en-US" w:eastAsia="zh-CN" w:bidi="ar"/>
              </w:rPr>
              <w:t>诺如病毒I/II型核酸检测试剂盒 (双重荧光PCR法)</w:t>
            </w:r>
          </w:p>
        </w:tc>
        <w:tc>
          <w:tcPr>
            <w:tcW w:w="3426" w:type="dxa"/>
            <w:tcBorders>
              <w:top w:val="single" w:color="auto" w:sz="4" w:space="0"/>
              <w:left w:val="nil"/>
              <w:bottom w:val="single" w:color="auto" w:sz="4" w:space="0"/>
              <w:right w:val="single" w:color="auto" w:sz="4" w:space="0"/>
            </w:tcBorders>
            <w:shd w:val="clear" w:color="000000" w:fill="FFFFFF"/>
            <w:vAlign w:val="center"/>
          </w:tcPr>
          <w:p w14:paraId="09A0D356">
            <w:pPr>
              <w:keepNext w:val="0"/>
              <w:keepLines w:val="0"/>
              <w:widowControl/>
              <w:suppressLineNumbers w:val="0"/>
              <w:jc w:val="left"/>
              <w:textAlignment w:val="center"/>
              <w:rPr>
                <w:rFonts w:hint="eastAsia" w:ascii="宋体" w:hAnsi="宋体" w:eastAsia="宋体" w:cs="Times New Roman"/>
                <w:b/>
                <w:bCs/>
                <w:color w:val="000000"/>
                <w:kern w:val="0"/>
                <w:sz w:val="20"/>
                <w:szCs w:val="20"/>
              </w:rPr>
            </w:pPr>
            <w:r>
              <w:rPr>
                <w:rFonts w:hint="eastAsia" w:ascii="宋体" w:hAnsi="宋体" w:eastAsia="宋体" w:cs="宋体"/>
                <w:i w:val="0"/>
                <w:iCs w:val="0"/>
                <w:color w:val="000000"/>
                <w:kern w:val="0"/>
                <w:sz w:val="22"/>
                <w:szCs w:val="22"/>
                <w:u w:val="none"/>
                <w:lang w:val="en-US" w:eastAsia="zh-CN" w:bidi="ar"/>
              </w:rPr>
              <w:t>1、样品种类：粪便、呕吐物等。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2、适用于 ABI 7500、Bio-Rad CFX96、Roche Lightcycler480I、Lightcycler480II、cobasZ480、宏石 SLAN-96S、SLAN-96P等实时荧光定量PCR仪。</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3、有效期≥12个月，规格：25人份/盒或50人份/盒。</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4、本试剂盒根据荧光PCR技术原理，针对诺如病毒I型、诺如病毒II型设计特异性引物和Taqman探针，通过荧光PCR 扩增仪进行检测，从而实现对诺如病毒I型、诺如病毒II型核酸的检测。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▲5、本试剂盒设置了人的核糖核酸酶P基因（RNase P）为内源性内标(IC)对照，用于对样本采集、保存和运输以及核酸提取过程进行监控。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6、反应时间：≤80分钟。</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7、最低检测限：500copies/mL。</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8、特异性：针对可能与检测靶标产生交叉的其他病原无交叉反应。</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▲9、生产企业通过ISO13485认证；提供质量检测合格报告。</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▲10、生产企业：拥有生物安全二级实验室备案、医疗机构(医学检验实验室)执业许可及测序服务平台，能对此产品提供数据验证支撑(提供证明文件)。</w:t>
            </w:r>
          </w:p>
        </w:tc>
        <w:tc>
          <w:tcPr>
            <w:tcW w:w="878" w:type="dxa"/>
            <w:tcBorders>
              <w:top w:val="single" w:color="auto" w:sz="4" w:space="0"/>
              <w:left w:val="nil"/>
              <w:bottom w:val="single" w:color="auto" w:sz="4" w:space="0"/>
              <w:right w:val="single" w:color="auto" w:sz="4" w:space="0"/>
            </w:tcBorders>
            <w:shd w:val="clear" w:color="000000" w:fill="FFFFFF"/>
            <w:vAlign w:val="center"/>
          </w:tcPr>
          <w:p w14:paraId="6FE32DFD">
            <w:pPr>
              <w:keepNext w:val="0"/>
              <w:keepLines w:val="0"/>
              <w:widowControl/>
              <w:suppressLineNumbers w:val="0"/>
              <w:jc w:val="center"/>
              <w:textAlignment w:val="center"/>
              <w:rPr>
                <w:rFonts w:hint="eastAsia" w:ascii="宋体" w:hAnsi="宋体" w:eastAsia="宋体" w:cs="Times New Roman"/>
                <w:b/>
                <w:bCs/>
                <w:color w:val="000000"/>
                <w:kern w:val="0"/>
                <w:sz w:val="20"/>
                <w:szCs w:val="20"/>
              </w:rPr>
            </w:pPr>
            <w:r>
              <w:rPr>
                <w:rFonts w:hint="eastAsia" w:ascii="宋体" w:hAnsi="宋体" w:eastAsia="宋体" w:cs="宋体"/>
                <w:i w:val="0"/>
                <w:iCs w:val="0"/>
                <w:color w:val="000000"/>
                <w:kern w:val="0"/>
                <w:sz w:val="24"/>
                <w:szCs w:val="24"/>
                <w:u w:val="none"/>
                <w:lang w:val="en-US" w:eastAsia="zh-CN" w:bidi="ar"/>
              </w:rPr>
              <w:t>50人份/盒</w:t>
            </w:r>
          </w:p>
        </w:tc>
        <w:tc>
          <w:tcPr>
            <w:tcW w:w="764" w:type="dxa"/>
            <w:tcBorders>
              <w:top w:val="single" w:color="auto" w:sz="4" w:space="0"/>
              <w:left w:val="nil"/>
              <w:bottom w:val="single" w:color="auto" w:sz="4" w:space="0"/>
              <w:right w:val="single" w:color="auto" w:sz="4" w:space="0"/>
            </w:tcBorders>
            <w:shd w:val="clear" w:color="000000" w:fill="FFFFFF"/>
            <w:vAlign w:val="center"/>
          </w:tcPr>
          <w:p w14:paraId="76627E3B">
            <w:pPr>
              <w:keepNext w:val="0"/>
              <w:keepLines w:val="0"/>
              <w:widowControl/>
              <w:suppressLineNumbers w:val="0"/>
              <w:jc w:val="center"/>
              <w:textAlignment w:val="center"/>
              <w:rPr>
                <w:rFonts w:hint="eastAsia" w:ascii="宋体" w:hAnsi="宋体" w:eastAsia="宋体" w:cs="Times New Roman"/>
                <w:b/>
                <w:bCs/>
                <w:color w:val="000000"/>
                <w:kern w:val="0"/>
                <w:sz w:val="20"/>
                <w:szCs w:val="20"/>
              </w:rPr>
            </w:pPr>
            <w:r>
              <w:rPr>
                <w:rFonts w:hint="eastAsia" w:ascii="宋体" w:hAnsi="宋体" w:eastAsia="宋体" w:cs="宋体"/>
                <w:i w:val="0"/>
                <w:iCs w:val="0"/>
                <w:color w:val="000000"/>
                <w:kern w:val="0"/>
                <w:sz w:val="24"/>
                <w:szCs w:val="24"/>
                <w:u w:val="none"/>
                <w:lang w:val="en-US" w:eastAsia="zh-CN" w:bidi="ar"/>
              </w:rPr>
              <w:t>1</w:t>
            </w:r>
          </w:p>
        </w:tc>
        <w:tc>
          <w:tcPr>
            <w:tcW w:w="800" w:type="dxa"/>
            <w:tcBorders>
              <w:top w:val="single" w:color="auto" w:sz="4" w:space="0"/>
              <w:left w:val="nil"/>
              <w:bottom w:val="single" w:color="auto" w:sz="4" w:space="0"/>
              <w:right w:val="single" w:color="auto" w:sz="4" w:space="0"/>
            </w:tcBorders>
            <w:shd w:val="clear" w:color="000000" w:fill="FFFFFF"/>
            <w:vAlign w:val="center"/>
          </w:tcPr>
          <w:p w14:paraId="19875FE1">
            <w:pPr>
              <w:widowControl/>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需注明生产厂家</w:t>
            </w:r>
          </w:p>
        </w:tc>
      </w:tr>
      <w:tr w14:paraId="5D7375A8">
        <w:tblPrEx>
          <w:tblCellMar>
            <w:top w:w="0" w:type="dxa"/>
            <w:left w:w="108" w:type="dxa"/>
            <w:bottom w:w="0" w:type="dxa"/>
            <w:right w:w="108" w:type="dxa"/>
          </w:tblCellMar>
        </w:tblPrEx>
        <w:trPr>
          <w:trHeight w:val="800" w:hRule="atLeast"/>
        </w:trPr>
        <w:tc>
          <w:tcPr>
            <w:tcW w:w="867" w:type="dxa"/>
            <w:tcBorders>
              <w:top w:val="single" w:color="auto" w:sz="4" w:space="0"/>
              <w:left w:val="single" w:color="auto" w:sz="4" w:space="0"/>
              <w:bottom w:val="single" w:color="auto" w:sz="4" w:space="0"/>
              <w:right w:val="single" w:color="auto" w:sz="4" w:space="0"/>
            </w:tcBorders>
            <w:shd w:val="clear" w:color="000000" w:fill="FFFFFF"/>
            <w:vAlign w:val="center"/>
          </w:tcPr>
          <w:p w14:paraId="1200432C">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2616" w:type="dxa"/>
            <w:tcBorders>
              <w:top w:val="single" w:color="auto" w:sz="4" w:space="0"/>
              <w:left w:val="nil"/>
              <w:bottom w:val="single" w:color="auto" w:sz="4" w:space="0"/>
              <w:right w:val="single" w:color="auto" w:sz="4" w:space="0"/>
            </w:tcBorders>
            <w:shd w:val="clear" w:color="000000" w:fill="FFFFFF"/>
            <w:vAlign w:val="center"/>
          </w:tcPr>
          <w:p w14:paraId="73B7D7C0">
            <w:pPr>
              <w:keepNext w:val="0"/>
              <w:keepLines w:val="0"/>
              <w:widowControl/>
              <w:suppressLineNumbers w:val="0"/>
              <w:jc w:val="center"/>
              <w:textAlignment w:val="center"/>
              <w:rPr>
                <w:rFonts w:hint="eastAsia" w:ascii="宋体" w:hAnsi="宋体" w:eastAsia="宋体" w:cs="Times New Roman"/>
                <w:b/>
                <w:bCs/>
                <w:color w:val="000000"/>
                <w:kern w:val="0"/>
                <w:sz w:val="20"/>
                <w:szCs w:val="20"/>
              </w:rPr>
            </w:pPr>
            <w:r>
              <w:rPr>
                <w:rFonts w:hint="eastAsia" w:ascii="宋体" w:hAnsi="宋体" w:eastAsia="宋体" w:cs="宋体"/>
                <w:i w:val="0"/>
                <w:iCs w:val="0"/>
                <w:color w:val="000000"/>
                <w:kern w:val="0"/>
                <w:sz w:val="24"/>
                <w:szCs w:val="24"/>
                <w:u w:val="none"/>
                <w:lang w:val="en-US" w:eastAsia="zh-CN" w:bidi="ar"/>
              </w:rPr>
              <w:t>M-SUS完全培养基</w:t>
            </w:r>
          </w:p>
        </w:tc>
        <w:tc>
          <w:tcPr>
            <w:tcW w:w="3426" w:type="dxa"/>
            <w:tcBorders>
              <w:top w:val="single" w:color="auto" w:sz="4" w:space="0"/>
              <w:left w:val="nil"/>
              <w:bottom w:val="single" w:color="auto" w:sz="4" w:space="0"/>
              <w:right w:val="single" w:color="auto" w:sz="4" w:space="0"/>
            </w:tcBorders>
            <w:shd w:val="clear" w:color="000000" w:fill="FFFFFF"/>
            <w:vAlign w:val="center"/>
          </w:tcPr>
          <w:p w14:paraId="7DFDB79F">
            <w:pPr>
              <w:keepNext w:val="0"/>
              <w:keepLines w:val="0"/>
              <w:widowControl/>
              <w:suppressLineNumbers w:val="0"/>
              <w:jc w:val="left"/>
              <w:textAlignment w:val="center"/>
              <w:rPr>
                <w:rFonts w:hint="eastAsia" w:ascii="宋体" w:hAnsi="宋体" w:eastAsia="宋体" w:cs="Times New Roman"/>
                <w:b/>
                <w:bCs/>
                <w:color w:val="000000"/>
                <w:kern w:val="0"/>
                <w:sz w:val="20"/>
                <w:szCs w:val="20"/>
              </w:rPr>
            </w:pPr>
            <w:r>
              <w:rPr>
                <w:rFonts w:hint="eastAsia" w:ascii="宋体" w:hAnsi="宋体" w:eastAsia="宋体" w:cs="宋体"/>
                <w:i w:val="0"/>
                <w:iCs w:val="0"/>
                <w:color w:val="000000"/>
                <w:kern w:val="0"/>
                <w:sz w:val="22"/>
                <w:szCs w:val="22"/>
                <w:u w:val="none"/>
                <w:lang w:val="en-US" w:eastAsia="zh-CN" w:bidi="ar"/>
              </w:rPr>
              <w:t>1、产品应用：该培养基可以支持susMDCK细胞悬浮培养，消除微载体悬浮培养过程中放大导致的细胞损伤问题，解决大规模微载体悬浮培养过程中细胞密度的限制，并且提高了细胞密度，增强了细胞对病毒的易感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▲2、试剂便捷：不含抗生素和胎牛血清，传代时可直接使用，也可根据需要加入1%双抗或三抗。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3、规格：1000mL/瓶。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4、操作便捷：细胞复苏-细胞传代-细胞种毒三个步骤，即可收获满意毒株</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5、设备通用：仅需配备振荡培养箱和细胞计数器等常规细胞培养用仪器设备。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6、高效分离：对比传统血清贴壁培养的MDCK细胞，病毒分离效率更高。</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配套使用的无血清M-SUS培养液支持susMDCK细胞高密度增殖，可支持多亚型流感病毒阳性标本进行病毒分离培养并获得高效价的流感病毒，大大提高流感病毒的分离阳性率。尤其是对于较难分离培养的H3N2亚型流感病毒，susMDCK细胞表现更为出色。</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对不同型别流感病毒核酸检测阳性的样本，同时应用MDCK、susMDCK和SPF鸡胚三种方法分别进行病毒分离，susMDCK病毒分离法的病毒分离率和分离病毒的几何平均滴度均明显优于MDCK法和SPF鸡胚法。（提供证明材料）</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▲9、针对悬浮细胞培养分离出的病毒，可提供同品牌流感系列试剂盒进行验证。                              10、 本产品为核心产品需提供制造商代理证明或授权书。</w:t>
            </w:r>
          </w:p>
        </w:tc>
        <w:tc>
          <w:tcPr>
            <w:tcW w:w="878" w:type="dxa"/>
            <w:tcBorders>
              <w:top w:val="single" w:color="auto" w:sz="4" w:space="0"/>
              <w:left w:val="nil"/>
              <w:bottom w:val="single" w:color="auto" w:sz="4" w:space="0"/>
              <w:right w:val="single" w:color="auto" w:sz="4" w:space="0"/>
            </w:tcBorders>
            <w:shd w:val="clear" w:color="000000" w:fill="FFFFFF"/>
            <w:vAlign w:val="center"/>
          </w:tcPr>
          <w:p w14:paraId="09B28B4E">
            <w:pPr>
              <w:keepNext w:val="0"/>
              <w:keepLines w:val="0"/>
              <w:widowControl/>
              <w:suppressLineNumbers w:val="0"/>
              <w:jc w:val="center"/>
              <w:textAlignment w:val="center"/>
              <w:rPr>
                <w:rFonts w:hint="eastAsia" w:ascii="宋体" w:hAnsi="宋体" w:eastAsia="宋体" w:cs="Times New Roman"/>
                <w:b/>
                <w:bCs/>
                <w:color w:val="000000"/>
                <w:kern w:val="0"/>
                <w:sz w:val="20"/>
                <w:szCs w:val="20"/>
              </w:rPr>
            </w:pPr>
            <w:r>
              <w:rPr>
                <w:rFonts w:hint="eastAsia" w:ascii="宋体" w:hAnsi="宋体" w:eastAsia="宋体" w:cs="宋体"/>
                <w:i w:val="0"/>
                <w:iCs w:val="0"/>
                <w:color w:val="000000"/>
                <w:kern w:val="0"/>
                <w:sz w:val="24"/>
                <w:szCs w:val="24"/>
                <w:u w:val="none"/>
                <w:lang w:val="en-US" w:eastAsia="zh-CN" w:bidi="ar"/>
              </w:rPr>
              <w:t>1000ml</w:t>
            </w:r>
          </w:p>
        </w:tc>
        <w:tc>
          <w:tcPr>
            <w:tcW w:w="764" w:type="dxa"/>
            <w:tcBorders>
              <w:top w:val="single" w:color="auto" w:sz="4" w:space="0"/>
              <w:left w:val="nil"/>
              <w:bottom w:val="single" w:color="auto" w:sz="4" w:space="0"/>
              <w:right w:val="single" w:color="auto" w:sz="4" w:space="0"/>
            </w:tcBorders>
            <w:shd w:val="clear" w:color="000000" w:fill="FFFFFF"/>
            <w:vAlign w:val="center"/>
          </w:tcPr>
          <w:p w14:paraId="3C4BB9A2">
            <w:pPr>
              <w:keepNext w:val="0"/>
              <w:keepLines w:val="0"/>
              <w:widowControl/>
              <w:suppressLineNumbers w:val="0"/>
              <w:jc w:val="center"/>
              <w:textAlignment w:val="center"/>
              <w:rPr>
                <w:rFonts w:hint="eastAsia" w:ascii="宋体" w:hAnsi="宋体" w:eastAsia="宋体" w:cs="Times New Roman"/>
                <w:b/>
                <w:bCs/>
                <w:color w:val="000000"/>
                <w:kern w:val="0"/>
                <w:sz w:val="20"/>
                <w:szCs w:val="20"/>
              </w:rPr>
            </w:pPr>
            <w:r>
              <w:rPr>
                <w:rFonts w:hint="eastAsia" w:ascii="宋体" w:hAnsi="宋体" w:eastAsia="宋体" w:cs="宋体"/>
                <w:i w:val="0"/>
                <w:iCs w:val="0"/>
                <w:color w:val="000000"/>
                <w:kern w:val="0"/>
                <w:sz w:val="24"/>
                <w:szCs w:val="24"/>
                <w:u w:val="none"/>
                <w:lang w:val="en-US" w:eastAsia="zh-CN" w:bidi="ar"/>
              </w:rPr>
              <w:t>1</w:t>
            </w:r>
          </w:p>
        </w:tc>
        <w:tc>
          <w:tcPr>
            <w:tcW w:w="800" w:type="dxa"/>
            <w:tcBorders>
              <w:top w:val="single" w:color="auto" w:sz="4" w:space="0"/>
              <w:left w:val="nil"/>
              <w:bottom w:val="single" w:color="auto" w:sz="4" w:space="0"/>
              <w:right w:val="single" w:color="auto" w:sz="4" w:space="0"/>
            </w:tcBorders>
            <w:shd w:val="clear" w:color="000000" w:fill="FFFFFF"/>
            <w:vAlign w:val="center"/>
          </w:tcPr>
          <w:p w14:paraId="47F676BB">
            <w:pPr>
              <w:widowControl/>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需注明生产厂家</w:t>
            </w:r>
          </w:p>
        </w:tc>
      </w:tr>
      <w:tr w14:paraId="521EA43A">
        <w:tblPrEx>
          <w:tblCellMar>
            <w:top w:w="0" w:type="dxa"/>
            <w:left w:w="108" w:type="dxa"/>
            <w:bottom w:w="0" w:type="dxa"/>
            <w:right w:w="108" w:type="dxa"/>
          </w:tblCellMar>
        </w:tblPrEx>
        <w:trPr>
          <w:trHeight w:val="800" w:hRule="atLeast"/>
        </w:trPr>
        <w:tc>
          <w:tcPr>
            <w:tcW w:w="867" w:type="dxa"/>
            <w:tcBorders>
              <w:top w:val="single" w:color="auto" w:sz="4" w:space="0"/>
              <w:left w:val="single" w:color="auto" w:sz="4" w:space="0"/>
              <w:bottom w:val="single" w:color="auto" w:sz="4" w:space="0"/>
              <w:right w:val="single" w:color="auto" w:sz="4" w:space="0"/>
            </w:tcBorders>
            <w:shd w:val="clear" w:color="000000" w:fill="FFFFFF"/>
            <w:vAlign w:val="center"/>
          </w:tcPr>
          <w:p w14:paraId="56BC8DF1">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2616" w:type="dxa"/>
            <w:tcBorders>
              <w:top w:val="single" w:color="auto" w:sz="4" w:space="0"/>
              <w:left w:val="nil"/>
              <w:bottom w:val="single" w:color="auto" w:sz="4" w:space="0"/>
              <w:right w:val="single" w:color="auto" w:sz="4" w:space="0"/>
            </w:tcBorders>
            <w:shd w:val="clear" w:color="000000" w:fill="FFFFFF"/>
            <w:vAlign w:val="center"/>
          </w:tcPr>
          <w:p w14:paraId="2BC97521">
            <w:pPr>
              <w:keepNext w:val="0"/>
              <w:keepLines w:val="0"/>
              <w:widowControl/>
              <w:suppressLineNumbers w:val="0"/>
              <w:jc w:val="center"/>
              <w:textAlignment w:val="center"/>
              <w:rPr>
                <w:rFonts w:hint="eastAsia" w:ascii="宋体" w:hAnsi="宋体" w:eastAsia="宋体" w:cs="Times New Roman"/>
                <w:b/>
                <w:bCs/>
                <w:color w:val="000000"/>
                <w:kern w:val="0"/>
                <w:sz w:val="20"/>
                <w:szCs w:val="20"/>
              </w:rPr>
            </w:pPr>
            <w:r>
              <w:rPr>
                <w:rFonts w:hint="eastAsia" w:ascii="宋体" w:hAnsi="宋体" w:eastAsia="宋体" w:cs="宋体"/>
                <w:i w:val="0"/>
                <w:iCs w:val="0"/>
                <w:color w:val="000000"/>
                <w:kern w:val="0"/>
                <w:sz w:val="24"/>
                <w:szCs w:val="24"/>
                <w:u w:val="none"/>
                <w:lang w:val="en-US" w:eastAsia="zh-CN" w:bidi="ar"/>
              </w:rPr>
              <w:t>肠道病毒/肠道病毒71型/柯萨奇病毒A16型核酸检测试剂盒 (三重荧光PCR法)</w:t>
            </w:r>
          </w:p>
        </w:tc>
        <w:tc>
          <w:tcPr>
            <w:tcW w:w="3426" w:type="dxa"/>
            <w:tcBorders>
              <w:top w:val="single" w:color="auto" w:sz="4" w:space="0"/>
              <w:left w:val="nil"/>
              <w:bottom w:val="single" w:color="auto" w:sz="4" w:space="0"/>
              <w:right w:val="single" w:color="auto" w:sz="4" w:space="0"/>
            </w:tcBorders>
            <w:shd w:val="clear" w:color="000000" w:fill="FFFFFF"/>
            <w:vAlign w:val="center"/>
          </w:tcPr>
          <w:p w14:paraId="2C83293A">
            <w:pPr>
              <w:keepNext w:val="0"/>
              <w:keepLines w:val="0"/>
              <w:widowControl/>
              <w:suppressLineNumbers w:val="0"/>
              <w:jc w:val="left"/>
              <w:textAlignment w:val="center"/>
              <w:rPr>
                <w:rFonts w:hint="eastAsia" w:ascii="宋体" w:hAnsi="宋体" w:eastAsia="宋体" w:cs="Times New Roman"/>
                <w:b/>
                <w:bCs/>
                <w:color w:val="000000"/>
                <w:kern w:val="0"/>
                <w:sz w:val="20"/>
                <w:szCs w:val="20"/>
              </w:rPr>
            </w:pPr>
            <w:r>
              <w:rPr>
                <w:rFonts w:hint="eastAsia" w:ascii="宋体" w:hAnsi="宋体" w:eastAsia="宋体" w:cs="宋体"/>
                <w:i w:val="0"/>
                <w:iCs w:val="0"/>
                <w:color w:val="000000"/>
                <w:kern w:val="0"/>
                <w:sz w:val="22"/>
                <w:szCs w:val="22"/>
                <w:u w:val="none"/>
                <w:lang w:val="en-US" w:eastAsia="zh-CN" w:bidi="ar"/>
              </w:rPr>
              <w:t>1、样品种类：疱疹液﹑咽喉分泌物﹑粪便﹑血清、脑脊液；组织培养物等样品。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2、适用于 ABI 7500、Bio-Rad CFX96、Roche Lightcycler480I、Lightcycler480II、cobasZ480、宏石 SLAN-96S、SLAN-96P等实时荧光定量PCR仪。</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3、有效期≥12个月，规格：25人份/盒或50人份/盒。 4、本试剂盒根据荧光PCR 技术原理，针对肠道病毒通用型、肠道病毒71 型、柯萨奇病毒A6 型设计特异性引物和Taqman探针，通过荧光PCR 扩增仪进行检测，从而实现对肠道病毒通用型、肠道病毒71 型、柯萨奇病毒A6 型核酸的检测。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▲5、本试剂盒设置了人的核糖核酸酶P基因（RNase P）为内源性内标(IC)对照，用于对样本采集、保存和运输以及核酸提取过程进行监控。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6、反应时间：≤80分钟。</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7、最低检测限：500copies/mL。</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8、特异性：针对可能与检测靶标产生交叉的其他病原无交叉反应。</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▲9、生产企业通过ISO13485认证；提供质量检测合格报告。</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▲10、生产企业：拥有生物安全二级实验室备案、医疗机构(医学检验实验室)执业许可及测序服务平台，能对此产品提供数据验证支撑(提供证明文件)。</w:t>
            </w:r>
          </w:p>
        </w:tc>
        <w:tc>
          <w:tcPr>
            <w:tcW w:w="878" w:type="dxa"/>
            <w:tcBorders>
              <w:top w:val="single" w:color="auto" w:sz="4" w:space="0"/>
              <w:left w:val="nil"/>
              <w:bottom w:val="single" w:color="auto" w:sz="4" w:space="0"/>
              <w:right w:val="single" w:color="auto" w:sz="4" w:space="0"/>
            </w:tcBorders>
            <w:shd w:val="clear" w:color="000000" w:fill="FFFFFF"/>
            <w:vAlign w:val="center"/>
          </w:tcPr>
          <w:p w14:paraId="5F79B08A">
            <w:pPr>
              <w:keepNext w:val="0"/>
              <w:keepLines w:val="0"/>
              <w:widowControl/>
              <w:suppressLineNumbers w:val="0"/>
              <w:jc w:val="center"/>
              <w:textAlignment w:val="center"/>
              <w:rPr>
                <w:rFonts w:hint="eastAsia" w:ascii="宋体" w:hAnsi="宋体" w:eastAsia="宋体" w:cs="Times New Roman"/>
                <w:b/>
                <w:bCs/>
                <w:color w:val="000000"/>
                <w:kern w:val="0"/>
                <w:sz w:val="20"/>
                <w:szCs w:val="20"/>
              </w:rPr>
            </w:pPr>
            <w:r>
              <w:rPr>
                <w:rFonts w:hint="eastAsia" w:ascii="宋体" w:hAnsi="宋体" w:eastAsia="宋体" w:cs="宋体"/>
                <w:i w:val="0"/>
                <w:iCs w:val="0"/>
                <w:color w:val="000000"/>
                <w:kern w:val="0"/>
                <w:sz w:val="24"/>
                <w:szCs w:val="24"/>
                <w:u w:val="none"/>
                <w:lang w:val="en-US" w:eastAsia="zh-CN" w:bidi="ar"/>
              </w:rPr>
              <w:t>50人份/盒</w:t>
            </w:r>
          </w:p>
        </w:tc>
        <w:tc>
          <w:tcPr>
            <w:tcW w:w="764" w:type="dxa"/>
            <w:tcBorders>
              <w:top w:val="single" w:color="auto" w:sz="4" w:space="0"/>
              <w:left w:val="nil"/>
              <w:bottom w:val="single" w:color="auto" w:sz="4" w:space="0"/>
              <w:right w:val="single" w:color="auto" w:sz="4" w:space="0"/>
            </w:tcBorders>
            <w:shd w:val="clear" w:color="000000" w:fill="FFFFFF"/>
            <w:vAlign w:val="center"/>
          </w:tcPr>
          <w:p w14:paraId="4D70F3B0">
            <w:pPr>
              <w:keepNext w:val="0"/>
              <w:keepLines w:val="0"/>
              <w:widowControl/>
              <w:suppressLineNumbers w:val="0"/>
              <w:jc w:val="center"/>
              <w:textAlignment w:val="center"/>
              <w:rPr>
                <w:rFonts w:hint="eastAsia" w:ascii="宋体" w:hAnsi="宋体" w:eastAsia="宋体" w:cs="Times New Roman"/>
                <w:b/>
                <w:bCs/>
                <w:color w:val="000000"/>
                <w:kern w:val="0"/>
                <w:sz w:val="20"/>
                <w:szCs w:val="20"/>
              </w:rPr>
            </w:pPr>
            <w:r>
              <w:rPr>
                <w:rFonts w:hint="eastAsia" w:ascii="宋体" w:hAnsi="宋体" w:eastAsia="宋体" w:cs="宋体"/>
                <w:i w:val="0"/>
                <w:iCs w:val="0"/>
                <w:color w:val="000000"/>
                <w:kern w:val="0"/>
                <w:sz w:val="24"/>
                <w:szCs w:val="24"/>
                <w:u w:val="none"/>
                <w:lang w:val="en-US" w:eastAsia="zh-CN" w:bidi="ar"/>
              </w:rPr>
              <w:t>1</w:t>
            </w:r>
          </w:p>
        </w:tc>
        <w:tc>
          <w:tcPr>
            <w:tcW w:w="800" w:type="dxa"/>
            <w:tcBorders>
              <w:top w:val="single" w:color="auto" w:sz="4" w:space="0"/>
              <w:left w:val="nil"/>
              <w:bottom w:val="single" w:color="auto" w:sz="4" w:space="0"/>
              <w:right w:val="single" w:color="auto" w:sz="4" w:space="0"/>
            </w:tcBorders>
            <w:shd w:val="clear" w:color="000000" w:fill="FFFFFF"/>
            <w:vAlign w:val="center"/>
          </w:tcPr>
          <w:p w14:paraId="05AC422C">
            <w:pPr>
              <w:widowControl/>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需注明生产厂家</w:t>
            </w:r>
          </w:p>
        </w:tc>
      </w:tr>
      <w:tr w14:paraId="54EFE086">
        <w:tblPrEx>
          <w:tblCellMar>
            <w:top w:w="0" w:type="dxa"/>
            <w:left w:w="108" w:type="dxa"/>
            <w:bottom w:w="0" w:type="dxa"/>
            <w:right w:w="108" w:type="dxa"/>
          </w:tblCellMar>
        </w:tblPrEx>
        <w:trPr>
          <w:trHeight w:val="800" w:hRule="atLeast"/>
        </w:trPr>
        <w:tc>
          <w:tcPr>
            <w:tcW w:w="867" w:type="dxa"/>
            <w:tcBorders>
              <w:top w:val="single" w:color="auto" w:sz="4" w:space="0"/>
              <w:left w:val="single" w:color="auto" w:sz="4" w:space="0"/>
              <w:bottom w:val="single" w:color="auto" w:sz="4" w:space="0"/>
              <w:right w:val="single" w:color="auto" w:sz="4" w:space="0"/>
            </w:tcBorders>
            <w:shd w:val="clear" w:color="000000" w:fill="FFFFFF"/>
            <w:vAlign w:val="center"/>
          </w:tcPr>
          <w:p w14:paraId="5976D187">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2616" w:type="dxa"/>
            <w:tcBorders>
              <w:top w:val="single" w:color="auto" w:sz="4" w:space="0"/>
              <w:left w:val="nil"/>
              <w:bottom w:val="single" w:color="auto" w:sz="4" w:space="0"/>
              <w:right w:val="single" w:color="auto" w:sz="4" w:space="0"/>
            </w:tcBorders>
            <w:shd w:val="clear" w:color="000000" w:fill="FFFFFF"/>
            <w:vAlign w:val="center"/>
          </w:tcPr>
          <w:p w14:paraId="1BC5FF58">
            <w:pPr>
              <w:keepNext w:val="0"/>
              <w:keepLines w:val="0"/>
              <w:widowControl/>
              <w:suppressLineNumbers w:val="0"/>
              <w:jc w:val="center"/>
              <w:textAlignment w:val="center"/>
              <w:rPr>
                <w:rFonts w:hint="eastAsia" w:ascii="宋体" w:hAnsi="宋体" w:eastAsia="宋体" w:cs="Times New Roman"/>
                <w:b/>
                <w:bCs/>
                <w:color w:val="000000"/>
                <w:kern w:val="0"/>
                <w:sz w:val="20"/>
                <w:szCs w:val="20"/>
              </w:rPr>
            </w:pPr>
            <w:r>
              <w:rPr>
                <w:rFonts w:hint="eastAsia" w:ascii="宋体" w:hAnsi="宋体" w:eastAsia="宋体" w:cs="宋体"/>
                <w:i w:val="0"/>
                <w:iCs w:val="0"/>
                <w:color w:val="000000"/>
                <w:kern w:val="0"/>
                <w:sz w:val="24"/>
                <w:szCs w:val="24"/>
                <w:u w:val="none"/>
                <w:lang w:val="en-US" w:eastAsia="zh-CN" w:bidi="ar"/>
              </w:rPr>
              <w:t>人细小病毒B19核酸检测试剂盒（荧光PCR法）</w:t>
            </w:r>
          </w:p>
        </w:tc>
        <w:tc>
          <w:tcPr>
            <w:tcW w:w="3426" w:type="dxa"/>
            <w:tcBorders>
              <w:top w:val="single" w:color="auto" w:sz="4" w:space="0"/>
              <w:left w:val="nil"/>
              <w:bottom w:val="single" w:color="auto" w:sz="4" w:space="0"/>
              <w:right w:val="single" w:color="auto" w:sz="4" w:space="0"/>
            </w:tcBorders>
            <w:shd w:val="clear" w:color="000000" w:fill="FFFFFF"/>
            <w:vAlign w:val="center"/>
          </w:tcPr>
          <w:p w14:paraId="49968326">
            <w:pPr>
              <w:keepNext w:val="0"/>
              <w:keepLines w:val="0"/>
              <w:widowControl/>
              <w:suppressLineNumbers w:val="0"/>
              <w:jc w:val="left"/>
              <w:textAlignment w:val="center"/>
              <w:rPr>
                <w:rFonts w:hint="eastAsia" w:ascii="宋体" w:hAnsi="宋体" w:eastAsia="宋体" w:cs="Times New Roman"/>
                <w:b/>
                <w:bCs/>
                <w:color w:val="000000"/>
                <w:kern w:val="0"/>
                <w:sz w:val="20"/>
                <w:szCs w:val="20"/>
              </w:rPr>
            </w:pPr>
            <w:r>
              <w:rPr>
                <w:rFonts w:hint="eastAsia" w:ascii="宋体" w:hAnsi="宋体" w:eastAsia="宋体" w:cs="宋体"/>
                <w:i w:val="0"/>
                <w:iCs w:val="0"/>
                <w:color w:val="000000"/>
                <w:kern w:val="0"/>
                <w:sz w:val="22"/>
                <w:szCs w:val="22"/>
                <w:u w:val="none"/>
                <w:lang w:val="en-US" w:eastAsia="zh-CN" w:bidi="ar"/>
              </w:rPr>
              <w:t>1、样品种类：血液、分泌物等样品。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2、适用于 ABI 7500、Bio-Rad CFX96、Roche Lightcycler480I、Lightcycler480II、cobasZ480、宏石 SLAN-96S、SLAN-96P等实时荧光定量PCR仪。</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3、有效期≥12个月，规格：25人份/盒或50人份/盒。 4、本试剂盒根据荧光PCR 技术原理，针对人细小病毒B19 设计特异性引物和Taqman 探针，通过荧光PCR 检测仪进行检测，从而实现对人细小病毒B19 核酸的检测。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▲5、多样化：可提供定量试剂盒。</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6、反应时间：≤80分钟。</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7、最低检测限：500copies/mL。</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8、特异性：针对可能与检测靶标产生交叉的其他病原无交叉反应。</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▲9、生产企业通过ISO13485认证；提供质量检测合格报告。</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▲10、生产企业：拥有生物安全二级实验室备案、医疗机构(医学检验实验室)执业许可及测序服务平台，能对此产品提供数据验证支撑(提供证明文件)。</w:t>
            </w:r>
          </w:p>
        </w:tc>
        <w:tc>
          <w:tcPr>
            <w:tcW w:w="878" w:type="dxa"/>
            <w:tcBorders>
              <w:top w:val="single" w:color="auto" w:sz="4" w:space="0"/>
              <w:left w:val="nil"/>
              <w:bottom w:val="single" w:color="auto" w:sz="4" w:space="0"/>
              <w:right w:val="single" w:color="auto" w:sz="4" w:space="0"/>
            </w:tcBorders>
            <w:shd w:val="clear" w:color="000000" w:fill="FFFFFF"/>
            <w:vAlign w:val="center"/>
          </w:tcPr>
          <w:p w14:paraId="63EC327B">
            <w:pPr>
              <w:keepNext w:val="0"/>
              <w:keepLines w:val="0"/>
              <w:widowControl/>
              <w:suppressLineNumbers w:val="0"/>
              <w:jc w:val="center"/>
              <w:textAlignment w:val="center"/>
              <w:rPr>
                <w:rFonts w:hint="eastAsia" w:ascii="宋体" w:hAnsi="宋体" w:eastAsia="宋体" w:cs="Times New Roman"/>
                <w:b/>
                <w:bCs/>
                <w:color w:val="000000"/>
                <w:kern w:val="0"/>
                <w:sz w:val="20"/>
                <w:szCs w:val="20"/>
              </w:rPr>
            </w:pPr>
            <w:r>
              <w:rPr>
                <w:rFonts w:hint="eastAsia" w:ascii="宋体" w:hAnsi="宋体" w:eastAsia="宋体" w:cs="宋体"/>
                <w:i w:val="0"/>
                <w:iCs w:val="0"/>
                <w:color w:val="606266"/>
                <w:kern w:val="0"/>
                <w:sz w:val="24"/>
                <w:szCs w:val="24"/>
                <w:u w:val="none"/>
                <w:lang w:val="en-US" w:eastAsia="zh-CN" w:bidi="ar"/>
              </w:rPr>
              <w:t>50人份/盒</w:t>
            </w:r>
          </w:p>
        </w:tc>
        <w:tc>
          <w:tcPr>
            <w:tcW w:w="764" w:type="dxa"/>
            <w:tcBorders>
              <w:top w:val="single" w:color="auto" w:sz="4" w:space="0"/>
              <w:left w:val="nil"/>
              <w:bottom w:val="single" w:color="auto" w:sz="4" w:space="0"/>
              <w:right w:val="single" w:color="auto" w:sz="4" w:space="0"/>
            </w:tcBorders>
            <w:shd w:val="clear" w:color="000000" w:fill="FFFFFF"/>
            <w:vAlign w:val="center"/>
          </w:tcPr>
          <w:p w14:paraId="0A470E80">
            <w:pPr>
              <w:keepNext w:val="0"/>
              <w:keepLines w:val="0"/>
              <w:widowControl/>
              <w:suppressLineNumbers w:val="0"/>
              <w:jc w:val="center"/>
              <w:textAlignment w:val="center"/>
              <w:rPr>
                <w:rFonts w:hint="eastAsia" w:ascii="宋体" w:hAnsi="宋体" w:eastAsia="宋体" w:cs="Times New Roman"/>
                <w:b/>
                <w:bCs/>
                <w:color w:val="000000"/>
                <w:kern w:val="0"/>
                <w:sz w:val="20"/>
                <w:szCs w:val="20"/>
              </w:rPr>
            </w:pPr>
            <w:r>
              <w:rPr>
                <w:rFonts w:hint="eastAsia" w:ascii="宋体" w:hAnsi="宋体" w:eastAsia="宋体" w:cs="宋体"/>
                <w:i w:val="0"/>
                <w:iCs w:val="0"/>
                <w:color w:val="000000"/>
                <w:kern w:val="0"/>
                <w:sz w:val="24"/>
                <w:szCs w:val="24"/>
                <w:u w:val="none"/>
                <w:lang w:val="en-US" w:eastAsia="zh-CN" w:bidi="ar"/>
              </w:rPr>
              <w:t>1</w:t>
            </w:r>
          </w:p>
        </w:tc>
        <w:tc>
          <w:tcPr>
            <w:tcW w:w="800" w:type="dxa"/>
            <w:tcBorders>
              <w:top w:val="single" w:color="auto" w:sz="4" w:space="0"/>
              <w:left w:val="nil"/>
              <w:bottom w:val="single" w:color="auto" w:sz="4" w:space="0"/>
              <w:right w:val="single" w:color="auto" w:sz="4" w:space="0"/>
            </w:tcBorders>
            <w:shd w:val="clear" w:color="000000" w:fill="FFFFFF"/>
            <w:vAlign w:val="center"/>
          </w:tcPr>
          <w:p w14:paraId="41189125">
            <w:pPr>
              <w:widowControl/>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需注明生产厂家</w:t>
            </w:r>
          </w:p>
        </w:tc>
      </w:tr>
      <w:tr w14:paraId="49469975">
        <w:tblPrEx>
          <w:tblCellMar>
            <w:top w:w="0" w:type="dxa"/>
            <w:left w:w="108" w:type="dxa"/>
            <w:bottom w:w="0" w:type="dxa"/>
            <w:right w:w="108" w:type="dxa"/>
          </w:tblCellMar>
        </w:tblPrEx>
        <w:trPr>
          <w:trHeight w:val="800" w:hRule="atLeast"/>
        </w:trPr>
        <w:tc>
          <w:tcPr>
            <w:tcW w:w="867" w:type="dxa"/>
            <w:tcBorders>
              <w:top w:val="single" w:color="auto" w:sz="4" w:space="0"/>
              <w:left w:val="single" w:color="auto" w:sz="4" w:space="0"/>
              <w:bottom w:val="single" w:color="auto" w:sz="4" w:space="0"/>
              <w:right w:val="single" w:color="auto" w:sz="4" w:space="0"/>
            </w:tcBorders>
            <w:shd w:val="clear" w:color="000000" w:fill="FFFFFF"/>
            <w:vAlign w:val="center"/>
          </w:tcPr>
          <w:p w14:paraId="38969B1F">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2616" w:type="dxa"/>
            <w:tcBorders>
              <w:top w:val="single" w:color="auto" w:sz="4" w:space="0"/>
              <w:left w:val="nil"/>
              <w:bottom w:val="single" w:color="auto" w:sz="4" w:space="0"/>
              <w:right w:val="single" w:color="auto" w:sz="4" w:space="0"/>
            </w:tcBorders>
            <w:shd w:val="clear" w:color="000000" w:fill="FFFFFF"/>
            <w:vAlign w:val="center"/>
          </w:tcPr>
          <w:p w14:paraId="4EA97BCD">
            <w:pPr>
              <w:keepNext w:val="0"/>
              <w:keepLines w:val="0"/>
              <w:widowControl/>
              <w:suppressLineNumbers w:val="0"/>
              <w:jc w:val="center"/>
              <w:textAlignment w:val="center"/>
              <w:rPr>
                <w:rFonts w:hint="eastAsia" w:ascii="宋体" w:hAnsi="宋体" w:eastAsia="宋体" w:cs="Times New Roman"/>
                <w:b/>
                <w:bCs/>
                <w:color w:val="000000"/>
                <w:kern w:val="0"/>
                <w:sz w:val="20"/>
                <w:szCs w:val="20"/>
              </w:rPr>
            </w:pPr>
            <w:r>
              <w:rPr>
                <w:rFonts w:hint="eastAsia" w:ascii="宋体" w:hAnsi="宋体" w:eastAsia="宋体" w:cs="宋体"/>
                <w:i w:val="0"/>
                <w:iCs w:val="0"/>
                <w:color w:val="000000"/>
                <w:kern w:val="0"/>
                <w:sz w:val="24"/>
                <w:szCs w:val="24"/>
                <w:u w:val="none"/>
                <w:lang w:val="en-US" w:eastAsia="zh-CN" w:bidi="ar"/>
              </w:rPr>
              <w:t>o1群霍乱弧菌诊断血清（一套）</w:t>
            </w:r>
          </w:p>
        </w:tc>
        <w:tc>
          <w:tcPr>
            <w:tcW w:w="3426" w:type="dxa"/>
            <w:tcBorders>
              <w:top w:val="single" w:color="auto" w:sz="4" w:space="0"/>
              <w:left w:val="nil"/>
              <w:bottom w:val="single" w:color="auto" w:sz="4" w:space="0"/>
              <w:right w:val="single" w:color="auto" w:sz="4" w:space="0"/>
            </w:tcBorders>
            <w:shd w:val="clear" w:color="000000" w:fill="FFFFFF"/>
            <w:vAlign w:val="center"/>
          </w:tcPr>
          <w:p w14:paraId="18CF2544">
            <w:pPr>
              <w:keepNext w:val="0"/>
              <w:keepLines w:val="0"/>
              <w:widowControl/>
              <w:suppressLineNumbers w:val="0"/>
              <w:jc w:val="left"/>
              <w:textAlignment w:val="center"/>
              <w:rPr>
                <w:rFonts w:hint="eastAsia" w:ascii="宋体" w:hAnsi="宋体" w:eastAsia="宋体" w:cs="Times New Roman"/>
                <w:b/>
                <w:bCs/>
                <w:color w:val="000000"/>
                <w:kern w:val="0"/>
                <w:sz w:val="20"/>
                <w:szCs w:val="20"/>
              </w:rPr>
            </w:pPr>
            <w:r>
              <w:rPr>
                <w:rFonts w:hint="eastAsia" w:ascii="宋体" w:hAnsi="宋体" w:eastAsia="宋体" w:cs="宋体"/>
                <w:i w:val="0"/>
                <w:iCs w:val="0"/>
                <w:color w:val="000000"/>
                <w:kern w:val="0"/>
                <w:sz w:val="22"/>
                <w:szCs w:val="22"/>
                <w:u w:val="none"/>
                <w:lang w:val="en-US" w:eastAsia="zh-CN" w:bidi="ar"/>
              </w:rPr>
              <w:t>1、霍乱弧菌O多价血清效价不低于1:1280,小川型血清效价不低于1:1280，稻叶型血清效价不低于1:640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2、重复性100%</w:t>
            </w:r>
          </w:p>
        </w:tc>
        <w:tc>
          <w:tcPr>
            <w:tcW w:w="878" w:type="dxa"/>
            <w:tcBorders>
              <w:top w:val="single" w:color="auto" w:sz="4" w:space="0"/>
              <w:left w:val="nil"/>
              <w:bottom w:val="single" w:color="auto" w:sz="4" w:space="0"/>
              <w:right w:val="single" w:color="auto" w:sz="4" w:space="0"/>
            </w:tcBorders>
            <w:shd w:val="clear" w:color="000000" w:fill="FFFFFF"/>
            <w:vAlign w:val="center"/>
          </w:tcPr>
          <w:p w14:paraId="39D783CC">
            <w:pPr>
              <w:keepNext w:val="0"/>
              <w:keepLines w:val="0"/>
              <w:widowControl/>
              <w:suppressLineNumbers w:val="0"/>
              <w:jc w:val="center"/>
              <w:textAlignment w:val="center"/>
              <w:rPr>
                <w:rFonts w:hint="eastAsia" w:ascii="宋体" w:hAnsi="宋体" w:eastAsia="宋体" w:cs="Times New Roman"/>
                <w:b/>
                <w:bCs/>
                <w:color w:val="000000"/>
                <w:kern w:val="0"/>
                <w:sz w:val="20"/>
                <w:szCs w:val="20"/>
              </w:rPr>
            </w:pPr>
            <w:r>
              <w:rPr>
                <w:rFonts w:hint="eastAsia" w:ascii="宋体" w:hAnsi="宋体" w:eastAsia="宋体" w:cs="宋体"/>
                <w:i w:val="0"/>
                <w:iCs w:val="0"/>
                <w:color w:val="000000"/>
                <w:kern w:val="0"/>
                <w:sz w:val="24"/>
                <w:szCs w:val="24"/>
                <w:u w:val="none"/>
                <w:lang w:val="en-US" w:eastAsia="zh-CN" w:bidi="ar"/>
              </w:rPr>
              <w:t>11种</w:t>
            </w:r>
          </w:p>
        </w:tc>
        <w:tc>
          <w:tcPr>
            <w:tcW w:w="764" w:type="dxa"/>
            <w:tcBorders>
              <w:top w:val="single" w:color="auto" w:sz="4" w:space="0"/>
              <w:left w:val="nil"/>
              <w:bottom w:val="single" w:color="auto" w:sz="4" w:space="0"/>
              <w:right w:val="single" w:color="auto" w:sz="4" w:space="0"/>
            </w:tcBorders>
            <w:shd w:val="clear" w:color="000000" w:fill="FFFFFF"/>
            <w:vAlign w:val="center"/>
          </w:tcPr>
          <w:p w14:paraId="698D95CB">
            <w:pPr>
              <w:keepNext w:val="0"/>
              <w:keepLines w:val="0"/>
              <w:widowControl/>
              <w:suppressLineNumbers w:val="0"/>
              <w:jc w:val="center"/>
              <w:textAlignment w:val="center"/>
              <w:rPr>
                <w:rFonts w:hint="eastAsia" w:ascii="宋体" w:hAnsi="宋体" w:eastAsia="宋体" w:cs="Times New Roman"/>
                <w:b/>
                <w:bCs/>
                <w:color w:val="000000"/>
                <w:kern w:val="0"/>
                <w:sz w:val="20"/>
                <w:szCs w:val="20"/>
              </w:rPr>
            </w:pPr>
            <w:r>
              <w:rPr>
                <w:rFonts w:hint="eastAsia" w:ascii="宋体" w:hAnsi="宋体" w:eastAsia="宋体" w:cs="宋体"/>
                <w:i w:val="0"/>
                <w:iCs w:val="0"/>
                <w:color w:val="000000"/>
                <w:kern w:val="0"/>
                <w:sz w:val="24"/>
                <w:szCs w:val="24"/>
                <w:u w:val="none"/>
                <w:lang w:val="en-US" w:eastAsia="zh-CN" w:bidi="ar"/>
              </w:rPr>
              <w:t>1</w:t>
            </w:r>
          </w:p>
        </w:tc>
        <w:tc>
          <w:tcPr>
            <w:tcW w:w="800" w:type="dxa"/>
            <w:tcBorders>
              <w:top w:val="single" w:color="auto" w:sz="4" w:space="0"/>
              <w:left w:val="nil"/>
              <w:bottom w:val="single" w:color="auto" w:sz="4" w:space="0"/>
              <w:right w:val="single" w:color="auto" w:sz="4" w:space="0"/>
            </w:tcBorders>
            <w:shd w:val="clear" w:color="000000" w:fill="FFFFFF"/>
            <w:vAlign w:val="center"/>
          </w:tcPr>
          <w:p w14:paraId="413DCF0E">
            <w:pPr>
              <w:widowControl/>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需注明生产厂家</w:t>
            </w:r>
          </w:p>
        </w:tc>
      </w:tr>
      <w:tr w14:paraId="3CF18889">
        <w:tblPrEx>
          <w:tblCellMar>
            <w:top w:w="0" w:type="dxa"/>
            <w:left w:w="108" w:type="dxa"/>
            <w:bottom w:w="0" w:type="dxa"/>
            <w:right w:w="108" w:type="dxa"/>
          </w:tblCellMar>
        </w:tblPrEx>
        <w:trPr>
          <w:trHeight w:val="800" w:hRule="atLeast"/>
        </w:trPr>
        <w:tc>
          <w:tcPr>
            <w:tcW w:w="867" w:type="dxa"/>
            <w:tcBorders>
              <w:top w:val="single" w:color="auto" w:sz="4" w:space="0"/>
              <w:left w:val="single" w:color="auto" w:sz="4" w:space="0"/>
              <w:bottom w:val="single" w:color="auto" w:sz="4" w:space="0"/>
              <w:right w:val="single" w:color="auto" w:sz="4" w:space="0"/>
            </w:tcBorders>
            <w:shd w:val="clear" w:color="000000" w:fill="FFFFFF"/>
            <w:vAlign w:val="center"/>
          </w:tcPr>
          <w:p w14:paraId="29DD5802">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2616" w:type="dxa"/>
            <w:tcBorders>
              <w:top w:val="single" w:color="auto" w:sz="4" w:space="0"/>
              <w:left w:val="nil"/>
              <w:bottom w:val="single" w:color="auto" w:sz="4" w:space="0"/>
              <w:right w:val="single" w:color="auto" w:sz="4" w:space="0"/>
            </w:tcBorders>
            <w:shd w:val="clear" w:color="000000" w:fill="FFFFFF"/>
            <w:vAlign w:val="center"/>
          </w:tcPr>
          <w:p w14:paraId="391B82B9">
            <w:pPr>
              <w:keepNext w:val="0"/>
              <w:keepLines w:val="0"/>
              <w:widowControl/>
              <w:suppressLineNumbers w:val="0"/>
              <w:jc w:val="center"/>
              <w:textAlignment w:val="center"/>
              <w:rPr>
                <w:rFonts w:hint="eastAsia" w:ascii="宋体" w:hAnsi="宋体" w:eastAsia="宋体" w:cs="Times New Roman"/>
                <w:b/>
                <w:bCs/>
                <w:color w:val="000000"/>
                <w:kern w:val="0"/>
                <w:sz w:val="20"/>
                <w:szCs w:val="20"/>
              </w:rPr>
            </w:pPr>
            <w:r>
              <w:rPr>
                <w:rFonts w:hint="eastAsia" w:ascii="宋体" w:hAnsi="宋体" w:eastAsia="宋体" w:cs="宋体"/>
                <w:i w:val="0"/>
                <w:iCs w:val="0"/>
                <w:color w:val="000000"/>
                <w:kern w:val="0"/>
                <w:sz w:val="24"/>
                <w:szCs w:val="24"/>
                <w:u w:val="none"/>
                <w:lang w:val="en-US" w:eastAsia="zh-CN" w:bidi="ar"/>
              </w:rPr>
              <w:t>o139群霍乱弧菌诊断血清</w:t>
            </w:r>
          </w:p>
        </w:tc>
        <w:tc>
          <w:tcPr>
            <w:tcW w:w="3426" w:type="dxa"/>
            <w:tcBorders>
              <w:top w:val="single" w:color="auto" w:sz="4" w:space="0"/>
              <w:left w:val="nil"/>
              <w:bottom w:val="single" w:color="auto" w:sz="4" w:space="0"/>
              <w:right w:val="single" w:color="auto" w:sz="4" w:space="0"/>
            </w:tcBorders>
            <w:shd w:val="clear" w:color="000000" w:fill="FFFFFF"/>
            <w:vAlign w:val="center"/>
          </w:tcPr>
          <w:p w14:paraId="7B0FA210">
            <w:pPr>
              <w:keepNext w:val="0"/>
              <w:keepLines w:val="0"/>
              <w:widowControl/>
              <w:suppressLineNumbers w:val="0"/>
              <w:jc w:val="left"/>
              <w:textAlignment w:val="center"/>
              <w:rPr>
                <w:rFonts w:hint="eastAsia" w:ascii="宋体" w:hAnsi="宋体" w:eastAsia="宋体" w:cs="Times New Roman"/>
                <w:b/>
                <w:bCs/>
                <w:color w:val="000000"/>
                <w:kern w:val="0"/>
                <w:sz w:val="20"/>
                <w:szCs w:val="20"/>
              </w:rPr>
            </w:pPr>
            <w:r>
              <w:rPr>
                <w:rFonts w:hint="eastAsia" w:ascii="宋体" w:hAnsi="宋体" w:eastAsia="宋体" w:cs="宋体"/>
                <w:i w:val="0"/>
                <w:iCs w:val="0"/>
                <w:color w:val="000000"/>
                <w:kern w:val="0"/>
                <w:sz w:val="22"/>
                <w:szCs w:val="22"/>
                <w:u w:val="none"/>
                <w:lang w:val="en-US" w:eastAsia="zh-CN" w:bidi="ar"/>
              </w:rPr>
              <w:t>1、供经生化试验鉴定疑似霍乱弧菌的菌株分型用，适用于O1群和O139霍乱弧菌。</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本品为霍乱弧菌免疫血清，通过玻片凝集试验原理鉴别O1群和O139霍乱弧菌。O多价血清用于古典型、E1Tor型O1群霍乱弧菌及O139霍乱弧菌的初筛；小川型、稻叶型及O139血清用于已确定为古典型及E1Tor型O1群霍乱弧菌及O139霍乱弧菌的菌株分型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3、有效期≥24个月，规格：1mL/瓶x12瓶；1mL/瓶x1瓶（O1、O139）、1mL/瓶x1瓶（O1群多价）、1mL/瓶x1瓶（小川型）、1mL/瓶x1瓶（稻叶型）、1mL/瓶x1瓶（O139）。</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4、每种血清与相应血清型霍乱菌1分钟内应呈明显凝集。</w:t>
            </w:r>
          </w:p>
        </w:tc>
        <w:tc>
          <w:tcPr>
            <w:tcW w:w="878" w:type="dxa"/>
            <w:tcBorders>
              <w:top w:val="single" w:color="auto" w:sz="4" w:space="0"/>
              <w:left w:val="nil"/>
              <w:bottom w:val="single" w:color="auto" w:sz="4" w:space="0"/>
              <w:right w:val="single" w:color="auto" w:sz="4" w:space="0"/>
            </w:tcBorders>
            <w:shd w:val="clear" w:color="000000" w:fill="FFFFFF"/>
            <w:vAlign w:val="center"/>
          </w:tcPr>
          <w:p w14:paraId="3C0714E2">
            <w:pPr>
              <w:keepNext w:val="0"/>
              <w:keepLines w:val="0"/>
              <w:widowControl/>
              <w:suppressLineNumbers w:val="0"/>
              <w:jc w:val="center"/>
              <w:textAlignment w:val="center"/>
              <w:rPr>
                <w:rFonts w:hint="eastAsia" w:ascii="宋体" w:hAnsi="宋体" w:eastAsia="宋体" w:cs="Times New Roman"/>
                <w:b/>
                <w:bCs/>
                <w:color w:val="000000"/>
                <w:kern w:val="0"/>
                <w:sz w:val="20"/>
                <w:szCs w:val="20"/>
              </w:rPr>
            </w:pPr>
            <w:r>
              <w:rPr>
                <w:rFonts w:hint="eastAsia" w:ascii="宋体" w:hAnsi="宋体" w:eastAsia="宋体" w:cs="宋体"/>
                <w:i w:val="0"/>
                <w:iCs w:val="0"/>
                <w:color w:val="000000"/>
                <w:kern w:val="0"/>
                <w:sz w:val="24"/>
                <w:szCs w:val="24"/>
                <w:u w:val="none"/>
                <w:lang w:val="en-US" w:eastAsia="zh-CN" w:bidi="ar"/>
              </w:rPr>
              <w:t>1mL/支</w:t>
            </w:r>
          </w:p>
        </w:tc>
        <w:tc>
          <w:tcPr>
            <w:tcW w:w="764" w:type="dxa"/>
            <w:tcBorders>
              <w:top w:val="single" w:color="auto" w:sz="4" w:space="0"/>
              <w:left w:val="nil"/>
              <w:bottom w:val="single" w:color="auto" w:sz="4" w:space="0"/>
              <w:right w:val="single" w:color="auto" w:sz="4" w:space="0"/>
            </w:tcBorders>
            <w:shd w:val="clear" w:color="000000" w:fill="FFFFFF"/>
            <w:vAlign w:val="center"/>
          </w:tcPr>
          <w:p w14:paraId="10B5D972">
            <w:pPr>
              <w:keepNext w:val="0"/>
              <w:keepLines w:val="0"/>
              <w:widowControl/>
              <w:suppressLineNumbers w:val="0"/>
              <w:jc w:val="center"/>
              <w:textAlignment w:val="center"/>
              <w:rPr>
                <w:rFonts w:hint="eastAsia" w:ascii="宋体" w:hAnsi="宋体" w:eastAsia="宋体" w:cs="Times New Roman"/>
                <w:b/>
                <w:bCs/>
                <w:color w:val="000000"/>
                <w:kern w:val="0"/>
                <w:sz w:val="20"/>
                <w:szCs w:val="20"/>
              </w:rPr>
            </w:pPr>
            <w:r>
              <w:rPr>
                <w:rFonts w:hint="eastAsia" w:ascii="宋体" w:hAnsi="宋体" w:eastAsia="宋体" w:cs="宋体"/>
                <w:i w:val="0"/>
                <w:iCs w:val="0"/>
                <w:color w:val="000000"/>
                <w:kern w:val="0"/>
                <w:sz w:val="24"/>
                <w:szCs w:val="24"/>
                <w:u w:val="none"/>
                <w:lang w:val="en-US" w:eastAsia="zh-CN" w:bidi="ar"/>
              </w:rPr>
              <w:t>1</w:t>
            </w:r>
          </w:p>
        </w:tc>
        <w:tc>
          <w:tcPr>
            <w:tcW w:w="800" w:type="dxa"/>
            <w:tcBorders>
              <w:top w:val="single" w:color="auto" w:sz="4" w:space="0"/>
              <w:left w:val="nil"/>
              <w:bottom w:val="single" w:color="auto" w:sz="4" w:space="0"/>
              <w:right w:val="single" w:color="auto" w:sz="4" w:space="0"/>
            </w:tcBorders>
            <w:shd w:val="clear" w:color="000000" w:fill="FFFFFF"/>
            <w:vAlign w:val="center"/>
          </w:tcPr>
          <w:p w14:paraId="7DE49E1E">
            <w:pPr>
              <w:widowControl/>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需注明生产厂家</w:t>
            </w:r>
          </w:p>
        </w:tc>
      </w:tr>
      <w:tr w14:paraId="3B5F7905">
        <w:tblPrEx>
          <w:tblCellMar>
            <w:top w:w="0" w:type="dxa"/>
            <w:left w:w="108" w:type="dxa"/>
            <w:bottom w:w="0" w:type="dxa"/>
            <w:right w:w="108" w:type="dxa"/>
          </w:tblCellMar>
        </w:tblPrEx>
        <w:trPr>
          <w:trHeight w:val="800" w:hRule="atLeast"/>
        </w:trPr>
        <w:tc>
          <w:tcPr>
            <w:tcW w:w="867" w:type="dxa"/>
            <w:tcBorders>
              <w:top w:val="single" w:color="auto" w:sz="4" w:space="0"/>
              <w:left w:val="single" w:color="auto" w:sz="4" w:space="0"/>
              <w:bottom w:val="single" w:color="auto" w:sz="4" w:space="0"/>
              <w:right w:val="single" w:color="auto" w:sz="4" w:space="0"/>
            </w:tcBorders>
            <w:shd w:val="clear" w:color="000000" w:fill="FFFFFF"/>
            <w:vAlign w:val="center"/>
          </w:tcPr>
          <w:p w14:paraId="504ADFE1">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2616" w:type="dxa"/>
            <w:tcBorders>
              <w:top w:val="single" w:color="auto" w:sz="4" w:space="0"/>
              <w:left w:val="nil"/>
              <w:bottom w:val="single" w:color="auto" w:sz="4" w:space="0"/>
              <w:right w:val="single" w:color="auto" w:sz="4" w:space="0"/>
            </w:tcBorders>
            <w:shd w:val="clear" w:color="000000" w:fill="FFFFFF"/>
            <w:vAlign w:val="center"/>
          </w:tcPr>
          <w:p w14:paraId="524879B6">
            <w:pPr>
              <w:keepNext w:val="0"/>
              <w:keepLines w:val="0"/>
              <w:widowControl/>
              <w:suppressLineNumbers w:val="0"/>
              <w:jc w:val="center"/>
              <w:textAlignment w:val="center"/>
              <w:rPr>
                <w:rFonts w:hint="eastAsia" w:ascii="宋体" w:hAnsi="宋体" w:eastAsia="宋体" w:cs="Times New Roman"/>
                <w:b/>
                <w:bCs/>
                <w:color w:val="000000"/>
                <w:kern w:val="0"/>
                <w:sz w:val="20"/>
                <w:szCs w:val="20"/>
              </w:rPr>
            </w:pPr>
            <w:r>
              <w:rPr>
                <w:rFonts w:hint="eastAsia" w:ascii="宋体" w:hAnsi="宋体" w:eastAsia="宋体" w:cs="宋体"/>
                <w:i w:val="0"/>
                <w:iCs w:val="0"/>
                <w:color w:val="000000"/>
                <w:kern w:val="0"/>
                <w:sz w:val="24"/>
                <w:szCs w:val="24"/>
                <w:u w:val="none"/>
                <w:lang w:val="en-US" w:eastAsia="zh-CN" w:bidi="ar"/>
              </w:rPr>
              <w:t>中和剂肉汤（橡胶塞）</w:t>
            </w:r>
          </w:p>
        </w:tc>
        <w:tc>
          <w:tcPr>
            <w:tcW w:w="3426" w:type="dxa"/>
            <w:tcBorders>
              <w:top w:val="single" w:color="auto" w:sz="4" w:space="0"/>
              <w:left w:val="nil"/>
              <w:bottom w:val="single" w:color="auto" w:sz="4" w:space="0"/>
              <w:right w:val="single" w:color="auto" w:sz="4" w:space="0"/>
            </w:tcBorders>
            <w:shd w:val="clear" w:color="000000" w:fill="FFFFFF"/>
            <w:vAlign w:val="center"/>
          </w:tcPr>
          <w:p w14:paraId="6E953509">
            <w:pPr>
              <w:keepNext w:val="0"/>
              <w:keepLines w:val="0"/>
              <w:widowControl/>
              <w:suppressLineNumbers w:val="0"/>
              <w:jc w:val="left"/>
              <w:textAlignment w:val="center"/>
              <w:rPr>
                <w:rFonts w:hint="eastAsia" w:ascii="宋体" w:hAnsi="宋体" w:eastAsia="宋体" w:cs="Times New Roman"/>
                <w:b/>
                <w:bCs/>
                <w:color w:val="000000"/>
                <w:kern w:val="0"/>
                <w:sz w:val="20"/>
                <w:szCs w:val="20"/>
              </w:rPr>
            </w:pPr>
            <w:r>
              <w:rPr>
                <w:rFonts w:hint="eastAsia" w:ascii="宋体" w:hAnsi="宋体" w:eastAsia="宋体" w:cs="宋体"/>
                <w:i w:val="0"/>
                <w:iCs w:val="0"/>
                <w:color w:val="000000"/>
                <w:kern w:val="0"/>
                <w:sz w:val="22"/>
                <w:szCs w:val="22"/>
                <w:u w:val="none"/>
                <w:lang w:val="en-US" w:eastAsia="zh-CN" w:bidi="ar"/>
              </w:rPr>
              <w:t>1、含质控菌株: 枯草芽孢杆菌，大肠埃希氏菌，铜绿假单胞菌，鼠伤寒沙门氏菌，金黄色葡萄球菌</w:t>
            </w:r>
          </w:p>
        </w:tc>
        <w:tc>
          <w:tcPr>
            <w:tcW w:w="878" w:type="dxa"/>
            <w:tcBorders>
              <w:top w:val="single" w:color="auto" w:sz="4" w:space="0"/>
              <w:left w:val="nil"/>
              <w:bottom w:val="single" w:color="auto" w:sz="4" w:space="0"/>
              <w:right w:val="single" w:color="auto" w:sz="4" w:space="0"/>
            </w:tcBorders>
            <w:shd w:val="clear" w:color="000000" w:fill="FFFFFF"/>
            <w:vAlign w:val="center"/>
          </w:tcPr>
          <w:p w14:paraId="40F5835B">
            <w:pPr>
              <w:keepNext w:val="0"/>
              <w:keepLines w:val="0"/>
              <w:widowControl/>
              <w:suppressLineNumbers w:val="0"/>
              <w:jc w:val="center"/>
              <w:textAlignment w:val="center"/>
              <w:rPr>
                <w:rFonts w:hint="eastAsia" w:ascii="宋体" w:hAnsi="宋体" w:eastAsia="宋体" w:cs="Times New Roman"/>
                <w:b/>
                <w:bCs/>
                <w:color w:val="000000"/>
                <w:kern w:val="0"/>
                <w:sz w:val="20"/>
                <w:szCs w:val="20"/>
              </w:rPr>
            </w:pPr>
            <w:r>
              <w:rPr>
                <w:rFonts w:hint="eastAsia" w:ascii="宋体" w:hAnsi="宋体" w:eastAsia="宋体" w:cs="宋体"/>
                <w:i w:val="0"/>
                <w:iCs w:val="0"/>
                <w:color w:val="000000"/>
                <w:kern w:val="0"/>
                <w:sz w:val="24"/>
                <w:szCs w:val="24"/>
                <w:u w:val="none"/>
                <w:lang w:val="en-US" w:eastAsia="zh-CN" w:bidi="ar"/>
              </w:rPr>
              <w:t>10mL/支、50支/盒</w:t>
            </w:r>
          </w:p>
        </w:tc>
        <w:tc>
          <w:tcPr>
            <w:tcW w:w="764" w:type="dxa"/>
            <w:tcBorders>
              <w:top w:val="single" w:color="auto" w:sz="4" w:space="0"/>
              <w:left w:val="nil"/>
              <w:bottom w:val="single" w:color="auto" w:sz="4" w:space="0"/>
              <w:right w:val="single" w:color="auto" w:sz="4" w:space="0"/>
            </w:tcBorders>
            <w:shd w:val="clear" w:color="000000" w:fill="FFFFFF"/>
            <w:vAlign w:val="center"/>
          </w:tcPr>
          <w:p w14:paraId="1F7A62BA">
            <w:pPr>
              <w:keepNext w:val="0"/>
              <w:keepLines w:val="0"/>
              <w:widowControl/>
              <w:suppressLineNumbers w:val="0"/>
              <w:jc w:val="center"/>
              <w:textAlignment w:val="center"/>
              <w:rPr>
                <w:rFonts w:hint="eastAsia" w:ascii="宋体" w:hAnsi="宋体" w:eastAsia="宋体" w:cs="Times New Roman"/>
                <w:b/>
                <w:bCs/>
                <w:color w:val="000000"/>
                <w:kern w:val="0"/>
                <w:sz w:val="20"/>
                <w:szCs w:val="20"/>
              </w:rPr>
            </w:pPr>
            <w:r>
              <w:rPr>
                <w:rFonts w:hint="eastAsia" w:ascii="宋体" w:hAnsi="宋体" w:eastAsia="宋体" w:cs="宋体"/>
                <w:i w:val="0"/>
                <w:iCs w:val="0"/>
                <w:color w:val="000000"/>
                <w:kern w:val="0"/>
                <w:sz w:val="24"/>
                <w:szCs w:val="24"/>
                <w:u w:val="none"/>
                <w:lang w:val="en-US" w:eastAsia="zh-CN" w:bidi="ar"/>
              </w:rPr>
              <w:t>10</w:t>
            </w:r>
          </w:p>
        </w:tc>
        <w:tc>
          <w:tcPr>
            <w:tcW w:w="800" w:type="dxa"/>
            <w:tcBorders>
              <w:top w:val="single" w:color="auto" w:sz="4" w:space="0"/>
              <w:left w:val="nil"/>
              <w:bottom w:val="single" w:color="auto" w:sz="4" w:space="0"/>
              <w:right w:val="single" w:color="auto" w:sz="4" w:space="0"/>
            </w:tcBorders>
            <w:shd w:val="clear" w:color="000000" w:fill="FFFFFF"/>
            <w:vAlign w:val="center"/>
          </w:tcPr>
          <w:p w14:paraId="5484C092">
            <w:pPr>
              <w:widowControl/>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需注明生产厂家</w:t>
            </w:r>
          </w:p>
        </w:tc>
      </w:tr>
      <w:tr w14:paraId="2669022B">
        <w:tblPrEx>
          <w:tblCellMar>
            <w:top w:w="0" w:type="dxa"/>
            <w:left w:w="108" w:type="dxa"/>
            <w:bottom w:w="0" w:type="dxa"/>
            <w:right w:w="108" w:type="dxa"/>
          </w:tblCellMar>
        </w:tblPrEx>
        <w:trPr>
          <w:trHeight w:val="800" w:hRule="atLeast"/>
        </w:trPr>
        <w:tc>
          <w:tcPr>
            <w:tcW w:w="867" w:type="dxa"/>
            <w:tcBorders>
              <w:top w:val="single" w:color="auto" w:sz="4" w:space="0"/>
              <w:left w:val="single" w:color="auto" w:sz="4" w:space="0"/>
              <w:bottom w:val="single" w:color="auto" w:sz="4" w:space="0"/>
              <w:right w:val="single" w:color="auto" w:sz="4" w:space="0"/>
            </w:tcBorders>
            <w:shd w:val="clear" w:color="000000" w:fill="FFFFFF"/>
            <w:vAlign w:val="center"/>
          </w:tcPr>
          <w:p w14:paraId="24FC4742">
            <w:pPr>
              <w:keepNext w:val="0"/>
              <w:keepLines w:val="0"/>
              <w:widowControl/>
              <w:numPr>
                <w:ilvl w:val="0"/>
                <w:numId w:val="1"/>
              </w:numPr>
              <w:suppressLineNumbers w:val="0"/>
              <w:ind w:left="425" w:leftChars="0" w:hanging="425" w:firstLineChars="0"/>
              <w:jc w:val="center"/>
              <w:textAlignment w:val="center"/>
              <w:rPr>
                <w:rFonts w:hint="default" w:ascii="宋体" w:hAnsi="宋体" w:eastAsia="宋体" w:cs="宋体"/>
                <w:i w:val="0"/>
                <w:iCs w:val="0"/>
                <w:color w:val="000000"/>
                <w:kern w:val="0"/>
                <w:sz w:val="24"/>
                <w:szCs w:val="24"/>
                <w:u w:val="none"/>
                <w:lang w:val="en-US" w:eastAsia="zh-CN" w:bidi="ar"/>
              </w:rPr>
            </w:pPr>
          </w:p>
        </w:tc>
        <w:tc>
          <w:tcPr>
            <w:tcW w:w="2616" w:type="dxa"/>
            <w:tcBorders>
              <w:top w:val="single" w:color="auto" w:sz="4" w:space="0"/>
              <w:left w:val="nil"/>
              <w:bottom w:val="single" w:color="auto" w:sz="4" w:space="0"/>
              <w:right w:val="single" w:color="auto" w:sz="4" w:space="0"/>
            </w:tcBorders>
            <w:shd w:val="clear" w:color="000000" w:fill="FFFFFF"/>
            <w:vAlign w:val="center"/>
          </w:tcPr>
          <w:p w14:paraId="01130BA8">
            <w:pPr>
              <w:keepNext w:val="0"/>
              <w:keepLines w:val="0"/>
              <w:widowControl/>
              <w:suppressLineNumbers w:val="0"/>
              <w:jc w:val="center"/>
              <w:textAlignment w:val="center"/>
              <w:rPr>
                <w:rFonts w:hint="eastAsia" w:ascii="宋体" w:hAnsi="宋体" w:eastAsia="宋体" w:cs="Times New Roman"/>
                <w:b/>
                <w:bCs/>
                <w:color w:val="000000"/>
                <w:kern w:val="0"/>
                <w:sz w:val="20"/>
                <w:szCs w:val="20"/>
              </w:rPr>
            </w:pPr>
            <w:r>
              <w:rPr>
                <w:rFonts w:hint="eastAsia" w:ascii="宋体" w:hAnsi="宋体" w:eastAsia="宋体" w:cs="宋体"/>
                <w:i w:val="0"/>
                <w:iCs w:val="0"/>
                <w:color w:val="000000"/>
                <w:kern w:val="0"/>
                <w:sz w:val="24"/>
                <w:szCs w:val="24"/>
                <w:u w:val="none"/>
                <w:lang w:val="en-US" w:eastAsia="zh-CN" w:bidi="ar"/>
              </w:rPr>
              <w:t>营养琼脂</w:t>
            </w:r>
          </w:p>
        </w:tc>
        <w:tc>
          <w:tcPr>
            <w:tcW w:w="3426" w:type="dxa"/>
            <w:tcBorders>
              <w:top w:val="single" w:color="auto" w:sz="4" w:space="0"/>
              <w:left w:val="nil"/>
              <w:bottom w:val="single" w:color="auto" w:sz="4" w:space="0"/>
              <w:right w:val="single" w:color="auto" w:sz="4" w:space="0"/>
            </w:tcBorders>
            <w:shd w:val="clear" w:color="000000" w:fill="FFFFFF"/>
            <w:vAlign w:val="center"/>
          </w:tcPr>
          <w:p w14:paraId="20A4FB93">
            <w:pPr>
              <w:keepNext w:val="0"/>
              <w:keepLines w:val="0"/>
              <w:widowControl/>
              <w:suppressLineNumbers w:val="0"/>
              <w:jc w:val="left"/>
              <w:textAlignment w:val="center"/>
              <w:rPr>
                <w:rFonts w:hint="eastAsia" w:ascii="宋体" w:hAnsi="宋体" w:eastAsia="宋体" w:cs="Times New Roman"/>
                <w:b/>
                <w:bCs/>
                <w:color w:val="000000"/>
                <w:kern w:val="0"/>
                <w:sz w:val="20"/>
                <w:szCs w:val="20"/>
              </w:rPr>
            </w:pPr>
            <w:r>
              <w:rPr>
                <w:rFonts w:hint="eastAsia" w:ascii="宋体" w:hAnsi="宋体" w:eastAsia="宋体" w:cs="宋体"/>
                <w:i w:val="0"/>
                <w:iCs w:val="0"/>
                <w:color w:val="000000"/>
                <w:kern w:val="0"/>
                <w:sz w:val="22"/>
                <w:szCs w:val="22"/>
                <w:u w:val="none"/>
                <w:lang w:val="en-US" w:eastAsia="zh-CN" w:bidi="ar"/>
              </w:rPr>
              <w:t>1、产品均为黄色、透明、清晰无沉淀；平板(皿)，表面平整、无裂痕、无肉眼可见杂质和气泡。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2、质控菌株：枯草芽孢杆菌，大肠埃希氏菌，金黄色葡萄球菌</w:t>
            </w:r>
          </w:p>
        </w:tc>
        <w:tc>
          <w:tcPr>
            <w:tcW w:w="878" w:type="dxa"/>
            <w:tcBorders>
              <w:top w:val="single" w:color="auto" w:sz="4" w:space="0"/>
              <w:left w:val="nil"/>
              <w:bottom w:val="single" w:color="auto" w:sz="4" w:space="0"/>
              <w:right w:val="single" w:color="auto" w:sz="4" w:space="0"/>
            </w:tcBorders>
            <w:shd w:val="clear" w:color="000000" w:fill="FFFFFF"/>
            <w:vAlign w:val="center"/>
          </w:tcPr>
          <w:p w14:paraId="5D966C4F">
            <w:pPr>
              <w:keepNext w:val="0"/>
              <w:keepLines w:val="0"/>
              <w:widowControl/>
              <w:suppressLineNumbers w:val="0"/>
              <w:jc w:val="center"/>
              <w:textAlignment w:val="center"/>
              <w:rPr>
                <w:rFonts w:hint="eastAsia" w:ascii="宋体" w:hAnsi="宋体" w:eastAsia="宋体" w:cs="Times New Roman"/>
                <w:b/>
                <w:bCs/>
                <w:color w:val="000000"/>
                <w:kern w:val="0"/>
                <w:sz w:val="20"/>
                <w:szCs w:val="20"/>
              </w:rPr>
            </w:pPr>
            <w:r>
              <w:rPr>
                <w:rFonts w:hint="eastAsia" w:ascii="宋体" w:hAnsi="宋体" w:eastAsia="宋体" w:cs="宋体"/>
                <w:i w:val="0"/>
                <w:iCs w:val="0"/>
                <w:color w:val="000000"/>
                <w:kern w:val="0"/>
                <w:sz w:val="24"/>
                <w:szCs w:val="24"/>
                <w:u w:val="none"/>
                <w:lang w:val="en-US" w:eastAsia="zh-CN" w:bidi="ar"/>
              </w:rPr>
              <w:t>20个/盒</w:t>
            </w:r>
          </w:p>
        </w:tc>
        <w:tc>
          <w:tcPr>
            <w:tcW w:w="764" w:type="dxa"/>
            <w:tcBorders>
              <w:top w:val="single" w:color="auto" w:sz="4" w:space="0"/>
              <w:left w:val="nil"/>
              <w:bottom w:val="single" w:color="auto" w:sz="4" w:space="0"/>
              <w:right w:val="single" w:color="auto" w:sz="4" w:space="0"/>
            </w:tcBorders>
            <w:shd w:val="clear" w:color="000000" w:fill="FFFFFF"/>
            <w:vAlign w:val="center"/>
          </w:tcPr>
          <w:p w14:paraId="2C168C39">
            <w:pPr>
              <w:keepNext w:val="0"/>
              <w:keepLines w:val="0"/>
              <w:widowControl/>
              <w:suppressLineNumbers w:val="0"/>
              <w:jc w:val="center"/>
              <w:textAlignment w:val="center"/>
              <w:rPr>
                <w:rFonts w:hint="eastAsia" w:ascii="宋体" w:hAnsi="宋体" w:eastAsia="宋体" w:cs="Times New Roman"/>
                <w:b/>
                <w:bCs/>
                <w:color w:val="000000"/>
                <w:kern w:val="0"/>
                <w:sz w:val="20"/>
                <w:szCs w:val="20"/>
              </w:rPr>
            </w:pPr>
            <w:r>
              <w:rPr>
                <w:rFonts w:hint="eastAsia" w:ascii="宋体" w:hAnsi="宋体" w:eastAsia="宋体" w:cs="宋体"/>
                <w:i w:val="0"/>
                <w:iCs w:val="0"/>
                <w:color w:val="000000"/>
                <w:kern w:val="0"/>
                <w:sz w:val="24"/>
                <w:szCs w:val="24"/>
                <w:u w:val="none"/>
                <w:lang w:val="en-US" w:eastAsia="zh-CN" w:bidi="ar"/>
              </w:rPr>
              <w:t>6</w:t>
            </w:r>
          </w:p>
        </w:tc>
        <w:tc>
          <w:tcPr>
            <w:tcW w:w="800" w:type="dxa"/>
            <w:tcBorders>
              <w:top w:val="single" w:color="auto" w:sz="4" w:space="0"/>
              <w:left w:val="nil"/>
              <w:bottom w:val="single" w:color="auto" w:sz="4" w:space="0"/>
              <w:right w:val="single" w:color="auto" w:sz="4" w:space="0"/>
            </w:tcBorders>
            <w:shd w:val="clear" w:color="000000" w:fill="FFFFFF"/>
            <w:vAlign w:val="center"/>
          </w:tcPr>
          <w:p w14:paraId="7426DC38">
            <w:pPr>
              <w:widowControl/>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需注明生产厂家</w:t>
            </w:r>
          </w:p>
        </w:tc>
      </w:tr>
      <w:tr w14:paraId="30A50B09">
        <w:tblPrEx>
          <w:tblCellMar>
            <w:top w:w="0" w:type="dxa"/>
            <w:left w:w="108" w:type="dxa"/>
            <w:bottom w:w="0" w:type="dxa"/>
            <w:right w:w="108" w:type="dxa"/>
          </w:tblCellMar>
        </w:tblPrEx>
        <w:trPr>
          <w:trHeight w:val="800" w:hRule="atLeast"/>
        </w:trPr>
        <w:tc>
          <w:tcPr>
            <w:tcW w:w="867" w:type="dxa"/>
            <w:tcBorders>
              <w:top w:val="single" w:color="auto" w:sz="4" w:space="0"/>
              <w:left w:val="single" w:color="auto" w:sz="4" w:space="0"/>
              <w:bottom w:val="single" w:color="auto" w:sz="4" w:space="0"/>
              <w:right w:val="single" w:color="auto" w:sz="4" w:space="0"/>
            </w:tcBorders>
            <w:shd w:val="clear" w:color="000000" w:fill="FFFFFF"/>
            <w:vAlign w:val="center"/>
          </w:tcPr>
          <w:p w14:paraId="65B3A431">
            <w:pPr>
              <w:keepNext w:val="0"/>
              <w:keepLines w:val="0"/>
              <w:widowControl/>
              <w:numPr>
                <w:ilvl w:val="0"/>
                <w:numId w:val="1"/>
              </w:numPr>
              <w:suppressLineNumbers w:val="0"/>
              <w:ind w:left="425" w:leftChars="0" w:hanging="425" w:firstLineChars="0"/>
              <w:jc w:val="center"/>
              <w:textAlignment w:val="center"/>
              <w:rPr>
                <w:rFonts w:hint="default" w:ascii="宋体" w:hAnsi="宋体" w:eastAsia="宋体" w:cs="宋体"/>
                <w:i w:val="0"/>
                <w:iCs w:val="0"/>
                <w:color w:val="000000"/>
                <w:kern w:val="0"/>
                <w:sz w:val="24"/>
                <w:szCs w:val="24"/>
                <w:u w:val="none"/>
                <w:lang w:val="en-US" w:eastAsia="zh-CN" w:bidi="ar"/>
              </w:rPr>
            </w:pPr>
          </w:p>
        </w:tc>
        <w:tc>
          <w:tcPr>
            <w:tcW w:w="2616" w:type="dxa"/>
            <w:tcBorders>
              <w:top w:val="single" w:color="auto" w:sz="4" w:space="0"/>
              <w:left w:val="nil"/>
              <w:bottom w:val="single" w:color="auto" w:sz="4" w:space="0"/>
              <w:right w:val="single" w:color="auto" w:sz="4" w:space="0"/>
            </w:tcBorders>
            <w:shd w:val="clear" w:color="000000" w:fill="FFFFFF"/>
            <w:vAlign w:val="center"/>
          </w:tcPr>
          <w:p w14:paraId="26CE73E1">
            <w:pPr>
              <w:keepNext w:val="0"/>
              <w:keepLines w:val="0"/>
              <w:widowControl/>
              <w:suppressLineNumbers w:val="0"/>
              <w:jc w:val="center"/>
              <w:textAlignment w:val="center"/>
              <w:rPr>
                <w:rFonts w:hint="eastAsia" w:ascii="宋体" w:hAnsi="宋体" w:eastAsia="宋体" w:cs="Times New Roman"/>
                <w:b/>
                <w:bCs/>
                <w:color w:val="000000"/>
                <w:kern w:val="0"/>
                <w:sz w:val="20"/>
                <w:szCs w:val="20"/>
              </w:rPr>
            </w:pPr>
            <w:r>
              <w:rPr>
                <w:rFonts w:hint="eastAsia" w:ascii="宋体" w:hAnsi="宋体" w:eastAsia="宋体" w:cs="宋体"/>
                <w:i w:val="0"/>
                <w:iCs w:val="0"/>
                <w:color w:val="000000"/>
                <w:kern w:val="0"/>
                <w:sz w:val="24"/>
                <w:szCs w:val="24"/>
                <w:u w:val="none"/>
                <w:lang w:val="en-US" w:eastAsia="zh-CN" w:bidi="ar"/>
              </w:rPr>
              <w:t>双料乳糖胆盐发酵培养基</w:t>
            </w:r>
          </w:p>
        </w:tc>
        <w:tc>
          <w:tcPr>
            <w:tcW w:w="3426" w:type="dxa"/>
            <w:tcBorders>
              <w:top w:val="single" w:color="auto" w:sz="4" w:space="0"/>
              <w:left w:val="nil"/>
              <w:bottom w:val="single" w:color="auto" w:sz="4" w:space="0"/>
              <w:right w:val="single" w:color="auto" w:sz="4" w:space="0"/>
            </w:tcBorders>
            <w:shd w:val="clear" w:color="000000" w:fill="FFFFFF"/>
            <w:vAlign w:val="center"/>
          </w:tcPr>
          <w:p w14:paraId="3659EF90">
            <w:pPr>
              <w:keepNext w:val="0"/>
              <w:keepLines w:val="0"/>
              <w:widowControl/>
              <w:suppressLineNumbers w:val="0"/>
              <w:jc w:val="center"/>
              <w:textAlignment w:val="center"/>
              <w:rPr>
                <w:rFonts w:hint="eastAsia" w:ascii="宋体" w:hAnsi="宋体" w:eastAsia="宋体" w:cs="Times New Roman"/>
                <w:b/>
                <w:bCs/>
                <w:color w:val="000000"/>
                <w:kern w:val="0"/>
                <w:sz w:val="20"/>
                <w:szCs w:val="20"/>
              </w:rPr>
            </w:pPr>
            <w:r>
              <w:rPr>
                <w:rFonts w:hint="eastAsia" w:ascii="宋体" w:hAnsi="宋体" w:eastAsia="宋体" w:cs="宋体"/>
                <w:i w:val="0"/>
                <w:iCs w:val="0"/>
                <w:color w:val="000000"/>
                <w:kern w:val="0"/>
                <w:sz w:val="24"/>
                <w:szCs w:val="24"/>
                <w:u w:val="none"/>
                <w:lang w:val="en-US" w:eastAsia="zh-CN" w:bidi="ar"/>
              </w:rPr>
              <w:t>-</w:t>
            </w:r>
          </w:p>
        </w:tc>
        <w:tc>
          <w:tcPr>
            <w:tcW w:w="878" w:type="dxa"/>
            <w:tcBorders>
              <w:top w:val="single" w:color="auto" w:sz="4" w:space="0"/>
              <w:left w:val="nil"/>
              <w:bottom w:val="single" w:color="auto" w:sz="4" w:space="0"/>
              <w:right w:val="single" w:color="auto" w:sz="4" w:space="0"/>
            </w:tcBorders>
            <w:shd w:val="clear" w:color="000000" w:fill="FFFFFF"/>
            <w:vAlign w:val="center"/>
          </w:tcPr>
          <w:p w14:paraId="7B9F2128">
            <w:pPr>
              <w:keepNext w:val="0"/>
              <w:keepLines w:val="0"/>
              <w:widowControl/>
              <w:suppressLineNumbers w:val="0"/>
              <w:jc w:val="center"/>
              <w:textAlignment w:val="center"/>
              <w:rPr>
                <w:rFonts w:hint="eastAsia" w:ascii="宋体" w:hAnsi="宋体" w:eastAsia="宋体" w:cs="Times New Roman"/>
                <w:b/>
                <w:bCs/>
                <w:color w:val="000000"/>
                <w:kern w:val="0"/>
                <w:sz w:val="20"/>
                <w:szCs w:val="20"/>
              </w:rPr>
            </w:pPr>
            <w:r>
              <w:rPr>
                <w:rFonts w:hint="eastAsia" w:ascii="宋体" w:hAnsi="宋体" w:eastAsia="宋体" w:cs="宋体"/>
                <w:i w:val="0"/>
                <w:iCs w:val="0"/>
                <w:color w:val="000000"/>
                <w:kern w:val="0"/>
                <w:sz w:val="24"/>
                <w:szCs w:val="24"/>
                <w:u w:val="none"/>
                <w:lang w:val="en-US" w:eastAsia="zh-CN" w:bidi="ar"/>
              </w:rPr>
              <w:t>10mL*20支</w:t>
            </w:r>
          </w:p>
        </w:tc>
        <w:tc>
          <w:tcPr>
            <w:tcW w:w="764" w:type="dxa"/>
            <w:tcBorders>
              <w:top w:val="single" w:color="auto" w:sz="4" w:space="0"/>
              <w:left w:val="nil"/>
              <w:bottom w:val="single" w:color="auto" w:sz="4" w:space="0"/>
              <w:right w:val="single" w:color="auto" w:sz="4" w:space="0"/>
            </w:tcBorders>
            <w:shd w:val="clear" w:color="000000" w:fill="FFFFFF"/>
            <w:vAlign w:val="center"/>
          </w:tcPr>
          <w:p w14:paraId="1C27F2EA">
            <w:pPr>
              <w:keepNext w:val="0"/>
              <w:keepLines w:val="0"/>
              <w:widowControl/>
              <w:suppressLineNumbers w:val="0"/>
              <w:jc w:val="center"/>
              <w:textAlignment w:val="center"/>
              <w:rPr>
                <w:rFonts w:hint="eastAsia" w:ascii="宋体" w:hAnsi="宋体" w:eastAsia="宋体" w:cs="Times New Roman"/>
                <w:b/>
                <w:bCs/>
                <w:color w:val="000000"/>
                <w:kern w:val="0"/>
                <w:sz w:val="20"/>
                <w:szCs w:val="20"/>
              </w:rPr>
            </w:pPr>
            <w:r>
              <w:rPr>
                <w:rFonts w:hint="eastAsia" w:ascii="宋体" w:hAnsi="宋体" w:eastAsia="宋体" w:cs="宋体"/>
                <w:i w:val="0"/>
                <w:iCs w:val="0"/>
                <w:color w:val="000000"/>
                <w:kern w:val="0"/>
                <w:sz w:val="24"/>
                <w:szCs w:val="24"/>
                <w:u w:val="none"/>
                <w:lang w:val="en-US" w:eastAsia="zh-CN" w:bidi="ar"/>
              </w:rPr>
              <w:t>6</w:t>
            </w:r>
          </w:p>
        </w:tc>
        <w:tc>
          <w:tcPr>
            <w:tcW w:w="800" w:type="dxa"/>
            <w:tcBorders>
              <w:top w:val="single" w:color="auto" w:sz="4" w:space="0"/>
              <w:left w:val="nil"/>
              <w:bottom w:val="single" w:color="auto" w:sz="4" w:space="0"/>
              <w:right w:val="single" w:color="auto" w:sz="4" w:space="0"/>
            </w:tcBorders>
            <w:shd w:val="clear" w:color="000000" w:fill="FFFFFF"/>
            <w:vAlign w:val="center"/>
          </w:tcPr>
          <w:p w14:paraId="498157F3">
            <w:pPr>
              <w:widowControl/>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需注明生产厂家</w:t>
            </w:r>
          </w:p>
        </w:tc>
      </w:tr>
      <w:tr w14:paraId="6A713104">
        <w:tblPrEx>
          <w:tblCellMar>
            <w:top w:w="0" w:type="dxa"/>
            <w:left w:w="108" w:type="dxa"/>
            <w:bottom w:w="0" w:type="dxa"/>
            <w:right w:w="108" w:type="dxa"/>
          </w:tblCellMar>
        </w:tblPrEx>
        <w:trPr>
          <w:trHeight w:val="800" w:hRule="atLeast"/>
        </w:trPr>
        <w:tc>
          <w:tcPr>
            <w:tcW w:w="867" w:type="dxa"/>
            <w:tcBorders>
              <w:top w:val="single" w:color="auto" w:sz="4" w:space="0"/>
              <w:left w:val="single" w:color="auto" w:sz="4" w:space="0"/>
              <w:bottom w:val="single" w:color="auto" w:sz="4" w:space="0"/>
              <w:right w:val="single" w:color="auto" w:sz="4" w:space="0"/>
            </w:tcBorders>
            <w:shd w:val="clear" w:color="000000" w:fill="FFFFFF"/>
            <w:vAlign w:val="center"/>
          </w:tcPr>
          <w:p w14:paraId="049B823F">
            <w:pPr>
              <w:keepNext w:val="0"/>
              <w:keepLines w:val="0"/>
              <w:widowControl/>
              <w:numPr>
                <w:ilvl w:val="0"/>
                <w:numId w:val="1"/>
              </w:numPr>
              <w:suppressLineNumbers w:val="0"/>
              <w:ind w:left="425" w:leftChars="0" w:hanging="425" w:firstLineChars="0"/>
              <w:jc w:val="center"/>
              <w:textAlignment w:val="center"/>
              <w:rPr>
                <w:rFonts w:hint="default" w:ascii="宋体" w:hAnsi="宋体" w:eastAsia="宋体" w:cs="宋体"/>
                <w:i w:val="0"/>
                <w:iCs w:val="0"/>
                <w:color w:val="000000"/>
                <w:kern w:val="0"/>
                <w:sz w:val="24"/>
                <w:szCs w:val="24"/>
                <w:u w:val="none"/>
                <w:lang w:val="en-US" w:eastAsia="zh-CN" w:bidi="ar"/>
              </w:rPr>
            </w:pPr>
          </w:p>
        </w:tc>
        <w:tc>
          <w:tcPr>
            <w:tcW w:w="2616" w:type="dxa"/>
            <w:tcBorders>
              <w:top w:val="single" w:color="auto" w:sz="4" w:space="0"/>
              <w:left w:val="nil"/>
              <w:bottom w:val="single" w:color="auto" w:sz="4" w:space="0"/>
              <w:right w:val="single" w:color="auto" w:sz="4" w:space="0"/>
            </w:tcBorders>
            <w:shd w:val="clear" w:color="000000" w:fill="FFFFFF"/>
            <w:vAlign w:val="center"/>
          </w:tcPr>
          <w:p w14:paraId="25345A6F">
            <w:pPr>
              <w:keepNext w:val="0"/>
              <w:keepLines w:val="0"/>
              <w:widowControl/>
              <w:suppressLineNumbers w:val="0"/>
              <w:jc w:val="center"/>
              <w:textAlignment w:val="center"/>
              <w:rPr>
                <w:rFonts w:hint="eastAsia" w:ascii="宋体" w:hAnsi="宋体" w:eastAsia="宋体" w:cs="Times New Roman"/>
                <w:b/>
                <w:bCs/>
                <w:color w:val="000000"/>
                <w:kern w:val="0"/>
                <w:sz w:val="20"/>
                <w:szCs w:val="20"/>
              </w:rPr>
            </w:pPr>
            <w:r>
              <w:rPr>
                <w:rFonts w:hint="eastAsia" w:ascii="宋体" w:hAnsi="宋体" w:eastAsia="宋体" w:cs="宋体"/>
                <w:i w:val="0"/>
                <w:iCs w:val="0"/>
                <w:color w:val="000000"/>
                <w:kern w:val="0"/>
                <w:sz w:val="24"/>
                <w:szCs w:val="24"/>
                <w:u w:val="none"/>
                <w:lang w:val="en-US" w:eastAsia="zh-CN" w:bidi="ar"/>
              </w:rPr>
              <w:t>乳糖胆盐发酵培养基</w:t>
            </w:r>
          </w:p>
        </w:tc>
        <w:tc>
          <w:tcPr>
            <w:tcW w:w="3426" w:type="dxa"/>
            <w:tcBorders>
              <w:top w:val="single" w:color="auto" w:sz="4" w:space="0"/>
              <w:left w:val="nil"/>
              <w:bottom w:val="single" w:color="auto" w:sz="4" w:space="0"/>
              <w:right w:val="single" w:color="auto" w:sz="4" w:space="0"/>
            </w:tcBorders>
            <w:shd w:val="clear" w:color="000000" w:fill="FFFFFF"/>
            <w:vAlign w:val="center"/>
          </w:tcPr>
          <w:p w14:paraId="5C32D16C">
            <w:pPr>
              <w:keepNext w:val="0"/>
              <w:keepLines w:val="0"/>
              <w:widowControl/>
              <w:suppressLineNumbers w:val="0"/>
              <w:jc w:val="center"/>
              <w:textAlignment w:val="center"/>
              <w:rPr>
                <w:rFonts w:hint="eastAsia" w:ascii="宋体" w:hAnsi="宋体" w:eastAsia="宋体" w:cs="Times New Roman"/>
                <w:b/>
                <w:bCs/>
                <w:color w:val="000000"/>
                <w:kern w:val="0"/>
                <w:sz w:val="20"/>
                <w:szCs w:val="20"/>
              </w:rPr>
            </w:pPr>
            <w:r>
              <w:rPr>
                <w:rFonts w:hint="eastAsia" w:ascii="宋体" w:hAnsi="宋体" w:eastAsia="宋体" w:cs="宋体"/>
                <w:i w:val="0"/>
                <w:iCs w:val="0"/>
                <w:color w:val="000000"/>
                <w:kern w:val="0"/>
                <w:sz w:val="24"/>
                <w:szCs w:val="24"/>
                <w:u w:val="none"/>
                <w:lang w:val="en-US" w:eastAsia="zh-CN" w:bidi="ar"/>
              </w:rPr>
              <w:t>-</w:t>
            </w:r>
          </w:p>
        </w:tc>
        <w:tc>
          <w:tcPr>
            <w:tcW w:w="878" w:type="dxa"/>
            <w:tcBorders>
              <w:top w:val="single" w:color="auto" w:sz="4" w:space="0"/>
              <w:left w:val="nil"/>
              <w:bottom w:val="single" w:color="auto" w:sz="4" w:space="0"/>
              <w:right w:val="single" w:color="auto" w:sz="4" w:space="0"/>
            </w:tcBorders>
            <w:shd w:val="clear" w:color="000000" w:fill="FFFFFF"/>
            <w:vAlign w:val="center"/>
          </w:tcPr>
          <w:p w14:paraId="48F344A2">
            <w:pPr>
              <w:keepNext w:val="0"/>
              <w:keepLines w:val="0"/>
              <w:widowControl/>
              <w:suppressLineNumbers w:val="0"/>
              <w:jc w:val="center"/>
              <w:textAlignment w:val="center"/>
              <w:rPr>
                <w:rFonts w:hint="eastAsia" w:ascii="宋体" w:hAnsi="宋体" w:eastAsia="宋体" w:cs="Times New Roman"/>
                <w:b/>
                <w:bCs/>
                <w:color w:val="000000"/>
                <w:kern w:val="0"/>
                <w:sz w:val="20"/>
                <w:szCs w:val="20"/>
              </w:rPr>
            </w:pPr>
            <w:r>
              <w:rPr>
                <w:rFonts w:hint="eastAsia" w:ascii="宋体" w:hAnsi="宋体" w:eastAsia="宋体" w:cs="宋体"/>
                <w:i w:val="0"/>
                <w:iCs w:val="0"/>
                <w:color w:val="000000"/>
                <w:kern w:val="0"/>
                <w:sz w:val="24"/>
                <w:szCs w:val="24"/>
                <w:u w:val="none"/>
                <w:lang w:val="en-US" w:eastAsia="zh-CN" w:bidi="ar"/>
              </w:rPr>
              <w:t>10mL*20支</w:t>
            </w:r>
          </w:p>
        </w:tc>
        <w:tc>
          <w:tcPr>
            <w:tcW w:w="764" w:type="dxa"/>
            <w:tcBorders>
              <w:top w:val="single" w:color="auto" w:sz="4" w:space="0"/>
              <w:left w:val="nil"/>
              <w:bottom w:val="single" w:color="auto" w:sz="4" w:space="0"/>
              <w:right w:val="single" w:color="auto" w:sz="4" w:space="0"/>
            </w:tcBorders>
            <w:shd w:val="clear" w:color="000000" w:fill="FFFFFF"/>
            <w:vAlign w:val="center"/>
          </w:tcPr>
          <w:p w14:paraId="09634993">
            <w:pPr>
              <w:keepNext w:val="0"/>
              <w:keepLines w:val="0"/>
              <w:widowControl/>
              <w:suppressLineNumbers w:val="0"/>
              <w:jc w:val="center"/>
              <w:textAlignment w:val="center"/>
              <w:rPr>
                <w:rFonts w:hint="eastAsia" w:ascii="宋体" w:hAnsi="宋体" w:eastAsia="宋体" w:cs="Times New Roman"/>
                <w:b/>
                <w:bCs/>
                <w:color w:val="000000"/>
                <w:kern w:val="0"/>
                <w:sz w:val="20"/>
                <w:szCs w:val="20"/>
              </w:rPr>
            </w:pPr>
            <w:r>
              <w:rPr>
                <w:rFonts w:hint="eastAsia" w:ascii="宋体" w:hAnsi="宋体" w:eastAsia="宋体" w:cs="宋体"/>
                <w:i w:val="0"/>
                <w:iCs w:val="0"/>
                <w:color w:val="000000"/>
                <w:kern w:val="0"/>
                <w:sz w:val="24"/>
                <w:szCs w:val="24"/>
                <w:u w:val="none"/>
                <w:lang w:val="en-US" w:eastAsia="zh-CN" w:bidi="ar"/>
              </w:rPr>
              <w:t>6</w:t>
            </w:r>
          </w:p>
        </w:tc>
        <w:tc>
          <w:tcPr>
            <w:tcW w:w="800" w:type="dxa"/>
            <w:tcBorders>
              <w:top w:val="single" w:color="auto" w:sz="4" w:space="0"/>
              <w:left w:val="nil"/>
              <w:bottom w:val="single" w:color="auto" w:sz="4" w:space="0"/>
              <w:right w:val="single" w:color="auto" w:sz="4" w:space="0"/>
            </w:tcBorders>
            <w:shd w:val="clear" w:color="000000" w:fill="FFFFFF"/>
            <w:vAlign w:val="center"/>
          </w:tcPr>
          <w:p w14:paraId="3E60EA9D">
            <w:pPr>
              <w:widowControl/>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需注明生产厂家</w:t>
            </w:r>
          </w:p>
        </w:tc>
      </w:tr>
      <w:tr w14:paraId="1DC526F5">
        <w:tblPrEx>
          <w:tblCellMar>
            <w:top w:w="0" w:type="dxa"/>
            <w:left w:w="108" w:type="dxa"/>
            <w:bottom w:w="0" w:type="dxa"/>
            <w:right w:w="108" w:type="dxa"/>
          </w:tblCellMar>
        </w:tblPrEx>
        <w:trPr>
          <w:trHeight w:val="800" w:hRule="atLeast"/>
        </w:trPr>
        <w:tc>
          <w:tcPr>
            <w:tcW w:w="867" w:type="dxa"/>
            <w:tcBorders>
              <w:top w:val="single" w:color="auto" w:sz="4" w:space="0"/>
              <w:left w:val="single" w:color="auto" w:sz="4" w:space="0"/>
              <w:bottom w:val="single" w:color="auto" w:sz="4" w:space="0"/>
              <w:right w:val="single" w:color="auto" w:sz="4" w:space="0"/>
            </w:tcBorders>
            <w:shd w:val="clear" w:color="000000" w:fill="FFFFFF"/>
            <w:vAlign w:val="center"/>
          </w:tcPr>
          <w:p w14:paraId="2A044A00">
            <w:pPr>
              <w:keepNext w:val="0"/>
              <w:keepLines w:val="0"/>
              <w:widowControl/>
              <w:numPr>
                <w:ilvl w:val="0"/>
                <w:numId w:val="1"/>
              </w:numPr>
              <w:suppressLineNumbers w:val="0"/>
              <w:ind w:left="425" w:leftChars="0" w:hanging="425" w:firstLineChars="0"/>
              <w:jc w:val="center"/>
              <w:textAlignment w:val="center"/>
              <w:rPr>
                <w:rFonts w:hint="default" w:ascii="宋体" w:hAnsi="宋体" w:eastAsia="宋体" w:cs="宋体"/>
                <w:i w:val="0"/>
                <w:iCs w:val="0"/>
                <w:color w:val="000000"/>
                <w:kern w:val="0"/>
                <w:sz w:val="24"/>
                <w:szCs w:val="24"/>
                <w:u w:val="none"/>
                <w:lang w:val="en-US" w:eastAsia="zh-CN" w:bidi="ar"/>
              </w:rPr>
            </w:pPr>
          </w:p>
        </w:tc>
        <w:tc>
          <w:tcPr>
            <w:tcW w:w="2616" w:type="dxa"/>
            <w:tcBorders>
              <w:top w:val="single" w:color="auto" w:sz="4" w:space="0"/>
              <w:left w:val="nil"/>
              <w:bottom w:val="single" w:color="auto" w:sz="4" w:space="0"/>
              <w:right w:val="single" w:color="auto" w:sz="4" w:space="0"/>
            </w:tcBorders>
            <w:shd w:val="clear" w:color="000000" w:fill="FFFFFF"/>
            <w:vAlign w:val="center"/>
          </w:tcPr>
          <w:p w14:paraId="485879A8">
            <w:pPr>
              <w:keepNext w:val="0"/>
              <w:keepLines w:val="0"/>
              <w:widowControl/>
              <w:suppressLineNumbers w:val="0"/>
              <w:jc w:val="center"/>
              <w:textAlignment w:val="center"/>
              <w:rPr>
                <w:rFonts w:hint="eastAsia" w:ascii="宋体" w:hAnsi="宋体" w:eastAsia="宋体" w:cs="Times New Roman"/>
                <w:b/>
                <w:bCs/>
                <w:color w:val="000000"/>
                <w:kern w:val="0"/>
                <w:sz w:val="20"/>
                <w:szCs w:val="20"/>
              </w:rPr>
            </w:pPr>
            <w:r>
              <w:rPr>
                <w:rFonts w:hint="eastAsia" w:ascii="宋体" w:hAnsi="宋体" w:eastAsia="宋体" w:cs="宋体"/>
                <w:i w:val="0"/>
                <w:iCs w:val="0"/>
                <w:color w:val="000000"/>
                <w:kern w:val="0"/>
                <w:sz w:val="24"/>
                <w:szCs w:val="24"/>
                <w:u w:val="none"/>
                <w:lang w:val="en-US" w:eastAsia="zh-CN" w:bidi="ar"/>
              </w:rPr>
              <w:t>双料乳糖蛋白胨</w:t>
            </w:r>
          </w:p>
        </w:tc>
        <w:tc>
          <w:tcPr>
            <w:tcW w:w="3426" w:type="dxa"/>
            <w:tcBorders>
              <w:top w:val="single" w:color="auto" w:sz="4" w:space="0"/>
              <w:left w:val="nil"/>
              <w:bottom w:val="single" w:color="auto" w:sz="4" w:space="0"/>
              <w:right w:val="single" w:color="auto" w:sz="4" w:space="0"/>
            </w:tcBorders>
            <w:shd w:val="clear" w:color="000000" w:fill="FFFFFF"/>
            <w:vAlign w:val="center"/>
          </w:tcPr>
          <w:p w14:paraId="7EB5CD4F">
            <w:pPr>
              <w:keepNext w:val="0"/>
              <w:keepLines w:val="0"/>
              <w:widowControl/>
              <w:suppressLineNumbers w:val="0"/>
              <w:jc w:val="center"/>
              <w:textAlignment w:val="center"/>
              <w:rPr>
                <w:rFonts w:hint="eastAsia" w:ascii="宋体" w:hAnsi="宋体" w:eastAsia="宋体" w:cs="Times New Roman"/>
                <w:b/>
                <w:bCs/>
                <w:color w:val="000000"/>
                <w:kern w:val="0"/>
                <w:sz w:val="20"/>
                <w:szCs w:val="20"/>
              </w:rPr>
            </w:pPr>
            <w:r>
              <w:rPr>
                <w:rFonts w:hint="eastAsia" w:ascii="宋体" w:hAnsi="宋体" w:eastAsia="宋体" w:cs="宋体"/>
                <w:i w:val="0"/>
                <w:iCs w:val="0"/>
                <w:color w:val="000000"/>
                <w:kern w:val="0"/>
                <w:sz w:val="24"/>
                <w:szCs w:val="24"/>
                <w:u w:val="none"/>
                <w:lang w:val="en-US" w:eastAsia="zh-CN" w:bidi="ar"/>
              </w:rPr>
              <w:t>-</w:t>
            </w:r>
          </w:p>
        </w:tc>
        <w:tc>
          <w:tcPr>
            <w:tcW w:w="878" w:type="dxa"/>
            <w:tcBorders>
              <w:top w:val="single" w:color="auto" w:sz="4" w:space="0"/>
              <w:left w:val="nil"/>
              <w:bottom w:val="single" w:color="auto" w:sz="4" w:space="0"/>
              <w:right w:val="single" w:color="auto" w:sz="4" w:space="0"/>
            </w:tcBorders>
            <w:shd w:val="clear" w:color="000000" w:fill="FFFFFF"/>
            <w:vAlign w:val="center"/>
          </w:tcPr>
          <w:p w14:paraId="01692DE1">
            <w:pPr>
              <w:keepNext w:val="0"/>
              <w:keepLines w:val="0"/>
              <w:widowControl/>
              <w:suppressLineNumbers w:val="0"/>
              <w:jc w:val="center"/>
              <w:textAlignment w:val="center"/>
              <w:rPr>
                <w:rFonts w:hint="eastAsia" w:ascii="宋体" w:hAnsi="宋体" w:eastAsia="宋体" w:cs="Times New Roman"/>
                <w:b/>
                <w:bCs/>
                <w:color w:val="000000"/>
                <w:kern w:val="0"/>
                <w:sz w:val="20"/>
                <w:szCs w:val="20"/>
              </w:rPr>
            </w:pPr>
            <w:r>
              <w:rPr>
                <w:rFonts w:hint="eastAsia" w:ascii="宋体" w:hAnsi="宋体" w:eastAsia="宋体" w:cs="宋体"/>
                <w:i w:val="0"/>
                <w:iCs w:val="0"/>
                <w:color w:val="000000"/>
                <w:kern w:val="0"/>
                <w:sz w:val="24"/>
                <w:szCs w:val="24"/>
                <w:u w:val="none"/>
                <w:lang w:val="en-US" w:eastAsia="zh-CN" w:bidi="ar"/>
              </w:rPr>
              <w:t>20支/盒</w:t>
            </w:r>
          </w:p>
        </w:tc>
        <w:tc>
          <w:tcPr>
            <w:tcW w:w="764" w:type="dxa"/>
            <w:tcBorders>
              <w:top w:val="single" w:color="auto" w:sz="4" w:space="0"/>
              <w:left w:val="nil"/>
              <w:bottom w:val="single" w:color="auto" w:sz="4" w:space="0"/>
              <w:right w:val="single" w:color="auto" w:sz="4" w:space="0"/>
            </w:tcBorders>
            <w:shd w:val="clear" w:color="000000" w:fill="FFFFFF"/>
            <w:vAlign w:val="center"/>
          </w:tcPr>
          <w:p w14:paraId="25F6CF30">
            <w:pPr>
              <w:keepNext w:val="0"/>
              <w:keepLines w:val="0"/>
              <w:widowControl/>
              <w:suppressLineNumbers w:val="0"/>
              <w:jc w:val="center"/>
              <w:textAlignment w:val="center"/>
              <w:rPr>
                <w:rFonts w:hint="eastAsia" w:ascii="宋体" w:hAnsi="宋体" w:eastAsia="宋体" w:cs="Times New Roman"/>
                <w:b/>
                <w:bCs/>
                <w:color w:val="000000"/>
                <w:kern w:val="0"/>
                <w:sz w:val="20"/>
                <w:szCs w:val="20"/>
              </w:rPr>
            </w:pPr>
            <w:r>
              <w:rPr>
                <w:rFonts w:hint="eastAsia" w:ascii="宋体" w:hAnsi="宋体" w:eastAsia="宋体" w:cs="宋体"/>
                <w:i w:val="0"/>
                <w:iCs w:val="0"/>
                <w:color w:val="000000"/>
                <w:kern w:val="0"/>
                <w:sz w:val="24"/>
                <w:szCs w:val="24"/>
                <w:u w:val="none"/>
                <w:lang w:val="en-US" w:eastAsia="zh-CN" w:bidi="ar"/>
              </w:rPr>
              <w:t>15</w:t>
            </w:r>
          </w:p>
        </w:tc>
        <w:tc>
          <w:tcPr>
            <w:tcW w:w="800" w:type="dxa"/>
            <w:tcBorders>
              <w:top w:val="single" w:color="auto" w:sz="4" w:space="0"/>
              <w:left w:val="nil"/>
              <w:bottom w:val="single" w:color="auto" w:sz="4" w:space="0"/>
              <w:right w:val="single" w:color="auto" w:sz="4" w:space="0"/>
            </w:tcBorders>
            <w:shd w:val="clear" w:color="000000" w:fill="FFFFFF"/>
            <w:vAlign w:val="center"/>
          </w:tcPr>
          <w:p w14:paraId="3922A78A">
            <w:pPr>
              <w:widowControl/>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需注明生产厂家</w:t>
            </w:r>
          </w:p>
        </w:tc>
      </w:tr>
      <w:tr w14:paraId="76A0F35A">
        <w:tblPrEx>
          <w:tblCellMar>
            <w:top w:w="0" w:type="dxa"/>
            <w:left w:w="108" w:type="dxa"/>
            <w:bottom w:w="0" w:type="dxa"/>
            <w:right w:w="108" w:type="dxa"/>
          </w:tblCellMar>
        </w:tblPrEx>
        <w:trPr>
          <w:trHeight w:val="800" w:hRule="atLeast"/>
        </w:trPr>
        <w:tc>
          <w:tcPr>
            <w:tcW w:w="867" w:type="dxa"/>
            <w:tcBorders>
              <w:top w:val="single" w:color="auto" w:sz="4" w:space="0"/>
              <w:left w:val="single" w:color="auto" w:sz="4" w:space="0"/>
              <w:bottom w:val="single" w:color="auto" w:sz="4" w:space="0"/>
              <w:right w:val="single" w:color="auto" w:sz="4" w:space="0"/>
            </w:tcBorders>
            <w:shd w:val="clear" w:color="000000" w:fill="FFFFFF"/>
            <w:vAlign w:val="center"/>
          </w:tcPr>
          <w:p w14:paraId="4D9C9326">
            <w:pPr>
              <w:keepNext w:val="0"/>
              <w:keepLines w:val="0"/>
              <w:widowControl/>
              <w:numPr>
                <w:ilvl w:val="0"/>
                <w:numId w:val="1"/>
              </w:numPr>
              <w:suppressLineNumbers w:val="0"/>
              <w:ind w:left="425" w:leftChars="0" w:hanging="425" w:firstLineChars="0"/>
              <w:jc w:val="center"/>
              <w:textAlignment w:val="center"/>
              <w:rPr>
                <w:rFonts w:hint="default" w:ascii="宋体" w:hAnsi="宋体" w:eastAsia="宋体" w:cs="宋体"/>
                <w:i w:val="0"/>
                <w:iCs w:val="0"/>
                <w:color w:val="000000"/>
                <w:kern w:val="0"/>
                <w:sz w:val="24"/>
                <w:szCs w:val="24"/>
                <w:u w:val="none"/>
                <w:lang w:val="en-US" w:eastAsia="zh-CN" w:bidi="ar"/>
              </w:rPr>
            </w:pPr>
          </w:p>
        </w:tc>
        <w:tc>
          <w:tcPr>
            <w:tcW w:w="2616" w:type="dxa"/>
            <w:tcBorders>
              <w:top w:val="single" w:color="auto" w:sz="4" w:space="0"/>
              <w:left w:val="nil"/>
              <w:bottom w:val="single" w:color="auto" w:sz="4" w:space="0"/>
              <w:right w:val="single" w:color="auto" w:sz="4" w:space="0"/>
            </w:tcBorders>
            <w:shd w:val="clear" w:color="000000" w:fill="FFFFFF"/>
            <w:vAlign w:val="center"/>
          </w:tcPr>
          <w:p w14:paraId="312F0009">
            <w:pPr>
              <w:keepNext w:val="0"/>
              <w:keepLines w:val="0"/>
              <w:widowControl/>
              <w:suppressLineNumbers w:val="0"/>
              <w:jc w:val="center"/>
              <w:textAlignment w:val="center"/>
              <w:rPr>
                <w:rFonts w:hint="eastAsia" w:ascii="宋体" w:hAnsi="宋体" w:eastAsia="宋体" w:cs="Times New Roman"/>
                <w:b/>
                <w:bCs/>
                <w:color w:val="000000"/>
                <w:kern w:val="0"/>
                <w:sz w:val="20"/>
                <w:szCs w:val="20"/>
              </w:rPr>
            </w:pPr>
            <w:r>
              <w:rPr>
                <w:rFonts w:hint="eastAsia" w:ascii="宋体" w:hAnsi="宋体" w:eastAsia="宋体" w:cs="宋体"/>
                <w:i w:val="0"/>
                <w:iCs w:val="0"/>
                <w:color w:val="000000"/>
                <w:kern w:val="0"/>
                <w:sz w:val="24"/>
                <w:szCs w:val="24"/>
                <w:u w:val="none"/>
                <w:lang w:val="en-US" w:eastAsia="zh-CN" w:bidi="ar"/>
              </w:rPr>
              <w:t>血平板</w:t>
            </w:r>
          </w:p>
        </w:tc>
        <w:tc>
          <w:tcPr>
            <w:tcW w:w="3426" w:type="dxa"/>
            <w:tcBorders>
              <w:top w:val="single" w:color="auto" w:sz="4" w:space="0"/>
              <w:left w:val="nil"/>
              <w:bottom w:val="single" w:color="auto" w:sz="4" w:space="0"/>
              <w:right w:val="single" w:color="auto" w:sz="4" w:space="0"/>
            </w:tcBorders>
            <w:shd w:val="clear" w:color="000000" w:fill="FFFFFF"/>
            <w:vAlign w:val="center"/>
          </w:tcPr>
          <w:p w14:paraId="076BC5FD">
            <w:pPr>
              <w:keepNext w:val="0"/>
              <w:keepLines w:val="0"/>
              <w:widowControl/>
              <w:suppressLineNumbers w:val="0"/>
              <w:jc w:val="center"/>
              <w:textAlignment w:val="center"/>
              <w:rPr>
                <w:rFonts w:hint="eastAsia" w:ascii="宋体" w:hAnsi="宋体" w:eastAsia="宋体" w:cs="Times New Roman"/>
                <w:b/>
                <w:bCs/>
                <w:color w:val="000000"/>
                <w:kern w:val="0"/>
                <w:sz w:val="20"/>
                <w:szCs w:val="20"/>
              </w:rPr>
            </w:pPr>
            <w:r>
              <w:rPr>
                <w:rFonts w:hint="eastAsia" w:ascii="宋体" w:hAnsi="宋体" w:eastAsia="宋体" w:cs="宋体"/>
                <w:i w:val="0"/>
                <w:iCs w:val="0"/>
                <w:color w:val="000000"/>
                <w:kern w:val="0"/>
                <w:sz w:val="24"/>
                <w:szCs w:val="24"/>
                <w:u w:val="none"/>
                <w:lang w:val="en-US" w:eastAsia="zh-CN" w:bidi="ar"/>
              </w:rPr>
              <w:t>-</w:t>
            </w:r>
          </w:p>
        </w:tc>
        <w:tc>
          <w:tcPr>
            <w:tcW w:w="878" w:type="dxa"/>
            <w:tcBorders>
              <w:top w:val="single" w:color="auto" w:sz="4" w:space="0"/>
              <w:left w:val="nil"/>
              <w:bottom w:val="single" w:color="auto" w:sz="4" w:space="0"/>
              <w:right w:val="single" w:color="auto" w:sz="4" w:space="0"/>
            </w:tcBorders>
            <w:shd w:val="clear" w:color="000000" w:fill="FFFFFF"/>
            <w:vAlign w:val="center"/>
          </w:tcPr>
          <w:p w14:paraId="60BBDABE">
            <w:pPr>
              <w:keepNext w:val="0"/>
              <w:keepLines w:val="0"/>
              <w:widowControl/>
              <w:suppressLineNumbers w:val="0"/>
              <w:jc w:val="center"/>
              <w:textAlignment w:val="center"/>
              <w:rPr>
                <w:rFonts w:hint="eastAsia" w:ascii="宋体" w:hAnsi="宋体" w:eastAsia="宋体" w:cs="Times New Roman"/>
                <w:b/>
                <w:bCs/>
                <w:color w:val="000000"/>
                <w:kern w:val="0"/>
                <w:sz w:val="20"/>
                <w:szCs w:val="20"/>
              </w:rPr>
            </w:pPr>
            <w:r>
              <w:rPr>
                <w:rFonts w:hint="eastAsia" w:ascii="宋体" w:hAnsi="宋体" w:eastAsia="宋体" w:cs="宋体"/>
                <w:i w:val="0"/>
                <w:iCs w:val="0"/>
                <w:color w:val="000000"/>
                <w:kern w:val="0"/>
                <w:sz w:val="24"/>
                <w:szCs w:val="24"/>
                <w:u w:val="none"/>
                <w:lang w:val="en-US" w:eastAsia="zh-CN" w:bidi="ar"/>
              </w:rPr>
              <w:t>20个/盒</w:t>
            </w:r>
          </w:p>
        </w:tc>
        <w:tc>
          <w:tcPr>
            <w:tcW w:w="764" w:type="dxa"/>
            <w:tcBorders>
              <w:top w:val="single" w:color="auto" w:sz="4" w:space="0"/>
              <w:left w:val="nil"/>
              <w:bottom w:val="single" w:color="auto" w:sz="4" w:space="0"/>
              <w:right w:val="single" w:color="auto" w:sz="4" w:space="0"/>
            </w:tcBorders>
            <w:shd w:val="clear" w:color="000000" w:fill="FFFFFF"/>
            <w:vAlign w:val="center"/>
          </w:tcPr>
          <w:p w14:paraId="54466CAA">
            <w:pPr>
              <w:keepNext w:val="0"/>
              <w:keepLines w:val="0"/>
              <w:widowControl/>
              <w:suppressLineNumbers w:val="0"/>
              <w:jc w:val="center"/>
              <w:textAlignment w:val="center"/>
              <w:rPr>
                <w:rFonts w:hint="eastAsia" w:ascii="宋体" w:hAnsi="宋体" w:eastAsia="宋体" w:cs="Times New Roman"/>
                <w:b/>
                <w:bCs/>
                <w:color w:val="000000"/>
                <w:kern w:val="0"/>
                <w:sz w:val="20"/>
                <w:szCs w:val="20"/>
              </w:rPr>
            </w:pPr>
            <w:r>
              <w:rPr>
                <w:rFonts w:hint="eastAsia" w:ascii="宋体" w:hAnsi="宋体" w:eastAsia="宋体" w:cs="宋体"/>
                <w:i w:val="0"/>
                <w:iCs w:val="0"/>
                <w:color w:val="000000"/>
                <w:kern w:val="0"/>
                <w:sz w:val="24"/>
                <w:szCs w:val="24"/>
                <w:u w:val="none"/>
                <w:lang w:val="en-US" w:eastAsia="zh-CN" w:bidi="ar"/>
              </w:rPr>
              <w:t>15</w:t>
            </w:r>
          </w:p>
        </w:tc>
        <w:tc>
          <w:tcPr>
            <w:tcW w:w="800" w:type="dxa"/>
            <w:tcBorders>
              <w:top w:val="single" w:color="auto" w:sz="4" w:space="0"/>
              <w:left w:val="nil"/>
              <w:bottom w:val="single" w:color="auto" w:sz="4" w:space="0"/>
              <w:right w:val="single" w:color="auto" w:sz="4" w:space="0"/>
            </w:tcBorders>
            <w:shd w:val="clear" w:color="000000" w:fill="FFFFFF"/>
            <w:vAlign w:val="center"/>
          </w:tcPr>
          <w:p w14:paraId="7E640703">
            <w:pPr>
              <w:widowControl/>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需注明生产厂家</w:t>
            </w:r>
          </w:p>
        </w:tc>
      </w:tr>
      <w:tr w14:paraId="117A4609">
        <w:tblPrEx>
          <w:tblCellMar>
            <w:top w:w="0" w:type="dxa"/>
            <w:left w:w="108" w:type="dxa"/>
            <w:bottom w:w="0" w:type="dxa"/>
            <w:right w:w="108" w:type="dxa"/>
          </w:tblCellMar>
        </w:tblPrEx>
        <w:trPr>
          <w:trHeight w:val="800" w:hRule="atLeast"/>
        </w:trPr>
        <w:tc>
          <w:tcPr>
            <w:tcW w:w="867" w:type="dxa"/>
            <w:tcBorders>
              <w:top w:val="single" w:color="auto" w:sz="4" w:space="0"/>
              <w:left w:val="single" w:color="auto" w:sz="4" w:space="0"/>
              <w:bottom w:val="single" w:color="auto" w:sz="4" w:space="0"/>
              <w:right w:val="single" w:color="auto" w:sz="4" w:space="0"/>
            </w:tcBorders>
            <w:shd w:val="clear" w:color="000000" w:fill="FFFFFF"/>
            <w:vAlign w:val="center"/>
          </w:tcPr>
          <w:p w14:paraId="7193808C">
            <w:pPr>
              <w:keepNext w:val="0"/>
              <w:keepLines w:val="0"/>
              <w:widowControl/>
              <w:numPr>
                <w:ilvl w:val="0"/>
                <w:numId w:val="1"/>
              </w:numPr>
              <w:suppressLineNumbers w:val="0"/>
              <w:ind w:left="425" w:leftChars="0" w:hanging="425" w:firstLineChars="0"/>
              <w:jc w:val="center"/>
              <w:textAlignment w:val="center"/>
              <w:rPr>
                <w:rFonts w:hint="default" w:ascii="宋体" w:hAnsi="宋体" w:eastAsia="宋体" w:cs="宋体"/>
                <w:i w:val="0"/>
                <w:iCs w:val="0"/>
                <w:color w:val="000000"/>
                <w:kern w:val="0"/>
                <w:sz w:val="24"/>
                <w:szCs w:val="24"/>
                <w:u w:val="none"/>
                <w:lang w:val="en-US" w:eastAsia="zh-CN" w:bidi="ar"/>
              </w:rPr>
            </w:pPr>
          </w:p>
        </w:tc>
        <w:tc>
          <w:tcPr>
            <w:tcW w:w="2616" w:type="dxa"/>
            <w:tcBorders>
              <w:top w:val="single" w:color="auto" w:sz="4" w:space="0"/>
              <w:left w:val="nil"/>
              <w:bottom w:val="single" w:color="auto" w:sz="4" w:space="0"/>
              <w:right w:val="single" w:color="auto" w:sz="4" w:space="0"/>
            </w:tcBorders>
            <w:shd w:val="clear" w:color="000000" w:fill="FFFFFF"/>
            <w:vAlign w:val="center"/>
          </w:tcPr>
          <w:p w14:paraId="7307D0BB">
            <w:pPr>
              <w:keepNext w:val="0"/>
              <w:keepLines w:val="0"/>
              <w:widowControl/>
              <w:suppressLineNumbers w:val="0"/>
              <w:jc w:val="center"/>
              <w:textAlignment w:val="center"/>
              <w:rPr>
                <w:rFonts w:hint="eastAsia" w:ascii="宋体" w:hAnsi="宋体" w:eastAsia="宋体" w:cs="Times New Roman"/>
                <w:b/>
                <w:bCs/>
                <w:color w:val="000000"/>
                <w:kern w:val="0"/>
                <w:sz w:val="20"/>
                <w:szCs w:val="20"/>
              </w:rPr>
            </w:pPr>
            <w:r>
              <w:rPr>
                <w:rFonts w:hint="eastAsia" w:ascii="宋体" w:hAnsi="宋体" w:eastAsia="宋体" w:cs="宋体"/>
                <w:i w:val="0"/>
                <w:iCs w:val="0"/>
                <w:color w:val="000000"/>
                <w:kern w:val="0"/>
                <w:sz w:val="24"/>
                <w:szCs w:val="24"/>
                <w:u w:val="none"/>
                <w:lang w:val="en-US" w:eastAsia="zh-CN" w:bidi="ar"/>
              </w:rPr>
              <w:t>巧克力平板</w:t>
            </w:r>
          </w:p>
        </w:tc>
        <w:tc>
          <w:tcPr>
            <w:tcW w:w="3426" w:type="dxa"/>
            <w:tcBorders>
              <w:top w:val="single" w:color="auto" w:sz="4" w:space="0"/>
              <w:left w:val="nil"/>
              <w:bottom w:val="single" w:color="auto" w:sz="4" w:space="0"/>
              <w:right w:val="single" w:color="auto" w:sz="4" w:space="0"/>
            </w:tcBorders>
            <w:shd w:val="clear" w:color="000000" w:fill="FFFFFF"/>
            <w:vAlign w:val="center"/>
          </w:tcPr>
          <w:p w14:paraId="29AF7345">
            <w:pPr>
              <w:keepNext w:val="0"/>
              <w:keepLines w:val="0"/>
              <w:widowControl/>
              <w:suppressLineNumbers w:val="0"/>
              <w:jc w:val="center"/>
              <w:textAlignment w:val="center"/>
              <w:rPr>
                <w:rFonts w:hint="eastAsia" w:ascii="宋体" w:hAnsi="宋体" w:eastAsia="宋体" w:cs="Times New Roman"/>
                <w:b/>
                <w:bCs/>
                <w:color w:val="000000"/>
                <w:kern w:val="0"/>
                <w:sz w:val="20"/>
                <w:szCs w:val="20"/>
              </w:rPr>
            </w:pPr>
            <w:r>
              <w:rPr>
                <w:rFonts w:hint="eastAsia" w:ascii="宋体" w:hAnsi="宋体" w:eastAsia="宋体" w:cs="宋体"/>
                <w:i w:val="0"/>
                <w:iCs w:val="0"/>
                <w:color w:val="000000"/>
                <w:kern w:val="0"/>
                <w:sz w:val="24"/>
                <w:szCs w:val="24"/>
                <w:u w:val="none"/>
                <w:lang w:val="en-US" w:eastAsia="zh-CN" w:bidi="ar"/>
              </w:rPr>
              <w:t>-</w:t>
            </w:r>
          </w:p>
        </w:tc>
        <w:tc>
          <w:tcPr>
            <w:tcW w:w="878" w:type="dxa"/>
            <w:tcBorders>
              <w:top w:val="single" w:color="auto" w:sz="4" w:space="0"/>
              <w:left w:val="nil"/>
              <w:bottom w:val="single" w:color="auto" w:sz="4" w:space="0"/>
              <w:right w:val="single" w:color="auto" w:sz="4" w:space="0"/>
            </w:tcBorders>
            <w:shd w:val="clear" w:color="000000" w:fill="FFFFFF"/>
            <w:vAlign w:val="center"/>
          </w:tcPr>
          <w:p w14:paraId="2602E0BF">
            <w:pPr>
              <w:keepNext w:val="0"/>
              <w:keepLines w:val="0"/>
              <w:widowControl/>
              <w:suppressLineNumbers w:val="0"/>
              <w:jc w:val="center"/>
              <w:textAlignment w:val="center"/>
              <w:rPr>
                <w:rFonts w:hint="eastAsia" w:ascii="宋体" w:hAnsi="宋体" w:eastAsia="宋体" w:cs="Times New Roman"/>
                <w:b/>
                <w:bCs/>
                <w:color w:val="000000"/>
                <w:kern w:val="0"/>
                <w:sz w:val="20"/>
                <w:szCs w:val="20"/>
              </w:rPr>
            </w:pPr>
            <w:r>
              <w:rPr>
                <w:rFonts w:hint="eastAsia" w:ascii="宋体" w:hAnsi="宋体" w:eastAsia="宋体" w:cs="宋体"/>
                <w:i w:val="0"/>
                <w:iCs w:val="0"/>
                <w:color w:val="000000"/>
                <w:kern w:val="0"/>
                <w:sz w:val="24"/>
                <w:szCs w:val="24"/>
                <w:u w:val="none"/>
                <w:lang w:val="en-US" w:eastAsia="zh-CN" w:bidi="ar"/>
              </w:rPr>
              <w:t>20个/盒</w:t>
            </w:r>
          </w:p>
        </w:tc>
        <w:tc>
          <w:tcPr>
            <w:tcW w:w="764" w:type="dxa"/>
            <w:tcBorders>
              <w:top w:val="single" w:color="auto" w:sz="4" w:space="0"/>
              <w:left w:val="nil"/>
              <w:bottom w:val="single" w:color="auto" w:sz="4" w:space="0"/>
              <w:right w:val="single" w:color="auto" w:sz="4" w:space="0"/>
            </w:tcBorders>
            <w:shd w:val="clear" w:color="000000" w:fill="FFFFFF"/>
            <w:vAlign w:val="center"/>
          </w:tcPr>
          <w:p w14:paraId="02DB1265">
            <w:pPr>
              <w:keepNext w:val="0"/>
              <w:keepLines w:val="0"/>
              <w:widowControl/>
              <w:suppressLineNumbers w:val="0"/>
              <w:jc w:val="center"/>
              <w:textAlignment w:val="center"/>
              <w:rPr>
                <w:rFonts w:hint="eastAsia" w:ascii="宋体" w:hAnsi="宋体" w:eastAsia="宋体" w:cs="Times New Roman"/>
                <w:b/>
                <w:bCs/>
                <w:color w:val="000000"/>
                <w:kern w:val="0"/>
                <w:sz w:val="20"/>
                <w:szCs w:val="20"/>
              </w:rPr>
            </w:pPr>
            <w:r>
              <w:rPr>
                <w:rFonts w:hint="eastAsia" w:ascii="宋体" w:hAnsi="宋体" w:eastAsia="宋体" w:cs="宋体"/>
                <w:i w:val="0"/>
                <w:iCs w:val="0"/>
                <w:color w:val="000000"/>
                <w:kern w:val="0"/>
                <w:sz w:val="24"/>
                <w:szCs w:val="24"/>
                <w:u w:val="none"/>
                <w:lang w:val="en-US" w:eastAsia="zh-CN" w:bidi="ar"/>
              </w:rPr>
              <w:t>3</w:t>
            </w:r>
          </w:p>
        </w:tc>
        <w:tc>
          <w:tcPr>
            <w:tcW w:w="800" w:type="dxa"/>
            <w:tcBorders>
              <w:top w:val="single" w:color="auto" w:sz="4" w:space="0"/>
              <w:left w:val="nil"/>
              <w:bottom w:val="single" w:color="auto" w:sz="4" w:space="0"/>
              <w:right w:val="single" w:color="auto" w:sz="4" w:space="0"/>
            </w:tcBorders>
            <w:shd w:val="clear" w:color="000000" w:fill="FFFFFF"/>
            <w:vAlign w:val="center"/>
          </w:tcPr>
          <w:p w14:paraId="78AE1DC8">
            <w:pPr>
              <w:widowControl/>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需注明生产厂家</w:t>
            </w:r>
          </w:p>
        </w:tc>
      </w:tr>
      <w:tr w14:paraId="3886F1A6">
        <w:tblPrEx>
          <w:tblCellMar>
            <w:top w:w="0" w:type="dxa"/>
            <w:left w:w="108" w:type="dxa"/>
            <w:bottom w:w="0" w:type="dxa"/>
            <w:right w:w="108" w:type="dxa"/>
          </w:tblCellMar>
        </w:tblPrEx>
        <w:trPr>
          <w:trHeight w:val="800" w:hRule="atLeast"/>
        </w:trPr>
        <w:tc>
          <w:tcPr>
            <w:tcW w:w="867" w:type="dxa"/>
            <w:tcBorders>
              <w:top w:val="single" w:color="auto" w:sz="4" w:space="0"/>
              <w:left w:val="single" w:color="auto" w:sz="4" w:space="0"/>
              <w:bottom w:val="single" w:color="auto" w:sz="4" w:space="0"/>
              <w:right w:val="single" w:color="auto" w:sz="4" w:space="0"/>
            </w:tcBorders>
            <w:shd w:val="clear" w:color="000000" w:fill="FFFFFF"/>
            <w:vAlign w:val="center"/>
          </w:tcPr>
          <w:p w14:paraId="597209F9">
            <w:pPr>
              <w:keepNext w:val="0"/>
              <w:keepLines w:val="0"/>
              <w:widowControl/>
              <w:numPr>
                <w:ilvl w:val="0"/>
                <w:numId w:val="1"/>
              </w:numPr>
              <w:suppressLineNumbers w:val="0"/>
              <w:ind w:left="425" w:leftChars="0" w:hanging="425" w:firstLineChars="0"/>
              <w:jc w:val="center"/>
              <w:textAlignment w:val="center"/>
              <w:rPr>
                <w:rFonts w:hint="default" w:ascii="宋体" w:hAnsi="宋体" w:eastAsia="宋体" w:cs="宋体"/>
                <w:i w:val="0"/>
                <w:iCs w:val="0"/>
                <w:color w:val="000000"/>
                <w:kern w:val="0"/>
                <w:sz w:val="24"/>
                <w:szCs w:val="24"/>
                <w:u w:val="none"/>
                <w:lang w:val="en-US" w:eastAsia="zh-CN" w:bidi="ar"/>
              </w:rPr>
            </w:pPr>
          </w:p>
        </w:tc>
        <w:tc>
          <w:tcPr>
            <w:tcW w:w="2616" w:type="dxa"/>
            <w:tcBorders>
              <w:top w:val="single" w:color="auto" w:sz="4" w:space="0"/>
              <w:left w:val="nil"/>
              <w:bottom w:val="single" w:color="auto" w:sz="4" w:space="0"/>
              <w:right w:val="single" w:color="auto" w:sz="4" w:space="0"/>
            </w:tcBorders>
            <w:shd w:val="clear" w:color="000000" w:fill="FFFFFF"/>
            <w:vAlign w:val="center"/>
          </w:tcPr>
          <w:p w14:paraId="55A4935E">
            <w:pPr>
              <w:keepNext w:val="0"/>
              <w:keepLines w:val="0"/>
              <w:widowControl/>
              <w:suppressLineNumbers w:val="0"/>
              <w:jc w:val="center"/>
              <w:textAlignment w:val="center"/>
              <w:rPr>
                <w:rFonts w:hint="eastAsia" w:ascii="宋体" w:hAnsi="宋体" w:eastAsia="宋体" w:cs="Times New Roman"/>
                <w:b/>
                <w:bCs/>
                <w:color w:val="000000"/>
                <w:kern w:val="0"/>
                <w:sz w:val="20"/>
                <w:szCs w:val="20"/>
              </w:rPr>
            </w:pPr>
            <w:r>
              <w:rPr>
                <w:rFonts w:hint="eastAsia" w:ascii="宋体" w:hAnsi="宋体" w:eastAsia="宋体" w:cs="宋体"/>
                <w:i w:val="0"/>
                <w:iCs w:val="0"/>
                <w:color w:val="000000"/>
                <w:kern w:val="0"/>
                <w:sz w:val="24"/>
                <w:szCs w:val="24"/>
                <w:u w:val="none"/>
                <w:lang w:val="en-US" w:eastAsia="zh-CN" w:bidi="ar"/>
              </w:rPr>
              <w:t>脱纤维羊血</w:t>
            </w:r>
          </w:p>
        </w:tc>
        <w:tc>
          <w:tcPr>
            <w:tcW w:w="3426" w:type="dxa"/>
            <w:tcBorders>
              <w:top w:val="single" w:color="auto" w:sz="4" w:space="0"/>
              <w:left w:val="nil"/>
              <w:bottom w:val="single" w:color="auto" w:sz="4" w:space="0"/>
              <w:right w:val="single" w:color="auto" w:sz="4" w:space="0"/>
            </w:tcBorders>
            <w:shd w:val="clear" w:color="000000" w:fill="FFFFFF"/>
            <w:vAlign w:val="center"/>
          </w:tcPr>
          <w:p w14:paraId="72E72E9F">
            <w:pPr>
              <w:keepNext w:val="0"/>
              <w:keepLines w:val="0"/>
              <w:widowControl/>
              <w:suppressLineNumbers w:val="0"/>
              <w:jc w:val="center"/>
              <w:textAlignment w:val="center"/>
              <w:rPr>
                <w:rFonts w:hint="eastAsia" w:ascii="宋体" w:hAnsi="宋体" w:eastAsia="宋体" w:cs="Times New Roman"/>
                <w:b/>
                <w:bCs/>
                <w:color w:val="000000"/>
                <w:kern w:val="0"/>
                <w:sz w:val="20"/>
                <w:szCs w:val="20"/>
              </w:rPr>
            </w:pPr>
            <w:r>
              <w:rPr>
                <w:rFonts w:hint="eastAsia" w:ascii="宋体" w:hAnsi="宋体" w:eastAsia="宋体" w:cs="宋体"/>
                <w:i w:val="0"/>
                <w:iCs w:val="0"/>
                <w:color w:val="000000"/>
                <w:kern w:val="0"/>
                <w:sz w:val="24"/>
                <w:szCs w:val="24"/>
                <w:u w:val="none"/>
                <w:lang w:val="en-US" w:eastAsia="zh-CN" w:bidi="ar"/>
              </w:rPr>
              <w:t>-</w:t>
            </w:r>
          </w:p>
        </w:tc>
        <w:tc>
          <w:tcPr>
            <w:tcW w:w="878" w:type="dxa"/>
            <w:tcBorders>
              <w:top w:val="single" w:color="auto" w:sz="4" w:space="0"/>
              <w:left w:val="nil"/>
              <w:bottom w:val="single" w:color="auto" w:sz="4" w:space="0"/>
              <w:right w:val="single" w:color="auto" w:sz="4" w:space="0"/>
            </w:tcBorders>
            <w:shd w:val="clear" w:color="000000" w:fill="FFFFFF"/>
            <w:vAlign w:val="center"/>
          </w:tcPr>
          <w:p w14:paraId="1F822085">
            <w:pPr>
              <w:keepNext w:val="0"/>
              <w:keepLines w:val="0"/>
              <w:widowControl/>
              <w:suppressLineNumbers w:val="0"/>
              <w:jc w:val="center"/>
              <w:textAlignment w:val="center"/>
              <w:rPr>
                <w:rFonts w:hint="eastAsia" w:ascii="宋体" w:hAnsi="宋体" w:eastAsia="宋体" w:cs="Times New Roman"/>
                <w:b/>
                <w:bCs/>
                <w:color w:val="000000"/>
                <w:kern w:val="0"/>
                <w:sz w:val="20"/>
                <w:szCs w:val="20"/>
              </w:rPr>
            </w:pPr>
            <w:r>
              <w:rPr>
                <w:rFonts w:hint="eastAsia" w:ascii="宋体" w:hAnsi="宋体" w:eastAsia="宋体" w:cs="宋体"/>
                <w:i w:val="0"/>
                <w:iCs w:val="0"/>
                <w:color w:val="000000"/>
                <w:kern w:val="0"/>
                <w:sz w:val="24"/>
                <w:szCs w:val="24"/>
                <w:u w:val="none"/>
                <w:lang w:val="en-US" w:eastAsia="zh-CN" w:bidi="ar"/>
              </w:rPr>
              <w:t>100mL/瓶</w:t>
            </w:r>
          </w:p>
        </w:tc>
        <w:tc>
          <w:tcPr>
            <w:tcW w:w="764" w:type="dxa"/>
            <w:tcBorders>
              <w:top w:val="single" w:color="auto" w:sz="4" w:space="0"/>
              <w:left w:val="nil"/>
              <w:bottom w:val="single" w:color="auto" w:sz="4" w:space="0"/>
              <w:right w:val="single" w:color="auto" w:sz="4" w:space="0"/>
            </w:tcBorders>
            <w:shd w:val="clear" w:color="000000" w:fill="FFFFFF"/>
            <w:vAlign w:val="center"/>
          </w:tcPr>
          <w:p w14:paraId="1679611C">
            <w:pPr>
              <w:keepNext w:val="0"/>
              <w:keepLines w:val="0"/>
              <w:widowControl/>
              <w:suppressLineNumbers w:val="0"/>
              <w:jc w:val="center"/>
              <w:textAlignment w:val="center"/>
              <w:rPr>
                <w:rFonts w:hint="eastAsia" w:ascii="宋体" w:hAnsi="宋体" w:eastAsia="宋体" w:cs="Times New Roman"/>
                <w:b/>
                <w:bCs/>
                <w:color w:val="000000"/>
                <w:kern w:val="0"/>
                <w:sz w:val="20"/>
                <w:szCs w:val="20"/>
              </w:rPr>
            </w:pPr>
            <w:r>
              <w:rPr>
                <w:rFonts w:hint="eastAsia" w:ascii="宋体" w:hAnsi="宋体" w:eastAsia="宋体" w:cs="宋体"/>
                <w:i w:val="0"/>
                <w:iCs w:val="0"/>
                <w:color w:val="000000"/>
                <w:kern w:val="0"/>
                <w:sz w:val="24"/>
                <w:szCs w:val="24"/>
                <w:u w:val="none"/>
                <w:lang w:val="en-US" w:eastAsia="zh-CN" w:bidi="ar"/>
              </w:rPr>
              <w:t>1</w:t>
            </w:r>
          </w:p>
        </w:tc>
        <w:tc>
          <w:tcPr>
            <w:tcW w:w="800" w:type="dxa"/>
            <w:tcBorders>
              <w:top w:val="single" w:color="auto" w:sz="4" w:space="0"/>
              <w:left w:val="nil"/>
              <w:bottom w:val="single" w:color="auto" w:sz="4" w:space="0"/>
              <w:right w:val="single" w:color="auto" w:sz="4" w:space="0"/>
            </w:tcBorders>
            <w:shd w:val="clear" w:color="000000" w:fill="FFFFFF"/>
            <w:vAlign w:val="center"/>
          </w:tcPr>
          <w:p w14:paraId="66248F8B">
            <w:pPr>
              <w:widowControl/>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需注明生产厂家</w:t>
            </w:r>
          </w:p>
        </w:tc>
      </w:tr>
      <w:tr w14:paraId="52AEC374">
        <w:tblPrEx>
          <w:tblCellMar>
            <w:top w:w="0" w:type="dxa"/>
            <w:left w:w="108" w:type="dxa"/>
            <w:bottom w:w="0" w:type="dxa"/>
            <w:right w:w="108" w:type="dxa"/>
          </w:tblCellMar>
        </w:tblPrEx>
        <w:trPr>
          <w:trHeight w:val="800" w:hRule="atLeast"/>
        </w:trPr>
        <w:tc>
          <w:tcPr>
            <w:tcW w:w="867" w:type="dxa"/>
            <w:tcBorders>
              <w:top w:val="single" w:color="auto" w:sz="4" w:space="0"/>
              <w:left w:val="single" w:color="auto" w:sz="4" w:space="0"/>
              <w:bottom w:val="single" w:color="auto" w:sz="4" w:space="0"/>
              <w:right w:val="single" w:color="auto" w:sz="4" w:space="0"/>
            </w:tcBorders>
            <w:shd w:val="clear" w:color="000000" w:fill="FFFFFF"/>
            <w:vAlign w:val="center"/>
          </w:tcPr>
          <w:p w14:paraId="17718FE6">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2616" w:type="dxa"/>
            <w:tcBorders>
              <w:top w:val="single" w:color="auto" w:sz="4" w:space="0"/>
              <w:left w:val="nil"/>
              <w:bottom w:val="single" w:color="auto" w:sz="4" w:space="0"/>
              <w:right w:val="single" w:color="auto" w:sz="4" w:space="0"/>
            </w:tcBorders>
            <w:shd w:val="clear" w:color="000000" w:fill="FFFFFF"/>
            <w:vAlign w:val="center"/>
          </w:tcPr>
          <w:p w14:paraId="34965DC1">
            <w:pPr>
              <w:keepNext w:val="0"/>
              <w:keepLines w:val="0"/>
              <w:widowControl/>
              <w:suppressLineNumbers w:val="0"/>
              <w:jc w:val="center"/>
              <w:textAlignment w:val="center"/>
              <w:rPr>
                <w:rFonts w:hint="eastAsia" w:ascii="宋体" w:hAnsi="宋体" w:eastAsia="宋体" w:cs="Times New Roman"/>
                <w:b/>
                <w:bCs/>
                <w:color w:val="000000"/>
                <w:kern w:val="0"/>
                <w:sz w:val="20"/>
                <w:szCs w:val="20"/>
              </w:rPr>
            </w:pPr>
            <w:r>
              <w:rPr>
                <w:rFonts w:hint="eastAsia" w:ascii="宋体" w:hAnsi="宋体" w:eastAsia="宋体" w:cs="宋体"/>
                <w:i w:val="0"/>
                <w:iCs w:val="0"/>
                <w:color w:val="000000"/>
                <w:kern w:val="0"/>
                <w:sz w:val="24"/>
                <w:szCs w:val="24"/>
                <w:u w:val="none"/>
                <w:lang w:val="en-US" w:eastAsia="zh-CN" w:bidi="ar"/>
              </w:rPr>
              <w:t>哥伦比亚血平板</w:t>
            </w:r>
          </w:p>
        </w:tc>
        <w:tc>
          <w:tcPr>
            <w:tcW w:w="3426" w:type="dxa"/>
            <w:tcBorders>
              <w:top w:val="single" w:color="auto" w:sz="4" w:space="0"/>
              <w:left w:val="nil"/>
              <w:bottom w:val="single" w:color="auto" w:sz="4" w:space="0"/>
              <w:right w:val="single" w:color="auto" w:sz="4" w:space="0"/>
            </w:tcBorders>
            <w:shd w:val="clear" w:color="000000" w:fill="FFFFFF"/>
            <w:vAlign w:val="center"/>
          </w:tcPr>
          <w:p w14:paraId="7230AF1D">
            <w:pPr>
              <w:keepNext w:val="0"/>
              <w:keepLines w:val="0"/>
              <w:widowControl/>
              <w:suppressLineNumbers w:val="0"/>
              <w:jc w:val="center"/>
              <w:textAlignment w:val="center"/>
              <w:rPr>
                <w:rFonts w:hint="eastAsia" w:ascii="宋体" w:hAnsi="宋体" w:eastAsia="宋体" w:cs="Times New Roman"/>
                <w:b/>
                <w:bCs/>
                <w:color w:val="000000"/>
                <w:kern w:val="0"/>
                <w:sz w:val="20"/>
                <w:szCs w:val="20"/>
              </w:rPr>
            </w:pPr>
            <w:r>
              <w:rPr>
                <w:rFonts w:hint="eastAsia" w:ascii="宋体" w:hAnsi="宋体" w:eastAsia="宋体" w:cs="宋体"/>
                <w:i w:val="0"/>
                <w:iCs w:val="0"/>
                <w:color w:val="000000"/>
                <w:kern w:val="0"/>
                <w:sz w:val="24"/>
                <w:szCs w:val="24"/>
                <w:u w:val="none"/>
                <w:lang w:val="en-US" w:eastAsia="zh-CN" w:bidi="ar"/>
              </w:rPr>
              <w:t>-</w:t>
            </w:r>
          </w:p>
        </w:tc>
        <w:tc>
          <w:tcPr>
            <w:tcW w:w="878" w:type="dxa"/>
            <w:tcBorders>
              <w:top w:val="single" w:color="auto" w:sz="4" w:space="0"/>
              <w:left w:val="nil"/>
              <w:bottom w:val="single" w:color="auto" w:sz="4" w:space="0"/>
              <w:right w:val="single" w:color="auto" w:sz="4" w:space="0"/>
            </w:tcBorders>
            <w:shd w:val="clear" w:color="000000" w:fill="FFFFFF"/>
            <w:vAlign w:val="center"/>
          </w:tcPr>
          <w:p w14:paraId="0F20C1E2">
            <w:pPr>
              <w:keepNext w:val="0"/>
              <w:keepLines w:val="0"/>
              <w:widowControl/>
              <w:suppressLineNumbers w:val="0"/>
              <w:jc w:val="center"/>
              <w:textAlignment w:val="center"/>
              <w:rPr>
                <w:rFonts w:hint="eastAsia" w:ascii="宋体" w:hAnsi="宋体" w:eastAsia="宋体" w:cs="Times New Roman"/>
                <w:b/>
                <w:bCs/>
                <w:color w:val="000000"/>
                <w:kern w:val="0"/>
                <w:sz w:val="20"/>
                <w:szCs w:val="20"/>
              </w:rPr>
            </w:pPr>
            <w:r>
              <w:rPr>
                <w:rFonts w:hint="eastAsia" w:ascii="宋体" w:hAnsi="宋体" w:eastAsia="宋体" w:cs="宋体"/>
                <w:i w:val="0"/>
                <w:iCs w:val="0"/>
                <w:color w:val="000000"/>
                <w:kern w:val="0"/>
                <w:sz w:val="24"/>
                <w:szCs w:val="24"/>
                <w:u w:val="none"/>
                <w:lang w:val="en-US" w:eastAsia="zh-CN" w:bidi="ar"/>
              </w:rPr>
              <w:t>20个/盒</w:t>
            </w:r>
          </w:p>
        </w:tc>
        <w:tc>
          <w:tcPr>
            <w:tcW w:w="764" w:type="dxa"/>
            <w:tcBorders>
              <w:top w:val="single" w:color="auto" w:sz="4" w:space="0"/>
              <w:left w:val="nil"/>
              <w:bottom w:val="single" w:color="auto" w:sz="4" w:space="0"/>
              <w:right w:val="single" w:color="auto" w:sz="4" w:space="0"/>
            </w:tcBorders>
            <w:shd w:val="clear" w:color="000000" w:fill="FFFFFF"/>
            <w:vAlign w:val="center"/>
          </w:tcPr>
          <w:p w14:paraId="11922527">
            <w:pPr>
              <w:keepNext w:val="0"/>
              <w:keepLines w:val="0"/>
              <w:widowControl/>
              <w:suppressLineNumbers w:val="0"/>
              <w:jc w:val="center"/>
              <w:textAlignment w:val="center"/>
              <w:rPr>
                <w:rFonts w:hint="eastAsia" w:ascii="宋体" w:hAnsi="宋体" w:eastAsia="宋体" w:cs="Times New Roman"/>
                <w:b/>
                <w:bCs/>
                <w:color w:val="000000"/>
                <w:kern w:val="0"/>
                <w:sz w:val="20"/>
                <w:szCs w:val="20"/>
              </w:rPr>
            </w:pPr>
            <w:r>
              <w:rPr>
                <w:rFonts w:hint="eastAsia" w:ascii="宋体" w:hAnsi="宋体" w:eastAsia="宋体" w:cs="宋体"/>
                <w:i w:val="0"/>
                <w:iCs w:val="0"/>
                <w:color w:val="000000"/>
                <w:kern w:val="0"/>
                <w:sz w:val="24"/>
                <w:szCs w:val="24"/>
                <w:u w:val="none"/>
                <w:lang w:val="en-US" w:eastAsia="zh-CN" w:bidi="ar"/>
              </w:rPr>
              <w:t>6</w:t>
            </w:r>
          </w:p>
        </w:tc>
        <w:tc>
          <w:tcPr>
            <w:tcW w:w="800" w:type="dxa"/>
            <w:tcBorders>
              <w:top w:val="single" w:color="auto" w:sz="4" w:space="0"/>
              <w:left w:val="nil"/>
              <w:bottom w:val="single" w:color="auto" w:sz="4" w:space="0"/>
              <w:right w:val="single" w:color="auto" w:sz="4" w:space="0"/>
            </w:tcBorders>
            <w:shd w:val="clear" w:color="000000" w:fill="FFFFFF"/>
            <w:vAlign w:val="center"/>
          </w:tcPr>
          <w:p w14:paraId="1F549723">
            <w:pPr>
              <w:widowControl/>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需注明生产厂家</w:t>
            </w:r>
          </w:p>
        </w:tc>
      </w:tr>
      <w:tr w14:paraId="51E2C141">
        <w:tblPrEx>
          <w:tblCellMar>
            <w:top w:w="0" w:type="dxa"/>
            <w:left w:w="108" w:type="dxa"/>
            <w:bottom w:w="0" w:type="dxa"/>
            <w:right w:w="108" w:type="dxa"/>
          </w:tblCellMar>
        </w:tblPrEx>
        <w:trPr>
          <w:trHeight w:val="800" w:hRule="atLeast"/>
        </w:trPr>
        <w:tc>
          <w:tcPr>
            <w:tcW w:w="867" w:type="dxa"/>
            <w:tcBorders>
              <w:top w:val="single" w:color="auto" w:sz="4" w:space="0"/>
              <w:left w:val="single" w:color="auto" w:sz="4" w:space="0"/>
              <w:bottom w:val="single" w:color="auto" w:sz="4" w:space="0"/>
              <w:right w:val="single" w:color="auto" w:sz="4" w:space="0"/>
            </w:tcBorders>
            <w:shd w:val="clear" w:color="000000" w:fill="FFFFFF"/>
            <w:vAlign w:val="center"/>
          </w:tcPr>
          <w:p w14:paraId="45A247CF">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2616" w:type="dxa"/>
            <w:tcBorders>
              <w:top w:val="single" w:color="auto" w:sz="4" w:space="0"/>
              <w:left w:val="nil"/>
              <w:bottom w:val="single" w:color="auto" w:sz="4" w:space="0"/>
              <w:right w:val="single" w:color="auto" w:sz="4" w:space="0"/>
            </w:tcBorders>
            <w:shd w:val="clear" w:color="000000" w:fill="FFFFFF"/>
            <w:vAlign w:val="center"/>
          </w:tcPr>
          <w:p w14:paraId="23B72184">
            <w:pPr>
              <w:keepNext w:val="0"/>
              <w:keepLines w:val="0"/>
              <w:widowControl/>
              <w:suppressLineNumbers w:val="0"/>
              <w:jc w:val="center"/>
              <w:textAlignment w:val="center"/>
              <w:rPr>
                <w:rFonts w:hint="eastAsia" w:ascii="宋体" w:hAnsi="宋体" w:eastAsia="宋体" w:cs="Times New Roman"/>
                <w:b/>
                <w:bCs/>
                <w:color w:val="000000"/>
                <w:kern w:val="0"/>
                <w:sz w:val="20"/>
                <w:szCs w:val="20"/>
              </w:rPr>
            </w:pPr>
            <w:r>
              <w:rPr>
                <w:rFonts w:hint="eastAsia" w:ascii="宋体" w:hAnsi="宋体" w:eastAsia="宋体" w:cs="宋体"/>
                <w:i w:val="0"/>
                <w:iCs w:val="0"/>
                <w:color w:val="000000"/>
                <w:kern w:val="0"/>
                <w:sz w:val="24"/>
                <w:szCs w:val="24"/>
                <w:u w:val="none"/>
                <w:lang w:val="en-US" w:eastAsia="zh-CN" w:bidi="ar"/>
              </w:rPr>
              <w:t>甘露醇卵黄多粘菌素琼脂平板</w:t>
            </w:r>
          </w:p>
        </w:tc>
        <w:tc>
          <w:tcPr>
            <w:tcW w:w="3426" w:type="dxa"/>
            <w:tcBorders>
              <w:top w:val="single" w:color="auto" w:sz="4" w:space="0"/>
              <w:left w:val="nil"/>
              <w:bottom w:val="single" w:color="auto" w:sz="4" w:space="0"/>
              <w:right w:val="single" w:color="auto" w:sz="4" w:space="0"/>
            </w:tcBorders>
            <w:shd w:val="clear" w:color="000000" w:fill="FFFFFF"/>
            <w:vAlign w:val="center"/>
          </w:tcPr>
          <w:p w14:paraId="0C68B3AB">
            <w:pPr>
              <w:keepNext w:val="0"/>
              <w:keepLines w:val="0"/>
              <w:widowControl/>
              <w:suppressLineNumbers w:val="0"/>
              <w:jc w:val="center"/>
              <w:textAlignment w:val="center"/>
              <w:rPr>
                <w:rFonts w:hint="eastAsia" w:ascii="宋体" w:hAnsi="宋体" w:eastAsia="宋体" w:cs="Times New Roman"/>
                <w:b/>
                <w:bCs/>
                <w:color w:val="000000"/>
                <w:kern w:val="0"/>
                <w:sz w:val="20"/>
                <w:szCs w:val="20"/>
              </w:rPr>
            </w:pPr>
            <w:r>
              <w:rPr>
                <w:rFonts w:hint="eastAsia" w:ascii="宋体" w:hAnsi="宋体" w:eastAsia="宋体" w:cs="宋体"/>
                <w:i w:val="0"/>
                <w:iCs w:val="0"/>
                <w:color w:val="000000"/>
                <w:kern w:val="0"/>
                <w:sz w:val="24"/>
                <w:szCs w:val="24"/>
                <w:u w:val="none"/>
                <w:lang w:val="en-US" w:eastAsia="zh-CN" w:bidi="ar"/>
              </w:rPr>
              <w:t>-</w:t>
            </w:r>
          </w:p>
        </w:tc>
        <w:tc>
          <w:tcPr>
            <w:tcW w:w="878" w:type="dxa"/>
            <w:tcBorders>
              <w:top w:val="single" w:color="auto" w:sz="4" w:space="0"/>
              <w:left w:val="nil"/>
              <w:bottom w:val="single" w:color="auto" w:sz="4" w:space="0"/>
              <w:right w:val="single" w:color="auto" w:sz="4" w:space="0"/>
            </w:tcBorders>
            <w:shd w:val="clear" w:color="000000" w:fill="FFFFFF"/>
            <w:vAlign w:val="center"/>
          </w:tcPr>
          <w:p w14:paraId="5E403972">
            <w:pPr>
              <w:keepNext w:val="0"/>
              <w:keepLines w:val="0"/>
              <w:widowControl/>
              <w:suppressLineNumbers w:val="0"/>
              <w:jc w:val="center"/>
              <w:textAlignment w:val="center"/>
              <w:rPr>
                <w:rFonts w:hint="eastAsia" w:ascii="宋体" w:hAnsi="宋体" w:eastAsia="宋体" w:cs="Times New Roman"/>
                <w:b/>
                <w:bCs/>
                <w:color w:val="000000"/>
                <w:kern w:val="0"/>
                <w:sz w:val="20"/>
                <w:szCs w:val="20"/>
              </w:rPr>
            </w:pPr>
            <w:r>
              <w:rPr>
                <w:rFonts w:hint="eastAsia" w:ascii="宋体" w:hAnsi="宋体" w:eastAsia="宋体" w:cs="宋体"/>
                <w:i w:val="0"/>
                <w:iCs w:val="0"/>
                <w:color w:val="000000"/>
                <w:kern w:val="0"/>
                <w:sz w:val="24"/>
                <w:szCs w:val="24"/>
                <w:u w:val="none"/>
                <w:lang w:val="en-US" w:eastAsia="zh-CN" w:bidi="ar"/>
              </w:rPr>
              <w:t>90mm×20个/盒</w:t>
            </w:r>
          </w:p>
        </w:tc>
        <w:tc>
          <w:tcPr>
            <w:tcW w:w="764" w:type="dxa"/>
            <w:tcBorders>
              <w:top w:val="single" w:color="auto" w:sz="4" w:space="0"/>
              <w:left w:val="nil"/>
              <w:bottom w:val="single" w:color="auto" w:sz="4" w:space="0"/>
              <w:right w:val="single" w:color="auto" w:sz="4" w:space="0"/>
            </w:tcBorders>
            <w:shd w:val="clear" w:color="000000" w:fill="FFFFFF"/>
            <w:vAlign w:val="center"/>
          </w:tcPr>
          <w:p w14:paraId="7271CCA1">
            <w:pPr>
              <w:keepNext w:val="0"/>
              <w:keepLines w:val="0"/>
              <w:widowControl/>
              <w:suppressLineNumbers w:val="0"/>
              <w:jc w:val="center"/>
              <w:textAlignment w:val="center"/>
              <w:rPr>
                <w:rFonts w:hint="eastAsia" w:ascii="宋体" w:hAnsi="宋体" w:eastAsia="宋体" w:cs="Times New Roman"/>
                <w:b/>
                <w:bCs/>
                <w:color w:val="000000"/>
                <w:kern w:val="0"/>
                <w:sz w:val="20"/>
                <w:szCs w:val="20"/>
              </w:rPr>
            </w:pPr>
            <w:r>
              <w:rPr>
                <w:rFonts w:hint="eastAsia" w:ascii="宋体" w:hAnsi="宋体" w:eastAsia="宋体" w:cs="宋体"/>
                <w:i w:val="0"/>
                <w:iCs w:val="0"/>
                <w:color w:val="000000"/>
                <w:kern w:val="0"/>
                <w:sz w:val="24"/>
                <w:szCs w:val="24"/>
                <w:u w:val="none"/>
                <w:lang w:val="en-US" w:eastAsia="zh-CN" w:bidi="ar"/>
              </w:rPr>
              <w:t>2</w:t>
            </w:r>
          </w:p>
        </w:tc>
        <w:tc>
          <w:tcPr>
            <w:tcW w:w="800" w:type="dxa"/>
            <w:tcBorders>
              <w:top w:val="single" w:color="auto" w:sz="4" w:space="0"/>
              <w:left w:val="nil"/>
              <w:bottom w:val="single" w:color="auto" w:sz="4" w:space="0"/>
              <w:right w:val="single" w:color="auto" w:sz="4" w:space="0"/>
            </w:tcBorders>
            <w:shd w:val="clear" w:color="000000" w:fill="FFFFFF"/>
            <w:vAlign w:val="center"/>
          </w:tcPr>
          <w:p w14:paraId="6449A0EF">
            <w:pPr>
              <w:widowControl/>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需注明生产厂家</w:t>
            </w:r>
          </w:p>
        </w:tc>
      </w:tr>
      <w:tr w14:paraId="15EC6673">
        <w:tblPrEx>
          <w:tblCellMar>
            <w:top w:w="0" w:type="dxa"/>
            <w:left w:w="108" w:type="dxa"/>
            <w:bottom w:w="0" w:type="dxa"/>
            <w:right w:w="108" w:type="dxa"/>
          </w:tblCellMar>
        </w:tblPrEx>
        <w:trPr>
          <w:trHeight w:val="800" w:hRule="atLeast"/>
        </w:trPr>
        <w:tc>
          <w:tcPr>
            <w:tcW w:w="867" w:type="dxa"/>
            <w:tcBorders>
              <w:top w:val="single" w:color="auto" w:sz="4" w:space="0"/>
              <w:left w:val="single" w:color="auto" w:sz="4" w:space="0"/>
              <w:bottom w:val="single" w:color="auto" w:sz="4" w:space="0"/>
              <w:right w:val="single" w:color="auto" w:sz="4" w:space="0"/>
            </w:tcBorders>
            <w:shd w:val="clear" w:color="000000" w:fill="FFFFFF"/>
            <w:vAlign w:val="center"/>
          </w:tcPr>
          <w:p w14:paraId="41D636C0">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2616" w:type="dxa"/>
            <w:tcBorders>
              <w:top w:val="single" w:color="auto" w:sz="4" w:space="0"/>
              <w:left w:val="nil"/>
              <w:bottom w:val="single" w:color="auto" w:sz="4" w:space="0"/>
              <w:right w:val="single" w:color="auto" w:sz="4" w:space="0"/>
            </w:tcBorders>
            <w:shd w:val="clear" w:color="000000" w:fill="FFFFFF"/>
            <w:vAlign w:val="center"/>
          </w:tcPr>
          <w:p w14:paraId="42482EE9">
            <w:pPr>
              <w:keepNext w:val="0"/>
              <w:keepLines w:val="0"/>
              <w:widowControl/>
              <w:suppressLineNumbers w:val="0"/>
              <w:jc w:val="center"/>
              <w:textAlignment w:val="center"/>
              <w:rPr>
                <w:rFonts w:hint="eastAsia" w:ascii="宋体" w:hAnsi="宋体" w:eastAsia="宋体" w:cs="Times New Roman"/>
                <w:b/>
                <w:bCs/>
                <w:color w:val="000000"/>
                <w:kern w:val="0"/>
                <w:sz w:val="20"/>
                <w:szCs w:val="20"/>
              </w:rPr>
            </w:pPr>
            <w:r>
              <w:rPr>
                <w:rFonts w:hint="eastAsia" w:ascii="宋体" w:hAnsi="宋体" w:eastAsia="宋体" w:cs="宋体"/>
                <w:i w:val="0"/>
                <w:iCs w:val="0"/>
                <w:color w:val="000000"/>
                <w:kern w:val="0"/>
                <w:sz w:val="24"/>
                <w:szCs w:val="24"/>
                <w:u w:val="none"/>
                <w:lang w:val="en-US" w:eastAsia="zh-CN" w:bidi="ar"/>
              </w:rPr>
              <w:t>bolton肉汤(含羊血和抗生素)</w:t>
            </w:r>
          </w:p>
        </w:tc>
        <w:tc>
          <w:tcPr>
            <w:tcW w:w="3426" w:type="dxa"/>
            <w:tcBorders>
              <w:top w:val="single" w:color="auto" w:sz="4" w:space="0"/>
              <w:left w:val="nil"/>
              <w:bottom w:val="single" w:color="auto" w:sz="4" w:space="0"/>
              <w:right w:val="single" w:color="auto" w:sz="4" w:space="0"/>
            </w:tcBorders>
            <w:shd w:val="clear" w:color="000000" w:fill="FFFFFF"/>
            <w:vAlign w:val="center"/>
          </w:tcPr>
          <w:p w14:paraId="5649E323">
            <w:pPr>
              <w:keepNext w:val="0"/>
              <w:keepLines w:val="0"/>
              <w:widowControl/>
              <w:suppressLineNumbers w:val="0"/>
              <w:jc w:val="center"/>
              <w:textAlignment w:val="center"/>
              <w:rPr>
                <w:rFonts w:hint="eastAsia" w:ascii="宋体" w:hAnsi="宋体" w:eastAsia="宋体" w:cs="Times New Roman"/>
                <w:b/>
                <w:bCs/>
                <w:color w:val="000000"/>
                <w:kern w:val="0"/>
                <w:sz w:val="20"/>
                <w:szCs w:val="20"/>
              </w:rPr>
            </w:pPr>
            <w:r>
              <w:rPr>
                <w:rFonts w:hint="eastAsia" w:ascii="宋体" w:hAnsi="宋体" w:eastAsia="宋体" w:cs="宋体"/>
                <w:i w:val="0"/>
                <w:iCs w:val="0"/>
                <w:color w:val="000000"/>
                <w:kern w:val="0"/>
                <w:sz w:val="24"/>
                <w:szCs w:val="24"/>
                <w:u w:val="none"/>
                <w:lang w:val="en-US" w:eastAsia="zh-CN" w:bidi="ar"/>
              </w:rPr>
              <w:t>225ml×6瓶/盒</w:t>
            </w:r>
          </w:p>
        </w:tc>
        <w:tc>
          <w:tcPr>
            <w:tcW w:w="878" w:type="dxa"/>
            <w:tcBorders>
              <w:top w:val="single" w:color="auto" w:sz="4" w:space="0"/>
              <w:left w:val="nil"/>
              <w:bottom w:val="single" w:color="auto" w:sz="4" w:space="0"/>
              <w:right w:val="single" w:color="auto" w:sz="4" w:space="0"/>
            </w:tcBorders>
            <w:shd w:val="clear" w:color="000000" w:fill="FFFFFF"/>
            <w:vAlign w:val="center"/>
          </w:tcPr>
          <w:p w14:paraId="6894CECE">
            <w:pPr>
              <w:keepNext w:val="0"/>
              <w:keepLines w:val="0"/>
              <w:widowControl/>
              <w:suppressLineNumbers w:val="0"/>
              <w:jc w:val="center"/>
              <w:textAlignment w:val="center"/>
              <w:rPr>
                <w:rFonts w:hint="eastAsia" w:ascii="宋体" w:hAnsi="宋体" w:eastAsia="宋体" w:cs="Times New Roman"/>
                <w:b/>
                <w:bCs/>
                <w:color w:val="000000"/>
                <w:kern w:val="0"/>
                <w:sz w:val="20"/>
                <w:szCs w:val="20"/>
              </w:rPr>
            </w:pPr>
            <w:r>
              <w:rPr>
                <w:rFonts w:hint="eastAsia" w:ascii="宋体" w:hAnsi="宋体" w:eastAsia="宋体" w:cs="宋体"/>
                <w:i w:val="0"/>
                <w:iCs w:val="0"/>
                <w:color w:val="000000"/>
                <w:kern w:val="0"/>
                <w:sz w:val="24"/>
                <w:szCs w:val="24"/>
                <w:u w:val="none"/>
                <w:lang w:val="en-US" w:eastAsia="zh-CN" w:bidi="ar"/>
              </w:rPr>
              <w:t>225ml×6瓶/盒</w:t>
            </w:r>
          </w:p>
        </w:tc>
        <w:tc>
          <w:tcPr>
            <w:tcW w:w="764" w:type="dxa"/>
            <w:tcBorders>
              <w:top w:val="single" w:color="auto" w:sz="4" w:space="0"/>
              <w:left w:val="nil"/>
              <w:bottom w:val="single" w:color="auto" w:sz="4" w:space="0"/>
              <w:right w:val="single" w:color="auto" w:sz="4" w:space="0"/>
            </w:tcBorders>
            <w:shd w:val="clear" w:color="000000" w:fill="FFFFFF"/>
            <w:vAlign w:val="center"/>
          </w:tcPr>
          <w:p w14:paraId="19B1DAC8">
            <w:pPr>
              <w:keepNext w:val="0"/>
              <w:keepLines w:val="0"/>
              <w:widowControl/>
              <w:suppressLineNumbers w:val="0"/>
              <w:jc w:val="center"/>
              <w:textAlignment w:val="center"/>
              <w:rPr>
                <w:rFonts w:hint="eastAsia" w:ascii="宋体" w:hAnsi="宋体" w:eastAsia="宋体" w:cs="Times New Roman"/>
                <w:b/>
                <w:bCs/>
                <w:color w:val="000000"/>
                <w:kern w:val="0"/>
                <w:sz w:val="20"/>
                <w:szCs w:val="20"/>
              </w:rPr>
            </w:pPr>
            <w:r>
              <w:rPr>
                <w:rFonts w:hint="eastAsia" w:ascii="宋体" w:hAnsi="宋体" w:eastAsia="宋体" w:cs="宋体"/>
                <w:i w:val="0"/>
                <w:iCs w:val="0"/>
                <w:color w:val="000000"/>
                <w:kern w:val="0"/>
                <w:sz w:val="24"/>
                <w:szCs w:val="24"/>
                <w:u w:val="none"/>
                <w:lang w:val="en-US" w:eastAsia="zh-CN" w:bidi="ar"/>
              </w:rPr>
              <w:t>2</w:t>
            </w:r>
          </w:p>
        </w:tc>
        <w:tc>
          <w:tcPr>
            <w:tcW w:w="800" w:type="dxa"/>
            <w:tcBorders>
              <w:top w:val="single" w:color="auto" w:sz="4" w:space="0"/>
              <w:left w:val="nil"/>
              <w:bottom w:val="single" w:color="auto" w:sz="4" w:space="0"/>
              <w:right w:val="single" w:color="auto" w:sz="4" w:space="0"/>
            </w:tcBorders>
            <w:shd w:val="clear" w:color="000000" w:fill="FFFFFF"/>
            <w:vAlign w:val="center"/>
          </w:tcPr>
          <w:p w14:paraId="3050756D">
            <w:pPr>
              <w:widowControl/>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需注明生产厂家</w:t>
            </w:r>
          </w:p>
        </w:tc>
      </w:tr>
      <w:tr w14:paraId="663619BB">
        <w:tblPrEx>
          <w:tblCellMar>
            <w:top w:w="0" w:type="dxa"/>
            <w:left w:w="108" w:type="dxa"/>
            <w:bottom w:w="0" w:type="dxa"/>
            <w:right w:w="108" w:type="dxa"/>
          </w:tblCellMar>
        </w:tblPrEx>
        <w:trPr>
          <w:trHeight w:val="800" w:hRule="atLeast"/>
        </w:trPr>
        <w:tc>
          <w:tcPr>
            <w:tcW w:w="867" w:type="dxa"/>
            <w:tcBorders>
              <w:top w:val="single" w:color="auto" w:sz="4" w:space="0"/>
              <w:left w:val="single" w:color="auto" w:sz="4" w:space="0"/>
              <w:bottom w:val="single" w:color="auto" w:sz="4" w:space="0"/>
              <w:right w:val="single" w:color="auto" w:sz="4" w:space="0"/>
            </w:tcBorders>
            <w:shd w:val="clear" w:color="000000" w:fill="FFFFFF"/>
            <w:vAlign w:val="center"/>
          </w:tcPr>
          <w:p w14:paraId="55A4387F">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2616" w:type="dxa"/>
            <w:tcBorders>
              <w:top w:val="single" w:color="auto" w:sz="4" w:space="0"/>
              <w:left w:val="nil"/>
              <w:bottom w:val="single" w:color="auto" w:sz="4" w:space="0"/>
              <w:right w:val="single" w:color="auto" w:sz="4" w:space="0"/>
            </w:tcBorders>
            <w:shd w:val="clear" w:color="000000" w:fill="FFFFFF"/>
            <w:vAlign w:val="center"/>
          </w:tcPr>
          <w:p w14:paraId="5DFBEECB">
            <w:pPr>
              <w:keepNext w:val="0"/>
              <w:keepLines w:val="0"/>
              <w:widowControl/>
              <w:suppressLineNumbers w:val="0"/>
              <w:jc w:val="center"/>
              <w:textAlignment w:val="center"/>
              <w:rPr>
                <w:rFonts w:hint="eastAsia" w:ascii="宋体" w:hAnsi="宋体" w:eastAsia="宋体" w:cs="Times New Roman"/>
                <w:b/>
                <w:bCs/>
                <w:color w:val="000000"/>
                <w:kern w:val="0"/>
                <w:sz w:val="20"/>
                <w:szCs w:val="20"/>
              </w:rPr>
            </w:pPr>
            <w:r>
              <w:rPr>
                <w:rFonts w:hint="eastAsia" w:ascii="宋体" w:hAnsi="宋体" w:eastAsia="宋体" w:cs="宋体"/>
                <w:i w:val="0"/>
                <w:iCs w:val="0"/>
                <w:color w:val="000000"/>
                <w:kern w:val="0"/>
                <w:sz w:val="24"/>
                <w:szCs w:val="24"/>
                <w:u w:val="none"/>
                <w:lang w:val="en-US" w:eastAsia="zh-CN" w:bidi="ar"/>
              </w:rPr>
              <w:t>李氏菌增菌肉汤1（LB1）</w:t>
            </w:r>
          </w:p>
        </w:tc>
        <w:tc>
          <w:tcPr>
            <w:tcW w:w="3426" w:type="dxa"/>
            <w:tcBorders>
              <w:top w:val="single" w:color="auto" w:sz="4" w:space="0"/>
              <w:left w:val="nil"/>
              <w:bottom w:val="single" w:color="auto" w:sz="4" w:space="0"/>
              <w:right w:val="single" w:color="auto" w:sz="4" w:space="0"/>
            </w:tcBorders>
            <w:shd w:val="clear" w:color="000000" w:fill="FFFFFF"/>
            <w:vAlign w:val="center"/>
          </w:tcPr>
          <w:p w14:paraId="31D2E972">
            <w:pPr>
              <w:keepNext w:val="0"/>
              <w:keepLines w:val="0"/>
              <w:widowControl/>
              <w:suppressLineNumbers w:val="0"/>
              <w:jc w:val="center"/>
              <w:textAlignment w:val="center"/>
              <w:rPr>
                <w:rFonts w:hint="eastAsia" w:ascii="宋体" w:hAnsi="宋体" w:eastAsia="宋体" w:cs="Times New Roman"/>
                <w:b/>
                <w:bCs/>
                <w:color w:val="000000"/>
                <w:kern w:val="0"/>
                <w:sz w:val="20"/>
                <w:szCs w:val="20"/>
              </w:rPr>
            </w:pPr>
            <w:r>
              <w:rPr>
                <w:rFonts w:hint="eastAsia" w:ascii="宋体" w:hAnsi="宋体" w:eastAsia="宋体" w:cs="宋体"/>
                <w:i w:val="0"/>
                <w:iCs w:val="0"/>
                <w:color w:val="000000"/>
                <w:kern w:val="0"/>
                <w:sz w:val="24"/>
                <w:szCs w:val="24"/>
                <w:u w:val="none"/>
                <w:lang w:val="en-US" w:eastAsia="zh-CN" w:bidi="ar"/>
              </w:rPr>
              <w:t>225ml×10袋</w:t>
            </w:r>
          </w:p>
        </w:tc>
        <w:tc>
          <w:tcPr>
            <w:tcW w:w="878" w:type="dxa"/>
            <w:tcBorders>
              <w:top w:val="single" w:color="auto" w:sz="4" w:space="0"/>
              <w:left w:val="nil"/>
              <w:bottom w:val="single" w:color="auto" w:sz="4" w:space="0"/>
              <w:right w:val="single" w:color="auto" w:sz="4" w:space="0"/>
            </w:tcBorders>
            <w:shd w:val="clear" w:color="000000" w:fill="FFFFFF"/>
            <w:vAlign w:val="center"/>
          </w:tcPr>
          <w:p w14:paraId="47026BF1">
            <w:pPr>
              <w:keepNext w:val="0"/>
              <w:keepLines w:val="0"/>
              <w:widowControl/>
              <w:suppressLineNumbers w:val="0"/>
              <w:jc w:val="center"/>
              <w:textAlignment w:val="center"/>
              <w:rPr>
                <w:rFonts w:hint="eastAsia" w:ascii="宋体" w:hAnsi="宋体" w:eastAsia="宋体" w:cs="Times New Roman"/>
                <w:b/>
                <w:bCs/>
                <w:color w:val="000000"/>
                <w:kern w:val="0"/>
                <w:sz w:val="20"/>
                <w:szCs w:val="20"/>
              </w:rPr>
            </w:pPr>
            <w:r>
              <w:rPr>
                <w:rFonts w:hint="eastAsia" w:ascii="宋体" w:hAnsi="宋体" w:eastAsia="宋体" w:cs="宋体"/>
                <w:i w:val="0"/>
                <w:iCs w:val="0"/>
                <w:color w:val="000000"/>
                <w:kern w:val="0"/>
                <w:sz w:val="24"/>
                <w:szCs w:val="24"/>
                <w:u w:val="none"/>
                <w:lang w:val="en-US" w:eastAsia="zh-CN" w:bidi="ar"/>
              </w:rPr>
              <w:t>225ml×10袋</w:t>
            </w:r>
          </w:p>
        </w:tc>
        <w:tc>
          <w:tcPr>
            <w:tcW w:w="764" w:type="dxa"/>
            <w:tcBorders>
              <w:top w:val="single" w:color="auto" w:sz="4" w:space="0"/>
              <w:left w:val="nil"/>
              <w:bottom w:val="single" w:color="auto" w:sz="4" w:space="0"/>
              <w:right w:val="single" w:color="auto" w:sz="4" w:space="0"/>
            </w:tcBorders>
            <w:shd w:val="clear" w:color="000000" w:fill="FFFFFF"/>
            <w:vAlign w:val="center"/>
          </w:tcPr>
          <w:p w14:paraId="399913F9">
            <w:pPr>
              <w:keepNext w:val="0"/>
              <w:keepLines w:val="0"/>
              <w:widowControl/>
              <w:suppressLineNumbers w:val="0"/>
              <w:jc w:val="center"/>
              <w:textAlignment w:val="center"/>
              <w:rPr>
                <w:rFonts w:hint="eastAsia" w:ascii="宋体" w:hAnsi="宋体" w:eastAsia="宋体" w:cs="Times New Roman"/>
                <w:b/>
                <w:bCs/>
                <w:color w:val="000000"/>
                <w:kern w:val="0"/>
                <w:sz w:val="20"/>
                <w:szCs w:val="20"/>
              </w:rPr>
            </w:pPr>
            <w:r>
              <w:rPr>
                <w:rFonts w:hint="eastAsia" w:ascii="宋体" w:hAnsi="宋体" w:eastAsia="宋体" w:cs="宋体"/>
                <w:i w:val="0"/>
                <w:iCs w:val="0"/>
                <w:color w:val="000000"/>
                <w:kern w:val="0"/>
                <w:sz w:val="24"/>
                <w:szCs w:val="24"/>
                <w:u w:val="none"/>
                <w:lang w:val="en-US" w:eastAsia="zh-CN" w:bidi="ar"/>
              </w:rPr>
              <w:t>1</w:t>
            </w:r>
          </w:p>
        </w:tc>
        <w:tc>
          <w:tcPr>
            <w:tcW w:w="800" w:type="dxa"/>
            <w:tcBorders>
              <w:top w:val="single" w:color="auto" w:sz="4" w:space="0"/>
              <w:left w:val="nil"/>
              <w:bottom w:val="single" w:color="auto" w:sz="4" w:space="0"/>
              <w:right w:val="single" w:color="auto" w:sz="4" w:space="0"/>
            </w:tcBorders>
            <w:shd w:val="clear" w:color="000000" w:fill="FFFFFF"/>
            <w:vAlign w:val="center"/>
          </w:tcPr>
          <w:p w14:paraId="1CB0B078">
            <w:pPr>
              <w:widowControl/>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需注明生产厂家</w:t>
            </w:r>
          </w:p>
        </w:tc>
      </w:tr>
      <w:tr w14:paraId="59CAFA0B">
        <w:tblPrEx>
          <w:tblCellMar>
            <w:top w:w="0" w:type="dxa"/>
            <w:left w:w="108" w:type="dxa"/>
            <w:bottom w:w="0" w:type="dxa"/>
            <w:right w:w="108" w:type="dxa"/>
          </w:tblCellMar>
        </w:tblPrEx>
        <w:trPr>
          <w:trHeight w:val="800" w:hRule="atLeast"/>
        </w:trPr>
        <w:tc>
          <w:tcPr>
            <w:tcW w:w="867" w:type="dxa"/>
            <w:tcBorders>
              <w:top w:val="single" w:color="auto" w:sz="4" w:space="0"/>
              <w:left w:val="single" w:color="auto" w:sz="4" w:space="0"/>
              <w:bottom w:val="single" w:color="auto" w:sz="4" w:space="0"/>
              <w:right w:val="single" w:color="auto" w:sz="4" w:space="0"/>
            </w:tcBorders>
            <w:shd w:val="clear" w:color="000000" w:fill="FFFFFF"/>
            <w:vAlign w:val="center"/>
          </w:tcPr>
          <w:p w14:paraId="34E8100E">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2616" w:type="dxa"/>
            <w:tcBorders>
              <w:top w:val="single" w:color="auto" w:sz="4" w:space="0"/>
              <w:left w:val="nil"/>
              <w:bottom w:val="single" w:color="auto" w:sz="4" w:space="0"/>
              <w:right w:val="single" w:color="auto" w:sz="4" w:space="0"/>
            </w:tcBorders>
            <w:shd w:val="clear" w:color="000000" w:fill="FFFFFF"/>
            <w:vAlign w:val="center"/>
          </w:tcPr>
          <w:p w14:paraId="602CE4E5">
            <w:pPr>
              <w:keepNext w:val="0"/>
              <w:keepLines w:val="0"/>
              <w:widowControl/>
              <w:suppressLineNumbers w:val="0"/>
              <w:jc w:val="center"/>
              <w:textAlignment w:val="center"/>
              <w:rPr>
                <w:rFonts w:hint="eastAsia" w:ascii="宋体" w:hAnsi="宋体" w:eastAsia="宋体" w:cs="Times New Roman"/>
                <w:b/>
                <w:bCs/>
                <w:color w:val="000000"/>
                <w:kern w:val="0"/>
                <w:sz w:val="20"/>
                <w:szCs w:val="20"/>
              </w:rPr>
            </w:pPr>
            <w:r>
              <w:rPr>
                <w:rFonts w:hint="eastAsia" w:ascii="宋体" w:hAnsi="宋体" w:eastAsia="宋体" w:cs="宋体"/>
                <w:i w:val="0"/>
                <w:iCs w:val="0"/>
                <w:color w:val="000000"/>
                <w:kern w:val="0"/>
                <w:sz w:val="24"/>
                <w:szCs w:val="24"/>
                <w:u w:val="none"/>
                <w:lang w:val="en-US" w:eastAsia="zh-CN" w:bidi="ar"/>
              </w:rPr>
              <w:t>李氏菌增菌肉汤2（LB2）</w:t>
            </w:r>
          </w:p>
        </w:tc>
        <w:tc>
          <w:tcPr>
            <w:tcW w:w="3426" w:type="dxa"/>
            <w:tcBorders>
              <w:top w:val="single" w:color="auto" w:sz="4" w:space="0"/>
              <w:left w:val="nil"/>
              <w:bottom w:val="single" w:color="auto" w:sz="4" w:space="0"/>
              <w:right w:val="single" w:color="auto" w:sz="4" w:space="0"/>
            </w:tcBorders>
            <w:shd w:val="clear" w:color="000000" w:fill="FFFFFF"/>
            <w:vAlign w:val="center"/>
          </w:tcPr>
          <w:p w14:paraId="73194D7D">
            <w:pPr>
              <w:keepNext w:val="0"/>
              <w:keepLines w:val="0"/>
              <w:widowControl/>
              <w:suppressLineNumbers w:val="0"/>
              <w:jc w:val="center"/>
              <w:textAlignment w:val="center"/>
              <w:rPr>
                <w:rFonts w:hint="eastAsia" w:ascii="宋体" w:hAnsi="宋体" w:eastAsia="宋体" w:cs="Times New Roman"/>
                <w:b/>
                <w:bCs/>
                <w:color w:val="000000"/>
                <w:kern w:val="0"/>
                <w:sz w:val="20"/>
                <w:szCs w:val="20"/>
              </w:rPr>
            </w:pPr>
            <w:r>
              <w:rPr>
                <w:rFonts w:hint="eastAsia" w:ascii="宋体" w:hAnsi="宋体" w:eastAsia="宋体" w:cs="宋体"/>
                <w:i w:val="0"/>
                <w:iCs w:val="0"/>
                <w:color w:val="000000"/>
                <w:kern w:val="0"/>
                <w:sz w:val="24"/>
                <w:szCs w:val="24"/>
                <w:u w:val="none"/>
                <w:lang w:val="en-US" w:eastAsia="zh-CN" w:bidi="ar"/>
              </w:rPr>
              <w:t>10ml×20支</w:t>
            </w:r>
          </w:p>
        </w:tc>
        <w:tc>
          <w:tcPr>
            <w:tcW w:w="878" w:type="dxa"/>
            <w:tcBorders>
              <w:top w:val="single" w:color="auto" w:sz="4" w:space="0"/>
              <w:left w:val="nil"/>
              <w:bottom w:val="single" w:color="auto" w:sz="4" w:space="0"/>
              <w:right w:val="single" w:color="auto" w:sz="4" w:space="0"/>
            </w:tcBorders>
            <w:shd w:val="clear" w:color="000000" w:fill="FFFFFF"/>
            <w:vAlign w:val="center"/>
          </w:tcPr>
          <w:p w14:paraId="36F5779F">
            <w:pPr>
              <w:keepNext w:val="0"/>
              <w:keepLines w:val="0"/>
              <w:widowControl/>
              <w:suppressLineNumbers w:val="0"/>
              <w:jc w:val="center"/>
              <w:textAlignment w:val="center"/>
              <w:rPr>
                <w:rFonts w:hint="eastAsia" w:ascii="宋体" w:hAnsi="宋体" w:eastAsia="宋体" w:cs="Times New Roman"/>
                <w:b/>
                <w:bCs/>
                <w:color w:val="000000"/>
                <w:kern w:val="0"/>
                <w:sz w:val="20"/>
                <w:szCs w:val="20"/>
              </w:rPr>
            </w:pPr>
            <w:r>
              <w:rPr>
                <w:rFonts w:hint="eastAsia" w:ascii="宋体" w:hAnsi="宋体" w:eastAsia="宋体" w:cs="宋体"/>
                <w:i w:val="0"/>
                <w:iCs w:val="0"/>
                <w:color w:val="000000"/>
                <w:kern w:val="0"/>
                <w:sz w:val="24"/>
                <w:szCs w:val="24"/>
                <w:u w:val="none"/>
                <w:lang w:val="en-US" w:eastAsia="zh-CN" w:bidi="ar"/>
              </w:rPr>
              <w:t>10ml×20支</w:t>
            </w:r>
          </w:p>
        </w:tc>
        <w:tc>
          <w:tcPr>
            <w:tcW w:w="764" w:type="dxa"/>
            <w:tcBorders>
              <w:top w:val="single" w:color="auto" w:sz="4" w:space="0"/>
              <w:left w:val="nil"/>
              <w:bottom w:val="single" w:color="auto" w:sz="4" w:space="0"/>
              <w:right w:val="single" w:color="auto" w:sz="4" w:space="0"/>
            </w:tcBorders>
            <w:shd w:val="clear" w:color="000000" w:fill="FFFFFF"/>
            <w:vAlign w:val="center"/>
          </w:tcPr>
          <w:p w14:paraId="687F4ABB">
            <w:pPr>
              <w:keepNext w:val="0"/>
              <w:keepLines w:val="0"/>
              <w:widowControl/>
              <w:suppressLineNumbers w:val="0"/>
              <w:jc w:val="center"/>
              <w:textAlignment w:val="center"/>
              <w:rPr>
                <w:rFonts w:hint="eastAsia" w:ascii="宋体" w:hAnsi="宋体" w:eastAsia="宋体" w:cs="Times New Roman"/>
                <w:b/>
                <w:bCs/>
                <w:color w:val="000000"/>
                <w:kern w:val="0"/>
                <w:sz w:val="20"/>
                <w:szCs w:val="20"/>
              </w:rPr>
            </w:pPr>
            <w:r>
              <w:rPr>
                <w:rFonts w:hint="eastAsia" w:ascii="宋体" w:hAnsi="宋体" w:eastAsia="宋体" w:cs="宋体"/>
                <w:i w:val="0"/>
                <w:iCs w:val="0"/>
                <w:color w:val="000000"/>
                <w:kern w:val="0"/>
                <w:sz w:val="24"/>
                <w:szCs w:val="24"/>
                <w:u w:val="none"/>
                <w:lang w:val="en-US" w:eastAsia="zh-CN" w:bidi="ar"/>
              </w:rPr>
              <w:t>1</w:t>
            </w:r>
          </w:p>
        </w:tc>
        <w:tc>
          <w:tcPr>
            <w:tcW w:w="800" w:type="dxa"/>
            <w:tcBorders>
              <w:top w:val="single" w:color="auto" w:sz="4" w:space="0"/>
              <w:left w:val="nil"/>
              <w:bottom w:val="single" w:color="auto" w:sz="4" w:space="0"/>
              <w:right w:val="single" w:color="auto" w:sz="4" w:space="0"/>
            </w:tcBorders>
            <w:shd w:val="clear" w:color="000000" w:fill="FFFFFF"/>
            <w:vAlign w:val="center"/>
          </w:tcPr>
          <w:p w14:paraId="4B88F6FC">
            <w:pPr>
              <w:widowControl/>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需注明生产厂家</w:t>
            </w:r>
          </w:p>
        </w:tc>
      </w:tr>
      <w:tr w14:paraId="0C0DD307">
        <w:tblPrEx>
          <w:tblCellMar>
            <w:top w:w="0" w:type="dxa"/>
            <w:left w:w="108" w:type="dxa"/>
            <w:bottom w:w="0" w:type="dxa"/>
            <w:right w:w="108" w:type="dxa"/>
          </w:tblCellMar>
        </w:tblPrEx>
        <w:trPr>
          <w:trHeight w:val="800" w:hRule="atLeast"/>
        </w:trPr>
        <w:tc>
          <w:tcPr>
            <w:tcW w:w="867" w:type="dxa"/>
            <w:tcBorders>
              <w:top w:val="single" w:color="auto" w:sz="4" w:space="0"/>
              <w:left w:val="single" w:color="auto" w:sz="4" w:space="0"/>
              <w:bottom w:val="single" w:color="auto" w:sz="4" w:space="0"/>
              <w:right w:val="single" w:color="auto" w:sz="4" w:space="0"/>
            </w:tcBorders>
            <w:shd w:val="clear" w:color="000000" w:fill="FFFFFF"/>
            <w:vAlign w:val="center"/>
          </w:tcPr>
          <w:p w14:paraId="2D2064FB">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2616" w:type="dxa"/>
            <w:tcBorders>
              <w:top w:val="single" w:color="auto" w:sz="4" w:space="0"/>
              <w:left w:val="nil"/>
              <w:bottom w:val="single" w:color="auto" w:sz="4" w:space="0"/>
              <w:right w:val="single" w:color="auto" w:sz="4" w:space="0"/>
            </w:tcBorders>
            <w:shd w:val="clear" w:color="000000" w:fill="FFFFFF"/>
            <w:vAlign w:val="center"/>
          </w:tcPr>
          <w:p w14:paraId="1CCF954D">
            <w:pPr>
              <w:keepNext w:val="0"/>
              <w:keepLines w:val="0"/>
              <w:widowControl/>
              <w:suppressLineNumbers w:val="0"/>
              <w:jc w:val="center"/>
              <w:textAlignment w:val="center"/>
              <w:rPr>
                <w:rFonts w:hint="eastAsia" w:ascii="宋体" w:hAnsi="宋体" w:eastAsia="宋体" w:cs="Times New Roman"/>
                <w:b/>
                <w:bCs/>
                <w:color w:val="000000"/>
                <w:kern w:val="0"/>
                <w:sz w:val="20"/>
                <w:szCs w:val="20"/>
              </w:rPr>
            </w:pPr>
            <w:r>
              <w:rPr>
                <w:rFonts w:hint="eastAsia" w:ascii="宋体" w:hAnsi="宋体" w:eastAsia="宋体" w:cs="宋体"/>
                <w:i w:val="0"/>
                <w:iCs w:val="0"/>
                <w:color w:val="000000"/>
                <w:kern w:val="0"/>
                <w:sz w:val="24"/>
                <w:szCs w:val="24"/>
                <w:u w:val="none"/>
                <w:lang w:val="en-US" w:eastAsia="zh-CN" w:bidi="ar"/>
              </w:rPr>
              <w:t>沙门显色培平板</w:t>
            </w:r>
          </w:p>
        </w:tc>
        <w:tc>
          <w:tcPr>
            <w:tcW w:w="3426" w:type="dxa"/>
            <w:tcBorders>
              <w:top w:val="single" w:color="auto" w:sz="4" w:space="0"/>
              <w:left w:val="nil"/>
              <w:bottom w:val="single" w:color="auto" w:sz="4" w:space="0"/>
              <w:right w:val="single" w:color="auto" w:sz="4" w:space="0"/>
            </w:tcBorders>
            <w:shd w:val="clear" w:color="000000" w:fill="FFFFFF"/>
            <w:vAlign w:val="center"/>
          </w:tcPr>
          <w:p w14:paraId="1BFC5F38">
            <w:pPr>
              <w:keepNext w:val="0"/>
              <w:keepLines w:val="0"/>
              <w:widowControl/>
              <w:suppressLineNumbers w:val="0"/>
              <w:spacing w:after="220" w:afterAutospacing="0"/>
              <w:jc w:val="left"/>
              <w:textAlignment w:val="center"/>
              <w:rPr>
                <w:rFonts w:hint="eastAsia" w:ascii="宋体" w:hAnsi="宋体" w:eastAsia="宋体" w:cs="Times New Roman"/>
                <w:b/>
                <w:bCs/>
                <w:color w:val="000000"/>
                <w:kern w:val="0"/>
                <w:sz w:val="20"/>
                <w:szCs w:val="20"/>
              </w:rPr>
            </w:pPr>
            <w:r>
              <w:rPr>
                <w:rFonts w:hint="eastAsia" w:ascii="宋体" w:hAnsi="宋体" w:eastAsia="宋体" w:cs="宋体"/>
                <w:i w:val="0"/>
                <w:iCs w:val="0"/>
                <w:color w:val="000000"/>
                <w:kern w:val="0"/>
                <w:sz w:val="22"/>
                <w:szCs w:val="22"/>
                <w:u w:val="none"/>
                <w:lang w:val="en-US" w:eastAsia="zh-CN" w:bidi="ar"/>
              </w:rPr>
              <w:t>1、规格：</w:t>
            </w:r>
            <w:r>
              <w:rPr>
                <w:rFonts w:ascii="Calibri" w:hAnsi="Calibri" w:eastAsia="宋体" w:cs="Calibri"/>
                <w:i w:val="0"/>
                <w:iCs w:val="0"/>
                <w:color w:val="000000"/>
                <w:kern w:val="0"/>
                <w:sz w:val="22"/>
                <w:szCs w:val="22"/>
                <w:u w:val="none"/>
                <w:lang w:val="en-US" w:eastAsia="zh-CN" w:bidi="ar"/>
              </w:rPr>
              <w:t>Φ</w:t>
            </w:r>
            <w:r>
              <w:rPr>
                <w:rFonts w:hint="eastAsia" w:ascii="宋体" w:hAnsi="宋体" w:eastAsia="宋体" w:cs="宋体"/>
                <w:i w:val="0"/>
                <w:iCs w:val="0"/>
                <w:color w:val="000000"/>
                <w:kern w:val="0"/>
                <w:sz w:val="22"/>
                <w:szCs w:val="22"/>
                <w:u w:val="none"/>
                <w:lang w:val="en-US" w:eastAsia="zh-CN" w:bidi="ar"/>
              </w:rPr>
              <w:t>70㎜/块、</w:t>
            </w:r>
            <w:r>
              <w:rPr>
                <w:rFonts w:ascii="Calibri" w:hAnsi="Calibri" w:eastAsia="宋体" w:cs="Calibri"/>
                <w:i w:val="0"/>
                <w:iCs w:val="0"/>
                <w:color w:val="000000"/>
                <w:kern w:val="0"/>
                <w:sz w:val="22"/>
                <w:szCs w:val="22"/>
                <w:u w:val="none"/>
                <w:lang w:val="en-US" w:eastAsia="zh-CN" w:bidi="ar"/>
              </w:rPr>
              <w:t>Φ</w:t>
            </w:r>
            <w:r>
              <w:rPr>
                <w:rFonts w:hint="eastAsia" w:ascii="宋体" w:hAnsi="宋体" w:eastAsia="宋体" w:cs="宋体"/>
                <w:i w:val="0"/>
                <w:iCs w:val="0"/>
                <w:color w:val="000000"/>
                <w:kern w:val="0"/>
                <w:sz w:val="22"/>
                <w:szCs w:val="22"/>
                <w:u w:val="none"/>
                <w:lang w:val="en-US" w:eastAsia="zh-CN" w:bidi="ar"/>
              </w:rPr>
              <w:t>90㎜/块；成分：蛋白胨4.0g/L、酵母膏3.0g/L、5-溴-6-氯-3-吲哚辛酸盐12.9g/L、琼脂15.0g/L</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2、外观：平板内培养基表面湿润平整、均匀分布。3、颜色：平板内培养基呈乳白色半透明；</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4、厚度：平板内培养基厚度≥3㎜   5、软硬度：平板内培养基划线无裂痕。                                 6、PH值：平板内培养基PH值：PH7.0±0.5     7、无菌要求：置35±1℃恒温箱孵育24小时，无细菌生长。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8、细菌生长条件与特征：恒温箱，35±1℃，24小时鼠伤寒沙门菌呈粉紫红色菌落，菌落生长良好；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9、稳定型：平板贮存在2-8℃，3个月，鼠伤寒沙门菌生长良好。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br w:type="textWrapping"/>
            </w:r>
          </w:p>
        </w:tc>
        <w:tc>
          <w:tcPr>
            <w:tcW w:w="878" w:type="dxa"/>
            <w:tcBorders>
              <w:top w:val="single" w:color="auto" w:sz="4" w:space="0"/>
              <w:left w:val="nil"/>
              <w:bottom w:val="single" w:color="auto" w:sz="4" w:space="0"/>
              <w:right w:val="single" w:color="auto" w:sz="4" w:space="0"/>
            </w:tcBorders>
            <w:shd w:val="clear" w:color="000000" w:fill="FFFFFF"/>
            <w:vAlign w:val="center"/>
          </w:tcPr>
          <w:p w14:paraId="091CB636">
            <w:pPr>
              <w:keepNext w:val="0"/>
              <w:keepLines w:val="0"/>
              <w:widowControl/>
              <w:suppressLineNumbers w:val="0"/>
              <w:jc w:val="center"/>
              <w:textAlignment w:val="center"/>
              <w:rPr>
                <w:rFonts w:hint="eastAsia" w:ascii="宋体" w:hAnsi="宋体" w:eastAsia="宋体" w:cs="Times New Roman"/>
                <w:b/>
                <w:bCs/>
                <w:color w:val="000000"/>
                <w:kern w:val="0"/>
                <w:sz w:val="20"/>
                <w:szCs w:val="20"/>
              </w:rPr>
            </w:pPr>
            <w:r>
              <w:rPr>
                <w:rFonts w:hint="eastAsia" w:ascii="宋体" w:hAnsi="宋体" w:eastAsia="宋体" w:cs="宋体"/>
                <w:i w:val="0"/>
                <w:iCs w:val="0"/>
                <w:color w:val="000000"/>
                <w:kern w:val="0"/>
                <w:sz w:val="24"/>
                <w:szCs w:val="24"/>
                <w:u w:val="none"/>
                <w:lang w:val="en-US" w:eastAsia="zh-CN" w:bidi="ar"/>
              </w:rPr>
              <w:t>20个/盒</w:t>
            </w:r>
          </w:p>
        </w:tc>
        <w:tc>
          <w:tcPr>
            <w:tcW w:w="764" w:type="dxa"/>
            <w:tcBorders>
              <w:top w:val="single" w:color="auto" w:sz="4" w:space="0"/>
              <w:left w:val="nil"/>
              <w:bottom w:val="single" w:color="auto" w:sz="4" w:space="0"/>
              <w:right w:val="single" w:color="auto" w:sz="4" w:space="0"/>
            </w:tcBorders>
            <w:shd w:val="clear" w:color="000000" w:fill="FFFFFF"/>
            <w:vAlign w:val="center"/>
          </w:tcPr>
          <w:p w14:paraId="6E44691E">
            <w:pPr>
              <w:keepNext w:val="0"/>
              <w:keepLines w:val="0"/>
              <w:widowControl/>
              <w:suppressLineNumbers w:val="0"/>
              <w:jc w:val="center"/>
              <w:textAlignment w:val="center"/>
              <w:rPr>
                <w:rFonts w:hint="eastAsia" w:ascii="宋体" w:hAnsi="宋体" w:eastAsia="宋体" w:cs="Times New Roman"/>
                <w:b/>
                <w:bCs/>
                <w:color w:val="000000"/>
                <w:kern w:val="0"/>
                <w:sz w:val="20"/>
                <w:szCs w:val="20"/>
              </w:rPr>
            </w:pPr>
            <w:r>
              <w:rPr>
                <w:rFonts w:hint="eastAsia" w:ascii="宋体" w:hAnsi="宋体" w:eastAsia="宋体" w:cs="宋体"/>
                <w:i w:val="0"/>
                <w:iCs w:val="0"/>
                <w:color w:val="000000"/>
                <w:kern w:val="0"/>
                <w:sz w:val="24"/>
                <w:szCs w:val="24"/>
                <w:u w:val="none"/>
                <w:lang w:val="en-US" w:eastAsia="zh-CN" w:bidi="ar"/>
              </w:rPr>
              <w:t>4</w:t>
            </w:r>
          </w:p>
        </w:tc>
        <w:tc>
          <w:tcPr>
            <w:tcW w:w="800" w:type="dxa"/>
            <w:tcBorders>
              <w:top w:val="single" w:color="auto" w:sz="4" w:space="0"/>
              <w:left w:val="nil"/>
              <w:bottom w:val="single" w:color="auto" w:sz="4" w:space="0"/>
              <w:right w:val="single" w:color="auto" w:sz="4" w:space="0"/>
            </w:tcBorders>
            <w:shd w:val="clear" w:color="000000" w:fill="FFFFFF"/>
            <w:vAlign w:val="center"/>
          </w:tcPr>
          <w:p w14:paraId="6344A449">
            <w:pPr>
              <w:widowControl/>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需注明生产厂家</w:t>
            </w:r>
          </w:p>
        </w:tc>
      </w:tr>
      <w:tr w14:paraId="6E4B9753">
        <w:tblPrEx>
          <w:tblCellMar>
            <w:top w:w="0" w:type="dxa"/>
            <w:left w:w="108" w:type="dxa"/>
            <w:bottom w:w="0" w:type="dxa"/>
            <w:right w:w="108" w:type="dxa"/>
          </w:tblCellMar>
        </w:tblPrEx>
        <w:trPr>
          <w:trHeight w:val="800" w:hRule="atLeast"/>
        </w:trPr>
        <w:tc>
          <w:tcPr>
            <w:tcW w:w="867" w:type="dxa"/>
            <w:tcBorders>
              <w:top w:val="single" w:color="auto" w:sz="4" w:space="0"/>
              <w:left w:val="single" w:color="auto" w:sz="4" w:space="0"/>
              <w:bottom w:val="single" w:color="auto" w:sz="4" w:space="0"/>
              <w:right w:val="single" w:color="auto" w:sz="4" w:space="0"/>
            </w:tcBorders>
            <w:shd w:val="clear" w:color="000000" w:fill="FFFFFF"/>
            <w:vAlign w:val="center"/>
          </w:tcPr>
          <w:p w14:paraId="65F71B2C">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2616" w:type="dxa"/>
            <w:tcBorders>
              <w:top w:val="single" w:color="auto" w:sz="4" w:space="0"/>
              <w:left w:val="nil"/>
              <w:bottom w:val="single" w:color="auto" w:sz="4" w:space="0"/>
              <w:right w:val="single" w:color="auto" w:sz="4" w:space="0"/>
            </w:tcBorders>
            <w:shd w:val="clear" w:color="000000" w:fill="FFFFFF"/>
            <w:vAlign w:val="center"/>
          </w:tcPr>
          <w:p w14:paraId="2CAC8076">
            <w:pPr>
              <w:keepNext w:val="0"/>
              <w:keepLines w:val="0"/>
              <w:widowControl/>
              <w:suppressLineNumbers w:val="0"/>
              <w:jc w:val="center"/>
              <w:textAlignment w:val="center"/>
              <w:rPr>
                <w:rFonts w:hint="eastAsia" w:ascii="宋体" w:hAnsi="宋体" w:eastAsia="宋体" w:cs="Times New Roman"/>
                <w:b/>
                <w:bCs/>
                <w:color w:val="000000"/>
                <w:kern w:val="0"/>
                <w:sz w:val="20"/>
                <w:szCs w:val="20"/>
              </w:rPr>
            </w:pPr>
            <w:r>
              <w:rPr>
                <w:rFonts w:hint="eastAsia" w:ascii="宋体" w:hAnsi="宋体" w:eastAsia="宋体" w:cs="宋体"/>
                <w:i w:val="0"/>
                <w:iCs w:val="0"/>
                <w:color w:val="000000"/>
                <w:kern w:val="0"/>
                <w:sz w:val="24"/>
                <w:szCs w:val="24"/>
                <w:u w:val="none"/>
                <w:lang w:val="en-US" w:eastAsia="zh-CN" w:bidi="ar"/>
              </w:rPr>
              <w:t>弧菌显色培平板</w:t>
            </w:r>
          </w:p>
        </w:tc>
        <w:tc>
          <w:tcPr>
            <w:tcW w:w="3426" w:type="dxa"/>
            <w:tcBorders>
              <w:top w:val="single" w:color="auto" w:sz="4" w:space="0"/>
              <w:left w:val="nil"/>
              <w:bottom w:val="single" w:color="auto" w:sz="4" w:space="0"/>
              <w:right w:val="single" w:color="auto" w:sz="4" w:space="0"/>
            </w:tcBorders>
            <w:shd w:val="clear" w:color="000000" w:fill="FFFFFF"/>
            <w:vAlign w:val="center"/>
          </w:tcPr>
          <w:p w14:paraId="6774F998">
            <w:pPr>
              <w:keepNext w:val="0"/>
              <w:keepLines w:val="0"/>
              <w:widowControl/>
              <w:suppressLineNumbers w:val="0"/>
              <w:spacing w:after="220" w:afterAutospacing="0"/>
              <w:jc w:val="left"/>
              <w:textAlignment w:val="center"/>
              <w:rPr>
                <w:rFonts w:hint="eastAsia" w:ascii="宋体" w:hAnsi="宋体" w:eastAsia="宋体" w:cs="Times New Roman"/>
                <w:b/>
                <w:bCs/>
                <w:color w:val="000000"/>
                <w:kern w:val="0"/>
                <w:sz w:val="20"/>
                <w:szCs w:val="20"/>
              </w:rPr>
            </w:pPr>
            <w:r>
              <w:rPr>
                <w:rFonts w:hint="eastAsia" w:ascii="宋体" w:hAnsi="宋体" w:eastAsia="宋体" w:cs="宋体"/>
                <w:i w:val="0"/>
                <w:iCs w:val="0"/>
                <w:color w:val="000000"/>
                <w:kern w:val="0"/>
                <w:sz w:val="22"/>
                <w:szCs w:val="22"/>
                <w:u w:val="none"/>
                <w:lang w:val="en-US" w:eastAsia="zh-CN" w:bidi="ar"/>
              </w:rPr>
              <w:t>1、</w:t>
            </w:r>
            <w:r>
              <w:rPr>
                <w:rFonts w:ascii="Calibri" w:hAnsi="Calibri" w:eastAsia="宋体" w:cs="Calibri"/>
                <w:i w:val="0"/>
                <w:iCs w:val="0"/>
                <w:color w:val="000000"/>
                <w:kern w:val="0"/>
                <w:sz w:val="22"/>
                <w:szCs w:val="22"/>
                <w:u w:val="none"/>
                <w:lang w:val="en-US" w:eastAsia="zh-CN" w:bidi="ar"/>
              </w:rPr>
              <w:t>Φ</w:t>
            </w:r>
            <w:r>
              <w:rPr>
                <w:rFonts w:hint="eastAsia" w:ascii="宋体" w:hAnsi="宋体" w:eastAsia="宋体" w:cs="宋体"/>
                <w:i w:val="0"/>
                <w:iCs w:val="0"/>
                <w:color w:val="000000"/>
                <w:kern w:val="0"/>
                <w:sz w:val="22"/>
                <w:szCs w:val="22"/>
                <w:u w:val="none"/>
                <w:lang w:val="en-US" w:eastAsia="zh-CN" w:bidi="ar"/>
              </w:rPr>
              <w:t>70㎜/块、</w:t>
            </w:r>
            <w:r>
              <w:rPr>
                <w:rFonts w:ascii="Calibri" w:hAnsi="Calibri" w:eastAsia="宋体" w:cs="Calibri"/>
                <w:i w:val="0"/>
                <w:iCs w:val="0"/>
                <w:color w:val="000000"/>
                <w:kern w:val="0"/>
                <w:sz w:val="22"/>
                <w:szCs w:val="22"/>
                <w:u w:val="none"/>
                <w:lang w:val="en-US" w:eastAsia="zh-CN" w:bidi="ar"/>
              </w:rPr>
              <w:t>Φ</w:t>
            </w:r>
            <w:r>
              <w:rPr>
                <w:rFonts w:hint="eastAsia" w:ascii="宋体" w:hAnsi="宋体" w:eastAsia="宋体" w:cs="宋体"/>
                <w:i w:val="0"/>
                <w:iCs w:val="0"/>
                <w:color w:val="000000"/>
                <w:kern w:val="0"/>
                <w:sz w:val="22"/>
                <w:szCs w:val="22"/>
                <w:u w:val="none"/>
                <w:lang w:val="en-US" w:eastAsia="zh-CN" w:bidi="ar"/>
              </w:rPr>
              <w:t>90㎜/块；成分：蛋白胨7.0g/L、酵母膏1.0g/L、氯化钠51.4g/L、N -甲基吲哚酚0.5g/L、琼脂15.0g/L、         5-溴-6-氯-3-吲哚酚0.8g/L</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2、外观：平板内培养基表面湿润平整、均匀分布。3、颜色：平板内培养基呈乳白色半透明；</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4、厚度：平板内培养基厚度≥3㎜  5、软硬度：平板内培养基划线无裂痕。6、PH值：平板内培养基PH值：PH8.5±0.5    7、无菌要求：置35±1℃恒温箱孵育24小时，无细菌生长。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8、细菌生长条件与特征：恒温箱，35±1℃，24小时副溶血弧菌呈紫红色菌落，菌落生长良好；创伤弧菌呈蓝绿色菌落，菌落生长良好；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9、稳定型：平板贮存在2-8℃，3个月，副溶血弧菌、创伤弧菌生长良好。</w:t>
            </w:r>
          </w:p>
        </w:tc>
        <w:tc>
          <w:tcPr>
            <w:tcW w:w="878" w:type="dxa"/>
            <w:tcBorders>
              <w:top w:val="single" w:color="auto" w:sz="4" w:space="0"/>
              <w:left w:val="nil"/>
              <w:bottom w:val="single" w:color="auto" w:sz="4" w:space="0"/>
              <w:right w:val="single" w:color="auto" w:sz="4" w:space="0"/>
            </w:tcBorders>
            <w:shd w:val="clear" w:color="000000" w:fill="FFFFFF"/>
            <w:vAlign w:val="center"/>
          </w:tcPr>
          <w:p w14:paraId="2BA95CD8">
            <w:pPr>
              <w:keepNext w:val="0"/>
              <w:keepLines w:val="0"/>
              <w:widowControl/>
              <w:suppressLineNumbers w:val="0"/>
              <w:jc w:val="center"/>
              <w:textAlignment w:val="center"/>
              <w:rPr>
                <w:rFonts w:hint="eastAsia" w:ascii="宋体" w:hAnsi="宋体" w:eastAsia="宋体" w:cs="Times New Roman"/>
                <w:b/>
                <w:bCs/>
                <w:color w:val="000000"/>
                <w:kern w:val="0"/>
                <w:sz w:val="20"/>
                <w:szCs w:val="20"/>
              </w:rPr>
            </w:pPr>
            <w:r>
              <w:rPr>
                <w:rFonts w:hint="eastAsia" w:ascii="宋体" w:hAnsi="宋体" w:eastAsia="宋体" w:cs="宋体"/>
                <w:i w:val="0"/>
                <w:iCs w:val="0"/>
                <w:color w:val="000000"/>
                <w:kern w:val="0"/>
                <w:sz w:val="24"/>
                <w:szCs w:val="24"/>
                <w:u w:val="none"/>
                <w:lang w:val="en-US" w:eastAsia="zh-CN" w:bidi="ar"/>
              </w:rPr>
              <w:t>20个/盒</w:t>
            </w:r>
          </w:p>
        </w:tc>
        <w:tc>
          <w:tcPr>
            <w:tcW w:w="764" w:type="dxa"/>
            <w:tcBorders>
              <w:top w:val="single" w:color="auto" w:sz="4" w:space="0"/>
              <w:left w:val="nil"/>
              <w:bottom w:val="single" w:color="auto" w:sz="4" w:space="0"/>
              <w:right w:val="single" w:color="auto" w:sz="4" w:space="0"/>
            </w:tcBorders>
            <w:shd w:val="clear" w:color="000000" w:fill="FFFFFF"/>
            <w:vAlign w:val="center"/>
          </w:tcPr>
          <w:p w14:paraId="29F762AA">
            <w:pPr>
              <w:keepNext w:val="0"/>
              <w:keepLines w:val="0"/>
              <w:widowControl/>
              <w:suppressLineNumbers w:val="0"/>
              <w:jc w:val="center"/>
              <w:textAlignment w:val="center"/>
              <w:rPr>
                <w:rFonts w:hint="eastAsia" w:ascii="宋体" w:hAnsi="宋体" w:eastAsia="宋体" w:cs="Times New Roman"/>
                <w:b/>
                <w:bCs/>
                <w:color w:val="000000"/>
                <w:kern w:val="0"/>
                <w:sz w:val="20"/>
                <w:szCs w:val="20"/>
              </w:rPr>
            </w:pPr>
            <w:r>
              <w:rPr>
                <w:rFonts w:hint="eastAsia" w:ascii="宋体" w:hAnsi="宋体" w:eastAsia="宋体" w:cs="宋体"/>
                <w:i w:val="0"/>
                <w:iCs w:val="0"/>
                <w:color w:val="000000"/>
                <w:kern w:val="0"/>
                <w:sz w:val="24"/>
                <w:szCs w:val="24"/>
                <w:u w:val="none"/>
                <w:lang w:val="en-US" w:eastAsia="zh-CN" w:bidi="ar"/>
              </w:rPr>
              <w:t>2</w:t>
            </w:r>
          </w:p>
        </w:tc>
        <w:tc>
          <w:tcPr>
            <w:tcW w:w="800" w:type="dxa"/>
            <w:tcBorders>
              <w:top w:val="single" w:color="auto" w:sz="4" w:space="0"/>
              <w:left w:val="nil"/>
              <w:bottom w:val="single" w:color="auto" w:sz="4" w:space="0"/>
              <w:right w:val="single" w:color="auto" w:sz="4" w:space="0"/>
            </w:tcBorders>
            <w:shd w:val="clear" w:color="000000" w:fill="FFFFFF"/>
            <w:vAlign w:val="center"/>
          </w:tcPr>
          <w:p w14:paraId="720B96EA">
            <w:pPr>
              <w:widowControl/>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需注明生产厂家</w:t>
            </w:r>
          </w:p>
        </w:tc>
      </w:tr>
      <w:tr w14:paraId="68CA88C2">
        <w:tblPrEx>
          <w:tblCellMar>
            <w:top w:w="0" w:type="dxa"/>
            <w:left w:w="108" w:type="dxa"/>
            <w:bottom w:w="0" w:type="dxa"/>
            <w:right w:w="108" w:type="dxa"/>
          </w:tblCellMar>
        </w:tblPrEx>
        <w:trPr>
          <w:trHeight w:val="800" w:hRule="atLeast"/>
        </w:trPr>
        <w:tc>
          <w:tcPr>
            <w:tcW w:w="867" w:type="dxa"/>
            <w:tcBorders>
              <w:top w:val="single" w:color="auto" w:sz="4" w:space="0"/>
              <w:left w:val="single" w:color="auto" w:sz="4" w:space="0"/>
              <w:bottom w:val="single" w:color="auto" w:sz="4" w:space="0"/>
              <w:right w:val="single" w:color="auto" w:sz="4" w:space="0"/>
            </w:tcBorders>
            <w:shd w:val="clear" w:color="000000" w:fill="FFFFFF"/>
            <w:vAlign w:val="center"/>
          </w:tcPr>
          <w:p w14:paraId="40C383DF">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2616" w:type="dxa"/>
            <w:tcBorders>
              <w:top w:val="single" w:color="auto" w:sz="4" w:space="0"/>
              <w:left w:val="nil"/>
              <w:bottom w:val="single" w:color="auto" w:sz="4" w:space="0"/>
              <w:right w:val="single" w:color="auto" w:sz="4" w:space="0"/>
            </w:tcBorders>
            <w:shd w:val="clear" w:color="000000" w:fill="FFFFFF"/>
            <w:vAlign w:val="center"/>
          </w:tcPr>
          <w:p w14:paraId="3C076CEE">
            <w:pPr>
              <w:keepNext w:val="0"/>
              <w:keepLines w:val="0"/>
              <w:widowControl/>
              <w:suppressLineNumbers w:val="0"/>
              <w:jc w:val="center"/>
              <w:textAlignment w:val="center"/>
              <w:rPr>
                <w:rFonts w:hint="eastAsia" w:ascii="宋体" w:hAnsi="宋体" w:eastAsia="宋体" w:cs="Times New Roman"/>
                <w:b/>
                <w:bCs/>
                <w:color w:val="000000"/>
                <w:kern w:val="0"/>
                <w:sz w:val="20"/>
                <w:szCs w:val="20"/>
              </w:rPr>
            </w:pPr>
            <w:r>
              <w:rPr>
                <w:rFonts w:hint="eastAsia" w:ascii="宋体" w:hAnsi="宋体" w:eastAsia="宋体" w:cs="宋体"/>
                <w:i w:val="0"/>
                <w:iCs w:val="0"/>
                <w:color w:val="000000"/>
                <w:kern w:val="0"/>
                <w:sz w:val="24"/>
                <w:szCs w:val="24"/>
                <w:u w:val="none"/>
                <w:lang w:val="en-US" w:eastAsia="zh-CN" w:bidi="ar"/>
              </w:rPr>
              <w:t>HE 平板</w:t>
            </w:r>
          </w:p>
        </w:tc>
        <w:tc>
          <w:tcPr>
            <w:tcW w:w="3426" w:type="dxa"/>
            <w:tcBorders>
              <w:top w:val="single" w:color="auto" w:sz="4" w:space="0"/>
              <w:left w:val="nil"/>
              <w:bottom w:val="single" w:color="auto" w:sz="4" w:space="0"/>
              <w:right w:val="single" w:color="auto" w:sz="4" w:space="0"/>
            </w:tcBorders>
            <w:shd w:val="clear" w:color="000000" w:fill="FFFFFF"/>
            <w:vAlign w:val="center"/>
          </w:tcPr>
          <w:p w14:paraId="4A095306">
            <w:pPr>
              <w:keepNext w:val="0"/>
              <w:keepLines w:val="0"/>
              <w:widowControl/>
              <w:suppressLineNumbers w:val="0"/>
              <w:jc w:val="center"/>
              <w:textAlignment w:val="center"/>
              <w:rPr>
                <w:rFonts w:hint="eastAsia" w:ascii="宋体" w:hAnsi="宋体" w:eastAsia="宋体" w:cs="Times New Roman"/>
                <w:b/>
                <w:bCs/>
                <w:color w:val="000000"/>
                <w:kern w:val="0"/>
                <w:sz w:val="20"/>
                <w:szCs w:val="20"/>
              </w:rPr>
            </w:pPr>
            <w:r>
              <w:rPr>
                <w:rFonts w:hint="eastAsia" w:ascii="宋体" w:hAnsi="宋体" w:eastAsia="宋体" w:cs="宋体"/>
                <w:i w:val="0"/>
                <w:iCs w:val="0"/>
                <w:color w:val="000000"/>
                <w:kern w:val="0"/>
                <w:sz w:val="24"/>
                <w:szCs w:val="24"/>
                <w:u w:val="none"/>
                <w:lang w:val="en-US" w:eastAsia="zh-CN" w:bidi="ar"/>
              </w:rPr>
              <w:t>-</w:t>
            </w:r>
          </w:p>
        </w:tc>
        <w:tc>
          <w:tcPr>
            <w:tcW w:w="878" w:type="dxa"/>
            <w:tcBorders>
              <w:top w:val="single" w:color="auto" w:sz="4" w:space="0"/>
              <w:left w:val="nil"/>
              <w:bottom w:val="single" w:color="auto" w:sz="4" w:space="0"/>
              <w:right w:val="single" w:color="auto" w:sz="4" w:space="0"/>
            </w:tcBorders>
            <w:shd w:val="clear" w:color="000000" w:fill="FFFFFF"/>
            <w:vAlign w:val="center"/>
          </w:tcPr>
          <w:p w14:paraId="36DF2B52">
            <w:pPr>
              <w:keepNext w:val="0"/>
              <w:keepLines w:val="0"/>
              <w:widowControl/>
              <w:suppressLineNumbers w:val="0"/>
              <w:jc w:val="center"/>
              <w:textAlignment w:val="center"/>
              <w:rPr>
                <w:rFonts w:hint="eastAsia" w:ascii="宋体" w:hAnsi="宋体" w:eastAsia="宋体" w:cs="Times New Roman"/>
                <w:b/>
                <w:bCs/>
                <w:color w:val="000000"/>
                <w:kern w:val="0"/>
                <w:sz w:val="20"/>
                <w:szCs w:val="20"/>
              </w:rPr>
            </w:pPr>
            <w:r>
              <w:rPr>
                <w:rFonts w:hint="eastAsia" w:ascii="宋体" w:hAnsi="宋体" w:eastAsia="宋体" w:cs="宋体"/>
                <w:i w:val="0"/>
                <w:iCs w:val="0"/>
                <w:color w:val="000000"/>
                <w:kern w:val="0"/>
                <w:sz w:val="24"/>
                <w:szCs w:val="24"/>
                <w:u w:val="none"/>
                <w:lang w:val="en-US" w:eastAsia="zh-CN" w:bidi="ar"/>
              </w:rPr>
              <w:t>20个/盒</w:t>
            </w:r>
          </w:p>
        </w:tc>
        <w:tc>
          <w:tcPr>
            <w:tcW w:w="764" w:type="dxa"/>
            <w:tcBorders>
              <w:top w:val="single" w:color="auto" w:sz="4" w:space="0"/>
              <w:left w:val="nil"/>
              <w:bottom w:val="single" w:color="auto" w:sz="4" w:space="0"/>
              <w:right w:val="single" w:color="auto" w:sz="4" w:space="0"/>
            </w:tcBorders>
            <w:shd w:val="clear" w:color="000000" w:fill="FFFFFF"/>
            <w:vAlign w:val="center"/>
          </w:tcPr>
          <w:p w14:paraId="39A048DD">
            <w:pPr>
              <w:keepNext w:val="0"/>
              <w:keepLines w:val="0"/>
              <w:widowControl/>
              <w:suppressLineNumbers w:val="0"/>
              <w:jc w:val="center"/>
              <w:textAlignment w:val="center"/>
              <w:rPr>
                <w:rFonts w:hint="eastAsia" w:ascii="宋体" w:hAnsi="宋体" w:eastAsia="宋体" w:cs="Times New Roman"/>
                <w:b/>
                <w:bCs/>
                <w:color w:val="000000"/>
                <w:kern w:val="0"/>
                <w:sz w:val="20"/>
                <w:szCs w:val="20"/>
              </w:rPr>
            </w:pPr>
            <w:r>
              <w:rPr>
                <w:rFonts w:hint="eastAsia" w:ascii="宋体" w:hAnsi="宋体" w:eastAsia="宋体" w:cs="宋体"/>
                <w:i w:val="0"/>
                <w:iCs w:val="0"/>
                <w:color w:val="000000"/>
                <w:kern w:val="0"/>
                <w:sz w:val="24"/>
                <w:szCs w:val="24"/>
                <w:u w:val="none"/>
                <w:lang w:val="en-US" w:eastAsia="zh-CN" w:bidi="ar"/>
              </w:rPr>
              <w:t>4</w:t>
            </w:r>
          </w:p>
        </w:tc>
        <w:tc>
          <w:tcPr>
            <w:tcW w:w="800" w:type="dxa"/>
            <w:tcBorders>
              <w:top w:val="single" w:color="auto" w:sz="4" w:space="0"/>
              <w:left w:val="nil"/>
              <w:bottom w:val="single" w:color="auto" w:sz="4" w:space="0"/>
              <w:right w:val="single" w:color="auto" w:sz="4" w:space="0"/>
            </w:tcBorders>
            <w:shd w:val="clear" w:color="000000" w:fill="FFFFFF"/>
            <w:vAlign w:val="center"/>
          </w:tcPr>
          <w:p w14:paraId="007BBF02">
            <w:pPr>
              <w:widowControl/>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需注明生产厂家</w:t>
            </w:r>
          </w:p>
        </w:tc>
      </w:tr>
      <w:tr w14:paraId="6CEC9ABE">
        <w:tblPrEx>
          <w:tblCellMar>
            <w:top w:w="0" w:type="dxa"/>
            <w:left w:w="108" w:type="dxa"/>
            <w:bottom w:w="0" w:type="dxa"/>
            <w:right w:w="108" w:type="dxa"/>
          </w:tblCellMar>
        </w:tblPrEx>
        <w:trPr>
          <w:trHeight w:val="800" w:hRule="atLeast"/>
        </w:trPr>
        <w:tc>
          <w:tcPr>
            <w:tcW w:w="867" w:type="dxa"/>
            <w:tcBorders>
              <w:top w:val="single" w:color="auto" w:sz="4" w:space="0"/>
              <w:left w:val="single" w:color="auto" w:sz="4" w:space="0"/>
              <w:bottom w:val="single" w:color="auto" w:sz="4" w:space="0"/>
              <w:right w:val="single" w:color="auto" w:sz="4" w:space="0"/>
            </w:tcBorders>
            <w:shd w:val="clear" w:color="000000" w:fill="FFFFFF"/>
            <w:vAlign w:val="center"/>
          </w:tcPr>
          <w:p w14:paraId="2E0453B8">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2616" w:type="dxa"/>
            <w:tcBorders>
              <w:top w:val="single" w:color="auto" w:sz="4" w:space="0"/>
              <w:left w:val="nil"/>
              <w:bottom w:val="single" w:color="auto" w:sz="4" w:space="0"/>
              <w:right w:val="single" w:color="auto" w:sz="4" w:space="0"/>
            </w:tcBorders>
            <w:shd w:val="clear" w:color="000000" w:fill="FFFFFF"/>
            <w:vAlign w:val="center"/>
          </w:tcPr>
          <w:p w14:paraId="4693A409">
            <w:pPr>
              <w:keepNext w:val="0"/>
              <w:keepLines w:val="0"/>
              <w:widowControl/>
              <w:suppressLineNumbers w:val="0"/>
              <w:jc w:val="center"/>
              <w:textAlignment w:val="center"/>
              <w:rPr>
                <w:rFonts w:hint="eastAsia" w:ascii="宋体" w:hAnsi="宋体" w:eastAsia="宋体" w:cs="Times New Roman"/>
                <w:b/>
                <w:bCs/>
                <w:color w:val="000000"/>
                <w:kern w:val="0"/>
                <w:sz w:val="20"/>
                <w:szCs w:val="20"/>
              </w:rPr>
            </w:pPr>
            <w:r>
              <w:rPr>
                <w:rFonts w:hint="eastAsia" w:ascii="宋体" w:hAnsi="宋体" w:eastAsia="宋体" w:cs="宋体"/>
                <w:i w:val="0"/>
                <w:iCs w:val="0"/>
                <w:color w:val="000000"/>
                <w:kern w:val="0"/>
                <w:sz w:val="24"/>
                <w:szCs w:val="24"/>
                <w:u w:val="none"/>
                <w:lang w:val="en-US" w:eastAsia="zh-CN" w:bidi="ar"/>
              </w:rPr>
              <w:t>麦康凯平板</w:t>
            </w:r>
          </w:p>
        </w:tc>
        <w:tc>
          <w:tcPr>
            <w:tcW w:w="3426" w:type="dxa"/>
            <w:tcBorders>
              <w:top w:val="single" w:color="auto" w:sz="4" w:space="0"/>
              <w:left w:val="nil"/>
              <w:bottom w:val="single" w:color="auto" w:sz="4" w:space="0"/>
              <w:right w:val="single" w:color="auto" w:sz="4" w:space="0"/>
            </w:tcBorders>
            <w:shd w:val="clear" w:color="000000" w:fill="FFFFFF"/>
            <w:vAlign w:val="center"/>
          </w:tcPr>
          <w:p w14:paraId="03DAC718">
            <w:pPr>
              <w:keepNext w:val="0"/>
              <w:keepLines w:val="0"/>
              <w:widowControl/>
              <w:suppressLineNumbers w:val="0"/>
              <w:jc w:val="center"/>
              <w:textAlignment w:val="center"/>
              <w:rPr>
                <w:rFonts w:hint="eastAsia" w:ascii="宋体" w:hAnsi="宋体" w:eastAsia="宋体" w:cs="Times New Roman"/>
                <w:b/>
                <w:bCs/>
                <w:color w:val="000000"/>
                <w:kern w:val="0"/>
                <w:sz w:val="20"/>
                <w:szCs w:val="20"/>
              </w:rPr>
            </w:pPr>
            <w:r>
              <w:rPr>
                <w:rFonts w:hint="eastAsia" w:ascii="宋体" w:hAnsi="宋体" w:eastAsia="宋体" w:cs="宋体"/>
                <w:i w:val="0"/>
                <w:iCs w:val="0"/>
                <w:color w:val="000000"/>
                <w:kern w:val="0"/>
                <w:sz w:val="24"/>
                <w:szCs w:val="24"/>
                <w:u w:val="none"/>
                <w:lang w:val="en-US" w:eastAsia="zh-CN" w:bidi="ar"/>
              </w:rPr>
              <w:t>-</w:t>
            </w:r>
          </w:p>
        </w:tc>
        <w:tc>
          <w:tcPr>
            <w:tcW w:w="878" w:type="dxa"/>
            <w:tcBorders>
              <w:top w:val="single" w:color="auto" w:sz="4" w:space="0"/>
              <w:left w:val="nil"/>
              <w:bottom w:val="single" w:color="auto" w:sz="4" w:space="0"/>
              <w:right w:val="single" w:color="auto" w:sz="4" w:space="0"/>
            </w:tcBorders>
            <w:shd w:val="clear" w:color="000000" w:fill="FFFFFF"/>
            <w:vAlign w:val="center"/>
          </w:tcPr>
          <w:p w14:paraId="2233CD66">
            <w:pPr>
              <w:keepNext w:val="0"/>
              <w:keepLines w:val="0"/>
              <w:widowControl/>
              <w:suppressLineNumbers w:val="0"/>
              <w:jc w:val="center"/>
              <w:textAlignment w:val="center"/>
              <w:rPr>
                <w:rFonts w:hint="eastAsia" w:ascii="宋体" w:hAnsi="宋体" w:eastAsia="宋体" w:cs="Times New Roman"/>
                <w:b/>
                <w:bCs/>
                <w:color w:val="000000"/>
                <w:kern w:val="0"/>
                <w:sz w:val="20"/>
                <w:szCs w:val="20"/>
              </w:rPr>
            </w:pPr>
            <w:r>
              <w:rPr>
                <w:rFonts w:hint="eastAsia" w:ascii="宋体" w:hAnsi="宋体" w:eastAsia="宋体" w:cs="宋体"/>
                <w:i w:val="0"/>
                <w:iCs w:val="0"/>
                <w:color w:val="000000"/>
                <w:kern w:val="0"/>
                <w:sz w:val="24"/>
                <w:szCs w:val="24"/>
                <w:u w:val="none"/>
                <w:lang w:val="en-US" w:eastAsia="zh-CN" w:bidi="ar"/>
              </w:rPr>
              <w:t>20个/盒</w:t>
            </w:r>
          </w:p>
        </w:tc>
        <w:tc>
          <w:tcPr>
            <w:tcW w:w="764" w:type="dxa"/>
            <w:tcBorders>
              <w:top w:val="single" w:color="auto" w:sz="4" w:space="0"/>
              <w:left w:val="nil"/>
              <w:bottom w:val="single" w:color="auto" w:sz="4" w:space="0"/>
              <w:right w:val="single" w:color="auto" w:sz="4" w:space="0"/>
            </w:tcBorders>
            <w:shd w:val="clear" w:color="000000" w:fill="FFFFFF"/>
            <w:vAlign w:val="center"/>
          </w:tcPr>
          <w:p w14:paraId="7E72FB12">
            <w:pPr>
              <w:keepNext w:val="0"/>
              <w:keepLines w:val="0"/>
              <w:widowControl/>
              <w:suppressLineNumbers w:val="0"/>
              <w:jc w:val="center"/>
              <w:textAlignment w:val="center"/>
              <w:rPr>
                <w:rFonts w:hint="eastAsia" w:ascii="宋体" w:hAnsi="宋体" w:eastAsia="宋体" w:cs="Times New Roman"/>
                <w:b/>
                <w:bCs/>
                <w:color w:val="000000"/>
                <w:kern w:val="0"/>
                <w:sz w:val="20"/>
                <w:szCs w:val="20"/>
              </w:rPr>
            </w:pPr>
            <w:r>
              <w:rPr>
                <w:rFonts w:hint="eastAsia" w:ascii="宋体" w:hAnsi="宋体" w:eastAsia="宋体" w:cs="宋体"/>
                <w:i w:val="0"/>
                <w:iCs w:val="0"/>
                <w:color w:val="000000"/>
                <w:kern w:val="0"/>
                <w:sz w:val="24"/>
                <w:szCs w:val="24"/>
                <w:u w:val="none"/>
                <w:lang w:val="en-US" w:eastAsia="zh-CN" w:bidi="ar"/>
              </w:rPr>
              <w:t>4</w:t>
            </w:r>
          </w:p>
        </w:tc>
        <w:tc>
          <w:tcPr>
            <w:tcW w:w="800" w:type="dxa"/>
            <w:tcBorders>
              <w:top w:val="single" w:color="auto" w:sz="4" w:space="0"/>
              <w:left w:val="nil"/>
              <w:bottom w:val="single" w:color="auto" w:sz="4" w:space="0"/>
              <w:right w:val="single" w:color="auto" w:sz="4" w:space="0"/>
            </w:tcBorders>
            <w:shd w:val="clear" w:color="000000" w:fill="FFFFFF"/>
            <w:vAlign w:val="center"/>
          </w:tcPr>
          <w:p w14:paraId="3B7EB2F9">
            <w:pPr>
              <w:widowControl/>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需注明生产厂家</w:t>
            </w:r>
          </w:p>
        </w:tc>
      </w:tr>
      <w:tr w14:paraId="1AF123C5">
        <w:tblPrEx>
          <w:tblCellMar>
            <w:top w:w="0" w:type="dxa"/>
            <w:left w:w="108" w:type="dxa"/>
            <w:bottom w:w="0" w:type="dxa"/>
            <w:right w:w="108" w:type="dxa"/>
          </w:tblCellMar>
        </w:tblPrEx>
        <w:trPr>
          <w:trHeight w:val="800" w:hRule="atLeast"/>
        </w:trPr>
        <w:tc>
          <w:tcPr>
            <w:tcW w:w="867" w:type="dxa"/>
            <w:tcBorders>
              <w:top w:val="single" w:color="auto" w:sz="4" w:space="0"/>
              <w:left w:val="single" w:color="auto" w:sz="4" w:space="0"/>
              <w:bottom w:val="single" w:color="auto" w:sz="4" w:space="0"/>
              <w:right w:val="single" w:color="auto" w:sz="4" w:space="0"/>
            </w:tcBorders>
            <w:shd w:val="clear" w:color="000000" w:fill="FFFFFF"/>
            <w:vAlign w:val="center"/>
          </w:tcPr>
          <w:p w14:paraId="698C0AA7">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2616" w:type="dxa"/>
            <w:tcBorders>
              <w:top w:val="single" w:color="auto" w:sz="4" w:space="0"/>
              <w:left w:val="nil"/>
              <w:bottom w:val="single" w:color="auto" w:sz="4" w:space="0"/>
              <w:right w:val="single" w:color="auto" w:sz="4" w:space="0"/>
            </w:tcBorders>
            <w:shd w:val="clear" w:color="000000" w:fill="FFFFFF"/>
            <w:vAlign w:val="center"/>
          </w:tcPr>
          <w:p w14:paraId="77DC0DDA">
            <w:pPr>
              <w:keepNext w:val="0"/>
              <w:keepLines w:val="0"/>
              <w:widowControl/>
              <w:suppressLineNumbers w:val="0"/>
              <w:jc w:val="center"/>
              <w:textAlignment w:val="center"/>
              <w:rPr>
                <w:rFonts w:hint="eastAsia" w:ascii="宋体" w:hAnsi="宋体" w:eastAsia="宋体" w:cs="Times New Roman"/>
                <w:b/>
                <w:bCs/>
                <w:color w:val="000000"/>
                <w:kern w:val="0"/>
                <w:sz w:val="20"/>
                <w:szCs w:val="20"/>
              </w:rPr>
            </w:pPr>
            <w:r>
              <w:rPr>
                <w:rFonts w:hint="eastAsia" w:ascii="宋体" w:hAnsi="宋体" w:eastAsia="宋体" w:cs="宋体"/>
                <w:i w:val="0"/>
                <w:iCs w:val="0"/>
                <w:color w:val="000000"/>
                <w:kern w:val="0"/>
                <w:sz w:val="24"/>
                <w:szCs w:val="24"/>
                <w:u w:val="none"/>
                <w:lang w:val="en-US" w:eastAsia="zh-CN" w:bidi="ar"/>
              </w:rPr>
              <w:t>SC 增菌液</w:t>
            </w:r>
          </w:p>
        </w:tc>
        <w:tc>
          <w:tcPr>
            <w:tcW w:w="3426" w:type="dxa"/>
            <w:tcBorders>
              <w:top w:val="single" w:color="auto" w:sz="4" w:space="0"/>
              <w:left w:val="nil"/>
              <w:bottom w:val="single" w:color="auto" w:sz="4" w:space="0"/>
              <w:right w:val="single" w:color="auto" w:sz="4" w:space="0"/>
            </w:tcBorders>
            <w:shd w:val="clear" w:color="000000" w:fill="FFFFFF"/>
            <w:vAlign w:val="center"/>
          </w:tcPr>
          <w:p w14:paraId="1D37AF97">
            <w:pPr>
              <w:keepNext w:val="0"/>
              <w:keepLines w:val="0"/>
              <w:widowControl/>
              <w:suppressLineNumbers w:val="0"/>
              <w:jc w:val="center"/>
              <w:textAlignment w:val="center"/>
              <w:rPr>
                <w:rFonts w:hint="eastAsia" w:ascii="宋体" w:hAnsi="宋体" w:eastAsia="宋体" w:cs="Times New Roman"/>
                <w:b/>
                <w:bCs/>
                <w:color w:val="000000"/>
                <w:kern w:val="0"/>
                <w:sz w:val="20"/>
                <w:szCs w:val="20"/>
              </w:rPr>
            </w:pPr>
            <w:r>
              <w:rPr>
                <w:rFonts w:hint="eastAsia" w:ascii="宋体" w:hAnsi="宋体" w:eastAsia="宋体" w:cs="宋体"/>
                <w:i w:val="0"/>
                <w:iCs w:val="0"/>
                <w:color w:val="000000"/>
                <w:kern w:val="0"/>
                <w:sz w:val="24"/>
                <w:szCs w:val="24"/>
                <w:u w:val="none"/>
                <w:lang w:val="en-US" w:eastAsia="zh-CN" w:bidi="ar"/>
              </w:rPr>
              <w:t>-</w:t>
            </w:r>
          </w:p>
        </w:tc>
        <w:tc>
          <w:tcPr>
            <w:tcW w:w="878" w:type="dxa"/>
            <w:tcBorders>
              <w:top w:val="single" w:color="auto" w:sz="4" w:space="0"/>
              <w:left w:val="nil"/>
              <w:bottom w:val="single" w:color="auto" w:sz="4" w:space="0"/>
              <w:right w:val="single" w:color="auto" w:sz="4" w:space="0"/>
            </w:tcBorders>
            <w:shd w:val="clear" w:color="000000" w:fill="FFFFFF"/>
            <w:vAlign w:val="center"/>
          </w:tcPr>
          <w:p w14:paraId="7B8C2B26">
            <w:pPr>
              <w:keepNext w:val="0"/>
              <w:keepLines w:val="0"/>
              <w:widowControl/>
              <w:suppressLineNumbers w:val="0"/>
              <w:jc w:val="center"/>
              <w:textAlignment w:val="center"/>
              <w:rPr>
                <w:rFonts w:hint="eastAsia" w:ascii="宋体" w:hAnsi="宋体" w:eastAsia="宋体" w:cs="Times New Roman"/>
                <w:b/>
                <w:bCs/>
                <w:color w:val="000000"/>
                <w:kern w:val="0"/>
                <w:sz w:val="20"/>
                <w:szCs w:val="20"/>
              </w:rPr>
            </w:pPr>
            <w:r>
              <w:rPr>
                <w:rFonts w:hint="eastAsia" w:ascii="宋体" w:hAnsi="宋体" w:eastAsia="宋体" w:cs="宋体"/>
                <w:i w:val="0"/>
                <w:iCs w:val="0"/>
                <w:color w:val="000000"/>
                <w:kern w:val="0"/>
                <w:sz w:val="24"/>
                <w:szCs w:val="24"/>
                <w:u w:val="none"/>
                <w:lang w:val="en-US" w:eastAsia="zh-CN" w:bidi="ar"/>
              </w:rPr>
              <w:t>10ml*20 管</w:t>
            </w:r>
          </w:p>
        </w:tc>
        <w:tc>
          <w:tcPr>
            <w:tcW w:w="764" w:type="dxa"/>
            <w:tcBorders>
              <w:top w:val="single" w:color="auto" w:sz="4" w:space="0"/>
              <w:left w:val="nil"/>
              <w:bottom w:val="single" w:color="auto" w:sz="4" w:space="0"/>
              <w:right w:val="single" w:color="auto" w:sz="4" w:space="0"/>
            </w:tcBorders>
            <w:shd w:val="clear" w:color="000000" w:fill="FFFFFF"/>
            <w:vAlign w:val="center"/>
          </w:tcPr>
          <w:p w14:paraId="4BB5FE71">
            <w:pPr>
              <w:keepNext w:val="0"/>
              <w:keepLines w:val="0"/>
              <w:widowControl/>
              <w:suppressLineNumbers w:val="0"/>
              <w:jc w:val="center"/>
              <w:textAlignment w:val="center"/>
              <w:rPr>
                <w:rFonts w:hint="eastAsia" w:ascii="宋体" w:hAnsi="宋体" w:eastAsia="宋体" w:cs="Times New Roman"/>
                <w:b/>
                <w:bCs/>
                <w:color w:val="000000"/>
                <w:kern w:val="0"/>
                <w:sz w:val="20"/>
                <w:szCs w:val="20"/>
              </w:rPr>
            </w:pPr>
            <w:r>
              <w:rPr>
                <w:rFonts w:hint="eastAsia" w:ascii="宋体" w:hAnsi="宋体" w:eastAsia="宋体" w:cs="宋体"/>
                <w:i w:val="0"/>
                <w:iCs w:val="0"/>
                <w:color w:val="000000"/>
                <w:kern w:val="0"/>
                <w:sz w:val="24"/>
                <w:szCs w:val="24"/>
                <w:u w:val="none"/>
                <w:lang w:val="en-US" w:eastAsia="zh-CN" w:bidi="ar"/>
              </w:rPr>
              <w:t>4</w:t>
            </w:r>
          </w:p>
        </w:tc>
        <w:tc>
          <w:tcPr>
            <w:tcW w:w="800" w:type="dxa"/>
            <w:tcBorders>
              <w:top w:val="single" w:color="auto" w:sz="4" w:space="0"/>
              <w:left w:val="nil"/>
              <w:bottom w:val="single" w:color="auto" w:sz="4" w:space="0"/>
              <w:right w:val="single" w:color="auto" w:sz="4" w:space="0"/>
            </w:tcBorders>
            <w:shd w:val="clear" w:color="000000" w:fill="FFFFFF"/>
            <w:vAlign w:val="center"/>
          </w:tcPr>
          <w:p w14:paraId="003E09AC">
            <w:pPr>
              <w:widowControl/>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需注明生产厂家</w:t>
            </w:r>
          </w:p>
        </w:tc>
      </w:tr>
      <w:tr w14:paraId="739CBD1C">
        <w:tblPrEx>
          <w:tblCellMar>
            <w:top w:w="0" w:type="dxa"/>
            <w:left w:w="108" w:type="dxa"/>
            <w:bottom w:w="0" w:type="dxa"/>
            <w:right w:w="108" w:type="dxa"/>
          </w:tblCellMar>
        </w:tblPrEx>
        <w:trPr>
          <w:trHeight w:val="800" w:hRule="atLeast"/>
        </w:trPr>
        <w:tc>
          <w:tcPr>
            <w:tcW w:w="867" w:type="dxa"/>
            <w:tcBorders>
              <w:top w:val="single" w:color="auto" w:sz="4" w:space="0"/>
              <w:left w:val="single" w:color="auto" w:sz="4" w:space="0"/>
              <w:bottom w:val="single" w:color="auto" w:sz="4" w:space="0"/>
              <w:right w:val="single" w:color="auto" w:sz="4" w:space="0"/>
            </w:tcBorders>
            <w:shd w:val="clear" w:color="000000" w:fill="FFFFFF"/>
            <w:vAlign w:val="center"/>
          </w:tcPr>
          <w:p w14:paraId="77F6A4A5">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2616" w:type="dxa"/>
            <w:tcBorders>
              <w:top w:val="single" w:color="auto" w:sz="4" w:space="0"/>
              <w:left w:val="nil"/>
              <w:bottom w:val="single" w:color="auto" w:sz="4" w:space="0"/>
              <w:right w:val="single" w:color="auto" w:sz="4" w:space="0"/>
            </w:tcBorders>
            <w:shd w:val="clear" w:color="000000" w:fill="FFFFFF"/>
            <w:vAlign w:val="center"/>
          </w:tcPr>
          <w:p w14:paraId="27631FDB">
            <w:pPr>
              <w:keepNext w:val="0"/>
              <w:keepLines w:val="0"/>
              <w:widowControl/>
              <w:suppressLineNumbers w:val="0"/>
              <w:jc w:val="center"/>
              <w:textAlignment w:val="center"/>
              <w:rPr>
                <w:rFonts w:hint="eastAsia" w:ascii="宋体" w:hAnsi="宋体" w:eastAsia="宋体" w:cs="Times New Roman"/>
                <w:b/>
                <w:bCs/>
                <w:color w:val="000000"/>
                <w:kern w:val="0"/>
                <w:sz w:val="20"/>
                <w:szCs w:val="20"/>
              </w:rPr>
            </w:pPr>
            <w:r>
              <w:rPr>
                <w:rFonts w:hint="eastAsia" w:ascii="宋体" w:hAnsi="宋体" w:eastAsia="宋体" w:cs="宋体"/>
                <w:i w:val="0"/>
                <w:iCs w:val="0"/>
                <w:color w:val="000000"/>
                <w:kern w:val="0"/>
                <w:sz w:val="24"/>
                <w:szCs w:val="24"/>
                <w:u w:val="none"/>
                <w:lang w:val="en-US" w:eastAsia="zh-CN" w:bidi="ar"/>
              </w:rPr>
              <w:t>3%氯化钠碱性蛋白胨水</w:t>
            </w:r>
          </w:p>
        </w:tc>
        <w:tc>
          <w:tcPr>
            <w:tcW w:w="3426" w:type="dxa"/>
            <w:tcBorders>
              <w:top w:val="single" w:color="auto" w:sz="4" w:space="0"/>
              <w:left w:val="nil"/>
              <w:bottom w:val="single" w:color="auto" w:sz="4" w:space="0"/>
              <w:right w:val="single" w:color="auto" w:sz="4" w:space="0"/>
            </w:tcBorders>
            <w:shd w:val="clear" w:color="000000" w:fill="FFFFFF"/>
            <w:vAlign w:val="center"/>
          </w:tcPr>
          <w:p w14:paraId="7F399DD2">
            <w:pPr>
              <w:keepNext w:val="0"/>
              <w:keepLines w:val="0"/>
              <w:widowControl/>
              <w:suppressLineNumbers w:val="0"/>
              <w:jc w:val="center"/>
              <w:textAlignment w:val="center"/>
              <w:rPr>
                <w:rFonts w:hint="eastAsia" w:ascii="宋体" w:hAnsi="宋体" w:eastAsia="宋体" w:cs="Times New Roman"/>
                <w:b/>
                <w:bCs/>
                <w:color w:val="000000"/>
                <w:kern w:val="0"/>
                <w:sz w:val="20"/>
                <w:szCs w:val="20"/>
              </w:rPr>
            </w:pPr>
            <w:r>
              <w:rPr>
                <w:rFonts w:hint="eastAsia" w:ascii="宋体" w:hAnsi="宋体" w:eastAsia="宋体" w:cs="宋体"/>
                <w:i w:val="0"/>
                <w:iCs w:val="0"/>
                <w:color w:val="000000"/>
                <w:kern w:val="0"/>
                <w:sz w:val="24"/>
                <w:szCs w:val="24"/>
                <w:u w:val="none"/>
                <w:lang w:val="en-US" w:eastAsia="zh-CN" w:bidi="ar"/>
              </w:rPr>
              <w:t>-</w:t>
            </w:r>
          </w:p>
        </w:tc>
        <w:tc>
          <w:tcPr>
            <w:tcW w:w="878" w:type="dxa"/>
            <w:tcBorders>
              <w:top w:val="single" w:color="auto" w:sz="4" w:space="0"/>
              <w:left w:val="nil"/>
              <w:bottom w:val="single" w:color="auto" w:sz="4" w:space="0"/>
              <w:right w:val="single" w:color="auto" w:sz="4" w:space="0"/>
            </w:tcBorders>
            <w:shd w:val="clear" w:color="000000" w:fill="FFFFFF"/>
            <w:vAlign w:val="center"/>
          </w:tcPr>
          <w:p w14:paraId="161824A9">
            <w:pPr>
              <w:keepNext w:val="0"/>
              <w:keepLines w:val="0"/>
              <w:widowControl/>
              <w:suppressLineNumbers w:val="0"/>
              <w:jc w:val="center"/>
              <w:textAlignment w:val="center"/>
              <w:rPr>
                <w:rFonts w:hint="eastAsia" w:ascii="宋体" w:hAnsi="宋体" w:eastAsia="宋体" w:cs="Times New Roman"/>
                <w:b/>
                <w:bCs/>
                <w:color w:val="000000"/>
                <w:kern w:val="0"/>
                <w:sz w:val="20"/>
                <w:szCs w:val="20"/>
              </w:rPr>
            </w:pPr>
            <w:r>
              <w:rPr>
                <w:rFonts w:hint="eastAsia" w:ascii="宋体" w:hAnsi="宋体" w:eastAsia="宋体" w:cs="宋体"/>
                <w:i w:val="0"/>
                <w:iCs w:val="0"/>
                <w:color w:val="000000"/>
                <w:kern w:val="0"/>
                <w:sz w:val="24"/>
                <w:szCs w:val="24"/>
                <w:u w:val="none"/>
                <w:lang w:val="en-US" w:eastAsia="zh-CN" w:bidi="ar"/>
              </w:rPr>
              <w:t>9ml*20支</w:t>
            </w:r>
          </w:p>
        </w:tc>
        <w:tc>
          <w:tcPr>
            <w:tcW w:w="764" w:type="dxa"/>
            <w:tcBorders>
              <w:top w:val="single" w:color="auto" w:sz="4" w:space="0"/>
              <w:left w:val="nil"/>
              <w:bottom w:val="single" w:color="auto" w:sz="4" w:space="0"/>
              <w:right w:val="single" w:color="auto" w:sz="4" w:space="0"/>
            </w:tcBorders>
            <w:shd w:val="clear" w:color="000000" w:fill="FFFFFF"/>
            <w:vAlign w:val="center"/>
          </w:tcPr>
          <w:p w14:paraId="471EDBC9">
            <w:pPr>
              <w:keepNext w:val="0"/>
              <w:keepLines w:val="0"/>
              <w:widowControl/>
              <w:suppressLineNumbers w:val="0"/>
              <w:jc w:val="center"/>
              <w:textAlignment w:val="center"/>
              <w:rPr>
                <w:rFonts w:hint="eastAsia" w:ascii="宋体" w:hAnsi="宋体" w:eastAsia="宋体" w:cs="Times New Roman"/>
                <w:b/>
                <w:bCs/>
                <w:color w:val="000000"/>
                <w:kern w:val="0"/>
                <w:sz w:val="20"/>
                <w:szCs w:val="20"/>
              </w:rPr>
            </w:pPr>
            <w:r>
              <w:rPr>
                <w:rFonts w:hint="eastAsia" w:ascii="宋体" w:hAnsi="宋体" w:eastAsia="宋体" w:cs="宋体"/>
                <w:i w:val="0"/>
                <w:iCs w:val="0"/>
                <w:color w:val="000000"/>
                <w:kern w:val="0"/>
                <w:sz w:val="24"/>
                <w:szCs w:val="24"/>
                <w:u w:val="none"/>
                <w:lang w:val="en-US" w:eastAsia="zh-CN" w:bidi="ar"/>
              </w:rPr>
              <w:t>4</w:t>
            </w:r>
          </w:p>
        </w:tc>
        <w:tc>
          <w:tcPr>
            <w:tcW w:w="800" w:type="dxa"/>
            <w:tcBorders>
              <w:top w:val="single" w:color="auto" w:sz="4" w:space="0"/>
              <w:left w:val="nil"/>
              <w:bottom w:val="single" w:color="auto" w:sz="4" w:space="0"/>
              <w:right w:val="single" w:color="auto" w:sz="4" w:space="0"/>
            </w:tcBorders>
            <w:shd w:val="clear" w:color="000000" w:fill="FFFFFF"/>
            <w:vAlign w:val="center"/>
          </w:tcPr>
          <w:p w14:paraId="7F153223">
            <w:pPr>
              <w:widowControl/>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需注明生产厂家</w:t>
            </w:r>
          </w:p>
        </w:tc>
      </w:tr>
      <w:tr w14:paraId="507DBFCA">
        <w:tblPrEx>
          <w:tblCellMar>
            <w:top w:w="0" w:type="dxa"/>
            <w:left w:w="108" w:type="dxa"/>
            <w:bottom w:w="0" w:type="dxa"/>
            <w:right w:w="108" w:type="dxa"/>
          </w:tblCellMar>
        </w:tblPrEx>
        <w:trPr>
          <w:trHeight w:val="800" w:hRule="atLeast"/>
        </w:trPr>
        <w:tc>
          <w:tcPr>
            <w:tcW w:w="867" w:type="dxa"/>
            <w:tcBorders>
              <w:top w:val="single" w:color="auto" w:sz="4" w:space="0"/>
              <w:left w:val="single" w:color="auto" w:sz="4" w:space="0"/>
              <w:bottom w:val="single" w:color="auto" w:sz="4" w:space="0"/>
              <w:right w:val="single" w:color="auto" w:sz="4" w:space="0"/>
            </w:tcBorders>
            <w:shd w:val="clear" w:color="000000" w:fill="FFFFFF"/>
            <w:vAlign w:val="center"/>
          </w:tcPr>
          <w:p w14:paraId="063FB13E">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2616" w:type="dxa"/>
            <w:tcBorders>
              <w:top w:val="single" w:color="auto" w:sz="4" w:space="0"/>
              <w:left w:val="nil"/>
              <w:bottom w:val="single" w:color="auto" w:sz="4" w:space="0"/>
              <w:right w:val="single" w:color="auto" w:sz="4" w:space="0"/>
            </w:tcBorders>
            <w:shd w:val="clear" w:color="000000" w:fill="FFFFFF"/>
            <w:vAlign w:val="center"/>
          </w:tcPr>
          <w:p w14:paraId="40E0FB17">
            <w:pPr>
              <w:keepNext w:val="0"/>
              <w:keepLines w:val="0"/>
              <w:widowControl/>
              <w:suppressLineNumbers w:val="0"/>
              <w:jc w:val="center"/>
              <w:textAlignment w:val="center"/>
              <w:rPr>
                <w:rFonts w:hint="eastAsia" w:ascii="宋体" w:hAnsi="宋体" w:eastAsia="宋体" w:cs="Times New Roman"/>
                <w:b/>
                <w:bCs/>
                <w:color w:val="000000"/>
                <w:kern w:val="0"/>
                <w:sz w:val="20"/>
                <w:szCs w:val="20"/>
              </w:rPr>
            </w:pPr>
            <w:r>
              <w:rPr>
                <w:rFonts w:hint="eastAsia" w:ascii="宋体" w:hAnsi="宋体" w:eastAsia="宋体" w:cs="宋体"/>
                <w:i w:val="0"/>
                <w:iCs w:val="0"/>
                <w:color w:val="000000"/>
                <w:kern w:val="0"/>
                <w:sz w:val="24"/>
                <w:szCs w:val="24"/>
                <w:u w:val="none"/>
                <w:lang w:val="en-US" w:eastAsia="zh-CN" w:bidi="ar"/>
              </w:rPr>
              <w:t>马尿酸盐</w:t>
            </w:r>
          </w:p>
        </w:tc>
        <w:tc>
          <w:tcPr>
            <w:tcW w:w="3426" w:type="dxa"/>
            <w:tcBorders>
              <w:top w:val="single" w:color="auto" w:sz="4" w:space="0"/>
              <w:left w:val="nil"/>
              <w:bottom w:val="single" w:color="auto" w:sz="4" w:space="0"/>
              <w:right w:val="single" w:color="auto" w:sz="4" w:space="0"/>
            </w:tcBorders>
            <w:shd w:val="clear" w:color="000000" w:fill="FFFFFF"/>
            <w:vAlign w:val="center"/>
          </w:tcPr>
          <w:p w14:paraId="41ECC124">
            <w:pPr>
              <w:keepNext w:val="0"/>
              <w:keepLines w:val="0"/>
              <w:widowControl/>
              <w:suppressLineNumbers w:val="0"/>
              <w:jc w:val="center"/>
              <w:textAlignment w:val="center"/>
              <w:rPr>
                <w:rFonts w:hint="eastAsia" w:ascii="宋体" w:hAnsi="宋体" w:eastAsia="宋体" w:cs="Times New Roman"/>
                <w:b/>
                <w:bCs/>
                <w:color w:val="000000"/>
                <w:kern w:val="0"/>
                <w:sz w:val="20"/>
                <w:szCs w:val="20"/>
              </w:rPr>
            </w:pPr>
            <w:r>
              <w:rPr>
                <w:rFonts w:hint="eastAsia" w:ascii="宋体" w:hAnsi="宋体" w:eastAsia="宋体" w:cs="宋体"/>
                <w:i w:val="0"/>
                <w:iCs w:val="0"/>
                <w:color w:val="000000"/>
                <w:kern w:val="0"/>
                <w:sz w:val="24"/>
                <w:szCs w:val="24"/>
                <w:u w:val="none"/>
                <w:lang w:val="en-US" w:eastAsia="zh-CN" w:bidi="ar"/>
              </w:rPr>
              <w:t>-</w:t>
            </w:r>
          </w:p>
        </w:tc>
        <w:tc>
          <w:tcPr>
            <w:tcW w:w="878" w:type="dxa"/>
            <w:tcBorders>
              <w:top w:val="single" w:color="auto" w:sz="4" w:space="0"/>
              <w:left w:val="nil"/>
              <w:bottom w:val="single" w:color="auto" w:sz="4" w:space="0"/>
              <w:right w:val="single" w:color="auto" w:sz="4" w:space="0"/>
            </w:tcBorders>
            <w:shd w:val="clear" w:color="000000" w:fill="FFFFFF"/>
            <w:vAlign w:val="center"/>
          </w:tcPr>
          <w:p w14:paraId="4E384BC5">
            <w:pPr>
              <w:keepNext w:val="0"/>
              <w:keepLines w:val="0"/>
              <w:widowControl/>
              <w:suppressLineNumbers w:val="0"/>
              <w:jc w:val="center"/>
              <w:textAlignment w:val="center"/>
              <w:rPr>
                <w:rFonts w:hint="eastAsia" w:ascii="宋体" w:hAnsi="宋体" w:eastAsia="宋体" w:cs="Times New Roman"/>
                <w:b/>
                <w:bCs/>
                <w:color w:val="000000"/>
                <w:kern w:val="0"/>
                <w:sz w:val="20"/>
                <w:szCs w:val="20"/>
              </w:rPr>
            </w:pPr>
            <w:r>
              <w:rPr>
                <w:rFonts w:hint="eastAsia" w:ascii="宋体" w:hAnsi="宋体" w:eastAsia="宋体" w:cs="宋体"/>
                <w:i w:val="0"/>
                <w:iCs w:val="0"/>
                <w:color w:val="000000"/>
                <w:kern w:val="0"/>
                <w:sz w:val="24"/>
                <w:szCs w:val="24"/>
                <w:u w:val="none"/>
                <w:lang w:val="en-US" w:eastAsia="zh-CN" w:bidi="ar"/>
              </w:rPr>
              <w:t>20支/盒</w:t>
            </w:r>
          </w:p>
        </w:tc>
        <w:tc>
          <w:tcPr>
            <w:tcW w:w="764" w:type="dxa"/>
            <w:tcBorders>
              <w:top w:val="single" w:color="auto" w:sz="4" w:space="0"/>
              <w:left w:val="nil"/>
              <w:bottom w:val="single" w:color="auto" w:sz="4" w:space="0"/>
              <w:right w:val="single" w:color="auto" w:sz="4" w:space="0"/>
            </w:tcBorders>
            <w:shd w:val="clear" w:color="000000" w:fill="FFFFFF"/>
            <w:vAlign w:val="center"/>
          </w:tcPr>
          <w:p w14:paraId="7CF6C3B6">
            <w:pPr>
              <w:keepNext w:val="0"/>
              <w:keepLines w:val="0"/>
              <w:widowControl/>
              <w:suppressLineNumbers w:val="0"/>
              <w:jc w:val="center"/>
              <w:textAlignment w:val="center"/>
              <w:rPr>
                <w:rFonts w:hint="eastAsia" w:ascii="宋体" w:hAnsi="宋体" w:eastAsia="宋体" w:cs="Times New Roman"/>
                <w:b/>
                <w:bCs/>
                <w:color w:val="000000"/>
                <w:kern w:val="0"/>
                <w:sz w:val="20"/>
                <w:szCs w:val="20"/>
              </w:rPr>
            </w:pPr>
            <w:r>
              <w:rPr>
                <w:rFonts w:hint="eastAsia" w:ascii="宋体" w:hAnsi="宋体" w:eastAsia="宋体" w:cs="宋体"/>
                <w:i w:val="0"/>
                <w:iCs w:val="0"/>
                <w:color w:val="000000"/>
                <w:kern w:val="0"/>
                <w:sz w:val="24"/>
                <w:szCs w:val="24"/>
                <w:u w:val="none"/>
                <w:lang w:val="en-US" w:eastAsia="zh-CN" w:bidi="ar"/>
              </w:rPr>
              <w:t>1</w:t>
            </w:r>
          </w:p>
        </w:tc>
        <w:tc>
          <w:tcPr>
            <w:tcW w:w="800" w:type="dxa"/>
            <w:tcBorders>
              <w:top w:val="single" w:color="auto" w:sz="4" w:space="0"/>
              <w:left w:val="nil"/>
              <w:bottom w:val="single" w:color="auto" w:sz="4" w:space="0"/>
              <w:right w:val="single" w:color="auto" w:sz="4" w:space="0"/>
            </w:tcBorders>
            <w:shd w:val="clear" w:color="000000" w:fill="FFFFFF"/>
            <w:vAlign w:val="center"/>
          </w:tcPr>
          <w:p w14:paraId="6A0BA84F">
            <w:pPr>
              <w:widowControl/>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需注明生产厂家</w:t>
            </w:r>
          </w:p>
        </w:tc>
      </w:tr>
      <w:tr w14:paraId="3C84EE9B">
        <w:tblPrEx>
          <w:tblCellMar>
            <w:top w:w="0" w:type="dxa"/>
            <w:left w:w="108" w:type="dxa"/>
            <w:bottom w:w="0" w:type="dxa"/>
            <w:right w:w="108" w:type="dxa"/>
          </w:tblCellMar>
        </w:tblPrEx>
        <w:trPr>
          <w:trHeight w:val="800" w:hRule="atLeast"/>
        </w:trPr>
        <w:tc>
          <w:tcPr>
            <w:tcW w:w="867" w:type="dxa"/>
            <w:tcBorders>
              <w:top w:val="single" w:color="auto" w:sz="4" w:space="0"/>
              <w:left w:val="single" w:color="auto" w:sz="4" w:space="0"/>
              <w:bottom w:val="single" w:color="auto" w:sz="4" w:space="0"/>
              <w:right w:val="single" w:color="auto" w:sz="4" w:space="0"/>
            </w:tcBorders>
            <w:shd w:val="clear" w:color="000000" w:fill="FFFFFF"/>
            <w:vAlign w:val="center"/>
          </w:tcPr>
          <w:p w14:paraId="72EF5536">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2616" w:type="dxa"/>
            <w:tcBorders>
              <w:top w:val="single" w:color="auto" w:sz="4" w:space="0"/>
              <w:left w:val="nil"/>
              <w:bottom w:val="single" w:color="auto" w:sz="4" w:space="0"/>
              <w:right w:val="single" w:color="auto" w:sz="4" w:space="0"/>
            </w:tcBorders>
            <w:shd w:val="clear" w:color="000000" w:fill="FFFFFF"/>
            <w:vAlign w:val="center"/>
          </w:tcPr>
          <w:p w14:paraId="6199C9F8">
            <w:pPr>
              <w:keepNext w:val="0"/>
              <w:keepLines w:val="0"/>
              <w:widowControl/>
              <w:suppressLineNumbers w:val="0"/>
              <w:jc w:val="center"/>
              <w:textAlignment w:val="center"/>
              <w:rPr>
                <w:rFonts w:hint="eastAsia" w:ascii="宋体" w:hAnsi="宋体" w:eastAsia="宋体" w:cs="Times New Roman"/>
                <w:b/>
                <w:bCs/>
                <w:color w:val="000000"/>
                <w:kern w:val="0"/>
                <w:sz w:val="20"/>
                <w:szCs w:val="20"/>
              </w:rPr>
            </w:pPr>
            <w:r>
              <w:rPr>
                <w:rFonts w:hint="eastAsia" w:ascii="宋体" w:hAnsi="宋体" w:eastAsia="宋体" w:cs="宋体"/>
                <w:i w:val="0"/>
                <w:iCs w:val="0"/>
                <w:color w:val="000000"/>
                <w:kern w:val="0"/>
                <w:sz w:val="24"/>
                <w:szCs w:val="24"/>
                <w:u w:val="none"/>
                <w:lang w:val="en-US" w:eastAsia="zh-CN" w:bidi="ar"/>
              </w:rPr>
              <w:t>茚三酮试剂(马尿酸盐试剂)</w:t>
            </w:r>
          </w:p>
        </w:tc>
        <w:tc>
          <w:tcPr>
            <w:tcW w:w="3426" w:type="dxa"/>
            <w:tcBorders>
              <w:top w:val="single" w:color="auto" w:sz="4" w:space="0"/>
              <w:left w:val="nil"/>
              <w:bottom w:val="single" w:color="auto" w:sz="4" w:space="0"/>
              <w:right w:val="single" w:color="auto" w:sz="4" w:space="0"/>
            </w:tcBorders>
            <w:shd w:val="clear" w:color="000000" w:fill="FFFFFF"/>
            <w:vAlign w:val="center"/>
          </w:tcPr>
          <w:p w14:paraId="5D187A49">
            <w:pPr>
              <w:keepNext w:val="0"/>
              <w:keepLines w:val="0"/>
              <w:widowControl/>
              <w:suppressLineNumbers w:val="0"/>
              <w:jc w:val="center"/>
              <w:textAlignment w:val="center"/>
              <w:rPr>
                <w:rFonts w:hint="eastAsia" w:ascii="宋体" w:hAnsi="宋体" w:eastAsia="宋体" w:cs="Times New Roman"/>
                <w:b/>
                <w:bCs/>
                <w:color w:val="000000"/>
                <w:kern w:val="0"/>
                <w:sz w:val="20"/>
                <w:szCs w:val="20"/>
              </w:rPr>
            </w:pPr>
            <w:r>
              <w:rPr>
                <w:rFonts w:hint="eastAsia" w:ascii="宋体" w:hAnsi="宋体" w:eastAsia="宋体" w:cs="宋体"/>
                <w:i w:val="0"/>
                <w:iCs w:val="0"/>
                <w:color w:val="000000"/>
                <w:kern w:val="0"/>
                <w:sz w:val="24"/>
                <w:szCs w:val="24"/>
                <w:u w:val="none"/>
                <w:lang w:val="en-US" w:eastAsia="zh-CN" w:bidi="ar"/>
              </w:rPr>
              <w:t>-</w:t>
            </w:r>
          </w:p>
        </w:tc>
        <w:tc>
          <w:tcPr>
            <w:tcW w:w="878" w:type="dxa"/>
            <w:tcBorders>
              <w:top w:val="single" w:color="auto" w:sz="4" w:space="0"/>
              <w:left w:val="nil"/>
              <w:bottom w:val="single" w:color="auto" w:sz="4" w:space="0"/>
              <w:right w:val="single" w:color="auto" w:sz="4" w:space="0"/>
            </w:tcBorders>
            <w:shd w:val="clear" w:color="000000" w:fill="FFFFFF"/>
            <w:vAlign w:val="center"/>
          </w:tcPr>
          <w:p w14:paraId="764DA764">
            <w:pPr>
              <w:keepNext w:val="0"/>
              <w:keepLines w:val="0"/>
              <w:widowControl/>
              <w:suppressLineNumbers w:val="0"/>
              <w:jc w:val="center"/>
              <w:textAlignment w:val="center"/>
              <w:rPr>
                <w:rFonts w:hint="eastAsia" w:ascii="宋体" w:hAnsi="宋体" w:eastAsia="宋体" w:cs="Times New Roman"/>
                <w:b/>
                <w:bCs/>
                <w:color w:val="000000"/>
                <w:kern w:val="0"/>
                <w:sz w:val="20"/>
                <w:szCs w:val="20"/>
              </w:rPr>
            </w:pPr>
            <w:r>
              <w:rPr>
                <w:rFonts w:hint="eastAsia" w:ascii="宋体" w:hAnsi="宋体" w:eastAsia="宋体" w:cs="宋体"/>
                <w:i w:val="0"/>
                <w:iCs w:val="0"/>
                <w:color w:val="000000"/>
                <w:kern w:val="0"/>
                <w:sz w:val="24"/>
                <w:szCs w:val="24"/>
                <w:u w:val="none"/>
                <w:lang w:val="en-US" w:eastAsia="zh-CN" w:bidi="ar"/>
              </w:rPr>
              <w:t xml:space="preserve"> 10mL/支</w:t>
            </w:r>
          </w:p>
        </w:tc>
        <w:tc>
          <w:tcPr>
            <w:tcW w:w="764" w:type="dxa"/>
            <w:tcBorders>
              <w:top w:val="single" w:color="auto" w:sz="4" w:space="0"/>
              <w:left w:val="nil"/>
              <w:bottom w:val="single" w:color="auto" w:sz="4" w:space="0"/>
              <w:right w:val="single" w:color="auto" w:sz="4" w:space="0"/>
            </w:tcBorders>
            <w:shd w:val="clear" w:color="000000" w:fill="FFFFFF"/>
            <w:vAlign w:val="center"/>
          </w:tcPr>
          <w:p w14:paraId="58510D05">
            <w:pPr>
              <w:keepNext w:val="0"/>
              <w:keepLines w:val="0"/>
              <w:widowControl/>
              <w:suppressLineNumbers w:val="0"/>
              <w:jc w:val="center"/>
              <w:textAlignment w:val="center"/>
              <w:rPr>
                <w:rFonts w:hint="eastAsia" w:ascii="宋体" w:hAnsi="宋体" w:eastAsia="宋体" w:cs="Times New Roman"/>
                <w:b/>
                <w:bCs/>
                <w:color w:val="000000"/>
                <w:kern w:val="0"/>
                <w:sz w:val="20"/>
                <w:szCs w:val="20"/>
              </w:rPr>
            </w:pPr>
            <w:r>
              <w:rPr>
                <w:rFonts w:hint="eastAsia" w:ascii="宋体" w:hAnsi="宋体" w:eastAsia="宋体" w:cs="宋体"/>
                <w:i w:val="0"/>
                <w:iCs w:val="0"/>
                <w:color w:val="000000"/>
                <w:kern w:val="0"/>
                <w:sz w:val="24"/>
                <w:szCs w:val="24"/>
                <w:u w:val="none"/>
                <w:lang w:val="en-US" w:eastAsia="zh-CN" w:bidi="ar"/>
              </w:rPr>
              <w:t>1</w:t>
            </w:r>
          </w:p>
        </w:tc>
        <w:tc>
          <w:tcPr>
            <w:tcW w:w="800" w:type="dxa"/>
            <w:tcBorders>
              <w:top w:val="single" w:color="auto" w:sz="4" w:space="0"/>
              <w:left w:val="nil"/>
              <w:bottom w:val="single" w:color="auto" w:sz="4" w:space="0"/>
              <w:right w:val="single" w:color="auto" w:sz="4" w:space="0"/>
            </w:tcBorders>
            <w:shd w:val="clear" w:color="000000" w:fill="FFFFFF"/>
            <w:vAlign w:val="center"/>
          </w:tcPr>
          <w:p w14:paraId="0CECAC84">
            <w:pPr>
              <w:widowControl/>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需注明生产厂家</w:t>
            </w:r>
          </w:p>
        </w:tc>
      </w:tr>
      <w:tr w14:paraId="10275302">
        <w:tblPrEx>
          <w:tblCellMar>
            <w:top w:w="0" w:type="dxa"/>
            <w:left w:w="108" w:type="dxa"/>
            <w:bottom w:w="0" w:type="dxa"/>
            <w:right w:w="108" w:type="dxa"/>
          </w:tblCellMar>
        </w:tblPrEx>
        <w:trPr>
          <w:trHeight w:val="800" w:hRule="atLeast"/>
        </w:trPr>
        <w:tc>
          <w:tcPr>
            <w:tcW w:w="867" w:type="dxa"/>
            <w:tcBorders>
              <w:top w:val="single" w:color="auto" w:sz="4" w:space="0"/>
              <w:left w:val="single" w:color="auto" w:sz="4" w:space="0"/>
              <w:bottom w:val="single" w:color="auto" w:sz="4" w:space="0"/>
              <w:right w:val="single" w:color="auto" w:sz="4" w:space="0"/>
            </w:tcBorders>
            <w:shd w:val="clear" w:color="000000" w:fill="FFFFFF"/>
            <w:vAlign w:val="center"/>
          </w:tcPr>
          <w:p w14:paraId="4D59DF01">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2616" w:type="dxa"/>
            <w:tcBorders>
              <w:top w:val="single" w:color="auto" w:sz="4" w:space="0"/>
              <w:left w:val="nil"/>
              <w:bottom w:val="single" w:color="auto" w:sz="4" w:space="0"/>
              <w:right w:val="single" w:color="auto" w:sz="4" w:space="0"/>
            </w:tcBorders>
            <w:shd w:val="clear" w:color="000000" w:fill="FFFFFF"/>
            <w:vAlign w:val="center"/>
          </w:tcPr>
          <w:p w14:paraId="668E8D0F">
            <w:pPr>
              <w:keepNext w:val="0"/>
              <w:keepLines w:val="0"/>
              <w:widowControl/>
              <w:suppressLineNumbers w:val="0"/>
              <w:jc w:val="center"/>
              <w:textAlignment w:val="center"/>
              <w:rPr>
                <w:rFonts w:hint="eastAsia" w:ascii="宋体" w:hAnsi="宋体" w:eastAsia="宋体" w:cs="Times New Roman"/>
                <w:b/>
                <w:bCs/>
                <w:color w:val="000000"/>
                <w:kern w:val="0"/>
                <w:sz w:val="20"/>
                <w:szCs w:val="20"/>
              </w:rPr>
            </w:pPr>
            <w:r>
              <w:rPr>
                <w:rFonts w:hint="eastAsia" w:ascii="宋体" w:hAnsi="宋体" w:eastAsia="宋体" w:cs="宋体"/>
                <w:i w:val="0"/>
                <w:iCs w:val="0"/>
                <w:color w:val="000000"/>
                <w:kern w:val="0"/>
                <w:sz w:val="24"/>
                <w:szCs w:val="24"/>
                <w:u w:val="none"/>
                <w:lang w:val="en-US" w:eastAsia="zh-CN" w:bidi="ar"/>
              </w:rPr>
              <w:t>吲哚乙酸酯纸片</w:t>
            </w:r>
          </w:p>
        </w:tc>
        <w:tc>
          <w:tcPr>
            <w:tcW w:w="3426" w:type="dxa"/>
            <w:tcBorders>
              <w:top w:val="single" w:color="auto" w:sz="4" w:space="0"/>
              <w:left w:val="nil"/>
              <w:bottom w:val="single" w:color="auto" w:sz="4" w:space="0"/>
              <w:right w:val="single" w:color="auto" w:sz="4" w:space="0"/>
            </w:tcBorders>
            <w:shd w:val="clear" w:color="000000" w:fill="FFFFFF"/>
            <w:vAlign w:val="center"/>
          </w:tcPr>
          <w:p w14:paraId="1828A01A">
            <w:pPr>
              <w:keepNext w:val="0"/>
              <w:keepLines w:val="0"/>
              <w:widowControl/>
              <w:suppressLineNumbers w:val="0"/>
              <w:jc w:val="center"/>
              <w:textAlignment w:val="center"/>
              <w:rPr>
                <w:rFonts w:hint="default" w:ascii="宋体" w:hAnsi="宋体" w:eastAsia="宋体" w:cs="Times New Roman"/>
                <w:b/>
                <w:bCs/>
                <w:color w:val="000000"/>
                <w:kern w:val="0"/>
                <w:sz w:val="20"/>
                <w:szCs w:val="20"/>
                <w:lang w:val="en-US"/>
              </w:rPr>
            </w:pPr>
            <w:r>
              <w:rPr>
                <w:rFonts w:hint="eastAsia" w:ascii="宋体" w:hAnsi="宋体" w:eastAsia="宋体" w:cs="宋体"/>
                <w:i w:val="0"/>
                <w:iCs w:val="0"/>
                <w:color w:val="000000"/>
                <w:kern w:val="0"/>
                <w:sz w:val="24"/>
                <w:szCs w:val="24"/>
                <w:u w:val="none"/>
                <w:lang w:val="en-US" w:eastAsia="zh-CN" w:bidi="ar"/>
              </w:rPr>
              <w:t>-</w:t>
            </w:r>
          </w:p>
        </w:tc>
        <w:tc>
          <w:tcPr>
            <w:tcW w:w="878" w:type="dxa"/>
            <w:tcBorders>
              <w:top w:val="single" w:color="auto" w:sz="4" w:space="0"/>
              <w:left w:val="nil"/>
              <w:bottom w:val="single" w:color="auto" w:sz="4" w:space="0"/>
              <w:right w:val="single" w:color="auto" w:sz="4" w:space="0"/>
            </w:tcBorders>
            <w:shd w:val="clear" w:color="000000" w:fill="FFFFFF"/>
            <w:vAlign w:val="center"/>
          </w:tcPr>
          <w:p w14:paraId="1BF57419">
            <w:pPr>
              <w:keepNext w:val="0"/>
              <w:keepLines w:val="0"/>
              <w:widowControl/>
              <w:suppressLineNumbers w:val="0"/>
              <w:jc w:val="center"/>
              <w:textAlignment w:val="center"/>
              <w:rPr>
                <w:rFonts w:hint="eastAsia" w:ascii="宋体" w:hAnsi="宋体" w:eastAsia="宋体" w:cs="Times New Roman"/>
                <w:b/>
                <w:bCs/>
                <w:color w:val="000000"/>
                <w:kern w:val="0"/>
                <w:sz w:val="20"/>
                <w:szCs w:val="20"/>
              </w:rPr>
            </w:pPr>
            <w:r>
              <w:rPr>
                <w:rFonts w:hint="eastAsia" w:ascii="宋体" w:hAnsi="宋体" w:eastAsia="宋体" w:cs="宋体"/>
                <w:i w:val="0"/>
                <w:iCs w:val="0"/>
                <w:color w:val="000000"/>
                <w:kern w:val="0"/>
                <w:sz w:val="24"/>
                <w:szCs w:val="24"/>
                <w:u w:val="none"/>
                <w:lang w:val="en-US" w:eastAsia="zh-CN" w:bidi="ar"/>
              </w:rPr>
              <w:t>20片/瓶</w:t>
            </w:r>
          </w:p>
        </w:tc>
        <w:tc>
          <w:tcPr>
            <w:tcW w:w="764" w:type="dxa"/>
            <w:tcBorders>
              <w:top w:val="single" w:color="auto" w:sz="4" w:space="0"/>
              <w:left w:val="nil"/>
              <w:bottom w:val="single" w:color="auto" w:sz="4" w:space="0"/>
              <w:right w:val="single" w:color="auto" w:sz="4" w:space="0"/>
            </w:tcBorders>
            <w:shd w:val="clear" w:color="000000" w:fill="FFFFFF"/>
            <w:vAlign w:val="center"/>
          </w:tcPr>
          <w:p w14:paraId="2416EB60">
            <w:pPr>
              <w:keepNext w:val="0"/>
              <w:keepLines w:val="0"/>
              <w:widowControl/>
              <w:suppressLineNumbers w:val="0"/>
              <w:jc w:val="center"/>
              <w:textAlignment w:val="center"/>
              <w:rPr>
                <w:rFonts w:hint="eastAsia" w:ascii="宋体" w:hAnsi="宋体" w:eastAsia="宋体" w:cs="Times New Roman"/>
                <w:b/>
                <w:bCs/>
                <w:color w:val="000000"/>
                <w:kern w:val="0"/>
                <w:sz w:val="20"/>
                <w:szCs w:val="20"/>
              </w:rPr>
            </w:pPr>
            <w:r>
              <w:rPr>
                <w:rFonts w:hint="eastAsia" w:ascii="宋体" w:hAnsi="宋体" w:eastAsia="宋体" w:cs="宋体"/>
                <w:i w:val="0"/>
                <w:iCs w:val="0"/>
                <w:color w:val="000000"/>
                <w:kern w:val="0"/>
                <w:sz w:val="24"/>
                <w:szCs w:val="24"/>
                <w:u w:val="none"/>
                <w:lang w:val="en-US" w:eastAsia="zh-CN" w:bidi="ar"/>
              </w:rPr>
              <w:t>1</w:t>
            </w:r>
          </w:p>
        </w:tc>
        <w:tc>
          <w:tcPr>
            <w:tcW w:w="800" w:type="dxa"/>
            <w:tcBorders>
              <w:top w:val="single" w:color="auto" w:sz="4" w:space="0"/>
              <w:left w:val="nil"/>
              <w:bottom w:val="single" w:color="auto" w:sz="4" w:space="0"/>
              <w:right w:val="single" w:color="auto" w:sz="4" w:space="0"/>
            </w:tcBorders>
            <w:shd w:val="clear" w:color="000000" w:fill="FFFFFF"/>
            <w:vAlign w:val="center"/>
          </w:tcPr>
          <w:p w14:paraId="450E156D">
            <w:pPr>
              <w:widowControl/>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需注明生产厂家</w:t>
            </w:r>
          </w:p>
        </w:tc>
      </w:tr>
      <w:tr w14:paraId="6FC1586B">
        <w:tblPrEx>
          <w:tblCellMar>
            <w:top w:w="0" w:type="dxa"/>
            <w:left w:w="108" w:type="dxa"/>
            <w:bottom w:w="0" w:type="dxa"/>
            <w:right w:w="108" w:type="dxa"/>
          </w:tblCellMar>
        </w:tblPrEx>
        <w:trPr>
          <w:trHeight w:val="800" w:hRule="atLeast"/>
        </w:trPr>
        <w:tc>
          <w:tcPr>
            <w:tcW w:w="867" w:type="dxa"/>
            <w:tcBorders>
              <w:top w:val="single" w:color="auto" w:sz="4" w:space="0"/>
              <w:left w:val="single" w:color="auto" w:sz="4" w:space="0"/>
              <w:bottom w:val="single" w:color="auto" w:sz="4" w:space="0"/>
              <w:right w:val="single" w:color="auto" w:sz="4" w:space="0"/>
            </w:tcBorders>
            <w:shd w:val="clear" w:color="000000" w:fill="FFFFFF"/>
            <w:vAlign w:val="center"/>
          </w:tcPr>
          <w:p w14:paraId="13934907">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2616" w:type="dxa"/>
            <w:tcBorders>
              <w:top w:val="single" w:color="auto" w:sz="4" w:space="0"/>
              <w:left w:val="nil"/>
              <w:bottom w:val="single" w:color="auto" w:sz="4" w:space="0"/>
              <w:right w:val="single" w:color="auto" w:sz="4" w:space="0"/>
            </w:tcBorders>
            <w:shd w:val="clear" w:color="000000" w:fill="FFFFFF"/>
            <w:vAlign w:val="center"/>
          </w:tcPr>
          <w:p w14:paraId="4739AC41">
            <w:pPr>
              <w:keepNext w:val="0"/>
              <w:keepLines w:val="0"/>
              <w:widowControl/>
              <w:suppressLineNumbers w:val="0"/>
              <w:jc w:val="center"/>
              <w:textAlignment w:val="center"/>
              <w:rPr>
                <w:rFonts w:hint="eastAsia" w:ascii="宋体" w:hAnsi="宋体" w:eastAsia="宋体" w:cs="Times New Roman"/>
                <w:b/>
                <w:bCs/>
                <w:color w:val="000000"/>
                <w:kern w:val="0"/>
                <w:sz w:val="20"/>
                <w:szCs w:val="20"/>
              </w:rPr>
            </w:pPr>
            <w:r>
              <w:rPr>
                <w:rFonts w:hint="eastAsia" w:ascii="宋体" w:hAnsi="宋体" w:eastAsia="宋体" w:cs="宋体"/>
                <w:i w:val="0"/>
                <w:iCs w:val="0"/>
                <w:color w:val="000000"/>
                <w:kern w:val="0"/>
                <w:sz w:val="24"/>
                <w:szCs w:val="24"/>
                <w:u w:val="none"/>
                <w:lang w:val="en-US" w:eastAsia="zh-CN" w:bidi="ar"/>
              </w:rPr>
              <w:t>空肠弯曲菌、结肠弯曲菌双重核酸检测预分装试剂盒（荧光PCR法）</w:t>
            </w:r>
          </w:p>
        </w:tc>
        <w:tc>
          <w:tcPr>
            <w:tcW w:w="3426" w:type="dxa"/>
            <w:tcBorders>
              <w:top w:val="single" w:color="auto" w:sz="4" w:space="0"/>
              <w:left w:val="nil"/>
              <w:bottom w:val="single" w:color="auto" w:sz="4" w:space="0"/>
              <w:right w:val="single" w:color="auto" w:sz="4" w:space="0"/>
            </w:tcBorders>
            <w:shd w:val="clear" w:color="000000" w:fill="FFFFFF"/>
            <w:vAlign w:val="center"/>
          </w:tcPr>
          <w:p w14:paraId="3EDDA9F0">
            <w:pPr>
              <w:keepNext w:val="0"/>
              <w:keepLines w:val="0"/>
              <w:widowControl/>
              <w:suppressLineNumbers w:val="0"/>
              <w:jc w:val="left"/>
              <w:textAlignment w:val="center"/>
              <w:rPr>
                <w:rFonts w:hint="eastAsia" w:ascii="宋体" w:hAnsi="宋体" w:eastAsia="宋体" w:cs="Times New Roman"/>
                <w:b/>
                <w:bCs/>
                <w:color w:val="000000"/>
                <w:kern w:val="0"/>
                <w:sz w:val="20"/>
                <w:szCs w:val="20"/>
              </w:rPr>
            </w:pPr>
            <w:r>
              <w:rPr>
                <w:rFonts w:hint="eastAsia" w:ascii="宋体" w:hAnsi="宋体" w:eastAsia="宋体" w:cs="宋体"/>
                <w:i w:val="0"/>
                <w:iCs w:val="0"/>
                <w:color w:val="000000"/>
                <w:kern w:val="0"/>
                <w:sz w:val="22"/>
                <w:szCs w:val="22"/>
                <w:u w:val="none"/>
                <w:lang w:val="en-US" w:eastAsia="zh-CN" w:bidi="ar"/>
              </w:rPr>
              <w:t>1.使用实时荧光PCR法，用于空肠弯曲菌、结肠弯曲菌的定性检测。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2.保存条件及有效期：-20±5℃冷冻保存，试剂有效期12个月。</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3.包装规格：48 T/盒。</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4.试剂盒组份：DNA提取液、预分装八联管（含PCR反应所需成分）、阴性对照、阳性对照、说明书。总反应体系25µL。</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5.反应体系配置操作：无需体系配置：PCR 反应液已预分至八联管，直接加模板5</w:t>
            </w:r>
            <w:r>
              <w:rPr>
                <w:rFonts w:ascii="Calibri" w:hAnsi="Calibri" w:eastAsia="宋体" w:cs="Calibri"/>
                <w:i w:val="0"/>
                <w:iCs w:val="0"/>
                <w:color w:val="000000"/>
                <w:kern w:val="0"/>
                <w:sz w:val="22"/>
                <w:szCs w:val="22"/>
                <w:u w:val="none"/>
                <w:lang w:val="en-US" w:eastAsia="zh-CN" w:bidi="ar"/>
              </w:rPr>
              <w:t>μ</w:t>
            </w:r>
            <w:r>
              <w:rPr>
                <w:rFonts w:hint="eastAsia" w:ascii="宋体" w:hAnsi="宋体" w:eastAsia="宋体" w:cs="宋体"/>
                <w:i w:val="0"/>
                <w:iCs w:val="0"/>
                <w:color w:val="000000"/>
                <w:kern w:val="0"/>
                <w:sz w:val="22"/>
                <w:szCs w:val="22"/>
                <w:u w:val="none"/>
                <w:lang w:val="en-US" w:eastAsia="zh-CN" w:bidi="ar"/>
              </w:rPr>
              <w:t>L即可上机扩增。</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6.质量控制：含有阳性对照和阴性对照试剂内部质控设置，可直接使用，无需参与核酸提取，便于结果判定。</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7.反应程序：50℃ 2min；95℃ 3min；95℃ 5sec，55℃ 30sec（单点采集荧光） 40个循环。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8.所有细菌试剂盒反应程序要求一致可以同时在同一台PCR仪器上进行检测。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9.最低检出限：不低于500 copies/mL。</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10.检测精密度：CV%≤5%。</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11.仪器适配性：0.2mL 八联管适用 ABI 7500、Stratagene 3000P/3005P、Gentier 96、SLAN-96P；0.1mL 八联管适用于 Roche LightCycler480、Bio-Rad CFX96 Touch 实时荧光定量 PCR 仪。</w:t>
            </w:r>
          </w:p>
        </w:tc>
        <w:tc>
          <w:tcPr>
            <w:tcW w:w="878" w:type="dxa"/>
            <w:tcBorders>
              <w:top w:val="single" w:color="auto" w:sz="4" w:space="0"/>
              <w:left w:val="nil"/>
              <w:bottom w:val="single" w:color="auto" w:sz="4" w:space="0"/>
              <w:right w:val="single" w:color="auto" w:sz="4" w:space="0"/>
            </w:tcBorders>
            <w:shd w:val="clear" w:color="000000" w:fill="FFFFFF"/>
            <w:vAlign w:val="center"/>
          </w:tcPr>
          <w:p w14:paraId="5E567E37">
            <w:pPr>
              <w:keepNext w:val="0"/>
              <w:keepLines w:val="0"/>
              <w:widowControl/>
              <w:suppressLineNumbers w:val="0"/>
              <w:jc w:val="center"/>
              <w:textAlignment w:val="center"/>
              <w:rPr>
                <w:rFonts w:hint="eastAsia" w:ascii="宋体" w:hAnsi="宋体" w:eastAsia="宋体" w:cs="Times New Roman"/>
                <w:b/>
                <w:bCs/>
                <w:color w:val="000000"/>
                <w:kern w:val="0"/>
                <w:sz w:val="20"/>
                <w:szCs w:val="20"/>
              </w:rPr>
            </w:pPr>
            <w:r>
              <w:rPr>
                <w:rFonts w:hint="eastAsia" w:ascii="宋体" w:hAnsi="宋体" w:eastAsia="宋体" w:cs="宋体"/>
                <w:i w:val="0"/>
                <w:iCs w:val="0"/>
                <w:color w:val="000000"/>
                <w:kern w:val="0"/>
                <w:sz w:val="24"/>
                <w:szCs w:val="24"/>
                <w:u w:val="none"/>
                <w:lang w:val="en-US" w:eastAsia="zh-CN" w:bidi="ar"/>
              </w:rPr>
              <w:t>48T/盒</w:t>
            </w:r>
          </w:p>
        </w:tc>
        <w:tc>
          <w:tcPr>
            <w:tcW w:w="764" w:type="dxa"/>
            <w:tcBorders>
              <w:top w:val="single" w:color="auto" w:sz="4" w:space="0"/>
              <w:left w:val="nil"/>
              <w:bottom w:val="single" w:color="auto" w:sz="4" w:space="0"/>
              <w:right w:val="single" w:color="auto" w:sz="4" w:space="0"/>
            </w:tcBorders>
            <w:shd w:val="clear" w:color="000000" w:fill="FFFFFF"/>
            <w:vAlign w:val="center"/>
          </w:tcPr>
          <w:p w14:paraId="0FF6DF42">
            <w:pPr>
              <w:keepNext w:val="0"/>
              <w:keepLines w:val="0"/>
              <w:widowControl/>
              <w:suppressLineNumbers w:val="0"/>
              <w:jc w:val="center"/>
              <w:textAlignment w:val="center"/>
              <w:rPr>
                <w:rFonts w:hint="eastAsia" w:ascii="宋体" w:hAnsi="宋体" w:eastAsia="宋体" w:cs="Times New Roman"/>
                <w:b/>
                <w:bCs/>
                <w:color w:val="000000"/>
                <w:kern w:val="0"/>
                <w:sz w:val="20"/>
                <w:szCs w:val="20"/>
              </w:rPr>
            </w:pPr>
            <w:r>
              <w:rPr>
                <w:rFonts w:hint="eastAsia" w:ascii="宋体" w:hAnsi="宋体" w:eastAsia="宋体" w:cs="宋体"/>
                <w:i w:val="0"/>
                <w:iCs w:val="0"/>
                <w:color w:val="000000"/>
                <w:kern w:val="0"/>
                <w:sz w:val="24"/>
                <w:szCs w:val="24"/>
                <w:u w:val="none"/>
                <w:lang w:val="en-US" w:eastAsia="zh-CN" w:bidi="ar"/>
              </w:rPr>
              <w:t>1</w:t>
            </w:r>
          </w:p>
        </w:tc>
        <w:tc>
          <w:tcPr>
            <w:tcW w:w="800" w:type="dxa"/>
            <w:tcBorders>
              <w:top w:val="single" w:color="auto" w:sz="4" w:space="0"/>
              <w:left w:val="nil"/>
              <w:bottom w:val="single" w:color="auto" w:sz="4" w:space="0"/>
              <w:right w:val="single" w:color="auto" w:sz="4" w:space="0"/>
            </w:tcBorders>
            <w:shd w:val="clear" w:color="000000" w:fill="FFFFFF"/>
            <w:vAlign w:val="center"/>
          </w:tcPr>
          <w:p w14:paraId="6B2E0664">
            <w:pPr>
              <w:widowControl/>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需注明生产厂家</w:t>
            </w:r>
          </w:p>
        </w:tc>
      </w:tr>
      <w:tr w14:paraId="7C6EA85B">
        <w:tblPrEx>
          <w:tblCellMar>
            <w:top w:w="0" w:type="dxa"/>
            <w:left w:w="108" w:type="dxa"/>
            <w:bottom w:w="0" w:type="dxa"/>
            <w:right w:w="108" w:type="dxa"/>
          </w:tblCellMar>
        </w:tblPrEx>
        <w:trPr>
          <w:trHeight w:val="800" w:hRule="atLeast"/>
        </w:trPr>
        <w:tc>
          <w:tcPr>
            <w:tcW w:w="867" w:type="dxa"/>
            <w:tcBorders>
              <w:top w:val="single" w:color="auto" w:sz="4" w:space="0"/>
              <w:left w:val="single" w:color="auto" w:sz="4" w:space="0"/>
              <w:bottom w:val="single" w:color="auto" w:sz="4" w:space="0"/>
              <w:right w:val="single" w:color="auto" w:sz="4" w:space="0"/>
            </w:tcBorders>
            <w:shd w:val="clear" w:color="000000" w:fill="FFFFFF"/>
            <w:vAlign w:val="center"/>
          </w:tcPr>
          <w:p w14:paraId="63B08720">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2616" w:type="dxa"/>
            <w:tcBorders>
              <w:top w:val="single" w:color="auto" w:sz="4" w:space="0"/>
              <w:left w:val="nil"/>
              <w:bottom w:val="single" w:color="auto" w:sz="4" w:space="0"/>
              <w:right w:val="single" w:color="auto" w:sz="4" w:space="0"/>
            </w:tcBorders>
            <w:shd w:val="clear" w:color="000000" w:fill="FFFFFF"/>
            <w:vAlign w:val="center"/>
          </w:tcPr>
          <w:p w14:paraId="025BFD42">
            <w:pPr>
              <w:keepNext w:val="0"/>
              <w:keepLines w:val="0"/>
              <w:widowControl/>
              <w:suppressLineNumbers w:val="0"/>
              <w:jc w:val="center"/>
              <w:textAlignment w:val="center"/>
              <w:rPr>
                <w:rFonts w:hint="eastAsia" w:ascii="宋体" w:hAnsi="宋体" w:eastAsia="宋体" w:cs="Times New Roman"/>
                <w:b/>
                <w:bCs/>
                <w:color w:val="000000"/>
                <w:kern w:val="0"/>
                <w:sz w:val="20"/>
                <w:szCs w:val="20"/>
              </w:rPr>
            </w:pPr>
            <w:r>
              <w:rPr>
                <w:rFonts w:hint="eastAsia" w:ascii="宋体" w:hAnsi="宋体" w:eastAsia="宋体" w:cs="宋体"/>
                <w:i w:val="0"/>
                <w:iCs w:val="0"/>
                <w:color w:val="000000"/>
                <w:kern w:val="0"/>
                <w:sz w:val="24"/>
                <w:szCs w:val="24"/>
                <w:u w:val="none"/>
                <w:lang w:val="en-US" w:eastAsia="zh-CN" w:bidi="ar"/>
              </w:rPr>
              <w:t>Preston肉汤基础</w:t>
            </w:r>
          </w:p>
        </w:tc>
        <w:tc>
          <w:tcPr>
            <w:tcW w:w="3426" w:type="dxa"/>
            <w:tcBorders>
              <w:top w:val="single" w:color="auto" w:sz="4" w:space="0"/>
              <w:left w:val="nil"/>
              <w:bottom w:val="single" w:color="auto" w:sz="4" w:space="0"/>
              <w:right w:val="single" w:color="auto" w:sz="4" w:space="0"/>
            </w:tcBorders>
            <w:shd w:val="clear" w:color="000000" w:fill="FFFFFF"/>
            <w:vAlign w:val="center"/>
          </w:tcPr>
          <w:p w14:paraId="1A42F418">
            <w:pPr>
              <w:keepNext w:val="0"/>
              <w:keepLines w:val="0"/>
              <w:widowControl/>
              <w:suppressLineNumbers w:val="0"/>
              <w:jc w:val="center"/>
              <w:textAlignment w:val="center"/>
              <w:rPr>
                <w:rFonts w:hint="eastAsia" w:ascii="宋体" w:hAnsi="宋体" w:eastAsia="宋体" w:cs="Times New Roman"/>
                <w:b/>
                <w:bCs/>
                <w:color w:val="000000"/>
                <w:kern w:val="0"/>
                <w:sz w:val="20"/>
                <w:szCs w:val="20"/>
              </w:rPr>
            </w:pPr>
            <w:r>
              <w:rPr>
                <w:rFonts w:hint="eastAsia" w:ascii="宋体" w:hAnsi="宋体" w:eastAsia="宋体" w:cs="宋体"/>
                <w:i w:val="0"/>
                <w:iCs w:val="0"/>
                <w:color w:val="000000"/>
                <w:kern w:val="0"/>
                <w:sz w:val="24"/>
                <w:szCs w:val="24"/>
                <w:u w:val="none"/>
                <w:lang w:val="en-US" w:eastAsia="zh-CN" w:bidi="ar"/>
              </w:rPr>
              <w:t>-</w:t>
            </w:r>
          </w:p>
        </w:tc>
        <w:tc>
          <w:tcPr>
            <w:tcW w:w="878" w:type="dxa"/>
            <w:tcBorders>
              <w:top w:val="single" w:color="auto" w:sz="4" w:space="0"/>
              <w:left w:val="nil"/>
              <w:bottom w:val="single" w:color="auto" w:sz="4" w:space="0"/>
              <w:right w:val="single" w:color="auto" w:sz="4" w:space="0"/>
            </w:tcBorders>
            <w:shd w:val="clear" w:color="000000" w:fill="FFFFFF"/>
            <w:vAlign w:val="center"/>
          </w:tcPr>
          <w:p w14:paraId="54AD2FCD">
            <w:pPr>
              <w:keepNext w:val="0"/>
              <w:keepLines w:val="0"/>
              <w:widowControl/>
              <w:suppressLineNumbers w:val="0"/>
              <w:jc w:val="center"/>
              <w:textAlignment w:val="center"/>
              <w:rPr>
                <w:rFonts w:hint="eastAsia" w:ascii="宋体" w:hAnsi="宋体" w:eastAsia="宋体" w:cs="Times New Roman"/>
                <w:b/>
                <w:bCs/>
                <w:color w:val="000000"/>
                <w:kern w:val="0"/>
                <w:sz w:val="20"/>
                <w:szCs w:val="20"/>
              </w:rPr>
            </w:pPr>
            <w:r>
              <w:rPr>
                <w:rFonts w:hint="eastAsia" w:ascii="宋体" w:hAnsi="宋体" w:eastAsia="宋体" w:cs="宋体"/>
                <w:i w:val="0"/>
                <w:iCs w:val="0"/>
                <w:color w:val="000000"/>
                <w:kern w:val="0"/>
                <w:sz w:val="24"/>
                <w:szCs w:val="24"/>
                <w:u w:val="none"/>
                <w:lang w:val="en-US" w:eastAsia="zh-CN" w:bidi="ar"/>
              </w:rPr>
              <w:t>250g/瓶</w:t>
            </w:r>
          </w:p>
        </w:tc>
        <w:tc>
          <w:tcPr>
            <w:tcW w:w="764" w:type="dxa"/>
            <w:tcBorders>
              <w:top w:val="single" w:color="auto" w:sz="4" w:space="0"/>
              <w:left w:val="nil"/>
              <w:bottom w:val="single" w:color="auto" w:sz="4" w:space="0"/>
              <w:right w:val="single" w:color="auto" w:sz="4" w:space="0"/>
            </w:tcBorders>
            <w:shd w:val="clear" w:color="000000" w:fill="FFFFFF"/>
            <w:vAlign w:val="center"/>
          </w:tcPr>
          <w:p w14:paraId="42F3E4EB">
            <w:pPr>
              <w:keepNext w:val="0"/>
              <w:keepLines w:val="0"/>
              <w:widowControl/>
              <w:suppressLineNumbers w:val="0"/>
              <w:jc w:val="center"/>
              <w:textAlignment w:val="center"/>
              <w:rPr>
                <w:rFonts w:hint="eastAsia" w:ascii="宋体" w:hAnsi="宋体" w:eastAsia="宋体" w:cs="Times New Roman"/>
                <w:b/>
                <w:bCs/>
                <w:color w:val="000000"/>
                <w:kern w:val="0"/>
                <w:sz w:val="20"/>
                <w:szCs w:val="20"/>
              </w:rPr>
            </w:pPr>
            <w:r>
              <w:rPr>
                <w:rFonts w:hint="eastAsia" w:ascii="宋体" w:hAnsi="宋体" w:eastAsia="宋体" w:cs="宋体"/>
                <w:i w:val="0"/>
                <w:iCs w:val="0"/>
                <w:color w:val="000000"/>
                <w:kern w:val="0"/>
                <w:sz w:val="24"/>
                <w:szCs w:val="24"/>
                <w:u w:val="none"/>
                <w:lang w:val="en-US" w:eastAsia="zh-CN" w:bidi="ar"/>
              </w:rPr>
              <w:t>1</w:t>
            </w:r>
          </w:p>
        </w:tc>
        <w:tc>
          <w:tcPr>
            <w:tcW w:w="800" w:type="dxa"/>
            <w:tcBorders>
              <w:top w:val="single" w:color="auto" w:sz="4" w:space="0"/>
              <w:left w:val="nil"/>
              <w:bottom w:val="single" w:color="auto" w:sz="4" w:space="0"/>
              <w:right w:val="single" w:color="auto" w:sz="4" w:space="0"/>
            </w:tcBorders>
            <w:shd w:val="clear" w:color="000000" w:fill="FFFFFF"/>
            <w:vAlign w:val="center"/>
          </w:tcPr>
          <w:p w14:paraId="264007E9">
            <w:pPr>
              <w:widowControl/>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需注明生产厂家</w:t>
            </w:r>
          </w:p>
        </w:tc>
      </w:tr>
      <w:tr w14:paraId="007115E8">
        <w:tblPrEx>
          <w:tblCellMar>
            <w:top w:w="0" w:type="dxa"/>
            <w:left w:w="108" w:type="dxa"/>
            <w:bottom w:w="0" w:type="dxa"/>
            <w:right w:w="108" w:type="dxa"/>
          </w:tblCellMar>
        </w:tblPrEx>
        <w:trPr>
          <w:trHeight w:val="800" w:hRule="atLeast"/>
        </w:trPr>
        <w:tc>
          <w:tcPr>
            <w:tcW w:w="867" w:type="dxa"/>
            <w:tcBorders>
              <w:top w:val="single" w:color="auto" w:sz="4" w:space="0"/>
              <w:left w:val="single" w:color="auto" w:sz="4" w:space="0"/>
              <w:bottom w:val="single" w:color="auto" w:sz="4" w:space="0"/>
              <w:right w:val="single" w:color="auto" w:sz="4" w:space="0"/>
            </w:tcBorders>
            <w:shd w:val="clear" w:color="000000" w:fill="FFFFFF"/>
            <w:vAlign w:val="center"/>
          </w:tcPr>
          <w:p w14:paraId="28449602">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2616" w:type="dxa"/>
            <w:tcBorders>
              <w:top w:val="single" w:color="auto" w:sz="4" w:space="0"/>
              <w:left w:val="nil"/>
              <w:bottom w:val="single" w:color="auto" w:sz="4" w:space="0"/>
              <w:right w:val="single" w:color="auto" w:sz="4" w:space="0"/>
            </w:tcBorders>
            <w:shd w:val="clear" w:color="000000" w:fill="FFFFFF"/>
            <w:vAlign w:val="center"/>
          </w:tcPr>
          <w:p w14:paraId="5378DBD2">
            <w:pPr>
              <w:keepNext w:val="0"/>
              <w:keepLines w:val="0"/>
              <w:widowControl/>
              <w:suppressLineNumbers w:val="0"/>
              <w:jc w:val="center"/>
              <w:textAlignment w:val="center"/>
              <w:rPr>
                <w:rFonts w:hint="eastAsia" w:ascii="宋体" w:hAnsi="宋体" w:eastAsia="宋体" w:cs="Times New Roman"/>
                <w:b/>
                <w:bCs/>
                <w:color w:val="000000"/>
                <w:kern w:val="0"/>
                <w:sz w:val="20"/>
                <w:szCs w:val="20"/>
              </w:rPr>
            </w:pPr>
            <w:r>
              <w:rPr>
                <w:rFonts w:hint="eastAsia" w:ascii="宋体" w:hAnsi="宋体" w:eastAsia="宋体" w:cs="宋体"/>
                <w:i w:val="0"/>
                <w:iCs w:val="0"/>
                <w:color w:val="000000"/>
                <w:kern w:val="0"/>
                <w:sz w:val="24"/>
                <w:szCs w:val="24"/>
                <w:u w:val="none"/>
                <w:lang w:val="en-US" w:eastAsia="zh-CN" w:bidi="ar"/>
              </w:rPr>
              <w:t>SR0650 Preston肉汤配套试剂</w:t>
            </w:r>
          </w:p>
        </w:tc>
        <w:tc>
          <w:tcPr>
            <w:tcW w:w="3426" w:type="dxa"/>
            <w:tcBorders>
              <w:top w:val="single" w:color="auto" w:sz="4" w:space="0"/>
              <w:left w:val="nil"/>
              <w:bottom w:val="single" w:color="auto" w:sz="4" w:space="0"/>
              <w:right w:val="single" w:color="auto" w:sz="4" w:space="0"/>
            </w:tcBorders>
            <w:shd w:val="clear" w:color="000000" w:fill="FFFFFF"/>
            <w:vAlign w:val="center"/>
          </w:tcPr>
          <w:p w14:paraId="3D8EE4A2">
            <w:pPr>
              <w:keepNext w:val="0"/>
              <w:keepLines w:val="0"/>
              <w:widowControl/>
              <w:suppressLineNumbers w:val="0"/>
              <w:jc w:val="center"/>
              <w:textAlignment w:val="center"/>
              <w:rPr>
                <w:rFonts w:hint="eastAsia" w:ascii="宋体" w:hAnsi="宋体" w:eastAsia="宋体" w:cs="Times New Roman"/>
                <w:b/>
                <w:bCs/>
                <w:color w:val="000000"/>
                <w:kern w:val="0"/>
                <w:sz w:val="20"/>
                <w:szCs w:val="20"/>
              </w:rPr>
            </w:pPr>
            <w:r>
              <w:rPr>
                <w:rFonts w:hint="eastAsia" w:ascii="宋体" w:hAnsi="宋体" w:eastAsia="宋体" w:cs="宋体"/>
                <w:i w:val="0"/>
                <w:iCs w:val="0"/>
                <w:color w:val="000000"/>
                <w:kern w:val="0"/>
                <w:sz w:val="24"/>
                <w:szCs w:val="24"/>
                <w:u w:val="none"/>
                <w:lang w:val="en-US" w:eastAsia="zh-CN" w:bidi="ar"/>
              </w:rPr>
              <w:t>-</w:t>
            </w:r>
          </w:p>
        </w:tc>
        <w:tc>
          <w:tcPr>
            <w:tcW w:w="878" w:type="dxa"/>
            <w:tcBorders>
              <w:top w:val="single" w:color="auto" w:sz="4" w:space="0"/>
              <w:left w:val="nil"/>
              <w:bottom w:val="single" w:color="auto" w:sz="4" w:space="0"/>
              <w:right w:val="single" w:color="auto" w:sz="4" w:space="0"/>
            </w:tcBorders>
            <w:shd w:val="clear" w:color="000000" w:fill="FFFFFF"/>
            <w:vAlign w:val="center"/>
          </w:tcPr>
          <w:p w14:paraId="085E04C7">
            <w:pPr>
              <w:keepNext w:val="0"/>
              <w:keepLines w:val="0"/>
              <w:widowControl/>
              <w:suppressLineNumbers w:val="0"/>
              <w:jc w:val="center"/>
              <w:textAlignment w:val="center"/>
              <w:rPr>
                <w:rFonts w:hint="eastAsia" w:ascii="宋体" w:hAnsi="宋体" w:eastAsia="宋体" w:cs="Times New Roman"/>
                <w:b/>
                <w:bCs/>
                <w:color w:val="000000"/>
                <w:kern w:val="0"/>
                <w:sz w:val="20"/>
                <w:szCs w:val="20"/>
              </w:rPr>
            </w:pPr>
            <w:r>
              <w:rPr>
                <w:rFonts w:hint="eastAsia" w:ascii="宋体" w:hAnsi="宋体" w:eastAsia="宋体" w:cs="宋体"/>
                <w:i w:val="0"/>
                <w:iCs w:val="0"/>
                <w:color w:val="000000"/>
                <w:kern w:val="0"/>
                <w:sz w:val="24"/>
                <w:szCs w:val="24"/>
                <w:u w:val="none"/>
                <w:lang w:val="en-US" w:eastAsia="zh-CN" w:bidi="ar"/>
              </w:rPr>
              <w:t>10瓶/盒</w:t>
            </w:r>
          </w:p>
        </w:tc>
        <w:tc>
          <w:tcPr>
            <w:tcW w:w="764" w:type="dxa"/>
            <w:tcBorders>
              <w:top w:val="single" w:color="auto" w:sz="4" w:space="0"/>
              <w:left w:val="nil"/>
              <w:bottom w:val="single" w:color="auto" w:sz="4" w:space="0"/>
              <w:right w:val="single" w:color="auto" w:sz="4" w:space="0"/>
            </w:tcBorders>
            <w:shd w:val="clear" w:color="000000" w:fill="FFFFFF"/>
            <w:vAlign w:val="center"/>
          </w:tcPr>
          <w:p w14:paraId="2DC45255">
            <w:pPr>
              <w:keepNext w:val="0"/>
              <w:keepLines w:val="0"/>
              <w:widowControl/>
              <w:suppressLineNumbers w:val="0"/>
              <w:jc w:val="center"/>
              <w:textAlignment w:val="center"/>
              <w:rPr>
                <w:rFonts w:hint="eastAsia" w:ascii="宋体" w:hAnsi="宋体" w:eastAsia="宋体" w:cs="Times New Roman"/>
                <w:b/>
                <w:bCs/>
                <w:color w:val="000000"/>
                <w:kern w:val="0"/>
                <w:sz w:val="20"/>
                <w:szCs w:val="20"/>
              </w:rPr>
            </w:pPr>
            <w:r>
              <w:rPr>
                <w:rFonts w:hint="eastAsia" w:ascii="宋体" w:hAnsi="宋体" w:eastAsia="宋体" w:cs="宋体"/>
                <w:i w:val="0"/>
                <w:iCs w:val="0"/>
                <w:color w:val="000000"/>
                <w:kern w:val="0"/>
                <w:sz w:val="24"/>
                <w:szCs w:val="24"/>
                <w:u w:val="none"/>
                <w:lang w:val="en-US" w:eastAsia="zh-CN" w:bidi="ar"/>
              </w:rPr>
              <w:t>1</w:t>
            </w:r>
          </w:p>
        </w:tc>
        <w:tc>
          <w:tcPr>
            <w:tcW w:w="800" w:type="dxa"/>
            <w:tcBorders>
              <w:top w:val="single" w:color="auto" w:sz="4" w:space="0"/>
              <w:left w:val="nil"/>
              <w:bottom w:val="single" w:color="auto" w:sz="4" w:space="0"/>
              <w:right w:val="single" w:color="auto" w:sz="4" w:space="0"/>
            </w:tcBorders>
            <w:shd w:val="clear" w:color="000000" w:fill="FFFFFF"/>
            <w:vAlign w:val="center"/>
          </w:tcPr>
          <w:p w14:paraId="1A2ACE04">
            <w:pPr>
              <w:widowControl/>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需注明生产厂家</w:t>
            </w:r>
          </w:p>
        </w:tc>
      </w:tr>
      <w:tr w14:paraId="75C98862">
        <w:tblPrEx>
          <w:tblCellMar>
            <w:top w:w="0" w:type="dxa"/>
            <w:left w:w="108" w:type="dxa"/>
            <w:bottom w:w="0" w:type="dxa"/>
            <w:right w:w="108" w:type="dxa"/>
          </w:tblCellMar>
        </w:tblPrEx>
        <w:trPr>
          <w:trHeight w:val="800" w:hRule="atLeast"/>
        </w:trPr>
        <w:tc>
          <w:tcPr>
            <w:tcW w:w="867" w:type="dxa"/>
            <w:tcBorders>
              <w:top w:val="single" w:color="auto" w:sz="4" w:space="0"/>
              <w:left w:val="single" w:color="auto" w:sz="4" w:space="0"/>
              <w:bottom w:val="single" w:color="auto" w:sz="4" w:space="0"/>
              <w:right w:val="single" w:color="auto" w:sz="4" w:space="0"/>
            </w:tcBorders>
            <w:shd w:val="clear" w:color="000000" w:fill="FFFFFF"/>
            <w:vAlign w:val="center"/>
          </w:tcPr>
          <w:p w14:paraId="64675A38">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2616" w:type="dxa"/>
            <w:tcBorders>
              <w:top w:val="single" w:color="auto" w:sz="4" w:space="0"/>
              <w:left w:val="nil"/>
              <w:bottom w:val="single" w:color="auto" w:sz="4" w:space="0"/>
              <w:right w:val="single" w:color="auto" w:sz="4" w:space="0"/>
            </w:tcBorders>
            <w:shd w:val="clear" w:color="000000" w:fill="FFFFFF"/>
            <w:vAlign w:val="center"/>
          </w:tcPr>
          <w:p w14:paraId="719556D4">
            <w:pPr>
              <w:keepNext w:val="0"/>
              <w:keepLines w:val="0"/>
              <w:widowControl/>
              <w:suppressLineNumbers w:val="0"/>
              <w:jc w:val="center"/>
              <w:textAlignment w:val="center"/>
              <w:rPr>
                <w:rFonts w:hint="eastAsia" w:ascii="宋体" w:hAnsi="宋体" w:eastAsia="宋体" w:cs="Times New Roman"/>
                <w:b/>
                <w:bCs/>
                <w:color w:val="000000"/>
                <w:kern w:val="0"/>
                <w:sz w:val="20"/>
                <w:szCs w:val="20"/>
              </w:rPr>
            </w:pPr>
            <w:r>
              <w:rPr>
                <w:rFonts w:hint="eastAsia" w:ascii="宋体" w:hAnsi="宋体" w:eastAsia="宋体" w:cs="宋体"/>
                <w:i w:val="0"/>
                <w:iCs w:val="0"/>
                <w:color w:val="000000"/>
                <w:kern w:val="0"/>
                <w:sz w:val="21"/>
                <w:szCs w:val="21"/>
                <w:u w:val="none"/>
                <w:lang w:val="en-US" w:eastAsia="zh-CN" w:bidi="ar"/>
              </w:rPr>
              <w:t>人类免疫缺陷病毒p24抗原及抗体检测试剂盒(胶体硒法)</w:t>
            </w:r>
          </w:p>
        </w:tc>
        <w:tc>
          <w:tcPr>
            <w:tcW w:w="3426" w:type="dxa"/>
            <w:tcBorders>
              <w:top w:val="single" w:color="auto" w:sz="4" w:space="0"/>
              <w:left w:val="nil"/>
              <w:bottom w:val="single" w:color="auto" w:sz="4" w:space="0"/>
              <w:right w:val="single" w:color="auto" w:sz="4" w:space="0"/>
            </w:tcBorders>
            <w:shd w:val="clear" w:color="000000" w:fill="FFFFFF"/>
            <w:vAlign w:val="center"/>
          </w:tcPr>
          <w:p w14:paraId="62016FFE">
            <w:pPr>
              <w:keepNext w:val="0"/>
              <w:keepLines w:val="0"/>
              <w:widowControl/>
              <w:suppressLineNumbers w:val="0"/>
              <w:jc w:val="left"/>
              <w:textAlignment w:val="center"/>
              <w:rPr>
                <w:rFonts w:hint="eastAsia" w:ascii="宋体" w:hAnsi="宋体" w:eastAsia="宋体" w:cs="Times New Roman"/>
                <w:b/>
                <w:bCs/>
                <w:color w:val="000000"/>
                <w:kern w:val="0"/>
                <w:sz w:val="20"/>
                <w:szCs w:val="20"/>
              </w:rPr>
            </w:pPr>
            <w:r>
              <w:rPr>
                <w:rFonts w:hint="eastAsia" w:ascii="宋体" w:hAnsi="宋体" w:eastAsia="宋体" w:cs="宋体"/>
                <w:i w:val="0"/>
                <w:iCs w:val="0"/>
                <w:color w:val="000000"/>
                <w:kern w:val="0"/>
                <w:sz w:val="22"/>
                <w:szCs w:val="22"/>
                <w:u w:val="none"/>
                <w:lang w:val="en-US" w:eastAsia="zh-CN" w:bidi="ar"/>
              </w:rPr>
              <w:t>1、样本类型：血清/血浆/全血</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2、产品有效期≥18个月，规格：100人份/包，试剂条宽度≥3mm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★3、方法原理：免疫层析（胶体硒法）</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4、储存温度：2－30℃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5、包装方式：每条测试条均有独立包装，采用薄膜叠加层压技术，密封性好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6、检测内容：1. 抗体：可检测HIV-1型、HIV-2型抗体及O亚型抗体</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2. 抗原：可检测HIV-1p24抗原。</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▲7、敏感性: HIV 抗体，100％； p24抗原，100%。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特异性：HIV 抗体，99.96%；p24 抗原，99.76%。</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▲8、包装方式：每条测试条均有独立包装，采用薄膜叠加层压技术，密封性好                                 9、 本产品为核心产品需提供制造商代理证明或授权书。</w:t>
            </w:r>
          </w:p>
        </w:tc>
        <w:tc>
          <w:tcPr>
            <w:tcW w:w="878" w:type="dxa"/>
            <w:tcBorders>
              <w:top w:val="single" w:color="auto" w:sz="4" w:space="0"/>
              <w:left w:val="nil"/>
              <w:bottom w:val="single" w:color="auto" w:sz="4" w:space="0"/>
              <w:right w:val="single" w:color="auto" w:sz="4" w:space="0"/>
            </w:tcBorders>
            <w:shd w:val="clear" w:color="000000" w:fill="FFFFFF"/>
            <w:vAlign w:val="center"/>
          </w:tcPr>
          <w:p w14:paraId="5032F543">
            <w:pPr>
              <w:keepNext w:val="0"/>
              <w:keepLines w:val="0"/>
              <w:widowControl/>
              <w:suppressLineNumbers w:val="0"/>
              <w:jc w:val="center"/>
              <w:textAlignment w:val="center"/>
              <w:rPr>
                <w:rFonts w:hint="eastAsia" w:ascii="宋体" w:hAnsi="宋体" w:eastAsia="宋体" w:cs="Times New Roman"/>
                <w:b/>
                <w:bCs/>
                <w:color w:val="000000"/>
                <w:kern w:val="0"/>
                <w:sz w:val="20"/>
                <w:szCs w:val="20"/>
              </w:rPr>
            </w:pPr>
            <w:r>
              <w:rPr>
                <w:rFonts w:hint="eastAsia" w:ascii="宋体" w:hAnsi="宋体" w:eastAsia="宋体" w:cs="宋体"/>
                <w:i w:val="0"/>
                <w:iCs w:val="0"/>
                <w:color w:val="000000"/>
                <w:kern w:val="0"/>
                <w:sz w:val="22"/>
                <w:szCs w:val="22"/>
                <w:u w:val="none"/>
                <w:lang w:val="en-US" w:eastAsia="zh-CN" w:bidi="ar"/>
              </w:rPr>
              <w:t>100人份/袋</w:t>
            </w:r>
          </w:p>
        </w:tc>
        <w:tc>
          <w:tcPr>
            <w:tcW w:w="764" w:type="dxa"/>
            <w:tcBorders>
              <w:top w:val="single" w:color="auto" w:sz="4" w:space="0"/>
              <w:left w:val="nil"/>
              <w:bottom w:val="single" w:color="auto" w:sz="4" w:space="0"/>
              <w:right w:val="single" w:color="auto" w:sz="4" w:space="0"/>
            </w:tcBorders>
            <w:shd w:val="clear" w:color="000000" w:fill="FFFFFF"/>
            <w:vAlign w:val="center"/>
          </w:tcPr>
          <w:p w14:paraId="3E21BADE">
            <w:pPr>
              <w:keepNext w:val="0"/>
              <w:keepLines w:val="0"/>
              <w:widowControl/>
              <w:suppressLineNumbers w:val="0"/>
              <w:jc w:val="center"/>
              <w:textAlignment w:val="center"/>
              <w:rPr>
                <w:rFonts w:hint="eastAsia" w:ascii="宋体" w:hAnsi="宋体" w:eastAsia="宋体" w:cs="Times New Roman"/>
                <w:b/>
                <w:bCs/>
                <w:color w:val="000000"/>
                <w:kern w:val="0"/>
                <w:sz w:val="20"/>
                <w:szCs w:val="20"/>
              </w:rPr>
            </w:pPr>
            <w:r>
              <w:rPr>
                <w:rFonts w:hint="eastAsia" w:ascii="宋体" w:hAnsi="宋体" w:eastAsia="宋体" w:cs="宋体"/>
                <w:i w:val="0"/>
                <w:iCs w:val="0"/>
                <w:color w:val="000000"/>
                <w:kern w:val="0"/>
                <w:sz w:val="22"/>
                <w:szCs w:val="22"/>
                <w:u w:val="none"/>
                <w:lang w:val="en-US" w:eastAsia="zh-CN" w:bidi="ar"/>
              </w:rPr>
              <w:t>1</w:t>
            </w:r>
          </w:p>
        </w:tc>
        <w:tc>
          <w:tcPr>
            <w:tcW w:w="800" w:type="dxa"/>
            <w:tcBorders>
              <w:top w:val="single" w:color="auto" w:sz="4" w:space="0"/>
              <w:left w:val="nil"/>
              <w:bottom w:val="single" w:color="auto" w:sz="4" w:space="0"/>
              <w:right w:val="single" w:color="auto" w:sz="4" w:space="0"/>
            </w:tcBorders>
            <w:shd w:val="clear" w:color="000000" w:fill="FFFFFF"/>
            <w:vAlign w:val="center"/>
          </w:tcPr>
          <w:p w14:paraId="7571C2EB">
            <w:pPr>
              <w:widowControl/>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需注明生产厂家</w:t>
            </w:r>
          </w:p>
        </w:tc>
      </w:tr>
      <w:tr w14:paraId="47424D1E">
        <w:tblPrEx>
          <w:tblCellMar>
            <w:top w:w="0" w:type="dxa"/>
            <w:left w:w="108" w:type="dxa"/>
            <w:bottom w:w="0" w:type="dxa"/>
            <w:right w:w="108" w:type="dxa"/>
          </w:tblCellMar>
        </w:tblPrEx>
        <w:trPr>
          <w:trHeight w:val="800" w:hRule="atLeast"/>
        </w:trPr>
        <w:tc>
          <w:tcPr>
            <w:tcW w:w="867" w:type="dxa"/>
            <w:tcBorders>
              <w:top w:val="single" w:color="auto" w:sz="4" w:space="0"/>
              <w:left w:val="single" w:color="auto" w:sz="4" w:space="0"/>
              <w:bottom w:val="single" w:color="auto" w:sz="4" w:space="0"/>
              <w:right w:val="single" w:color="auto" w:sz="4" w:space="0"/>
            </w:tcBorders>
            <w:shd w:val="clear" w:color="000000" w:fill="FFFFFF"/>
            <w:vAlign w:val="center"/>
          </w:tcPr>
          <w:p w14:paraId="592254FC">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2616" w:type="dxa"/>
            <w:tcBorders>
              <w:top w:val="single" w:color="auto" w:sz="4" w:space="0"/>
              <w:left w:val="nil"/>
              <w:bottom w:val="single" w:color="auto" w:sz="4" w:space="0"/>
              <w:right w:val="single" w:color="auto" w:sz="4" w:space="0"/>
            </w:tcBorders>
            <w:shd w:val="clear" w:color="000000" w:fill="FFFFFF"/>
            <w:vAlign w:val="center"/>
          </w:tcPr>
          <w:p w14:paraId="5D664734">
            <w:pPr>
              <w:keepNext w:val="0"/>
              <w:keepLines w:val="0"/>
              <w:widowControl/>
              <w:suppressLineNumbers w:val="0"/>
              <w:jc w:val="center"/>
              <w:textAlignment w:val="center"/>
              <w:rPr>
                <w:rFonts w:hint="eastAsia" w:ascii="宋体" w:hAnsi="宋体" w:eastAsia="宋体" w:cs="Times New Roman"/>
                <w:b/>
                <w:bCs/>
                <w:color w:val="000000"/>
                <w:kern w:val="0"/>
                <w:sz w:val="20"/>
                <w:szCs w:val="20"/>
              </w:rPr>
            </w:pPr>
            <w:r>
              <w:rPr>
                <w:rFonts w:hint="eastAsia" w:ascii="宋体" w:hAnsi="宋体" w:eastAsia="宋体" w:cs="宋体"/>
                <w:i w:val="0"/>
                <w:iCs w:val="0"/>
                <w:color w:val="000000"/>
                <w:kern w:val="0"/>
                <w:sz w:val="24"/>
                <w:szCs w:val="24"/>
                <w:u w:val="none"/>
                <w:lang w:val="en-US" w:eastAsia="zh-CN" w:bidi="ar"/>
              </w:rPr>
              <w:t>麻疹病毒核酸检测试剂盒（荧光PCR法）</w:t>
            </w:r>
          </w:p>
        </w:tc>
        <w:tc>
          <w:tcPr>
            <w:tcW w:w="3426" w:type="dxa"/>
            <w:tcBorders>
              <w:top w:val="single" w:color="auto" w:sz="4" w:space="0"/>
              <w:left w:val="nil"/>
              <w:bottom w:val="single" w:color="auto" w:sz="4" w:space="0"/>
              <w:right w:val="single" w:color="auto" w:sz="4" w:space="0"/>
            </w:tcBorders>
            <w:shd w:val="clear" w:color="000000" w:fill="FFFFFF"/>
            <w:vAlign w:val="center"/>
          </w:tcPr>
          <w:p w14:paraId="4C3C828A">
            <w:pPr>
              <w:keepNext w:val="0"/>
              <w:keepLines w:val="0"/>
              <w:widowControl/>
              <w:suppressLineNumbers w:val="0"/>
              <w:jc w:val="left"/>
              <w:textAlignment w:val="center"/>
              <w:rPr>
                <w:rFonts w:hint="eastAsia" w:ascii="宋体" w:hAnsi="宋体" w:eastAsia="宋体" w:cs="Times New Roman"/>
                <w:b/>
                <w:bCs/>
                <w:color w:val="000000"/>
                <w:kern w:val="0"/>
                <w:sz w:val="20"/>
                <w:szCs w:val="20"/>
              </w:rPr>
            </w:pPr>
            <w:r>
              <w:rPr>
                <w:rFonts w:hint="eastAsia" w:ascii="宋体" w:hAnsi="宋体" w:eastAsia="宋体" w:cs="宋体"/>
                <w:i w:val="0"/>
                <w:iCs w:val="0"/>
                <w:color w:val="000000"/>
                <w:kern w:val="0"/>
                <w:sz w:val="22"/>
                <w:szCs w:val="22"/>
                <w:u w:val="none"/>
                <w:lang w:val="en-US" w:eastAsia="zh-CN" w:bidi="ar"/>
              </w:rPr>
              <w:t>1、样品种类：眼、鼻咽分泌物或血、尿等样品。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2、适用于 ABI 7500、Bio-Rad CFX96、Roche Lightcycler480I、Lightcycler480II、cobasZ480、宏石 SLAN-96S、SLAN-96P等实时荧光定量PCR仪。</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3、有效期≥12个月，规格：25人份/盒或50人份/盒。</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4、本试剂盒根据荧光PCR技术原理，针对麻疹病毒设计特异性引物和Taqman探针，通过荧光PCR扩增仪进行检测，从而实现对麻疹病毒核酸的检测。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5、反应时间：≤80分钟。</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6、最低检测限：500copies/mL。</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7、特异性：针对可能与检测靶标产生交叉的其他病原无交叉反应。</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▲8、生产企业通过ISO13485认证；提供质量检测合格报告。</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▲9、生产企业：拥有生物安全二级实验室备案、医疗机构(医学检验实验室)执业许可及测序服务平台，能对此产品提供数据验证支撑(提供证明文件)。</w:t>
            </w:r>
          </w:p>
        </w:tc>
        <w:tc>
          <w:tcPr>
            <w:tcW w:w="878" w:type="dxa"/>
            <w:tcBorders>
              <w:top w:val="single" w:color="auto" w:sz="4" w:space="0"/>
              <w:left w:val="nil"/>
              <w:bottom w:val="single" w:color="auto" w:sz="4" w:space="0"/>
              <w:right w:val="single" w:color="auto" w:sz="4" w:space="0"/>
            </w:tcBorders>
            <w:shd w:val="clear" w:color="000000" w:fill="FFFFFF"/>
            <w:vAlign w:val="center"/>
          </w:tcPr>
          <w:p w14:paraId="5525D26D">
            <w:pPr>
              <w:keepNext w:val="0"/>
              <w:keepLines w:val="0"/>
              <w:widowControl/>
              <w:suppressLineNumbers w:val="0"/>
              <w:jc w:val="center"/>
              <w:textAlignment w:val="center"/>
              <w:rPr>
                <w:rFonts w:hint="eastAsia" w:ascii="宋体" w:hAnsi="宋体" w:eastAsia="宋体" w:cs="Times New Roman"/>
                <w:b/>
                <w:bCs/>
                <w:color w:val="000000"/>
                <w:kern w:val="0"/>
                <w:sz w:val="20"/>
                <w:szCs w:val="20"/>
              </w:rPr>
            </w:pPr>
            <w:r>
              <w:rPr>
                <w:rFonts w:hint="eastAsia" w:ascii="宋体" w:hAnsi="宋体" w:eastAsia="宋体" w:cs="宋体"/>
                <w:i w:val="0"/>
                <w:iCs w:val="0"/>
                <w:color w:val="000000"/>
                <w:kern w:val="0"/>
                <w:sz w:val="24"/>
                <w:szCs w:val="24"/>
                <w:u w:val="none"/>
                <w:lang w:val="en-US" w:eastAsia="zh-CN" w:bidi="ar"/>
              </w:rPr>
              <w:t>50人份/盒</w:t>
            </w:r>
          </w:p>
        </w:tc>
        <w:tc>
          <w:tcPr>
            <w:tcW w:w="764" w:type="dxa"/>
            <w:tcBorders>
              <w:top w:val="single" w:color="auto" w:sz="4" w:space="0"/>
              <w:left w:val="nil"/>
              <w:bottom w:val="single" w:color="auto" w:sz="4" w:space="0"/>
              <w:right w:val="single" w:color="auto" w:sz="4" w:space="0"/>
            </w:tcBorders>
            <w:shd w:val="clear" w:color="000000" w:fill="FFFFFF"/>
            <w:vAlign w:val="center"/>
          </w:tcPr>
          <w:p w14:paraId="7F880EAB">
            <w:pPr>
              <w:keepNext w:val="0"/>
              <w:keepLines w:val="0"/>
              <w:widowControl/>
              <w:suppressLineNumbers w:val="0"/>
              <w:jc w:val="center"/>
              <w:textAlignment w:val="center"/>
              <w:rPr>
                <w:rFonts w:hint="eastAsia" w:ascii="宋体" w:hAnsi="宋体" w:eastAsia="宋体" w:cs="Times New Roman"/>
                <w:b/>
                <w:bCs/>
                <w:color w:val="000000"/>
                <w:kern w:val="0"/>
                <w:sz w:val="20"/>
                <w:szCs w:val="20"/>
              </w:rPr>
            </w:pPr>
            <w:r>
              <w:rPr>
                <w:rFonts w:hint="eastAsia" w:ascii="宋体" w:hAnsi="宋体" w:eastAsia="宋体" w:cs="宋体"/>
                <w:i w:val="0"/>
                <w:iCs w:val="0"/>
                <w:color w:val="000000"/>
                <w:kern w:val="0"/>
                <w:sz w:val="24"/>
                <w:szCs w:val="24"/>
                <w:u w:val="none"/>
                <w:lang w:val="en-US" w:eastAsia="zh-CN" w:bidi="ar"/>
              </w:rPr>
              <w:t>1</w:t>
            </w:r>
          </w:p>
        </w:tc>
        <w:tc>
          <w:tcPr>
            <w:tcW w:w="800" w:type="dxa"/>
            <w:tcBorders>
              <w:top w:val="single" w:color="auto" w:sz="4" w:space="0"/>
              <w:left w:val="nil"/>
              <w:bottom w:val="single" w:color="auto" w:sz="4" w:space="0"/>
              <w:right w:val="single" w:color="auto" w:sz="4" w:space="0"/>
            </w:tcBorders>
            <w:shd w:val="clear" w:color="000000" w:fill="FFFFFF"/>
            <w:vAlign w:val="center"/>
          </w:tcPr>
          <w:p w14:paraId="6962DBE7">
            <w:pPr>
              <w:widowControl/>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需注明生产厂家</w:t>
            </w:r>
          </w:p>
        </w:tc>
      </w:tr>
      <w:tr w14:paraId="6CA56182">
        <w:tblPrEx>
          <w:tblCellMar>
            <w:top w:w="0" w:type="dxa"/>
            <w:left w:w="108" w:type="dxa"/>
            <w:bottom w:w="0" w:type="dxa"/>
            <w:right w:w="108" w:type="dxa"/>
          </w:tblCellMar>
        </w:tblPrEx>
        <w:trPr>
          <w:trHeight w:val="800" w:hRule="atLeast"/>
        </w:trPr>
        <w:tc>
          <w:tcPr>
            <w:tcW w:w="867" w:type="dxa"/>
            <w:tcBorders>
              <w:top w:val="single" w:color="auto" w:sz="4" w:space="0"/>
              <w:left w:val="single" w:color="auto" w:sz="4" w:space="0"/>
              <w:bottom w:val="single" w:color="auto" w:sz="4" w:space="0"/>
              <w:right w:val="single" w:color="auto" w:sz="4" w:space="0"/>
            </w:tcBorders>
            <w:shd w:val="clear" w:color="000000" w:fill="FFFFFF"/>
            <w:vAlign w:val="center"/>
          </w:tcPr>
          <w:p w14:paraId="2EE6A94B">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2616" w:type="dxa"/>
            <w:tcBorders>
              <w:top w:val="single" w:color="auto" w:sz="4" w:space="0"/>
              <w:left w:val="nil"/>
              <w:bottom w:val="single" w:color="auto" w:sz="4" w:space="0"/>
              <w:right w:val="single" w:color="auto" w:sz="4" w:space="0"/>
            </w:tcBorders>
            <w:shd w:val="clear" w:color="000000" w:fill="FFFFFF"/>
            <w:vAlign w:val="center"/>
          </w:tcPr>
          <w:p w14:paraId="7B957992">
            <w:pPr>
              <w:keepNext w:val="0"/>
              <w:keepLines w:val="0"/>
              <w:widowControl/>
              <w:suppressLineNumbers w:val="0"/>
              <w:jc w:val="center"/>
              <w:textAlignment w:val="center"/>
              <w:rPr>
                <w:rFonts w:hint="eastAsia" w:ascii="宋体" w:hAnsi="宋体" w:eastAsia="宋体" w:cs="Times New Roman"/>
                <w:b/>
                <w:bCs/>
                <w:color w:val="000000"/>
                <w:kern w:val="0"/>
                <w:sz w:val="20"/>
                <w:szCs w:val="20"/>
              </w:rPr>
            </w:pPr>
            <w:r>
              <w:rPr>
                <w:rFonts w:hint="eastAsia" w:ascii="宋体" w:hAnsi="宋体" w:eastAsia="宋体" w:cs="宋体"/>
                <w:i w:val="0"/>
                <w:iCs w:val="0"/>
                <w:color w:val="000000"/>
                <w:kern w:val="0"/>
                <w:sz w:val="24"/>
                <w:szCs w:val="24"/>
                <w:u w:val="none"/>
                <w:lang w:val="en-US" w:eastAsia="zh-CN" w:bidi="ar"/>
              </w:rPr>
              <w:t>风疹病毒核酸检测试剂盒（荧光PCR法）</w:t>
            </w:r>
          </w:p>
        </w:tc>
        <w:tc>
          <w:tcPr>
            <w:tcW w:w="3426" w:type="dxa"/>
            <w:tcBorders>
              <w:top w:val="single" w:color="auto" w:sz="4" w:space="0"/>
              <w:left w:val="nil"/>
              <w:bottom w:val="single" w:color="auto" w:sz="4" w:space="0"/>
              <w:right w:val="single" w:color="auto" w:sz="4" w:space="0"/>
            </w:tcBorders>
            <w:shd w:val="clear" w:color="000000" w:fill="FFFFFF"/>
            <w:vAlign w:val="center"/>
          </w:tcPr>
          <w:p w14:paraId="4F5E25C1">
            <w:pPr>
              <w:keepNext w:val="0"/>
              <w:keepLines w:val="0"/>
              <w:widowControl/>
              <w:suppressLineNumbers w:val="0"/>
              <w:jc w:val="left"/>
              <w:textAlignment w:val="center"/>
              <w:rPr>
                <w:rFonts w:hint="default" w:ascii="宋体" w:hAnsi="宋体" w:eastAsia="宋体" w:cs="Times New Roman"/>
                <w:b/>
                <w:bCs/>
                <w:color w:val="000000"/>
                <w:kern w:val="0"/>
                <w:sz w:val="20"/>
                <w:szCs w:val="20"/>
                <w:lang w:val="en-US"/>
              </w:rPr>
            </w:pPr>
            <w:r>
              <w:rPr>
                <w:rFonts w:hint="eastAsia" w:ascii="宋体" w:hAnsi="宋体" w:eastAsia="宋体" w:cs="宋体"/>
                <w:i w:val="0"/>
                <w:iCs w:val="0"/>
                <w:color w:val="000000"/>
                <w:kern w:val="0"/>
                <w:sz w:val="22"/>
                <w:szCs w:val="22"/>
                <w:u w:val="none"/>
                <w:lang w:val="en-US" w:eastAsia="zh-CN" w:bidi="ar"/>
              </w:rPr>
              <w:t>1、样品种类：咽拭子、尿液、鼻咽分泌物、脑脊液、粪便等样品。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2、适用于 ABI 7500、Bio-Rad CFX96、Roche Lightcycler480I、Lightcycler480II、cobasZ480、宏石 SLAN-96S、SLAN-96P等实时荧光定量PCR仪。</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3、有效期≥12个月，规格：25人份/盒或50人份/盒。</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4、本试剂盒根据荧光PCR技术原理，针对风疹病毒设计特异性引物和Taqman探针，通过荧光PCR扩增仪进行检测，从而实现对风疹病毒核酸的检测。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5、反应时间：≤80分钟。</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6、最低检测限：500copies/mL。</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7、特异性：针对可能与检测靶标产生交叉的其他病原无交叉反应。</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▲8、生产企业通过ISO13485认证；提供质量检测合格报告。</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▲9、生产企业：拥有生物安全二级实验室备案、医疗机构(医学检验实验室)执业许可及测序服务平台，能对此产品提供数据验证支撑(提供证明文件)。</w:t>
            </w:r>
          </w:p>
        </w:tc>
        <w:tc>
          <w:tcPr>
            <w:tcW w:w="878" w:type="dxa"/>
            <w:tcBorders>
              <w:top w:val="single" w:color="auto" w:sz="4" w:space="0"/>
              <w:left w:val="nil"/>
              <w:bottom w:val="single" w:color="auto" w:sz="4" w:space="0"/>
              <w:right w:val="single" w:color="auto" w:sz="4" w:space="0"/>
            </w:tcBorders>
            <w:shd w:val="clear" w:color="000000" w:fill="FFFFFF"/>
            <w:vAlign w:val="center"/>
          </w:tcPr>
          <w:p w14:paraId="3BB9974C">
            <w:pPr>
              <w:keepNext w:val="0"/>
              <w:keepLines w:val="0"/>
              <w:widowControl/>
              <w:suppressLineNumbers w:val="0"/>
              <w:jc w:val="center"/>
              <w:textAlignment w:val="center"/>
              <w:rPr>
                <w:rFonts w:hint="eastAsia" w:ascii="宋体" w:hAnsi="宋体" w:eastAsia="宋体" w:cs="Times New Roman"/>
                <w:b/>
                <w:bCs/>
                <w:color w:val="000000"/>
                <w:kern w:val="0"/>
                <w:sz w:val="20"/>
                <w:szCs w:val="20"/>
              </w:rPr>
            </w:pPr>
            <w:r>
              <w:rPr>
                <w:rFonts w:hint="eastAsia" w:ascii="宋体" w:hAnsi="宋体" w:eastAsia="宋体" w:cs="宋体"/>
                <w:i w:val="0"/>
                <w:iCs w:val="0"/>
                <w:color w:val="000000"/>
                <w:kern w:val="0"/>
                <w:sz w:val="24"/>
                <w:szCs w:val="24"/>
                <w:u w:val="none"/>
                <w:lang w:val="en-US" w:eastAsia="zh-CN" w:bidi="ar"/>
              </w:rPr>
              <w:t>50人份/盒</w:t>
            </w:r>
          </w:p>
        </w:tc>
        <w:tc>
          <w:tcPr>
            <w:tcW w:w="764" w:type="dxa"/>
            <w:tcBorders>
              <w:top w:val="single" w:color="auto" w:sz="4" w:space="0"/>
              <w:left w:val="nil"/>
              <w:bottom w:val="single" w:color="auto" w:sz="4" w:space="0"/>
              <w:right w:val="single" w:color="auto" w:sz="4" w:space="0"/>
            </w:tcBorders>
            <w:shd w:val="clear" w:color="000000" w:fill="FFFFFF"/>
            <w:vAlign w:val="center"/>
          </w:tcPr>
          <w:p w14:paraId="31F521C8">
            <w:pPr>
              <w:keepNext w:val="0"/>
              <w:keepLines w:val="0"/>
              <w:widowControl/>
              <w:suppressLineNumbers w:val="0"/>
              <w:jc w:val="center"/>
              <w:textAlignment w:val="center"/>
              <w:rPr>
                <w:rFonts w:hint="eastAsia" w:ascii="宋体" w:hAnsi="宋体" w:eastAsia="宋体" w:cs="Times New Roman"/>
                <w:b/>
                <w:bCs/>
                <w:color w:val="000000"/>
                <w:kern w:val="0"/>
                <w:sz w:val="20"/>
                <w:szCs w:val="20"/>
              </w:rPr>
            </w:pPr>
            <w:r>
              <w:rPr>
                <w:rFonts w:hint="eastAsia" w:ascii="宋体" w:hAnsi="宋体" w:eastAsia="宋体" w:cs="宋体"/>
                <w:i w:val="0"/>
                <w:iCs w:val="0"/>
                <w:color w:val="000000"/>
                <w:kern w:val="0"/>
                <w:sz w:val="24"/>
                <w:szCs w:val="24"/>
                <w:u w:val="none"/>
                <w:lang w:val="en-US" w:eastAsia="zh-CN" w:bidi="ar"/>
              </w:rPr>
              <w:t>1</w:t>
            </w:r>
          </w:p>
        </w:tc>
        <w:tc>
          <w:tcPr>
            <w:tcW w:w="800" w:type="dxa"/>
            <w:tcBorders>
              <w:top w:val="single" w:color="auto" w:sz="4" w:space="0"/>
              <w:left w:val="nil"/>
              <w:bottom w:val="single" w:color="auto" w:sz="4" w:space="0"/>
              <w:right w:val="single" w:color="auto" w:sz="4" w:space="0"/>
            </w:tcBorders>
            <w:shd w:val="clear" w:color="000000" w:fill="FFFFFF"/>
            <w:vAlign w:val="center"/>
          </w:tcPr>
          <w:p w14:paraId="72DFB633">
            <w:pPr>
              <w:widowControl/>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需注明生产厂家</w:t>
            </w:r>
          </w:p>
        </w:tc>
      </w:tr>
      <w:bookmarkEnd w:id="170"/>
    </w:tbl>
    <w:p w14:paraId="3831052B">
      <w:pPr>
        <w:spacing w:line="360" w:lineRule="auto"/>
        <w:jc w:val="left"/>
        <w:rPr>
          <w:rFonts w:ascii="宋体" w:hAnsi="宋体"/>
          <w:sz w:val="24"/>
        </w:rPr>
      </w:pPr>
    </w:p>
    <w:p w14:paraId="6B939CDF">
      <w:pPr>
        <w:pStyle w:val="3"/>
      </w:pPr>
      <w:r>
        <w:rPr>
          <w:rFonts w:hint="eastAsia"/>
        </w:rPr>
        <w:t>二、商务要求：</w:t>
      </w:r>
    </w:p>
    <w:p w14:paraId="2897D985">
      <w:pPr>
        <w:numPr>
          <w:ilvl w:val="0"/>
          <w:numId w:val="2"/>
        </w:numPr>
        <w:spacing w:line="360" w:lineRule="auto"/>
        <w:ind w:firstLine="480" w:firstLineChars="200"/>
        <w:jc w:val="left"/>
        <w:rPr>
          <w:rFonts w:ascii="宋体" w:hAnsi="宋体"/>
          <w:sz w:val="24"/>
        </w:rPr>
      </w:pPr>
      <w:r>
        <w:rPr>
          <w:rFonts w:hint="eastAsia" w:ascii="宋体" w:hAnsi="宋体"/>
          <w:sz w:val="24"/>
        </w:rPr>
        <w:t>项目预算金额：</w:t>
      </w:r>
      <w:r>
        <w:rPr>
          <w:rFonts w:hint="eastAsia" w:ascii="宋体" w:hAnsi="宋体"/>
          <w:sz w:val="24"/>
          <w:lang w:val="en-US" w:eastAsia="zh-CN"/>
        </w:rPr>
        <w:t>六万五千七百一十一</w:t>
      </w:r>
      <w:r>
        <w:rPr>
          <w:rFonts w:hint="eastAsia" w:ascii="宋体" w:hAnsi="宋体"/>
          <w:sz w:val="24"/>
        </w:rPr>
        <w:t>元（¥</w:t>
      </w:r>
      <w:r>
        <w:rPr>
          <w:rFonts w:hint="eastAsia" w:ascii="宋体" w:hAnsi="宋体"/>
          <w:sz w:val="24"/>
          <w:lang w:val="en-US" w:eastAsia="zh-CN"/>
        </w:rPr>
        <w:t>65711</w:t>
      </w:r>
      <w:r>
        <w:rPr>
          <w:rFonts w:hint="eastAsia" w:ascii="宋体" w:hAnsi="宋体"/>
          <w:sz w:val="24"/>
        </w:rPr>
        <w:t>.00）元。</w:t>
      </w:r>
    </w:p>
    <w:p w14:paraId="162269FC">
      <w:pPr>
        <w:numPr>
          <w:ilvl w:val="0"/>
          <w:numId w:val="2"/>
        </w:numPr>
        <w:spacing w:line="360" w:lineRule="auto"/>
        <w:ind w:firstLine="480"/>
        <w:jc w:val="left"/>
        <w:rPr>
          <w:rFonts w:ascii="宋体" w:hAnsi="宋体"/>
          <w:sz w:val="24"/>
        </w:rPr>
      </w:pPr>
      <w:r>
        <w:rPr>
          <w:rFonts w:hint="eastAsia" w:ascii="宋体" w:hAnsi="宋体"/>
          <w:sz w:val="24"/>
        </w:rPr>
        <w:t>报价要求：</w:t>
      </w:r>
    </w:p>
    <w:p w14:paraId="7D92B923">
      <w:pPr>
        <w:spacing w:line="360" w:lineRule="auto"/>
        <w:ind w:firstLine="480" w:firstLineChars="200"/>
        <w:jc w:val="left"/>
        <w:rPr>
          <w:rFonts w:ascii="宋体" w:hAnsi="宋体"/>
          <w:sz w:val="24"/>
        </w:rPr>
      </w:pPr>
      <w:r>
        <w:rPr>
          <w:rFonts w:hint="eastAsia" w:ascii="宋体" w:hAnsi="宋体"/>
          <w:sz w:val="24"/>
        </w:rPr>
        <w:t>（1）本项目预算控制金额及最高投标限价为人民币</w:t>
      </w:r>
      <w:r>
        <w:rPr>
          <w:rFonts w:hint="eastAsia" w:ascii="宋体" w:hAnsi="宋体"/>
          <w:sz w:val="24"/>
          <w:lang w:val="en-US" w:eastAsia="zh-CN"/>
        </w:rPr>
        <w:t>65711</w:t>
      </w:r>
      <w:r>
        <w:rPr>
          <w:rFonts w:ascii="宋体" w:hAnsi="宋体"/>
          <w:sz w:val="24"/>
        </w:rPr>
        <w:t>.00</w:t>
      </w:r>
      <w:r>
        <w:rPr>
          <w:rFonts w:hint="eastAsia" w:ascii="宋体" w:hAnsi="宋体"/>
          <w:sz w:val="24"/>
        </w:rPr>
        <w:t>元。超出此预算控制金额或最高投标限价的作无效投标处理；</w:t>
      </w:r>
    </w:p>
    <w:p w14:paraId="10B8B3A1">
      <w:pPr>
        <w:spacing w:line="360" w:lineRule="auto"/>
        <w:ind w:firstLine="480" w:firstLineChars="200"/>
        <w:jc w:val="left"/>
        <w:rPr>
          <w:rFonts w:ascii="宋体" w:hAnsi="宋体"/>
          <w:sz w:val="24"/>
        </w:rPr>
      </w:pPr>
      <w:r>
        <w:rPr>
          <w:rFonts w:hint="eastAsia" w:ascii="宋体" w:hAnsi="宋体"/>
          <w:sz w:val="24"/>
        </w:rPr>
        <w:t>（2）本次采购报价币种为人民币，单位为元；</w:t>
      </w:r>
    </w:p>
    <w:p w14:paraId="2D5E9F12">
      <w:pPr>
        <w:spacing w:line="360" w:lineRule="auto"/>
        <w:ind w:firstLine="480" w:firstLineChars="200"/>
        <w:jc w:val="left"/>
        <w:rPr>
          <w:rFonts w:ascii="宋体" w:hAnsi="宋体"/>
          <w:sz w:val="24"/>
        </w:rPr>
      </w:pPr>
      <w:r>
        <w:rPr>
          <w:rFonts w:hint="eastAsia" w:ascii="宋体" w:hAnsi="宋体"/>
          <w:sz w:val="24"/>
        </w:rPr>
        <w:t>（3）本项目服务费用采用包干制，包括但不限于人工费、设备费等服务成本、管理费用、法定税费和利润等一切费用。投标人应自行承担未来时期人工工资上调、劳动合同补偿和物价上涨等因素对服务价格造成的影响及风险；</w:t>
      </w:r>
    </w:p>
    <w:p w14:paraId="778FFB86">
      <w:pPr>
        <w:spacing w:line="360" w:lineRule="auto"/>
        <w:ind w:firstLine="480" w:firstLineChars="200"/>
        <w:jc w:val="left"/>
        <w:rPr>
          <w:rFonts w:ascii="宋体" w:hAnsi="宋体"/>
          <w:sz w:val="24"/>
        </w:rPr>
      </w:pPr>
      <w:r>
        <w:rPr>
          <w:rFonts w:hint="eastAsia" w:ascii="宋体" w:hAnsi="宋体"/>
          <w:sz w:val="24"/>
        </w:rPr>
        <w:t>（4）投标人应根据本企业的成本自行决定报价。评标委员会认为投标人的报价明显低于其他通过符合性审查投标人的报价，有可能影响服务质量或不能诚信履约的，将会要求该投标人在评标现场合理的时间内提供书面说明，必要时提交相关证明材料。投标人不能证明其报价合理性的，评标委员会应将其作为无效投标处理。</w:t>
      </w:r>
    </w:p>
    <w:p w14:paraId="7C1D99AF">
      <w:pPr>
        <w:numPr>
          <w:ilvl w:val="0"/>
          <w:numId w:val="2"/>
        </w:numPr>
        <w:spacing w:line="360" w:lineRule="auto"/>
        <w:ind w:firstLine="480" w:firstLineChars="200"/>
        <w:jc w:val="left"/>
        <w:rPr>
          <w:rFonts w:ascii="宋体" w:hAnsi="宋体"/>
          <w:sz w:val="24"/>
        </w:rPr>
      </w:pPr>
      <w:r>
        <w:rPr>
          <w:rFonts w:hint="eastAsia" w:ascii="宋体" w:hAnsi="宋体"/>
          <w:sz w:val="24"/>
        </w:rPr>
        <w:t>交货时间：自合同签订之日起10个工作日内完成供货，具体以采购单位实际需求为准。</w:t>
      </w:r>
    </w:p>
    <w:p w14:paraId="039170BC">
      <w:pPr>
        <w:numPr>
          <w:ilvl w:val="0"/>
          <w:numId w:val="2"/>
        </w:numPr>
        <w:spacing w:line="360" w:lineRule="auto"/>
        <w:ind w:firstLine="480"/>
        <w:jc w:val="left"/>
        <w:rPr>
          <w:rFonts w:ascii="宋体" w:hAnsi="宋体"/>
          <w:sz w:val="24"/>
        </w:rPr>
      </w:pPr>
      <w:r>
        <w:rPr>
          <w:rFonts w:hint="eastAsia" w:ascii="宋体" w:hAnsi="宋体"/>
          <w:sz w:val="24"/>
        </w:rPr>
        <w:t>交货地点：采购单位指定地点。</w:t>
      </w:r>
    </w:p>
    <w:p w14:paraId="7B4E747C">
      <w:pPr>
        <w:numPr>
          <w:ilvl w:val="0"/>
          <w:numId w:val="2"/>
        </w:numPr>
        <w:spacing w:line="360" w:lineRule="auto"/>
        <w:ind w:firstLine="480"/>
        <w:jc w:val="left"/>
        <w:rPr>
          <w:rFonts w:ascii="宋体" w:hAnsi="宋体"/>
          <w:sz w:val="24"/>
        </w:rPr>
      </w:pPr>
      <w:r>
        <w:rPr>
          <w:rFonts w:hint="eastAsia" w:ascii="宋体" w:hAnsi="宋体"/>
          <w:sz w:val="24"/>
        </w:rPr>
        <w:t>付款方式：</w:t>
      </w:r>
    </w:p>
    <w:p w14:paraId="22E79CAA">
      <w:pPr>
        <w:spacing w:line="360" w:lineRule="auto"/>
        <w:ind w:firstLine="480" w:firstLineChars="200"/>
        <w:rPr>
          <w:rFonts w:ascii="宋体" w:hAnsi="宋体"/>
          <w:bCs/>
          <w:color w:val="000000"/>
          <w:sz w:val="24"/>
        </w:rPr>
      </w:pPr>
      <w:r>
        <w:rPr>
          <w:rFonts w:hint="eastAsia" w:ascii="宋体" w:hAnsi="宋体"/>
          <w:bCs/>
          <w:color w:val="000000"/>
          <w:sz w:val="24"/>
        </w:rPr>
        <w:t>（</w:t>
      </w:r>
      <w:r>
        <w:rPr>
          <w:rFonts w:ascii="宋体" w:hAnsi="宋体"/>
          <w:bCs/>
          <w:color w:val="000000"/>
          <w:sz w:val="24"/>
        </w:rPr>
        <w:t>1</w:t>
      </w:r>
      <w:r>
        <w:rPr>
          <w:rFonts w:hint="eastAsia" w:ascii="宋体" w:hAnsi="宋体"/>
          <w:bCs/>
          <w:color w:val="000000"/>
          <w:sz w:val="24"/>
        </w:rPr>
        <w:t>）中标人供货完成后，采购人向中标人支付合同总价</w:t>
      </w:r>
      <w:r>
        <w:rPr>
          <w:rFonts w:ascii="宋体" w:hAnsi="宋体"/>
          <w:bCs/>
          <w:color w:val="000000"/>
          <w:sz w:val="24"/>
        </w:rPr>
        <w:t>100</w:t>
      </w:r>
      <w:r>
        <w:rPr>
          <w:rFonts w:hint="eastAsia" w:ascii="宋体" w:hAnsi="宋体"/>
          <w:bCs/>
          <w:color w:val="000000"/>
          <w:sz w:val="24"/>
        </w:rPr>
        <w:t>%的款项；</w:t>
      </w:r>
    </w:p>
    <w:p w14:paraId="7443D29F">
      <w:pPr>
        <w:spacing w:line="360" w:lineRule="auto"/>
        <w:ind w:firstLine="480" w:firstLineChars="200"/>
        <w:rPr>
          <w:rFonts w:ascii="宋体" w:hAnsi="宋体"/>
          <w:bCs/>
          <w:color w:val="000000"/>
          <w:sz w:val="24"/>
        </w:rPr>
      </w:pPr>
      <w:r>
        <w:rPr>
          <w:rFonts w:hint="eastAsia" w:ascii="宋体" w:hAnsi="宋体"/>
          <w:bCs/>
          <w:color w:val="000000"/>
          <w:sz w:val="24"/>
        </w:rPr>
        <w:t>（</w:t>
      </w:r>
      <w:r>
        <w:rPr>
          <w:rFonts w:ascii="宋体" w:hAnsi="宋体"/>
          <w:bCs/>
          <w:color w:val="000000"/>
          <w:sz w:val="24"/>
        </w:rPr>
        <w:t>2</w:t>
      </w:r>
      <w:r>
        <w:rPr>
          <w:rFonts w:hint="eastAsia" w:ascii="宋体" w:hAnsi="宋体"/>
          <w:bCs/>
          <w:color w:val="000000"/>
          <w:sz w:val="24"/>
        </w:rPr>
        <w:t>）中标人需向采购人提供相应金额的有效增值税发票，采购人在收到发票后15个工作日内支付；</w:t>
      </w:r>
    </w:p>
    <w:p w14:paraId="2C40F8F9">
      <w:pPr>
        <w:numPr>
          <w:ilvl w:val="0"/>
          <w:numId w:val="2"/>
        </w:numPr>
        <w:spacing w:line="360" w:lineRule="auto"/>
        <w:ind w:firstLine="480" w:firstLineChars="200"/>
        <w:jc w:val="left"/>
        <w:rPr>
          <w:rFonts w:ascii="宋体" w:hAnsi="宋体"/>
          <w:sz w:val="24"/>
        </w:rPr>
      </w:pPr>
      <w:r>
        <w:rPr>
          <w:rFonts w:hint="eastAsia" w:ascii="宋体" w:hAnsi="宋体"/>
          <w:sz w:val="24"/>
        </w:rPr>
        <w:t>验收方式：</w:t>
      </w:r>
    </w:p>
    <w:p w14:paraId="4B90D9D4">
      <w:pPr>
        <w:spacing w:line="360" w:lineRule="auto"/>
        <w:ind w:firstLine="480" w:firstLineChars="200"/>
        <w:rPr>
          <w:rFonts w:ascii="宋体" w:hAnsi="宋体"/>
          <w:bCs/>
          <w:color w:val="000000"/>
          <w:sz w:val="24"/>
        </w:rPr>
      </w:pPr>
      <w:r>
        <w:rPr>
          <w:rFonts w:hint="eastAsia" w:ascii="宋体" w:hAnsi="宋体"/>
          <w:bCs/>
          <w:color w:val="000000"/>
          <w:sz w:val="24"/>
        </w:rPr>
        <w:t>（</w:t>
      </w:r>
      <w:r>
        <w:rPr>
          <w:rFonts w:ascii="宋体" w:hAnsi="宋体"/>
          <w:bCs/>
          <w:color w:val="000000"/>
          <w:sz w:val="24"/>
        </w:rPr>
        <w:t>1</w:t>
      </w:r>
      <w:r>
        <w:rPr>
          <w:rFonts w:hint="eastAsia" w:ascii="宋体" w:hAnsi="宋体"/>
          <w:bCs/>
          <w:color w:val="000000"/>
          <w:sz w:val="24"/>
        </w:rPr>
        <w:t>）提供的货物必须为全新、经检验合格的产品；</w:t>
      </w:r>
    </w:p>
    <w:p w14:paraId="550440A1">
      <w:pPr>
        <w:spacing w:line="360" w:lineRule="auto"/>
        <w:ind w:firstLine="480" w:firstLineChars="200"/>
        <w:rPr>
          <w:rFonts w:ascii="宋体" w:hAnsi="宋体"/>
          <w:bCs/>
          <w:color w:val="000000"/>
          <w:sz w:val="24"/>
        </w:rPr>
      </w:pPr>
      <w:r>
        <w:rPr>
          <w:rFonts w:hint="eastAsia" w:ascii="宋体" w:hAnsi="宋体"/>
          <w:bCs/>
          <w:color w:val="000000"/>
          <w:sz w:val="24"/>
        </w:rPr>
        <w:t>（</w:t>
      </w:r>
      <w:r>
        <w:rPr>
          <w:rFonts w:ascii="宋体" w:hAnsi="宋体"/>
          <w:bCs/>
          <w:color w:val="000000"/>
          <w:sz w:val="24"/>
        </w:rPr>
        <w:t>2</w:t>
      </w:r>
      <w:r>
        <w:rPr>
          <w:rFonts w:hint="eastAsia" w:ascii="宋体" w:hAnsi="宋体"/>
          <w:bCs/>
          <w:color w:val="000000"/>
          <w:sz w:val="24"/>
        </w:rPr>
        <w:t>）投标人负责将货物安全无损运抵采购人指定地点,并承担设备的包装、运输、保险、装卸、安装调试、商检及计量检测、增值税等费用；</w:t>
      </w:r>
    </w:p>
    <w:p w14:paraId="04AA0A10">
      <w:pPr>
        <w:spacing w:line="360" w:lineRule="auto"/>
        <w:ind w:firstLine="480" w:firstLineChars="200"/>
        <w:rPr>
          <w:rFonts w:ascii="宋体" w:hAnsi="宋体"/>
          <w:bCs/>
          <w:color w:val="000000"/>
          <w:sz w:val="24"/>
        </w:rPr>
      </w:pPr>
      <w:r>
        <w:rPr>
          <w:rFonts w:hint="eastAsia" w:ascii="宋体" w:hAnsi="宋体"/>
          <w:bCs/>
          <w:color w:val="000000"/>
          <w:sz w:val="24"/>
        </w:rPr>
        <w:t>（</w:t>
      </w:r>
      <w:r>
        <w:rPr>
          <w:rFonts w:ascii="宋体" w:hAnsi="宋体"/>
          <w:bCs/>
          <w:color w:val="000000"/>
          <w:sz w:val="24"/>
        </w:rPr>
        <w:t>3</w:t>
      </w:r>
      <w:r>
        <w:rPr>
          <w:rFonts w:hint="eastAsia" w:ascii="宋体" w:hAnsi="宋体"/>
          <w:bCs/>
          <w:color w:val="000000"/>
          <w:sz w:val="24"/>
        </w:rPr>
        <w:t>）采购人有权检验或测试货物，以确认货物是否符合合同规格的要求，并且不承担额外的费用。如果发现所交货物与投标文件中所承诺的不符或存在质量、技术缺陷等,采购人可以拒绝接收该货物,投标人应在30日内采取补足、更换或退货等措施,以满足规格的要求，由此发生的一切损失和费用由投标人承担；</w:t>
      </w:r>
    </w:p>
    <w:p w14:paraId="5C111C9F">
      <w:pPr>
        <w:spacing w:line="360" w:lineRule="auto"/>
        <w:ind w:firstLine="480" w:firstLineChars="200"/>
        <w:rPr>
          <w:rFonts w:ascii="宋体" w:hAnsi="宋体"/>
          <w:bCs/>
          <w:color w:val="000000"/>
          <w:sz w:val="24"/>
        </w:rPr>
      </w:pPr>
      <w:r>
        <w:rPr>
          <w:rFonts w:hint="eastAsia" w:ascii="宋体" w:hAnsi="宋体"/>
          <w:bCs/>
          <w:color w:val="000000"/>
          <w:sz w:val="24"/>
        </w:rPr>
        <w:t>（4）当满足以下条件时，采购人才向中标人签发验收报告；</w:t>
      </w:r>
    </w:p>
    <w:p w14:paraId="272F4AC9">
      <w:pPr>
        <w:spacing w:line="360" w:lineRule="auto"/>
        <w:ind w:firstLine="480" w:firstLineChars="200"/>
        <w:rPr>
          <w:rFonts w:ascii="宋体" w:hAnsi="宋体"/>
          <w:bCs/>
          <w:color w:val="000000"/>
          <w:sz w:val="24"/>
        </w:rPr>
      </w:pPr>
      <w:r>
        <w:rPr>
          <w:rFonts w:hint="eastAsia" w:ascii="宋体" w:hAnsi="宋体"/>
          <w:bCs/>
          <w:color w:val="000000"/>
          <w:sz w:val="24"/>
        </w:rPr>
        <w:t>4.1货物符合招标文件技术规格书的要求，性能满足要求；</w:t>
      </w:r>
    </w:p>
    <w:p w14:paraId="24B0CF07">
      <w:pPr>
        <w:spacing w:line="360" w:lineRule="auto"/>
        <w:ind w:firstLine="480" w:firstLineChars="200"/>
        <w:rPr>
          <w:rFonts w:ascii="宋体" w:hAnsi="宋体"/>
          <w:bCs/>
          <w:color w:val="000000"/>
          <w:sz w:val="24"/>
        </w:rPr>
      </w:pPr>
      <w:r>
        <w:rPr>
          <w:rFonts w:hint="eastAsia" w:ascii="宋体" w:hAnsi="宋体"/>
          <w:bCs/>
          <w:color w:val="000000"/>
          <w:sz w:val="24"/>
        </w:rPr>
        <w:t>4.2货物具备产品合格证；</w:t>
      </w:r>
    </w:p>
    <w:p w14:paraId="1A6A63B3">
      <w:pPr>
        <w:spacing w:line="360" w:lineRule="auto"/>
        <w:ind w:firstLine="480" w:firstLineChars="200"/>
        <w:rPr>
          <w:rFonts w:ascii="宋体" w:hAnsi="宋体"/>
          <w:bCs/>
          <w:color w:val="000000"/>
          <w:sz w:val="24"/>
        </w:rPr>
      </w:pPr>
      <w:r>
        <w:rPr>
          <w:rFonts w:hint="eastAsia" w:ascii="宋体" w:hAnsi="宋体"/>
          <w:bCs/>
          <w:color w:val="000000"/>
          <w:sz w:val="24"/>
        </w:rPr>
        <w:t>4</w:t>
      </w:r>
      <w:r>
        <w:rPr>
          <w:rFonts w:ascii="宋体" w:hAnsi="宋体"/>
          <w:bCs/>
          <w:color w:val="000000"/>
          <w:sz w:val="24"/>
        </w:rPr>
        <w:t>.3</w:t>
      </w:r>
      <w:r>
        <w:rPr>
          <w:rFonts w:hint="eastAsia" w:ascii="宋体" w:hAnsi="宋体"/>
          <w:bCs/>
          <w:color w:val="000000"/>
          <w:sz w:val="24"/>
        </w:rPr>
        <w:t>所交付货物保质期不少于1</w:t>
      </w:r>
      <w:r>
        <w:rPr>
          <w:rFonts w:ascii="宋体" w:hAnsi="宋体"/>
          <w:bCs/>
          <w:color w:val="000000"/>
          <w:sz w:val="24"/>
        </w:rPr>
        <w:t>80</w:t>
      </w:r>
      <w:r>
        <w:rPr>
          <w:rFonts w:hint="eastAsia" w:ascii="宋体" w:hAnsi="宋体"/>
          <w:bCs/>
          <w:color w:val="000000"/>
          <w:sz w:val="24"/>
        </w:rPr>
        <w:t>个日历日，以签收时间为准。</w:t>
      </w:r>
    </w:p>
    <w:p w14:paraId="558905BE">
      <w:pPr>
        <w:numPr>
          <w:ilvl w:val="0"/>
          <w:numId w:val="2"/>
        </w:numPr>
        <w:spacing w:line="360" w:lineRule="auto"/>
        <w:ind w:firstLine="480" w:firstLineChars="200"/>
        <w:jc w:val="left"/>
        <w:rPr>
          <w:rFonts w:ascii="宋体" w:hAnsi="宋体"/>
          <w:sz w:val="24"/>
        </w:rPr>
      </w:pPr>
      <w:r>
        <w:rPr>
          <w:rFonts w:hint="eastAsia" w:ascii="宋体" w:hAnsi="宋体"/>
          <w:sz w:val="24"/>
        </w:rPr>
        <w:t>违约要求：</w:t>
      </w:r>
    </w:p>
    <w:p w14:paraId="4976DB77">
      <w:pPr>
        <w:spacing w:line="360" w:lineRule="auto"/>
        <w:ind w:firstLine="480" w:firstLineChars="200"/>
        <w:jc w:val="left"/>
        <w:rPr>
          <w:rFonts w:ascii="宋体" w:hAnsi="宋体"/>
          <w:sz w:val="24"/>
        </w:rPr>
      </w:pPr>
      <w:r>
        <w:rPr>
          <w:rFonts w:hint="eastAsia" w:ascii="宋体" w:hAnsi="宋体"/>
          <w:sz w:val="24"/>
        </w:rPr>
        <w:t>（1）如投标人未按照投标文件中承诺的时间交货或提供服务，投标人应承担延期交货和延期服务的违约责任，并赔偿采购人因此造成的实际经济损失。实际经济损失超出履约保证金额，采购人有权终止合同；</w:t>
      </w:r>
    </w:p>
    <w:p w14:paraId="551C1AF8">
      <w:pPr>
        <w:spacing w:line="360" w:lineRule="auto"/>
        <w:ind w:firstLine="480" w:firstLineChars="200"/>
        <w:jc w:val="left"/>
        <w:rPr>
          <w:rFonts w:ascii="宋体" w:hAnsi="宋体"/>
          <w:sz w:val="24"/>
        </w:rPr>
      </w:pPr>
      <w:r>
        <w:rPr>
          <w:rFonts w:hint="eastAsia" w:ascii="宋体" w:hAnsi="宋体"/>
          <w:sz w:val="24"/>
        </w:rPr>
        <w:t>（2）投标人所交设备的品种、型号、规格、质量、功能、技术参数等方面不能实质性满足招标文件要约的，采购人有权拒绝收货，投标人向采购人偿付项目采购金额千分之十的违约金；造成严重后果的，根据《深圳经济特区政府采购条例》第五十七条第（二）款规定，由主管部门对中标人进行处罚；</w:t>
      </w:r>
    </w:p>
    <w:p w14:paraId="4BECC150">
      <w:pPr>
        <w:spacing w:line="360" w:lineRule="auto"/>
        <w:ind w:firstLine="480" w:firstLineChars="200"/>
        <w:jc w:val="left"/>
        <w:rPr>
          <w:rFonts w:ascii="宋体" w:hAnsi="宋体"/>
          <w:sz w:val="24"/>
        </w:rPr>
      </w:pPr>
      <w:r>
        <w:rPr>
          <w:rFonts w:hint="eastAsia" w:ascii="宋体" w:hAnsi="宋体"/>
          <w:sz w:val="24"/>
        </w:rPr>
        <w:t>（3）投标人不能交付设备的，投标人向采购人偿付项目采购金额千分之十的违约金；造成严重后果的，根据《深圳经济特区政府采购条例》第五十七条第（二）款规定，由主管部门对中标人进行处罚；</w:t>
      </w:r>
    </w:p>
    <w:p w14:paraId="015C71E4">
      <w:pPr>
        <w:spacing w:line="360" w:lineRule="auto"/>
        <w:ind w:firstLine="480" w:firstLineChars="200"/>
        <w:jc w:val="left"/>
        <w:rPr>
          <w:rFonts w:ascii="宋体" w:hAnsi="宋体"/>
          <w:sz w:val="24"/>
        </w:rPr>
      </w:pPr>
      <w:r>
        <w:rPr>
          <w:rFonts w:hint="eastAsia" w:ascii="宋体" w:hAnsi="宋体"/>
          <w:sz w:val="24"/>
        </w:rPr>
        <w:t>（4）投标人逾期未交设备的，投标人向采购人每日偿付设备款千分之十的违约金。投标人超过交货期限30日仍未交货，采购人有权解除合同。</w:t>
      </w:r>
    </w:p>
    <w:p w14:paraId="6FE36DBD">
      <w:pPr>
        <w:numPr>
          <w:ilvl w:val="0"/>
          <w:numId w:val="2"/>
        </w:numPr>
        <w:spacing w:line="360" w:lineRule="auto"/>
        <w:ind w:firstLine="480" w:firstLineChars="200"/>
        <w:jc w:val="left"/>
        <w:rPr>
          <w:rFonts w:ascii="宋体" w:hAnsi="宋体"/>
          <w:sz w:val="24"/>
        </w:rPr>
      </w:pPr>
      <w:r>
        <w:rPr>
          <w:rFonts w:hint="eastAsia" w:ascii="宋体" w:hAnsi="宋体"/>
          <w:sz w:val="24"/>
        </w:rPr>
        <w:t>其他要求：中标人需配合采购单位信息管理系统，供货产品需有最小包装且将信息生成识别码贴于产品最小包包装外封面用于实时追踪产品信息。</w:t>
      </w:r>
    </w:p>
    <w:p w14:paraId="28EEB1B4">
      <w:pPr>
        <w:spacing w:line="360" w:lineRule="auto"/>
        <w:jc w:val="left"/>
        <w:rPr>
          <w:rFonts w:ascii="宋体" w:hAnsi="宋体"/>
          <w:sz w:val="24"/>
        </w:rPr>
      </w:pPr>
    </w:p>
    <w:p w14:paraId="53A55366">
      <w:pPr>
        <w:pStyle w:val="3"/>
        <w:rPr>
          <w:rFonts w:ascii="仿宋" w:hAnsi="仿宋" w:eastAsia="仿宋"/>
          <w:b w:val="0"/>
          <w:color w:val="000000"/>
        </w:rPr>
      </w:pPr>
      <w:r>
        <w:rPr>
          <w:rFonts w:hint="eastAsia"/>
        </w:rPr>
        <w:t>二、评审因素和评审标准</w:t>
      </w:r>
    </w:p>
    <w:tbl>
      <w:tblPr>
        <w:tblStyle w:val="16"/>
        <w:tblW w:w="9072" w:type="dxa"/>
        <w:jc w:val="center"/>
        <w:tblCellSpacing w:w="0" w:type="dxa"/>
        <w:tblLayout w:type="autofit"/>
        <w:tblCellMar>
          <w:top w:w="45" w:type="dxa"/>
          <w:left w:w="45" w:type="dxa"/>
          <w:bottom w:w="45" w:type="dxa"/>
          <w:right w:w="45" w:type="dxa"/>
        </w:tblCellMar>
      </w:tblPr>
      <w:tblGrid>
        <w:gridCol w:w="8828"/>
        <w:gridCol w:w="244"/>
      </w:tblGrid>
      <w:tr w14:paraId="21D896C7">
        <w:trPr>
          <w:tblCellSpacing w:w="0" w:type="dxa"/>
          <w:jc w:val="center"/>
        </w:trPr>
        <w:tc>
          <w:tcPr>
            <w:tcW w:w="0" w:type="auto"/>
            <w:tcBorders>
              <w:top w:val="nil"/>
              <w:left w:val="nil"/>
              <w:bottom w:val="nil"/>
              <w:right w:val="nil"/>
            </w:tcBorders>
            <w:vAlign w:val="center"/>
          </w:tcPr>
          <w:p w14:paraId="09D13454">
            <w:pPr>
              <w:rPr>
                <w:rFonts w:ascii="宋体" w:hAnsi="宋体"/>
                <w:b/>
                <w:bCs/>
                <w:sz w:val="24"/>
              </w:rPr>
            </w:pPr>
            <w:r>
              <w:rPr>
                <w:b/>
                <w:bCs/>
              </w:rPr>
              <w:t>评标方法：综合评分法（新价格分算法）</w:t>
            </w:r>
          </w:p>
        </w:tc>
        <w:tc>
          <w:tcPr>
            <w:tcW w:w="0" w:type="auto"/>
            <w:tcBorders>
              <w:top w:val="nil"/>
              <w:left w:val="nil"/>
              <w:bottom w:val="nil"/>
              <w:right w:val="nil"/>
            </w:tcBorders>
            <w:vAlign w:val="center"/>
          </w:tcPr>
          <w:p w14:paraId="79C637F9">
            <w:pPr>
              <w:rPr>
                <w:b/>
                <w:bCs/>
              </w:rPr>
            </w:pPr>
          </w:p>
        </w:tc>
      </w:tr>
      <w:tr w14:paraId="72BE9DCF">
        <w:tblPrEx>
          <w:tblCellMar>
            <w:top w:w="45" w:type="dxa"/>
            <w:left w:w="45" w:type="dxa"/>
            <w:bottom w:w="45" w:type="dxa"/>
            <w:right w:w="45" w:type="dxa"/>
          </w:tblCellMar>
        </w:tblPrEx>
        <w:trPr>
          <w:tblCellSpacing w:w="0" w:type="dxa"/>
          <w:jc w:val="center"/>
        </w:trPr>
        <w:tc>
          <w:tcPr>
            <w:tcW w:w="0" w:type="auto"/>
            <w:gridSpan w:val="2"/>
            <w:tcBorders>
              <w:top w:val="nil"/>
              <w:left w:val="nil"/>
              <w:bottom w:val="nil"/>
              <w:right w:val="nil"/>
            </w:tcBorders>
            <w:vAlign w:val="center"/>
          </w:tcPr>
          <w:p w14:paraId="6C6EB85B">
            <w:pPr>
              <w:pStyle w:val="15"/>
              <w:spacing w:line="324" w:lineRule="auto"/>
              <w:ind w:firstLine="420"/>
              <w:rPr>
                <w:rFonts w:ascii="宋体" w:hAnsi="宋体" w:cs="宋体"/>
                <w:sz w:val="21"/>
                <w:szCs w:val="21"/>
              </w:rPr>
            </w:pPr>
            <w:r>
              <w:rPr>
                <w:sz w:val="21"/>
                <w:szCs w:val="21"/>
              </w:rPr>
              <w:t xml:space="preserve">综合评分法，是指投标文件满足招标文件全部实质性要求，且按照评审因素的量化指标评审得分最高的投标人为中标候选人的评标方法。 </w:t>
            </w:r>
          </w:p>
          <w:p w14:paraId="0142521B">
            <w:pPr>
              <w:pStyle w:val="15"/>
              <w:ind w:firstLine="420"/>
              <w:rPr>
                <w:sz w:val="21"/>
                <w:szCs w:val="21"/>
              </w:rPr>
            </w:pPr>
            <w:r>
              <w:rPr>
                <w:sz w:val="21"/>
                <w:szCs w:val="21"/>
              </w:rPr>
              <w:t>价格分计算方法：</w:t>
            </w:r>
          </w:p>
          <w:p w14:paraId="07332529">
            <w:pPr>
              <w:pStyle w:val="15"/>
              <w:spacing w:line="324" w:lineRule="auto"/>
              <w:ind w:left="420"/>
              <w:rPr>
                <w:sz w:val="21"/>
                <w:szCs w:val="21"/>
              </w:rPr>
            </w:pPr>
            <w:r>
              <w:rPr>
                <w:sz w:val="21"/>
                <w:szCs w:val="21"/>
              </w:rPr>
              <w:t xml:space="preserve">采用低价优先法计算，即满足招标文件要求且投标价格最低的投标报价为评标基准价，其价格分为满分。其他投标人的价格分统一按照下列公式计算： </w:t>
            </w:r>
            <w:r>
              <w:rPr>
                <w:sz w:val="21"/>
                <w:szCs w:val="21"/>
              </w:rPr>
              <w:br w:type="textWrapping"/>
            </w:r>
            <w:r>
              <w:rPr>
                <w:sz w:val="21"/>
                <w:szCs w:val="21"/>
              </w:rPr>
              <w:t xml:space="preserve">投标报价得分=(评标基准价／投标报价)×100 </w:t>
            </w:r>
            <w:r>
              <w:rPr>
                <w:sz w:val="21"/>
                <w:szCs w:val="21"/>
              </w:rPr>
              <w:br w:type="textWrapping"/>
            </w:r>
            <w:r>
              <w:rPr>
                <w:sz w:val="21"/>
                <w:szCs w:val="21"/>
              </w:rPr>
              <w:t xml:space="preserve">评标总得分＝F1×A1＋F2×A2＋……＋Fn×An </w:t>
            </w:r>
            <w:r>
              <w:rPr>
                <w:sz w:val="21"/>
                <w:szCs w:val="21"/>
              </w:rPr>
              <w:br w:type="textWrapping"/>
            </w:r>
            <w:r>
              <w:rPr>
                <w:sz w:val="21"/>
                <w:szCs w:val="21"/>
              </w:rPr>
              <w:t xml:space="preserve">F1、F2……Fn分别为各项评审因素的得分； </w:t>
            </w:r>
            <w:r>
              <w:rPr>
                <w:sz w:val="21"/>
                <w:szCs w:val="21"/>
              </w:rPr>
              <w:br w:type="textWrapping"/>
            </w:r>
            <w:r>
              <w:rPr>
                <w:sz w:val="21"/>
                <w:szCs w:val="21"/>
              </w:rPr>
              <w:t xml:space="preserve">A1、A2、……An 分别为各项评审因素所占的权重(A1＋A2＋……＋An＝1)。 </w:t>
            </w:r>
            <w:r>
              <w:rPr>
                <w:sz w:val="21"/>
                <w:szCs w:val="21"/>
              </w:rPr>
              <w:br w:type="textWrapping"/>
            </w:r>
            <w:r>
              <w:rPr>
                <w:sz w:val="21"/>
                <w:szCs w:val="21"/>
              </w:rPr>
              <w:t xml:space="preserve">评标过程中，不得去掉报价中的最高报价和最低报价。 </w:t>
            </w:r>
            <w:r>
              <w:rPr>
                <w:sz w:val="21"/>
                <w:szCs w:val="21"/>
              </w:rPr>
              <w:br w:type="textWrapping"/>
            </w:r>
            <w:r>
              <w:rPr>
                <w:sz w:val="21"/>
                <w:szCs w:val="21"/>
              </w:rPr>
              <w:t xml:space="preserve">此方法适用于货物类、服务类、工程类项目。 </w:t>
            </w:r>
          </w:p>
        </w:tc>
      </w:tr>
    </w:tbl>
    <w:p w14:paraId="77565C70">
      <w:pPr>
        <w:jc w:val="left"/>
        <w:rPr>
          <w:rFonts w:ascii="仿宋" w:hAnsi="仿宋" w:eastAsia="仿宋"/>
          <w:b/>
          <w:color w:val="000000"/>
          <w:sz w:val="32"/>
          <w:szCs w:val="32"/>
        </w:rPr>
      </w:pPr>
    </w:p>
    <w:tbl>
      <w:tblPr>
        <w:tblStyle w:val="16"/>
        <w:tblW w:w="907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20" w:type="dxa"/>
          <w:left w:w="108" w:type="dxa"/>
          <w:bottom w:w="20" w:type="dxa"/>
          <w:right w:w="108" w:type="dxa"/>
        </w:tblCellMar>
      </w:tblPr>
      <w:tblGrid>
        <w:gridCol w:w="680"/>
        <w:gridCol w:w="680"/>
        <w:gridCol w:w="1646"/>
        <w:gridCol w:w="709"/>
        <w:gridCol w:w="5357"/>
      </w:tblGrid>
      <w:tr w14:paraId="763A8AF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198F2189">
            <w:pPr>
              <w:wordWrap w:val="0"/>
              <w:jc w:val="center"/>
              <w:rPr>
                <w:rFonts w:ascii="Times New Roman" w:hAnsi="Times New Roman"/>
                <w:b/>
                <w:bCs/>
                <w:sz w:val="24"/>
              </w:rPr>
            </w:pPr>
            <w:r>
              <w:rPr>
                <w:rFonts w:ascii="Times New Roman" w:hAnsi="Times New Roman"/>
                <w:b/>
                <w:bCs/>
              </w:rPr>
              <w:t>序号</w:t>
            </w:r>
          </w:p>
        </w:tc>
        <w:tc>
          <w:tcPr>
            <w:tcW w:w="3035" w:type="dxa"/>
            <w:gridSpan w:val="3"/>
            <w:tcBorders>
              <w:top w:val="single" w:color="000000" w:sz="8" w:space="0"/>
              <w:left w:val="single" w:color="000000" w:sz="8" w:space="0"/>
              <w:bottom w:val="single" w:color="000000" w:sz="8" w:space="0"/>
              <w:right w:val="single" w:color="000000" w:sz="8" w:space="0"/>
            </w:tcBorders>
            <w:shd w:val="clear" w:color="auto" w:fill="E6EFFA"/>
            <w:vAlign w:val="center"/>
          </w:tcPr>
          <w:p w14:paraId="2385BFFA">
            <w:pPr>
              <w:wordWrap w:val="0"/>
              <w:jc w:val="center"/>
              <w:rPr>
                <w:rFonts w:ascii="Times New Roman" w:hAnsi="Times New Roman"/>
                <w:b/>
                <w:bCs/>
              </w:rPr>
            </w:pPr>
            <w:r>
              <w:rPr>
                <w:rFonts w:ascii="Times New Roman" w:hAnsi="Times New Roman"/>
                <w:b/>
                <w:bCs/>
              </w:rPr>
              <w:t>评分项</w:t>
            </w:r>
          </w:p>
        </w:tc>
        <w:tc>
          <w:tcPr>
            <w:tcW w:w="5357"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444E98FA">
            <w:pPr>
              <w:wordWrap w:val="0"/>
              <w:jc w:val="center"/>
              <w:rPr>
                <w:rFonts w:ascii="Times New Roman" w:hAnsi="Times New Roman"/>
                <w:b/>
                <w:bCs/>
              </w:rPr>
            </w:pPr>
            <w:r>
              <w:rPr>
                <w:rFonts w:ascii="Times New Roman" w:hAnsi="Times New Roman"/>
                <w:b/>
                <w:bCs/>
              </w:rPr>
              <w:t>权重(%)</w:t>
            </w:r>
          </w:p>
        </w:tc>
      </w:tr>
      <w:tr w14:paraId="25EB9F1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restart"/>
            <w:tcBorders>
              <w:top w:val="single" w:color="000000" w:sz="8" w:space="0"/>
              <w:left w:val="single" w:color="000000" w:sz="8" w:space="0"/>
              <w:bottom w:val="single" w:color="000000" w:sz="8" w:space="0"/>
              <w:right w:val="single" w:color="000000" w:sz="8" w:space="0"/>
            </w:tcBorders>
          </w:tcPr>
          <w:p w14:paraId="065B260B">
            <w:pPr>
              <w:wordWrap w:val="0"/>
              <w:jc w:val="center"/>
              <w:rPr>
                <w:rFonts w:ascii="Times New Roman" w:hAnsi="Times New Roman"/>
                <w:b/>
                <w:bCs/>
                <w:color w:val="0000FF"/>
              </w:rPr>
            </w:pPr>
            <w:r>
              <w:rPr>
                <w:rFonts w:ascii="Times New Roman" w:hAnsi="Times New Roman"/>
                <w:b/>
                <w:bCs/>
                <w:color w:val="0000FF"/>
              </w:rPr>
              <w:t>1</w:t>
            </w:r>
          </w:p>
        </w:tc>
        <w:tc>
          <w:tcPr>
            <w:tcW w:w="3035" w:type="dxa"/>
            <w:gridSpan w:val="3"/>
            <w:tcBorders>
              <w:top w:val="single" w:color="000000" w:sz="8" w:space="0"/>
              <w:left w:val="single" w:color="000000" w:sz="8" w:space="0"/>
              <w:bottom w:val="single" w:color="000000" w:sz="8" w:space="0"/>
              <w:right w:val="single" w:color="000000" w:sz="8" w:space="0"/>
            </w:tcBorders>
          </w:tcPr>
          <w:p w14:paraId="5FA77A58">
            <w:pPr>
              <w:wordWrap w:val="0"/>
              <w:jc w:val="center"/>
              <w:rPr>
                <w:rFonts w:ascii="Times New Roman" w:hAnsi="Times New Roman"/>
                <w:b/>
                <w:bCs/>
                <w:color w:val="0000FF"/>
              </w:rPr>
            </w:pPr>
            <w:r>
              <w:rPr>
                <w:rFonts w:ascii="Times New Roman" w:hAnsi="Times New Roman"/>
                <w:b/>
                <w:bCs/>
                <w:color w:val="0000FF"/>
              </w:rPr>
              <w:t>价格</w:t>
            </w:r>
          </w:p>
        </w:tc>
        <w:tc>
          <w:tcPr>
            <w:tcW w:w="5357" w:type="dxa"/>
            <w:tcBorders>
              <w:top w:val="single" w:color="000000" w:sz="8" w:space="0"/>
              <w:left w:val="single" w:color="000000" w:sz="8" w:space="0"/>
              <w:bottom w:val="single" w:color="000000" w:sz="8" w:space="0"/>
              <w:right w:val="single" w:color="000000" w:sz="8" w:space="0"/>
            </w:tcBorders>
          </w:tcPr>
          <w:p w14:paraId="58D46556">
            <w:pPr>
              <w:wordWrap w:val="0"/>
              <w:jc w:val="center"/>
              <w:rPr>
                <w:rFonts w:ascii="Times New Roman" w:hAnsi="Times New Roman"/>
                <w:b/>
                <w:bCs/>
                <w:color w:val="0000FF"/>
              </w:rPr>
            </w:pPr>
            <w:r>
              <w:rPr>
                <w:rFonts w:ascii="Times New Roman" w:hAnsi="Times New Roman"/>
                <w:b/>
                <w:bCs/>
                <w:color w:val="0000FF"/>
              </w:rPr>
              <w:t>30</w:t>
            </w:r>
          </w:p>
        </w:tc>
      </w:tr>
      <w:tr w14:paraId="4D3EBC0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0" w:type="auto"/>
            <w:vMerge w:val="continue"/>
            <w:tcBorders>
              <w:top w:val="single" w:color="000000" w:sz="8" w:space="0"/>
              <w:left w:val="single" w:color="000000" w:sz="8" w:space="0"/>
              <w:bottom w:val="single" w:color="000000" w:sz="8" w:space="0"/>
              <w:right w:val="single" w:color="000000" w:sz="8" w:space="0"/>
            </w:tcBorders>
            <w:vAlign w:val="center"/>
          </w:tcPr>
          <w:p w14:paraId="363020D4">
            <w:pPr>
              <w:wordWrap w:val="0"/>
              <w:rPr>
                <w:rFonts w:ascii="Times New Roman" w:hAnsi="Times New Roman"/>
                <w:b/>
                <w:bCs/>
                <w:color w:val="0000FF"/>
                <w:sz w:val="24"/>
              </w:rPr>
            </w:pPr>
          </w:p>
        </w:tc>
        <w:tc>
          <w:tcPr>
            <w:tcW w:w="8392" w:type="dxa"/>
            <w:gridSpan w:val="4"/>
            <w:tcBorders>
              <w:top w:val="single" w:color="000000" w:sz="8" w:space="0"/>
              <w:left w:val="single" w:color="000000" w:sz="8" w:space="0"/>
              <w:bottom w:val="single" w:color="000000" w:sz="8" w:space="0"/>
              <w:right w:val="single" w:color="000000" w:sz="8" w:space="0"/>
            </w:tcBorders>
          </w:tcPr>
          <w:p w14:paraId="67B5728B">
            <w:pPr>
              <w:wordWrap w:val="0"/>
              <w:jc w:val="center"/>
              <w:rPr>
                <w:rFonts w:ascii="Times New Roman" w:hAnsi="Times New Roman"/>
                <w:b/>
                <w:bCs/>
                <w:color w:val="0000FF"/>
              </w:rPr>
            </w:pPr>
          </w:p>
        </w:tc>
      </w:tr>
      <w:tr w14:paraId="7607453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restart"/>
            <w:tcBorders>
              <w:top w:val="single" w:color="000000" w:sz="8" w:space="0"/>
              <w:left w:val="single" w:color="000000" w:sz="8" w:space="0"/>
              <w:bottom w:val="single" w:color="000000" w:sz="8" w:space="0"/>
              <w:right w:val="single" w:color="000000" w:sz="8" w:space="0"/>
            </w:tcBorders>
          </w:tcPr>
          <w:p w14:paraId="7AE6F94B">
            <w:pPr>
              <w:wordWrap w:val="0"/>
              <w:jc w:val="center"/>
              <w:rPr>
                <w:rFonts w:ascii="Times New Roman" w:hAnsi="Times New Roman"/>
                <w:b/>
                <w:bCs/>
                <w:color w:val="0000FF"/>
                <w:sz w:val="24"/>
              </w:rPr>
            </w:pPr>
            <w:r>
              <w:rPr>
                <w:rFonts w:ascii="Times New Roman" w:hAnsi="Times New Roman"/>
                <w:b/>
                <w:bCs/>
                <w:color w:val="0000FF"/>
              </w:rPr>
              <w:t>2</w:t>
            </w:r>
          </w:p>
        </w:tc>
        <w:tc>
          <w:tcPr>
            <w:tcW w:w="3035" w:type="dxa"/>
            <w:gridSpan w:val="3"/>
            <w:tcBorders>
              <w:top w:val="single" w:color="000000" w:sz="8" w:space="0"/>
              <w:left w:val="single" w:color="000000" w:sz="8" w:space="0"/>
              <w:bottom w:val="single" w:color="000000" w:sz="8" w:space="0"/>
              <w:right w:val="single" w:color="000000" w:sz="8" w:space="0"/>
            </w:tcBorders>
          </w:tcPr>
          <w:p w14:paraId="50FA370F">
            <w:pPr>
              <w:wordWrap w:val="0"/>
              <w:jc w:val="center"/>
              <w:rPr>
                <w:rFonts w:ascii="Times New Roman" w:hAnsi="Times New Roman"/>
                <w:b/>
                <w:bCs/>
                <w:color w:val="0000FF"/>
              </w:rPr>
            </w:pPr>
            <w:r>
              <w:rPr>
                <w:rFonts w:ascii="Times New Roman" w:hAnsi="Times New Roman"/>
                <w:b/>
                <w:bCs/>
                <w:color w:val="0000FF"/>
              </w:rPr>
              <w:t>商务标</w:t>
            </w:r>
          </w:p>
        </w:tc>
        <w:tc>
          <w:tcPr>
            <w:tcW w:w="5357" w:type="dxa"/>
            <w:tcBorders>
              <w:top w:val="single" w:color="000000" w:sz="8" w:space="0"/>
              <w:left w:val="single" w:color="000000" w:sz="8" w:space="0"/>
              <w:bottom w:val="single" w:color="000000" w:sz="8" w:space="0"/>
              <w:right w:val="single" w:color="000000" w:sz="8" w:space="0"/>
            </w:tcBorders>
          </w:tcPr>
          <w:p w14:paraId="227B723B">
            <w:pPr>
              <w:wordWrap w:val="0"/>
              <w:jc w:val="center"/>
              <w:rPr>
                <w:rFonts w:ascii="Times New Roman" w:hAnsi="Times New Roman"/>
                <w:b/>
                <w:bCs/>
                <w:color w:val="0000FF"/>
              </w:rPr>
            </w:pPr>
            <w:r>
              <w:rPr>
                <w:rFonts w:ascii="Times New Roman" w:hAnsi="Times New Roman"/>
                <w:b/>
                <w:bCs/>
                <w:color w:val="0000FF"/>
              </w:rPr>
              <w:t>30</w:t>
            </w:r>
          </w:p>
        </w:tc>
      </w:tr>
      <w:tr w14:paraId="1F2F4FF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0" w:type="auto"/>
            <w:vMerge w:val="continue"/>
            <w:tcBorders>
              <w:top w:val="single" w:color="000000" w:sz="8" w:space="0"/>
              <w:left w:val="single" w:color="000000" w:sz="8" w:space="0"/>
              <w:bottom w:val="single" w:color="000000" w:sz="8" w:space="0"/>
              <w:right w:val="single" w:color="000000" w:sz="8" w:space="0"/>
            </w:tcBorders>
            <w:vAlign w:val="center"/>
          </w:tcPr>
          <w:p w14:paraId="2E886759">
            <w:pPr>
              <w:wordWrap w:val="0"/>
              <w:rPr>
                <w:rFonts w:ascii="Times New Roman" w:hAnsi="Times New Roman"/>
                <w:b/>
                <w:bCs/>
                <w:color w:val="0000FF"/>
                <w:sz w:val="24"/>
              </w:rPr>
            </w:pPr>
          </w:p>
        </w:tc>
        <w:tc>
          <w:tcPr>
            <w:tcW w:w="8392" w:type="dxa"/>
            <w:gridSpan w:val="4"/>
            <w:tcBorders>
              <w:top w:val="single" w:color="000000" w:sz="8" w:space="0"/>
              <w:left w:val="single" w:color="000000" w:sz="8" w:space="0"/>
              <w:bottom w:val="single" w:color="000000" w:sz="8" w:space="0"/>
              <w:right w:val="single" w:color="000000" w:sz="8" w:space="0"/>
            </w:tcBorders>
          </w:tcPr>
          <w:p w14:paraId="64CB2249">
            <w:pPr>
              <w:wordWrap w:val="0"/>
              <w:jc w:val="center"/>
              <w:rPr>
                <w:rFonts w:ascii="Times New Roman" w:hAnsi="Times New Roman"/>
                <w:b/>
                <w:bCs/>
                <w:color w:val="0000FF"/>
              </w:rPr>
            </w:pPr>
          </w:p>
        </w:tc>
      </w:tr>
      <w:tr w14:paraId="54FFC6E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E6EFFA"/>
            <w:vAlign w:val="center"/>
          </w:tcPr>
          <w:p w14:paraId="20BC6E48">
            <w:pPr>
              <w:wordWrap w:val="0"/>
              <w:jc w:val="center"/>
              <w:rPr>
                <w:rFonts w:ascii="Times New Roman" w:hAnsi="Times New Roman"/>
                <w:b/>
                <w:bCs/>
                <w:color w:val="0000FF"/>
                <w:sz w:val="24"/>
              </w:rPr>
            </w:pPr>
          </w:p>
        </w:tc>
        <w:tc>
          <w:tcPr>
            <w:tcW w:w="680"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3A51748A">
            <w:pPr>
              <w:wordWrap w:val="0"/>
              <w:jc w:val="center"/>
              <w:rPr>
                <w:rFonts w:ascii="Times New Roman" w:hAnsi="Times New Roman"/>
                <w:szCs w:val="21"/>
              </w:rPr>
            </w:pPr>
            <w:r>
              <w:rPr>
                <w:rFonts w:ascii="Times New Roman" w:hAnsi="Times New Roman"/>
                <w:szCs w:val="21"/>
              </w:rPr>
              <w:t>序号</w:t>
            </w:r>
          </w:p>
        </w:tc>
        <w:tc>
          <w:tcPr>
            <w:tcW w:w="1646"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4EB3B853">
            <w:pPr>
              <w:wordWrap w:val="0"/>
              <w:jc w:val="center"/>
              <w:rPr>
                <w:rFonts w:ascii="Times New Roman" w:hAnsi="Times New Roman"/>
                <w:szCs w:val="21"/>
              </w:rPr>
            </w:pPr>
            <w:r>
              <w:rPr>
                <w:rFonts w:ascii="Times New Roman" w:hAnsi="Times New Roman"/>
                <w:szCs w:val="21"/>
              </w:rPr>
              <w:t>评分因素</w:t>
            </w:r>
          </w:p>
        </w:tc>
        <w:tc>
          <w:tcPr>
            <w:tcW w:w="709"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188F09FC">
            <w:pPr>
              <w:wordWrap w:val="0"/>
              <w:jc w:val="center"/>
              <w:rPr>
                <w:rFonts w:ascii="Times New Roman" w:hAnsi="Times New Roman"/>
                <w:szCs w:val="21"/>
              </w:rPr>
            </w:pPr>
            <w:r>
              <w:rPr>
                <w:rFonts w:ascii="Times New Roman" w:hAnsi="Times New Roman"/>
                <w:szCs w:val="21"/>
              </w:rPr>
              <w:t>权重(%)</w:t>
            </w:r>
          </w:p>
        </w:tc>
        <w:tc>
          <w:tcPr>
            <w:tcW w:w="5357"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3036F8EE">
            <w:pPr>
              <w:wordWrap w:val="0"/>
              <w:jc w:val="center"/>
              <w:rPr>
                <w:rFonts w:ascii="Times New Roman" w:hAnsi="Times New Roman"/>
                <w:szCs w:val="21"/>
              </w:rPr>
            </w:pPr>
            <w:r>
              <w:rPr>
                <w:rFonts w:ascii="Times New Roman" w:hAnsi="Times New Roman"/>
                <w:szCs w:val="21"/>
              </w:rPr>
              <w:t>评分准则</w:t>
            </w:r>
          </w:p>
        </w:tc>
      </w:tr>
      <w:tr w14:paraId="0C649E3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0" w:type="auto"/>
            <w:vMerge w:val="continue"/>
            <w:tcBorders>
              <w:top w:val="single" w:color="000000" w:sz="8" w:space="0"/>
              <w:left w:val="single" w:color="000000" w:sz="8" w:space="0"/>
              <w:bottom w:val="single" w:color="000000" w:sz="8" w:space="0"/>
              <w:right w:val="single" w:color="000000" w:sz="8" w:space="0"/>
            </w:tcBorders>
          </w:tcPr>
          <w:p w14:paraId="475683FD">
            <w:pPr>
              <w:wordWrap w:val="0"/>
              <w:rPr>
                <w:rFonts w:ascii="Times New Roman" w:hAnsi="Times New Roman"/>
                <w:b/>
                <w:bCs/>
                <w:color w:val="0000FF"/>
                <w:sz w:val="24"/>
              </w:rPr>
            </w:pPr>
          </w:p>
        </w:tc>
        <w:tc>
          <w:tcPr>
            <w:tcW w:w="680" w:type="dxa"/>
            <w:tcBorders>
              <w:top w:val="single" w:color="000000" w:sz="8" w:space="0"/>
              <w:left w:val="single" w:color="000000" w:sz="8" w:space="0"/>
              <w:bottom w:val="single" w:color="000000" w:sz="8" w:space="0"/>
              <w:right w:val="single" w:color="000000" w:sz="8" w:space="0"/>
            </w:tcBorders>
          </w:tcPr>
          <w:p w14:paraId="330C15E5">
            <w:pPr>
              <w:wordWrap w:val="0"/>
              <w:jc w:val="center"/>
              <w:rPr>
                <w:rFonts w:ascii="Times New Roman" w:hAnsi="Times New Roman"/>
                <w:szCs w:val="21"/>
              </w:rPr>
            </w:pPr>
            <w:r>
              <w:rPr>
                <w:rFonts w:ascii="Times New Roman" w:hAnsi="Times New Roman"/>
                <w:szCs w:val="21"/>
              </w:rPr>
              <w:t>1</w:t>
            </w:r>
          </w:p>
        </w:tc>
        <w:tc>
          <w:tcPr>
            <w:tcW w:w="1646" w:type="dxa"/>
            <w:tcBorders>
              <w:top w:val="single" w:color="000000" w:sz="8" w:space="0"/>
              <w:left w:val="single" w:color="000000" w:sz="8" w:space="0"/>
              <w:bottom w:val="single" w:color="000000" w:sz="8" w:space="0"/>
              <w:right w:val="single" w:color="000000" w:sz="8" w:space="0"/>
            </w:tcBorders>
          </w:tcPr>
          <w:p w14:paraId="71570EFA">
            <w:pPr>
              <w:spacing w:line="400" w:lineRule="exact"/>
              <w:rPr>
                <w:rFonts w:ascii="Times New Roman" w:hAnsi="Times New Roman"/>
                <w:szCs w:val="21"/>
              </w:rPr>
            </w:pPr>
            <w:r>
              <w:rPr>
                <w:rFonts w:ascii="Times New Roman" w:hAnsi="Times New Roman"/>
                <w:color w:val="000000"/>
                <w:szCs w:val="21"/>
              </w:rPr>
              <w:t>同类项目业绩</w:t>
            </w:r>
          </w:p>
        </w:tc>
        <w:tc>
          <w:tcPr>
            <w:tcW w:w="709" w:type="dxa"/>
            <w:tcBorders>
              <w:top w:val="single" w:color="000000" w:sz="8" w:space="0"/>
              <w:left w:val="single" w:color="000000" w:sz="8" w:space="0"/>
              <w:bottom w:val="single" w:color="000000" w:sz="8" w:space="0"/>
              <w:right w:val="single" w:color="000000" w:sz="8" w:space="0"/>
            </w:tcBorders>
          </w:tcPr>
          <w:p w14:paraId="40F59E84">
            <w:pPr>
              <w:spacing w:line="400" w:lineRule="exact"/>
              <w:rPr>
                <w:rFonts w:ascii="Times New Roman" w:hAnsi="Times New Roman"/>
                <w:szCs w:val="21"/>
              </w:rPr>
            </w:pPr>
            <w:r>
              <w:rPr>
                <w:rFonts w:ascii="Times New Roman" w:hAnsi="Times New Roman"/>
                <w:color w:val="000000"/>
                <w:szCs w:val="21"/>
              </w:rPr>
              <w:t>5</w:t>
            </w:r>
          </w:p>
        </w:tc>
        <w:tc>
          <w:tcPr>
            <w:tcW w:w="5357" w:type="dxa"/>
            <w:tcBorders>
              <w:top w:val="single" w:color="000000" w:sz="8" w:space="0"/>
              <w:left w:val="single" w:color="000000" w:sz="8" w:space="0"/>
              <w:bottom w:val="single" w:color="000000" w:sz="8" w:space="0"/>
              <w:right w:val="single" w:color="000000" w:sz="8" w:space="0"/>
            </w:tcBorders>
          </w:tcPr>
          <w:p w14:paraId="73BA118A">
            <w:pPr>
              <w:spacing w:line="400" w:lineRule="exact"/>
              <w:rPr>
                <w:rFonts w:ascii="Times New Roman" w:hAnsi="Times New Roman"/>
                <w:color w:val="000000"/>
                <w:szCs w:val="21"/>
              </w:rPr>
            </w:pPr>
            <w:r>
              <w:rPr>
                <w:rFonts w:ascii="Times New Roman" w:hAnsi="Times New Roman"/>
                <w:color w:val="000000"/>
                <w:szCs w:val="21"/>
              </w:rPr>
              <w:t>（一）评分内容：</w:t>
            </w:r>
          </w:p>
          <w:p w14:paraId="7B652905">
            <w:pPr>
              <w:spacing w:line="400" w:lineRule="exact"/>
              <w:rPr>
                <w:rFonts w:ascii="Times New Roman" w:hAnsi="Times New Roman"/>
                <w:color w:val="000000"/>
                <w:szCs w:val="21"/>
              </w:rPr>
            </w:pPr>
            <w:r>
              <w:rPr>
                <w:rFonts w:ascii="Times New Roman" w:hAnsi="Times New Roman"/>
                <w:color w:val="000000"/>
                <w:szCs w:val="21"/>
              </w:rPr>
              <w:t>1. 投标人具有为</w:t>
            </w:r>
            <w:r>
              <w:rPr>
                <w:rFonts w:hint="eastAsia" w:asciiTheme="minorEastAsia" w:hAnsiTheme="minorEastAsia"/>
                <w:szCs w:val="21"/>
              </w:rPr>
              <w:t>政府同类</w:t>
            </w:r>
            <w:r>
              <w:rPr>
                <w:rFonts w:ascii="Times New Roman" w:hAnsi="Times New Roman"/>
                <w:color w:val="000000"/>
                <w:szCs w:val="21"/>
              </w:rPr>
              <w:t>项目业绩，每提供一项合同业绩或用户单位出具的证明材料得20%，上限100%（同一单位不累计计分）。</w:t>
            </w:r>
          </w:p>
          <w:p w14:paraId="7BEF61A0">
            <w:pPr>
              <w:spacing w:line="400" w:lineRule="exact"/>
              <w:rPr>
                <w:rFonts w:ascii="Times New Roman" w:hAnsi="Times New Roman"/>
                <w:color w:val="000000"/>
                <w:szCs w:val="21"/>
              </w:rPr>
            </w:pPr>
            <w:r>
              <w:rPr>
                <w:rFonts w:ascii="Times New Roman" w:hAnsi="Times New Roman"/>
                <w:color w:val="000000"/>
                <w:szCs w:val="21"/>
              </w:rPr>
              <w:t>（二）评分依据：</w:t>
            </w:r>
          </w:p>
          <w:p w14:paraId="30CAB342">
            <w:pPr>
              <w:spacing w:line="400" w:lineRule="exact"/>
              <w:rPr>
                <w:rFonts w:ascii="Times New Roman" w:hAnsi="Times New Roman"/>
                <w:szCs w:val="21"/>
              </w:rPr>
            </w:pPr>
            <w:r>
              <w:rPr>
                <w:rFonts w:ascii="Times New Roman" w:hAnsi="Times New Roman"/>
                <w:color w:val="000000"/>
                <w:szCs w:val="21"/>
              </w:rPr>
              <w:t>1. 要求提供业绩合同关键页</w:t>
            </w:r>
            <w:r>
              <w:rPr>
                <w:rFonts w:ascii="Times New Roman" w:hAnsi="Times New Roman"/>
                <w:color w:val="000000"/>
              </w:rPr>
              <w:t>（至少包含可体现上述要求的服务内容页面、双方签署盖章页等）</w:t>
            </w:r>
            <w:r>
              <w:rPr>
                <w:rFonts w:ascii="Times New Roman" w:hAnsi="Times New Roman"/>
                <w:szCs w:val="21"/>
              </w:rPr>
              <w:t>或用户单位出具的</w:t>
            </w:r>
            <w:r>
              <w:rPr>
                <w:rFonts w:ascii="Times New Roman" w:hAnsi="Times New Roman"/>
                <w:color w:val="000000"/>
                <w:szCs w:val="21"/>
              </w:rPr>
              <w:t>证明文件</w:t>
            </w:r>
            <w:r>
              <w:rPr>
                <w:rFonts w:ascii="Times New Roman" w:hAnsi="Times New Roman"/>
                <w:color w:val="000000"/>
              </w:rPr>
              <w:t>（至少包含可体现上述要求的服务内容等）</w:t>
            </w:r>
            <w:r>
              <w:rPr>
                <w:rFonts w:ascii="Times New Roman" w:hAnsi="Times New Roman"/>
                <w:color w:val="000000"/>
                <w:szCs w:val="21"/>
              </w:rPr>
              <w:t>作为得分依据。</w:t>
            </w:r>
          </w:p>
          <w:p w14:paraId="287A3D18">
            <w:pPr>
              <w:spacing w:line="400" w:lineRule="exact"/>
              <w:rPr>
                <w:rFonts w:ascii="Times New Roman" w:hAnsi="Times New Roman"/>
                <w:color w:val="000000"/>
                <w:szCs w:val="21"/>
              </w:rPr>
            </w:pPr>
            <w:r>
              <w:rPr>
                <w:rFonts w:ascii="Times New Roman" w:hAnsi="Times New Roman"/>
                <w:color w:val="000000"/>
                <w:szCs w:val="21"/>
              </w:rPr>
              <w:t>2. 通过合同关键页或</w:t>
            </w:r>
            <w:r>
              <w:rPr>
                <w:rFonts w:ascii="Times New Roman" w:hAnsi="Times New Roman"/>
                <w:szCs w:val="21"/>
              </w:rPr>
              <w:t>用户单位出具的</w:t>
            </w:r>
            <w:r>
              <w:rPr>
                <w:rFonts w:ascii="Times New Roman" w:hAnsi="Times New Roman"/>
                <w:color w:val="000000"/>
                <w:szCs w:val="21"/>
              </w:rPr>
              <w:t>证明文件无法判断是否得分的，还须同时提供能证明得分的其它证明资料。</w:t>
            </w:r>
          </w:p>
          <w:p w14:paraId="7B07AC68">
            <w:pPr>
              <w:spacing w:line="400" w:lineRule="exact"/>
              <w:rPr>
                <w:rFonts w:ascii="Times New Roman" w:hAnsi="Times New Roman"/>
                <w:szCs w:val="21"/>
              </w:rPr>
            </w:pPr>
            <w:r>
              <w:rPr>
                <w:rFonts w:ascii="Times New Roman" w:hAnsi="Times New Roman"/>
                <w:color w:val="000000"/>
                <w:szCs w:val="21"/>
              </w:rPr>
              <w:t>3. 以上资料均要求提供扫描件，原件备查。评分中出现无证明资料或专家无法凭所提供资料判断是否得分的情况，一律作不得分处理。</w:t>
            </w:r>
          </w:p>
        </w:tc>
      </w:tr>
      <w:tr w14:paraId="1A1893D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0" w:type="auto"/>
            <w:vMerge w:val="continue"/>
            <w:tcBorders>
              <w:top w:val="single" w:color="000000" w:sz="8" w:space="0"/>
              <w:left w:val="single" w:color="000000" w:sz="8" w:space="0"/>
              <w:bottom w:val="single" w:color="000000" w:sz="8" w:space="0"/>
              <w:right w:val="single" w:color="000000" w:sz="8" w:space="0"/>
            </w:tcBorders>
          </w:tcPr>
          <w:p w14:paraId="1AC6EE74">
            <w:pPr>
              <w:wordWrap w:val="0"/>
              <w:rPr>
                <w:rFonts w:ascii="Times New Roman" w:hAnsi="Times New Roman"/>
                <w:b/>
                <w:bCs/>
                <w:color w:val="0000FF"/>
                <w:sz w:val="24"/>
              </w:rPr>
            </w:pPr>
          </w:p>
        </w:tc>
        <w:tc>
          <w:tcPr>
            <w:tcW w:w="680" w:type="dxa"/>
            <w:tcBorders>
              <w:top w:val="single" w:color="000000" w:sz="8" w:space="0"/>
              <w:left w:val="single" w:color="000000" w:sz="8" w:space="0"/>
              <w:bottom w:val="single" w:color="000000" w:sz="8" w:space="0"/>
              <w:right w:val="single" w:color="000000" w:sz="8" w:space="0"/>
            </w:tcBorders>
          </w:tcPr>
          <w:p w14:paraId="6A385D51">
            <w:pPr>
              <w:wordWrap w:val="0"/>
              <w:jc w:val="center"/>
              <w:rPr>
                <w:rFonts w:ascii="Times New Roman" w:hAnsi="Times New Roman"/>
                <w:szCs w:val="21"/>
              </w:rPr>
            </w:pPr>
            <w:r>
              <w:rPr>
                <w:rFonts w:ascii="Times New Roman" w:hAnsi="Times New Roman"/>
                <w:szCs w:val="21"/>
              </w:rPr>
              <w:t>2</w:t>
            </w:r>
          </w:p>
        </w:tc>
        <w:tc>
          <w:tcPr>
            <w:tcW w:w="1646" w:type="dxa"/>
            <w:tcBorders>
              <w:top w:val="single" w:color="000000" w:sz="8" w:space="0"/>
              <w:left w:val="single" w:color="000000" w:sz="8" w:space="0"/>
              <w:bottom w:val="single" w:color="000000" w:sz="8" w:space="0"/>
              <w:right w:val="single" w:color="000000" w:sz="8" w:space="0"/>
            </w:tcBorders>
          </w:tcPr>
          <w:p w14:paraId="3D49C881">
            <w:pPr>
              <w:spacing w:line="400" w:lineRule="exact"/>
              <w:rPr>
                <w:rFonts w:ascii="Times New Roman" w:hAnsi="Times New Roman"/>
                <w:szCs w:val="21"/>
              </w:rPr>
            </w:pPr>
            <w:r>
              <w:rPr>
                <w:rFonts w:ascii="Times New Roman" w:hAnsi="Times New Roman"/>
                <w:color w:val="000000"/>
                <w:szCs w:val="21"/>
              </w:rPr>
              <w:t>履约评价</w:t>
            </w:r>
          </w:p>
        </w:tc>
        <w:tc>
          <w:tcPr>
            <w:tcW w:w="709" w:type="dxa"/>
            <w:tcBorders>
              <w:top w:val="single" w:color="000000" w:sz="8" w:space="0"/>
              <w:left w:val="single" w:color="000000" w:sz="8" w:space="0"/>
              <w:bottom w:val="single" w:color="000000" w:sz="8" w:space="0"/>
              <w:right w:val="single" w:color="000000" w:sz="8" w:space="0"/>
            </w:tcBorders>
          </w:tcPr>
          <w:p w14:paraId="2004AA55">
            <w:pPr>
              <w:spacing w:line="400" w:lineRule="exact"/>
              <w:rPr>
                <w:rFonts w:ascii="Times New Roman" w:hAnsi="Times New Roman"/>
                <w:szCs w:val="21"/>
              </w:rPr>
            </w:pPr>
            <w:r>
              <w:rPr>
                <w:rFonts w:ascii="Times New Roman" w:hAnsi="Times New Roman"/>
                <w:color w:val="000000"/>
                <w:szCs w:val="21"/>
              </w:rPr>
              <w:t>5</w:t>
            </w:r>
          </w:p>
        </w:tc>
        <w:tc>
          <w:tcPr>
            <w:tcW w:w="5357" w:type="dxa"/>
            <w:tcBorders>
              <w:top w:val="single" w:color="000000" w:sz="8" w:space="0"/>
              <w:left w:val="single" w:color="000000" w:sz="8" w:space="0"/>
              <w:bottom w:val="single" w:color="000000" w:sz="8" w:space="0"/>
              <w:right w:val="single" w:color="000000" w:sz="8" w:space="0"/>
            </w:tcBorders>
          </w:tcPr>
          <w:p w14:paraId="086B7053">
            <w:pPr>
              <w:spacing w:line="400" w:lineRule="exact"/>
              <w:rPr>
                <w:rFonts w:ascii="Times New Roman" w:hAnsi="Times New Roman"/>
                <w:color w:val="000000"/>
                <w:szCs w:val="21"/>
              </w:rPr>
            </w:pPr>
            <w:r>
              <w:rPr>
                <w:rFonts w:ascii="Times New Roman" w:hAnsi="Times New Roman"/>
                <w:color w:val="000000"/>
                <w:szCs w:val="21"/>
              </w:rPr>
              <w:t>（一）评分内容</w:t>
            </w:r>
          </w:p>
          <w:p w14:paraId="71038C10">
            <w:pPr>
              <w:spacing w:line="400" w:lineRule="exact"/>
              <w:rPr>
                <w:rFonts w:ascii="Times New Roman" w:hAnsi="Times New Roman"/>
                <w:color w:val="000000"/>
                <w:szCs w:val="21"/>
              </w:rPr>
            </w:pPr>
            <w:r>
              <w:rPr>
                <w:rFonts w:ascii="Times New Roman" w:hAnsi="Times New Roman"/>
                <w:color w:val="000000"/>
                <w:szCs w:val="21"/>
              </w:rPr>
              <w:t>投标人提供上述</w:t>
            </w:r>
            <w:r>
              <w:rPr>
                <w:rFonts w:hint="eastAsia" w:ascii="Times New Roman" w:hAnsi="Times New Roman"/>
                <w:color w:val="000000"/>
                <w:szCs w:val="21"/>
              </w:rPr>
              <w:t>“</w:t>
            </w:r>
            <w:r>
              <w:rPr>
                <w:rFonts w:ascii="Times New Roman" w:hAnsi="Times New Roman"/>
                <w:color w:val="000000"/>
                <w:szCs w:val="21"/>
              </w:rPr>
              <w:t>同类项目业绩</w:t>
            </w:r>
            <w:r>
              <w:rPr>
                <w:rFonts w:hint="eastAsia" w:ascii="Times New Roman" w:hAnsi="Times New Roman"/>
                <w:color w:val="000000"/>
                <w:szCs w:val="21"/>
              </w:rPr>
              <w:t>”</w:t>
            </w:r>
            <w:r>
              <w:rPr>
                <w:rFonts w:ascii="Times New Roman" w:hAnsi="Times New Roman"/>
                <w:color w:val="000000"/>
                <w:szCs w:val="21"/>
              </w:rPr>
              <w:t>的用户单位</w:t>
            </w:r>
            <w:r>
              <w:rPr>
                <w:rFonts w:hint="eastAsia" w:ascii="Times New Roman" w:hAnsi="Times New Roman"/>
                <w:color w:val="000000"/>
                <w:szCs w:val="21"/>
              </w:rPr>
              <w:t>所</w:t>
            </w:r>
            <w:r>
              <w:rPr>
                <w:rFonts w:ascii="Times New Roman" w:hAnsi="Times New Roman"/>
                <w:color w:val="000000"/>
                <w:szCs w:val="21"/>
              </w:rPr>
              <w:t>出具</w:t>
            </w:r>
            <w:r>
              <w:rPr>
                <w:rFonts w:hint="eastAsia" w:ascii="Times New Roman" w:hAnsi="Times New Roman"/>
                <w:color w:val="000000"/>
                <w:szCs w:val="21"/>
              </w:rPr>
              <w:t>的</w:t>
            </w:r>
            <w:r>
              <w:rPr>
                <w:rFonts w:ascii="Times New Roman" w:hAnsi="Times New Roman"/>
                <w:color w:val="000000"/>
                <w:szCs w:val="21"/>
              </w:rPr>
              <w:t>履约</w:t>
            </w:r>
            <w:r>
              <w:rPr>
                <w:rFonts w:hint="eastAsia" w:ascii="Times New Roman" w:hAnsi="Times New Roman"/>
                <w:color w:val="000000"/>
                <w:szCs w:val="21"/>
              </w:rPr>
              <w:t>考核</w:t>
            </w:r>
            <w:r>
              <w:rPr>
                <w:rFonts w:ascii="Times New Roman" w:hAnsi="Times New Roman"/>
                <w:color w:val="000000"/>
                <w:szCs w:val="21"/>
              </w:rPr>
              <w:t>评价证明，且评价为优或满意</w:t>
            </w:r>
            <w:r>
              <w:rPr>
                <w:rFonts w:hint="eastAsia" w:ascii="Times New Roman" w:hAnsi="Times New Roman"/>
                <w:color w:val="000000"/>
                <w:szCs w:val="21"/>
              </w:rPr>
              <w:t>或评分90分以上</w:t>
            </w:r>
            <w:r>
              <w:rPr>
                <w:rFonts w:ascii="Times New Roman" w:hAnsi="Times New Roman"/>
                <w:color w:val="000000"/>
                <w:szCs w:val="21"/>
              </w:rPr>
              <w:t>的得20%，满分100%。（同一单位不累计计分）。</w:t>
            </w:r>
          </w:p>
          <w:p w14:paraId="10501CA6">
            <w:pPr>
              <w:spacing w:line="400" w:lineRule="exact"/>
              <w:rPr>
                <w:rFonts w:ascii="Times New Roman" w:hAnsi="Times New Roman"/>
                <w:color w:val="000000"/>
                <w:szCs w:val="21"/>
              </w:rPr>
            </w:pPr>
            <w:r>
              <w:rPr>
                <w:rFonts w:ascii="Times New Roman" w:hAnsi="Times New Roman"/>
                <w:color w:val="000000"/>
                <w:szCs w:val="21"/>
              </w:rPr>
              <w:t>（二）评分依据</w:t>
            </w:r>
          </w:p>
          <w:p w14:paraId="7743D2D0">
            <w:pPr>
              <w:spacing w:line="400" w:lineRule="exact"/>
              <w:rPr>
                <w:rFonts w:ascii="Times New Roman" w:hAnsi="Times New Roman"/>
                <w:szCs w:val="21"/>
              </w:rPr>
            </w:pPr>
            <w:r>
              <w:rPr>
                <w:rFonts w:ascii="Times New Roman" w:hAnsi="Times New Roman"/>
                <w:color w:val="000000"/>
                <w:szCs w:val="21"/>
              </w:rPr>
              <w:t>需提供加盖甲方公章的履约</w:t>
            </w:r>
            <w:r>
              <w:rPr>
                <w:rFonts w:hint="eastAsia" w:ascii="Times New Roman" w:hAnsi="Times New Roman"/>
                <w:color w:val="000000"/>
                <w:szCs w:val="21"/>
              </w:rPr>
              <w:t>考核</w:t>
            </w:r>
            <w:r>
              <w:rPr>
                <w:rFonts w:ascii="Times New Roman" w:hAnsi="Times New Roman"/>
                <w:color w:val="000000"/>
                <w:szCs w:val="21"/>
              </w:rPr>
              <w:t>评价证明扫描件，原件备查。评分中出现无证明资料或专家无法凭所提供资料判断是否得分的情况，一律作不得分处理。</w:t>
            </w:r>
          </w:p>
        </w:tc>
      </w:tr>
      <w:tr w14:paraId="4BD9A72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0" w:type="auto"/>
            <w:vMerge w:val="continue"/>
            <w:tcBorders>
              <w:top w:val="single" w:color="000000" w:sz="8" w:space="0"/>
              <w:left w:val="single" w:color="000000" w:sz="8" w:space="0"/>
              <w:bottom w:val="single" w:color="000000" w:sz="8" w:space="0"/>
              <w:right w:val="single" w:color="000000" w:sz="8" w:space="0"/>
            </w:tcBorders>
          </w:tcPr>
          <w:p w14:paraId="623C98B4">
            <w:pPr>
              <w:wordWrap w:val="0"/>
              <w:rPr>
                <w:rFonts w:ascii="Times New Roman" w:hAnsi="Times New Roman"/>
                <w:b/>
                <w:bCs/>
                <w:color w:val="0000FF"/>
                <w:sz w:val="24"/>
              </w:rPr>
            </w:pPr>
          </w:p>
        </w:tc>
        <w:tc>
          <w:tcPr>
            <w:tcW w:w="680" w:type="dxa"/>
            <w:tcBorders>
              <w:top w:val="single" w:color="000000" w:sz="8" w:space="0"/>
              <w:left w:val="single" w:color="000000" w:sz="8" w:space="0"/>
              <w:bottom w:val="single" w:color="000000" w:sz="8" w:space="0"/>
              <w:right w:val="single" w:color="000000" w:sz="8" w:space="0"/>
            </w:tcBorders>
          </w:tcPr>
          <w:p w14:paraId="458B6160">
            <w:pPr>
              <w:wordWrap w:val="0"/>
              <w:jc w:val="center"/>
              <w:rPr>
                <w:rFonts w:ascii="Times New Roman" w:hAnsi="Times New Roman"/>
                <w:szCs w:val="21"/>
              </w:rPr>
            </w:pPr>
            <w:r>
              <w:rPr>
                <w:rFonts w:ascii="Times New Roman" w:hAnsi="Times New Roman"/>
                <w:szCs w:val="21"/>
              </w:rPr>
              <w:t>3</w:t>
            </w:r>
          </w:p>
        </w:tc>
        <w:tc>
          <w:tcPr>
            <w:tcW w:w="1646" w:type="dxa"/>
            <w:tcBorders>
              <w:top w:val="single" w:color="000000" w:sz="8" w:space="0"/>
              <w:left w:val="single" w:color="000000" w:sz="8" w:space="0"/>
              <w:bottom w:val="single" w:color="000000" w:sz="8" w:space="0"/>
              <w:right w:val="single" w:color="000000" w:sz="8" w:space="0"/>
            </w:tcBorders>
          </w:tcPr>
          <w:p w14:paraId="4F1F5613">
            <w:pPr>
              <w:spacing w:line="400" w:lineRule="exact"/>
              <w:rPr>
                <w:rFonts w:ascii="Times New Roman" w:hAnsi="Times New Roman"/>
                <w:szCs w:val="21"/>
              </w:rPr>
            </w:pPr>
            <w:r>
              <w:rPr>
                <w:rFonts w:ascii="Times New Roman" w:hAnsi="Times New Roman"/>
                <w:color w:val="000000"/>
                <w:szCs w:val="21"/>
              </w:rPr>
              <w:t>供货保障能力</w:t>
            </w:r>
          </w:p>
        </w:tc>
        <w:tc>
          <w:tcPr>
            <w:tcW w:w="709" w:type="dxa"/>
            <w:tcBorders>
              <w:top w:val="single" w:color="000000" w:sz="8" w:space="0"/>
              <w:left w:val="single" w:color="000000" w:sz="8" w:space="0"/>
              <w:bottom w:val="single" w:color="000000" w:sz="8" w:space="0"/>
              <w:right w:val="single" w:color="000000" w:sz="8" w:space="0"/>
            </w:tcBorders>
          </w:tcPr>
          <w:p w14:paraId="738C9F47">
            <w:pPr>
              <w:spacing w:line="400" w:lineRule="exact"/>
              <w:rPr>
                <w:rFonts w:ascii="Times New Roman" w:hAnsi="Times New Roman"/>
                <w:szCs w:val="21"/>
              </w:rPr>
            </w:pPr>
            <w:r>
              <w:rPr>
                <w:rFonts w:hint="eastAsia" w:ascii="Times New Roman" w:hAnsi="Times New Roman"/>
                <w:szCs w:val="21"/>
              </w:rPr>
              <w:t>6</w:t>
            </w:r>
          </w:p>
        </w:tc>
        <w:tc>
          <w:tcPr>
            <w:tcW w:w="5357" w:type="dxa"/>
            <w:tcBorders>
              <w:top w:val="single" w:color="000000" w:sz="8" w:space="0"/>
              <w:left w:val="single" w:color="000000" w:sz="8" w:space="0"/>
              <w:bottom w:val="single" w:color="000000" w:sz="8" w:space="0"/>
              <w:right w:val="single" w:color="000000" w:sz="8" w:space="0"/>
            </w:tcBorders>
          </w:tcPr>
          <w:p w14:paraId="2581CB35">
            <w:pPr>
              <w:spacing w:line="400" w:lineRule="exact"/>
              <w:rPr>
                <w:rFonts w:ascii="Times New Roman" w:hAnsi="Times New Roman"/>
                <w:color w:val="000000"/>
                <w:szCs w:val="21"/>
              </w:rPr>
            </w:pPr>
            <w:r>
              <w:rPr>
                <w:rFonts w:hint="eastAsia" w:ascii="Times New Roman" w:hAnsi="Times New Roman"/>
                <w:color w:val="000000"/>
                <w:szCs w:val="21"/>
              </w:rPr>
              <w:t>（一）</w:t>
            </w:r>
            <w:r>
              <w:rPr>
                <w:rFonts w:ascii="Times New Roman" w:hAnsi="Times New Roman"/>
                <w:color w:val="000000"/>
                <w:szCs w:val="21"/>
              </w:rPr>
              <w:t>评分内容：投标人</w:t>
            </w:r>
            <w:r>
              <w:rPr>
                <w:rFonts w:hint="eastAsia" w:ascii="Times New Roman" w:hAnsi="Times New Roman"/>
                <w:color w:val="000000"/>
                <w:szCs w:val="21"/>
              </w:rPr>
              <w:t>需提供以下产品：M-SUS完全培养基、人类免疫缺陷病毒p24抗原及抗体检测试剂盒(胶体硒法)</w:t>
            </w:r>
            <w:r>
              <w:rPr>
                <w:rFonts w:ascii="Times New Roman" w:hAnsi="Times New Roman"/>
                <w:color w:val="000000"/>
                <w:szCs w:val="21"/>
              </w:rPr>
              <w:t>制造商代理证明或授权书。</w:t>
            </w:r>
          </w:p>
          <w:p w14:paraId="52075830">
            <w:pPr>
              <w:spacing w:line="400" w:lineRule="exact"/>
              <w:rPr>
                <w:rFonts w:ascii="Times New Roman" w:hAnsi="Times New Roman"/>
                <w:color w:val="000000"/>
                <w:szCs w:val="21"/>
              </w:rPr>
            </w:pPr>
            <w:r>
              <w:rPr>
                <w:rFonts w:ascii="Times New Roman" w:hAnsi="Times New Roman"/>
                <w:color w:val="000000"/>
                <w:szCs w:val="21"/>
              </w:rPr>
              <w:t>（二）评分依据：</w:t>
            </w:r>
          </w:p>
          <w:p w14:paraId="4966035E">
            <w:pPr>
              <w:spacing w:line="400" w:lineRule="exact"/>
              <w:rPr>
                <w:rFonts w:ascii="Times New Roman" w:hAnsi="Times New Roman"/>
                <w:color w:val="000000"/>
                <w:szCs w:val="21"/>
              </w:rPr>
            </w:pPr>
            <w:r>
              <w:rPr>
                <w:rFonts w:ascii="Times New Roman" w:hAnsi="Times New Roman"/>
                <w:color w:val="000000"/>
                <w:szCs w:val="21"/>
              </w:rPr>
              <w:t>1. 以上资料均要求提供扫描件，原件备查。评分中出现无证明资料或专家无法凭所提供资料判断是否得分的情况，一律作不得分处理。</w:t>
            </w:r>
          </w:p>
          <w:p w14:paraId="6E019D62">
            <w:pPr>
              <w:spacing w:line="400" w:lineRule="exact"/>
              <w:rPr>
                <w:rFonts w:ascii="Times New Roman" w:hAnsi="Times New Roman"/>
                <w:szCs w:val="21"/>
              </w:rPr>
            </w:pPr>
            <w:r>
              <w:rPr>
                <w:rFonts w:ascii="Times New Roman" w:hAnsi="Times New Roman"/>
                <w:color w:val="000000"/>
              </w:rPr>
              <w:t>注：投标人需对所承诺内容的真实性负责，投标人如中标，签订合同前需提供承诺内容中涉及的代理证明或授权书给采购人核查，如无法提供或与承诺内容不符的，视为虚假应标，将取消其中标资格并上报主管部门进行处罚。</w:t>
            </w:r>
          </w:p>
        </w:tc>
      </w:tr>
      <w:tr w14:paraId="3B1A4C0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0" w:type="auto"/>
            <w:vMerge w:val="continue"/>
            <w:tcBorders>
              <w:top w:val="single" w:color="000000" w:sz="8" w:space="0"/>
              <w:left w:val="single" w:color="000000" w:sz="8" w:space="0"/>
              <w:bottom w:val="single" w:color="000000" w:sz="8" w:space="0"/>
              <w:right w:val="single" w:color="000000" w:sz="8" w:space="0"/>
            </w:tcBorders>
          </w:tcPr>
          <w:p w14:paraId="6D119892">
            <w:pPr>
              <w:wordWrap w:val="0"/>
              <w:rPr>
                <w:rFonts w:ascii="Times New Roman" w:hAnsi="Times New Roman"/>
                <w:b/>
                <w:bCs/>
                <w:color w:val="0000FF"/>
                <w:sz w:val="24"/>
              </w:rPr>
            </w:pPr>
          </w:p>
        </w:tc>
        <w:tc>
          <w:tcPr>
            <w:tcW w:w="680" w:type="dxa"/>
            <w:tcBorders>
              <w:top w:val="single" w:color="000000" w:sz="8" w:space="0"/>
              <w:left w:val="single" w:color="000000" w:sz="8" w:space="0"/>
              <w:bottom w:val="single" w:color="000000" w:sz="8" w:space="0"/>
              <w:right w:val="single" w:color="000000" w:sz="8" w:space="0"/>
            </w:tcBorders>
          </w:tcPr>
          <w:p w14:paraId="6E9709C3">
            <w:pPr>
              <w:wordWrap w:val="0"/>
              <w:jc w:val="center"/>
              <w:rPr>
                <w:rFonts w:ascii="Times New Roman" w:hAnsi="Times New Roman"/>
                <w:szCs w:val="21"/>
              </w:rPr>
            </w:pPr>
            <w:r>
              <w:rPr>
                <w:rFonts w:ascii="Times New Roman" w:hAnsi="Times New Roman"/>
                <w:szCs w:val="21"/>
              </w:rPr>
              <w:t>4</w:t>
            </w:r>
          </w:p>
        </w:tc>
        <w:tc>
          <w:tcPr>
            <w:tcW w:w="1646" w:type="dxa"/>
            <w:tcBorders>
              <w:top w:val="single" w:color="000000" w:sz="8" w:space="0"/>
              <w:left w:val="single" w:color="000000" w:sz="8" w:space="0"/>
              <w:bottom w:val="single" w:color="000000" w:sz="8" w:space="0"/>
              <w:right w:val="single" w:color="000000" w:sz="8" w:space="0"/>
            </w:tcBorders>
            <w:shd w:val="clear" w:color="auto" w:fill="auto"/>
          </w:tcPr>
          <w:p w14:paraId="24C74478">
            <w:pPr>
              <w:spacing w:line="400" w:lineRule="exact"/>
              <w:rPr>
                <w:rFonts w:ascii="Times New Roman" w:hAnsi="Times New Roman"/>
                <w:szCs w:val="21"/>
              </w:rPr>
            </w:pPr>
            <w:r>
              <w:rPr>
                <w:rFonts w:hint="eastAsia" w:asciiTheme="minorEastAsia" w:hAnsiTheme="minorEastAsia"/>
                <w:szCs w:val="21"/>
              </w:rPr>
              <w:t>企业管理体系</w:t>
            </w:r>
          </w:p>
        </w:tc>
        <w:tc>
          <w:tcPr>
            <w:tcW w:w="709" w:type="dxa"/>
            <w:tcBorders>
              <w:top w:val="single" w:color="000000" w:sz="8" w:space="0"/>
              <w:left w:val="single" w:color="000000" w:sz="8" w:space="0"/>
              <w:bottom w:val="single" w:color="000000" w:sz="8" w:space="0"/>
              <w:right w:val="single" w:color="000000" w:sz="8" w:space="0"/>
            </w:tcBorders>
            <w:shd w:val="clear" w:color="auto" w:fill="auto"/>
          </w:tcPr>
          <w:p w14:paraId="05899B64">
            <w:pPr>
              <w:spacing w:line="400" w:lineRule="exact"/>
              <w:rPr>
                <w:rFonts w:ascii="Times New Roman" w:hAnsi="Times New Roman"/>
                <w:szCs w:val="21"/>
              </w:rPr>
            </w:pPr>
            <w:r>
              <w:rPr>
                <w:rFonts w:hint="eastAsia" w:ascii="Times New Roman" w:hAnsi="Times New Roman"/>
                <w:color w:val="000000"/>
                <w:szCs w:val="21"/>
              </w:rPr>
              <w:t>9</w:t>
            </w:r>
          </w:p>
        </w:tc>
        <w:tc>
          <w:tcPr>
            <w:tcW w:w="5357" w:type="dxa"/>
            <w:tcBorders>
              <w:top w:val="single" w:color="000000" w:sz="8" w:space="0"/>
              <w:left w:val="single" w:color="000000" w:sz="8" w:space="0"/>
              <w:bottom w:val="single" w:color="000000" w:sz="8" w:space="0"/>
              <w:right w:val="single" w:color="000000" w:sz="8" w:space="0"/>
            </w:tcBorders>
            <w:shd w:val="clear" w:color="auto" w:fill="auto"/>
          </w:tcPr>
          <w:p w14:paraId="251DED33">
            <w:pPr>
              <w:spacing w:line="400" w:lineRule="exact"/>
              <w:rPr>
                <w:rFonts w:ascii="Times New Roman" w:hAnsi="Times New Roman"/>
                <w:szCs w:val="21"/>
              </w:rPr>
            </w:pPr>
            <w:r>
              <w:rPr>
                <w:rFonts w:hint="eastAsia" w:asciiTheme="minorEastAsia" w:hAnsiTheme="minorEastAsia"/>
                <w:szCs w:val="21"/>
              </w:rPr>
              <w:t>投标人具有有效的质量管理体系认证证书、环境管理体系认证证书、职业健康安全管理管理体系认证证书的，</w:t>
            </w:r>
            <w:r>
              <w:rPr>
                <w:rFonts w:ascii="Times New Roman" w:hAnsi="Times New Roman"/>
                <w:color w:val="000000"/>
                <w:szCs w:val="21"/>
              </w:rPr>
              <w:t>有1项不符合要求（或缺漏）的扣</w:t>
            </w:r>
            <w:r>
              <w:rPr>
                <w:rFonts w:hint="eastAsia" w:ascii="Times New Roman" w:hAnsi="Times New Roman"/>
                <w:color w:val="000000"/>
                <w:szCs w:val="21"/>
              </w:rPr>
              <w:t>3</w:t>
            </w:r>
            <w:r>
              <w:rPr>
                <w:rFonts w:ascii="Times New Roman" w:hAnsi="Times New Roman"/>
                <w:color w:val="000000"/>
                <w:szCs w:val="21"/>
              </w:rPr>
              <w:t>分，</w:t>
            </w:r>
            <w:r>
              <w:rPr>
                <w:rFonts w:hint="eastAsia" w:ascii="Times New Roman" w:hAnsi="Times New Roman"/>
                <w:color w:val="000000"/>
                <w:szCs w:val="21"/>
              </w:rPr>
              <w:t>如未提供</w:t>
            </w:r>
            <w:r>
              <w:rPr>
                <w:rFonts w:ascii="Times New Roman" w:hAnsi="Times New Roman"/>
                <w:color w:val="000000"/>
                <w:szCs w:val="21"/>
              </w:rPr>
              <w:t>得分为0分。</w:t>
            </w:r>
            <w:r>
              <w:rPr>
                <w:rFonts w:hint="eastAsia" w:asciiTheme="minorEastAsia" w:hAnsiTheme="minorEastAsia"/>
                <w:szCs w:val="21"/>
              </w:rPr>
              <w:t>注:投标文件中须提供上述认证证书复印件加盖投标人公章，未提供或提供的资料不符合要求的则不得分。</w:t>
            </w:r>
          </w:p>
        </w:tc>
      </w:tr>
      <w:tr w14:paraId="0714ED4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0" w:type="auto"/>
            <w:vMerge w:val="continue"/>
            <w:tcBorders>
              <w:top w:val="single" w:color="000000" w:sz="8" w:space="0"/>
              <w:left w:val="single" w:color="000000" w:sz="8" w:space="0"/>
              <w:bottom w:val="single" w:color="000000" w:sz="8" w:space="0"/>
              <w:right w:val="single" w:color="000000" w:sz="8" w:space="0"/>
            </w:tcBorders>
          </w:tcPr>
          <w:p w14:paraId="5FC1312C">
            <w:pPr>
              <w:wordWrap w:val="0"/>
              <w:rPr>
                <w:rFonts w:ascii="Times New Roman" w:hAnsi="Times New Roman"/>
                <w:b/>
                <w:bCs/>
                <w:color w:val="0000FF"/>
                <w:sz w:val="24"/>
              </w:rPr>
            </w:pPr>
          </w:p>
        </w:tc>
        <w:tc>
          <w:tcPr>
            <w:tcW w:w="680" w:type="dxa"/>
            <w:tcBorders>
              <w:top w:val="single" w:color="000000" w:sz="8" w:space="0"/>
              <w:left w:val="single" w:color="000000" w:sz="8" w:space="0"/>
              <w:bottom w:val="single" w:color="000000" w:sz="8" w:space="0"/>
              <w:right w:val="single" w:color="000000" w:sz="8" w:space="0"/>
            </w:tcBorders>
          </w:tcPr>
          <w:p w14:paraId="1752D4E1">
            <w:pPr>
              <w:wordWrap w:val="0"/>
              <w:jc w:val="center"/>
              <w:rPr>
                <w:rFonts w:ascii="Times New Roman" w:hAnsi="Times New Roman"/>
                <w:szCs w:val="21"/>
              </w:rPr>
            </w:pPr>
            <w:r>
              <w:rPr>
                <w:rFonts w:ascii="Times New Roman" w:hAnsi="Times New Roman"/>
                <w:szCs w:val="21"/>
              </w:rPr>
              <w:t>5</w:t>
            </w:r>
          </w:p>
        </w:tc>
        <w:tc>
          <w:tcPr>
            <w:tcW w:w="1646" w:type="dxa"/>
            <w:tcBorders>
              <w:top w:val="single" w:color="000000" w:sz="8" w:space="0"/>
              <w:left w:val="single" w:color="000000" w:sz="8" w:space="0"/>
              <w:bottom w:val="single" w:color="000000" w:sz="8" w:space="0"/>
              <w:right w:val="single" w:color="000000" w:sz="8" w:space="0"/>
            </w:tcBorders>
          </w:tcPr>
          <w:p w14:paraId="10A2F05A">
            <w:pPr>
              <w:spacing w:line="400" w:lineRule="exact"/>
              <w:rPr>
                <w:rFonts w:ascii="Times New Roman" w:hAnsi="Times New Roman"/>
                <w:szCs w:val="21"/>
              </w:rPr>
            </w:pPr>
            <w:r>
              <w:rPr>
                <w:rFonts w:ascii="Times New Roman" w:hAnsi="Times New Roman"/>
                <w:color w:val="000000"/>
              </w:rPr>
              <w:t>企业诚信</w:t>
            </w:r>
          </w:p>
        </w:tc>
        <w:tc>
          <w:tcPr>
            <w:tcW w:w="709" w:type="dxa"/>
            <w:tcBorders>
              <w:top w:val="single" w:color="000000" w:sz="8" w:space="0"/>
              <w:left w:val="single" w:color="000000" w:sz="8" w:space="0"/>
              <w:bottom w:val="single" w:color="000000" w:sz="8" w:space="0"/>
              <w:right w:val="single" w:color="000000" w:sz="8" w:space="0"/>
            </w:tcBorders>
          </w:tcPr>
          <w:p w14:paraId="3AF9DFA2">
            <w:pPr>
              <w:spacing w:line="400" w:lineRule="exact"/>
              <w:rPr>
                <w:rFonts w:ascii="Times New Roman" w:hAnsi="Times New Roman"/>
                <w:szCs w:val="21"/>
              </w:rPr>
            </w:pPr>
            <w:r>
              <w:rPr>
                <w:rFonts w:hint="eastAsia" w:ascii="Times New Roman" w:hAnsi="Times New Roman"/>
                <w:szCs w:val="21"/>
              </w:rPr>
              <w:t>5</w:t>
            </w:r>
          </w:p>
        </w:tc>
        <w:tc>
          <w:tcPr>
            <w:tcW w:w="5357" w:type="dxa"/>
            <w:tcBorders>
              <w:top w:val="single" w:color="000000" w:sz="8" w:space="0"/>
              <w:left w:val="single" w:color="000000" w:sz="8" w:space="0"/>
              <w:bottom w:val="single" w:color="000000" w:sz="8" w:space="0"/>
              <w:right w:val="single" w:color="000000" w:sz="8" w:space="0"/>
            </w:tcBorders>
          </w:tcPr>
          <w:p w14:paraId="32E09EAB">
            <w:pPr>
              <w:spacing w:line="400" w:lineRule="exact"/>
              <w:rPr>
                <w:rFonts w:ascii="Times New Roman" w:hAnsi="Times New Roman"/>
                <w:color w:val="000000"/>
                <w:szCs w:val="21"/>
              </w:rPr>
            </w:pPr>
            <w:r>
              <w:rPr>
                <w:rFonts w:ascii="Times New Roman" w:hAnsi="Times New Roman"/>
                <w:color w:val="000000"/>
                <w:szCs w:val="21"/>
              </w:rPr>
              <w:t>投标人在参与政府采购活动中出现诚信相关问题且在相关主管部门处理措施实施期限内的本项不得分，否则得满分。</w:t>
            </w:r>
          </w:p>
          <w:p w14:paraId="00AE7C62">
            <w:pPr>
              <w:spacing w:line="400" w:lineRule="exact"/>
              <w:rPr>
                <w:rFonts w:ascii="Times New Roman" w:hAnsi="Times New Roman"/>
                <w:szCs w:val="21"/>
              </w:rPr>
            </w:pPr>
            <w:r>
              <w:rPr>
                <w:rFonts w:ascii="Times New Roman" w:hAnsi="Times New Roman"/>
                <w:color w:val="000000"/>
                <w:szCs w:val="21"/>
              </w:rPr>
              <w:t>评标时由采购代理机构查询投标供应商的诚信状况，并将供应商诚信状况提供给评审委员会，由评审委员会根据招标文件的规定进行评审。</w:t>
            </w:r>
          </w:p>
        </w:tc>
      </w:tr>
      <w:tr w14:paraId="15A1BF5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restart"/>
            <w:tcBorders>
              <w:top w:val="single" w:color="000000" w:sz="8" w:space="0"/>
              <w:left w:val="single" w:color="000000" w:sz="8" w:space="0"/>
              <w:right w:val="single" w:color="000000" w:sz="8" w:space="0"/>
            </w:tcBorders>
          </w:tcPr>
          <w:p w14:paraId="5DA58C34">
            <w:pPr>
              <w:wordWrap w:val="0"/>
              <w:jc w:val="center"/>
              <w:rPr>
                <w:rFonts w:ascii="Times New Roman" w:hAnsi="Times New Roman"/>
                <w:b/>
                <w:bCs/>
                <w:color w:val="0000FF"/>
                <w:sz w:val="24"/>
              </w:rPr>
            </w:pPr>
            <w:r>
              <w:rPr>
                <w:rFonts w:ascii="Times New Roman" w:hAnsi="Times New Roman"/>
                <w:b/>
                <w:bCs/>
                <w:color w:val="0000FF"/>
              </w:rPr>
              <w:t>3</w:t>
            </w:r>
          </w:p>
        </w:tc>
        <w:tc>
          <w:tcPr>
            <w:tcW w:w="3035" w:type="dxa"/>
            <w:gridSpan w:val="3"/>
            <w:tcBorders>
              <w:top w:val="single" w:color="000000" w:sz="8" w:space="0"/>
              <w:left w:val="single" w:color="000000" w:sz="8" w:space="0"/>
              <w:bottom w:val="single" w:color="000000" w:sz="8" w:space="0"/>
              <w:right w:val="single" w:color="000000" w:sz="8" w:space="0"/>
            </w:tcBorders>
          </w:tcPr>
          <w:p w14:paraId="6420D686">
            <w:pPr>
              <w:wordWrap w:val="0"/>
              <w:jc w:val="center"/>
              <w:rPr>
                <w:rFonts w:ascii="Times New Roman" w:hAnsi="Times New Roman"/>
                <w:b/>
                <w:bCs/>
                <w:color w:val="0000FF"/>
              </w:rPr>
            </w:pPr>
            <w:r>
              <w:rPr>
                <w:rFonts w:ascii="Times New Roman" w:hAnsi="Times New Roman"/>
                <w:b/>
                <w:bCs/>
                <w:color w:val="0000FF"/>
              </w:rPr>
              <w:t>技术标</w:t>
            </w:r>
          </w:p>
        </w:tc>
        <w:tc>
          <w:tcPr>
            <w:tcW w:w="5357" w:type="dxa"/>
            <w:tcBorders>
              <w:top w:val="single" w:color="000000" w:sz="8" w:space="0"/>
              <w:left w:val="single" w:color="000000" w:sz="8" w:space="0"/>
              <w:bottom w:val="single" w:color="000000" w:sz="8" w:space="0"/>
              <w:right w:val="single" w:color="000000" w:sz="8" w:space="0"/>
            </w:tcBorders>
          </w:tcPr>
          <w:p w14:paraId="2FF50222">
            <w:pPr>
              <w:wordWrap w:val="0"/>
              <w:jc w:val="center"/>
              <w:rPr>
                <w:rFonts w:ascii="Times New Roman" w:hAnsi="Times New Roman"/>
                <w:b/>
                <w:bCs/>
                <w:color w:val="0000FF"/>
              </w:rPr>
            </w:pPr>
            <w:r>
              <w:rPr>
                <w:rFonts w:ascii="Times New Roman" w:hAnsi="Times New Roman"/>
                <w:b/>
                <w:bCs/>
                <w:color w:val="0000FF"/>
              </w:rPr>
              <w:t>40</w:t>
            </w:r>
          </w:p>
        </w:tc>
      </w:tr>
      <w:tr w14:paraId="536088E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left w:val="single" w:color="000000" w:sz="8" w:space="0"/>
              <w:right w:val="single" w:color="000000" w:sz="8" w:space="0"/>
            </w:tcBorders>
            <w:vAlign w:val="center"/>
          </w:tcPr>
          <w:p w14:paraId="16FA6B03">
            <w:pPr>
              <w:wordWrap w:val="0"/>
              <w:rPr>
                <w:rFonts w:ascii="Times New Roman" w:hAnsi="Times New Roman"/>
                <w:b/>
                <w:bCs/>
                <w:color w:val="0000FF"/>
                <w:sz w:val="24"/>
              </w:rPr>
            </w:pPr>
          </w:p>
        </w:tc>
        <w:tc>
          <w:tcPr>
            <w:tcW w:w="8392" w:type="dxa"/>
            <w:gridSpan w:val="4"/>
            <w:tcBorders>
              <w:top w:val="single" w:color="000000" w:sz="8" w:space="0"/>
              <w:left w:val="single" w:color="000000" w:sz="8" w:space="0"/>
              <w:bottom w:val="single" w:color="000000" w:sz="8" w:space="0"/>
              <w:right w:val="single" w:color="000000" w:sz="8" w:space="0"/>
            </w:tcBorders>
          </w:tcPr>
          <w:p w14:paraId="1E5A447B">
            <w:pPr>
              <w:wordWrap w:val="0"/>
              <w:jc w:val="center"/>
              <w:rPr>
                <w:rFonts w:ascii="Times New Roman" w:hAnsi="Times New Roman"/>
                <w:b/>
                <w:bCs/>
                <w:color w:val="0000FF"/>
              </w:rPr>
            </w:pPr>
          </w:p>
        </w:tc>
      </w:tr>
      <w:tr w14:paraId="331D12D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left w:val="single" w:color="000000" w:sz="8" w:space="0"/>
              <w:right w:val="single" w:color="000000" w:sz="8" w:space="0"/>
            </w:tcBorders>
            <w:shd w:val="clear" w:color="auto" w:fill="E6EFFA"/>
            <w:vAlign w:val="center"/>
          </w:tcPr>
          <w:p w14:paraId="695A2B36">
            <w:pPr>
              <w:wordWrap w:val="0"/>
              <w:jc w:val="center"/>
              <w:rPr>
                <w:rFonts w:ascii="Times New Roman" w:hAnsi="Times New Roman"/>
                <w:b/>
                <w:bCs/>
                <w:color w:val="0000FF"/>
                <w:sz w:val="24"/>
              </w:rPr>
            </w:pPr>
          </w:p>
        </w:tc>
        <w:tc>
          <w:tcPr>
            <w:tcW w:w="680"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61A9CCBE">
            <w:pPr>
              <w:wordWrap w:val="0"/>
              <w:jc w:val="center"/>
              <w:rPr>
                <w:rFonts w:ascii="Times New Roman" w:hAnsi="Times New Roman"/>
                <w:szCs w:val="21"/>
              </w:rPr>
            </w:pPr>
            <w:r>
              <w:rPr>
                <w:rFonts w:ascii="Times New Roman" w:hAnsi="Times New Roman"/>
                <w:szCs w:val="21"/>
              </w:rPr>
              <w:t>序号</w:t>
            </w:r>
          </w:p>
        </w:tc>
        <w:tc>
          <w:tcPr>
            <w:tcW w:w="1646"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3CA6F158">
            <w:pPr>
              <w:wordWrap w:val="0"/>
              <w:jc w:val="center"/>
              <w:rPr>
                <w:rFonts w:ascii="Times New Roman" w:hAnsi="Times New Roman"/>
                <w:szCs w:val="21"/>
              </w:rPr>
            </w:pPr>
            <w:r>
              <w:rPr>
                <w:rFonts w:ascii="Times New Roman" w:hAnsi="Times New Roman"/>
                <w:szCs w:val="21"/>
              </w:rPr>
              <w:t>评分因素</w:t>
            </w:r>
          </w:p>
        </w:tc>
        <w:tc>
          <w:tcPr>
            <w:tcW w:w="709"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14484214">
            <w:pPr>
              <w:wordWrap w:val="0"/>
              <w:jc w:val="center"/>
              <w:rPr>
                <w:rFonts w:ascii="Times New Roman" w:hAnsi="Times New Roman"/>
                <w:szCs w:val="21"/>
              </w:rPr>
            </w:pPr>
            <w:r>
              <w:rPr>
                <w:rFonts w:ascii="Times New Roman" w:hAnsi="Times New Roman"/>
                <w:szCs w:val="21"/>
              </w:rPr>
              <w:t>权重(%)</w:t>
            </w:r>
          </w:p>
        </w:tc>
        <w:tc>
          <w:tcPr>
            <w:tcW w:w="5357"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4FA5921E">
            <w:pPr>
              <w:wordWrap w:val="0"/>
              <w:jc w:val="center"/>
              <w:rPr>
                <w:rFonts w:ascii="Times New Roman" w:hAnsi="Times New Roman"/>
                <w:szCs w:val="21"/>
              </w:rPr>
            </w:pPr>
            <w:r>
              <w:rPr>
                <w:rFonts w:ascii="Times New Roman" w:hAnsi="Times New Roman"/>
                <w:szCs w:val="21"/>
              </w:rPr>
              <w:t>评分准则</w:t>
            </w:r>
          </w:p>
        </w:tc>
      </w:tr>
      <w:tr w14:paraId="790294E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left w:val="single" w:color="000000" w:sz="8" w:space="0"/>
              <w:right w:val="single" w:color="000000" w:sz="8" w:space="0"/>
            </w:tcBorders>
          </w:tcPr>
          <w:p w14:paraId="62F142E7">
            <w:pPr>
              <w:wordWrap w:val="0"/>
              <w:rPr>
                <w:rFonts w:ascii="Times New Roman" w:hAnsi="Times New Roman"/>
                <w:b/>
                <w:bCs/>
                <w:color w:val="0000FF"/>
                <w:sz w:val="24"/>
              </w:rPr>
            </w:pPr>
          </w:p>
        </w:tc>
        <w:tc>
          <w:tcPr>
            <w:tcW w:w="680" w:type="dxa"/>
            <w:tcBorders>
              <w:top w:val="single" w:color="000000" w:sz="8" w:space="0"/>
              <w:left w:val="single" w:color="000000" w:sz="8" w:space="0"/>
              <w:bottom w:val="single" w:color="000000" w:sz="8" w:space="0"/>
              <w:right w:val="single" w:color="000000" w:sz="8" w:space="0"/>
            </w:tcBorders>
          </w:tcPr>
          <w:p w14:paraId="791698FC">
            <w:pPr>
              <w:wordWrap w:val="0"/>
              <w:jc w:val="center"/>
              <w:rPr>
                <w:rFonts w:ascii="Times New Roman" w:hAnsi="Times New Roman"/>
                <w:szCs w:val="21"/>
              </w:rPr>
            </w:pPr>
            <w:r>
              <w:rPr>
                <w:rFonts w:ascii="Times New Roman" w:hAnsi="Times New Roman"/>
                <w:szCs w:val="21"/>
              </w:rPr>
              <w:t>1</w:t>
            </w:r>
          </w:p>
        </w:tc>
        <w:tc>
          <w:tcPr>
            <w:tcW w:w="1646" w:type="dxa"/>
            <w:tcBorders>
              <w:top w:val="single" w:color="000000" w:sz="8" w:space="0"/>
              <w:left w:val="single" w:color="000000" w:sz="8" w:space="0"/>
              <w:bottom w:val="single" w:color="000000" w:sz="8" w:space="0"/>
              <w:right w:val="single" w:color="000000" w:sz="8" w:space="0"/>
            </w:tcBorders>
          </w:tcPr>
          <w:p w14:paraId="139E43C1">
            <w:pPr>
              <w:spacing w:line="400" w:lineRule="exact"/>
              <w:rPr>
                <w:rFonts w:ascii="Times New Roman" w:hAnsi="Times New Roman"/>
                <w:szCs w:val="21"/>
              </w:rPr>
            </w:pPr>
            <w:r>
              <w:rPr>
                <w:rFonts w:ascii="Times New Roman" w:hAnsi="Times New Roman"/>
                <w:color w:val="000000"/>
                <w:szCs w:val="21"/>
              </w:rPr>
              <w:t>响应情况</w:t>
            </w:r>
          </w:p>
        </w:tc>
        <w:tc>
          <w:tcPr>
            <w:tcW w:w="709" w:type="dxa"/>
            <w:tcBorders>
              <w:top w:val="single" w:color="000000" w:sz="8" w:space="0"/>
              <w:left w:val="single" w:color="000000" w:sz="8" w:space="0"/>
              <w:bottom w:val="single" w:color="000000" w:sz="8" w:space="0"/>
              <w:right w:val="single" w:color="000000" w:sz="8" w:space="0"/>
            </w:tcBorders>
          </w:tcPr>
          <w:p w14:paraId="0118750A">
            <w:pPr>
              <w:spacing w:line="400" w:lineRule="exact"/>
              <w:rPr>
                <w:rFonts w:ascii="Times New Roman" w:hAnsi="Times New Roman"/>
                <w:szCs w:val="21"/>
              </w:rPr>
            </w:pPr>
            <w:r>
              <w:rPr>
                <w:rFonts w:ascii="Times New Roman" w:hAnsi="Times New Roman"/>
                <w:color w:val="000000"/>
                <w:szCs w:val="21"/>
              </w:rPr>
              <w:t>30</w:t>
            </w:r>
          </w:p>
        </w:tc>
        <w:tc>
          <w:tcPr>
            <w:tcW w:w="5357" w:type="dxa"/>
            <w:tcBorders>
              <w:top w:val="single" w:color="000000" w:sz="8" w:space="0"/>
              <w:left w:val="single" w:color="000000" w:sz="8" w:space="0"/>
              <w:bottom w:val="single" w:color="000000" w:sz="8" w:space="0"/>
              <w:right w:val="single" w:color="000000" w:sz="8" w:space="0"/>
            </w:tcBorders>
          </w:tcPr>
          <w:p w14:paraId="253AEC87">
            <w:pPr>
              <w:spacing w:line="400" w:lineRule="exact"/>
              <w:rPr>
                <w:rFonts w:ascii="Times New Roman" w:hAnsi="Times New Roman"/>
                <w:color w:val="000000"/>
                <w:szCs w:val="21"/>
              </w:rPr>
            </w:pPr>
            <w:r>
              <w:rPr>
                <w:rFonts w:ascii="Times New Roman" w:hAnsi="Times New Roman"/>
                <w:color w:val="000000"/>
                <w:szCs w:val="21"/>
              </w:rPr>
              <w:t>以投标文件的《技术和商务要求偏差表》响应招标要求情况为评价依据</w:t>
            </w:r>
            <w:r>
              <w:rPr>
                <w:rFonts w:hint="eastAsia" w:ascii="Times New Roman" w:hAnsi="Times New Roman"/>
                <w:color w:val="000000"/>
                <w:szCs w:val="21"/>
              </w:rPr>
              <w:t>：</w:t>
            </w:r>
          </w:p>
          <w:p w14:paraId="7D7A58CC">
            <w:pPr>
              <w:spacing w:line="400" w:lineRule="exact"/>
              <w:rPr>
                <w:rFonts w:ascii="Times New Roman" w:hAnsi="Times New Roman"/>
                <w:color w:val="000000"/>
                <w:szCs w:val="21"/>
              </w:rPr>
            </w:pPr>
            <w:r>
              <w:rPr>
                <w:rFonts w:hint="eastAsia" w:ascii="Times New Roman" w:hAnsi="Times New Roman"/>
                <w:color w:val="000000"/>
                <w:szCs w:val="21"/>
              </w:rPr>
              <w:t>根据投标人对项目技术参数内容要求中“▲”条款的响应情况进行评审：每满足1项得1分，最高得24分。（共24项“▲”条款）</w:t>
            </w:r>
            <w:r>
              <w:rPr>
                <w:rFonts w:ascii="Times New Roman" w:hAnsi="Times New Roman"/>
                <w:color w:val="000000"/>
                <w:szCs w:val="21"/>
              </w:rPr>
              <w:t>。</w:t>
            </w:r>
          </w:p>
          <w:p w14:paraId="7B81FD43">
            <w:pPr>
              <w:spacing w:line="400" w:lineRule="exact"/>
              <w:rPr>
                <w:rFonts w:ascii="Times New Roman" w:hAnsi="Times New Roman"/>
                <w:color w:val="000000"/>
                <w:szCs w:val="21"/>
              </w:rPr>
            </w:pPr>
            <w:r>
              <w:rPr>
                <w:rFonts w:hint="eastAsia" w:ascii="Times New Roman" w:hAnsi="Times New Roman"/>
                <w:color w:val="000000"/>
                <w:szCs w:val="21"/>
              </w:rPr>
              <w:t>根据投标人对项目技术参数内容要求中非“▲”条款的响应情况进行评审：完全满足得6分；1-5个负偏离的，得3分；6-10个负偏离的，得1分；11个或以上负偏离的，得0分。</w:t>
            </w:r>
          </w:p>
          <w:p w14:paraId="0CD109BE">
            <w:pPr>
              <w:spacing w:line="400" w:lineRule="exact"/>
              <w:rPr>
                <w:rFonts w:ascii="Times New Roman" w:hAnsi="Times New Roman"/>
                <w:szCs w:val="21"/>
              </w:rPr>
            </w:pPr>
            <w:r>
              <w:rPr>
                <w:rFonts w:hint="eastAsia"/>
                <w:b/>
              </w:rPr>
              <w:t>加注“★”为不可偏离项“▲”的条款需出具相应技术说明材料、制造商官网截图、</w:t>
            </w:r>
            <w:r>
              <w:rPr>
                <w:b/>
              </w:rPr>
              <w:t>彩页</w:t>
            </w:r>
            <w:r>
              <w:rPr>
                <w:rFonts w:hint="eastAsia"/>
                <w:b/>
              </w:rPr>
              <w:t>或产品检测报告等技术支持资料，未提供技术支持资料或技术支持资料无法证明所投产品满足招标文件要求的，作负偏离扣分处理。</w:t>
            </w:r>
          </w:p>
        </w:tc>
      </w:tr>
      <w:tr w14:paraId="7800FEA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left w:val="single" w:color="000000" w:sz="8" w:space="0"/>
              <w:right w:val="single" w:color="000000" w:sz="8" w:space="0"/>
            </w:tcBorders>
          </w:tcPr>
          <w:p w14:paraId="5287ABFE">
            <w:pPr>
              <w:wordWrap w:val="0"/>
              <w:rPr>
                <w:rFonts w:ascii="Times New Roman" w:hAnsi="Times New Roman"/>
                <w:b/>
                <w:bCs/>
                <w:color w:val="0000FF"/>
                <w:sz w:val="24"/>
              </w:rPr>
            </w:pPr>
          </w:p>
        </w:tc>
        <w:tc>
          <w:tcPr>
            <w:tcW w:w="680" w:type="dxa"/>
            <w:tcBorders>
              <w:top w:val="single" w:color="000000" w:sz="8" w:space="0"/>
              <w:left w:val="single" w:color="000000" w:sz="8" w:space="0"/>
              <w:bottom w:val="single" w:color="000000" w:sz="8" w:space="0"/>
              <w:right w:val="single" w:color="000000" w:sz="8" w:space="0"/>
            </w:tcBorders>
          </w:tcPr>
          <w:p w14:paraId="2D9AD7B5">
            <w:pPr>
              <w:wordWrap w:val="0"/>
              <w:jc w:val="center"/>
              <w:rPr>
                <w:rFonts w:ascii="Times New Roman" w:hAnsi="Times New Roman"/>
                <w:szCs w:val="21"/>
              </w:rPr>
            </w:pPr>
            <w:r>
              <w:rPr>
                <w:rFonts w:ascii="Times New Roman" w:hAnsi="Times New Roman"/>
                <w:szCs w:val="21"/>
              </w:rPr>
              <w:t>2</w:t>
            </w:r>
          </w:p>
        </w:tc>
        <w:tc>
          <w:tcPr>
            <w:tcW w:w="1646" w:type="dxa"/>
            <w:tcBorders>
              <w:top w:val="single" w:color="000000" w:sz="8" w:space="0"/>
              <w:left w:val="single" w:color="000000" w:sz="8" w:space="0"/>
              <w:bottom w:val="single" w:color="000000" w:sz="8" w:space="0"/>
              <w:right w:val="single" w:color="000000" w:sz="8" w:space="0"/>
            </w:tcBorders>
            <w:shd w:val="clear" w:color="auto" w:fill="auto"/>
          </w:tcPr>
          <w:p w14:paraId="0BE42B74">
            <w:pPr>
              <w:spacing w:line="400" w:lineRule="exact"/>
              <w:rPr>
                <w:rFonts w:ascii="Times New Roman" w:hAnsi="Times New Roman"/>
                <w:szCs w:val="21"/>
              </w:rPr>
            </w:pPr>
            <w:r>
              <w:rPr>
                <w:rFonts w:ascii="Times New Roman" w:hAnsi="Times New Roman"/>
                <w:color w:val="000000"/>
                <w:szCs w:val="21"/>
              </w:rPr>
              <w:t>应急响应情况</w:t>
            </w:r>
          </w:p>
        </w:tc>
        <w:tc>
          <w:tcPr>
            <w:tcW w:w="709" w:type="dxa"/>
            <w:tcBorders>
              <w:top w:val="single" w:color="000000" w:sz="8" w:space="0"/>
              <w:left w:val="single" w:color="000000" w:sz="8" w:space="0"/>
              <w:bottom w:val="single" w:color="000000" w:sz="8" w:space="0"/>
              <w:right w:val="single" w:color="000000" w:sz="8" w:space="0"/>
            </w:tcBorders>
            <w:shd w:val="clear" w:color="auto" w:fill="auto"/>
          </w:tcPr>
          <w:p w14:paraId="0A40EDC2">
            <w:pPr>
              <w:spacing w:line="400" w:lineRule="exact"/>
              <w:rPr>
                <w:rFonts w:ascii="Times New Roman" w:hAnsi="Times New Roman"/>
                <w:szCs w:val="21"/>
              </w:rPr>
            </w:pPr>
            <w:r>
              <w:rPr>
                <w:rFonts w:ascii="Times New Roman" w:hAnsi="Times New Roman"/>
                <w:color w:val="000000"/>
                <w:szCs w:val="21"/>
              </w:rPr>
              <w:t>5</w:t>
            </w:r>
          </w:p>
        </w:tc>
        <w:tc>
          <w:tcPr>
            <w:tcW w:w="5357" w:type="dxa"/>
            <w:tcBorders>
              <w:top w:val="single" w:color="000000" w:sz="8" w:space="0"/>
              <w:left w:val="single" w:color="000000" w:sz="8" w:space="0"/>
              <w:bottom w:val="single" w:color="000000" w:sz="8" w:space="0"/>
              <w:right w:val="single" w:color="000000" w:sz="8" w:space="0"/>
            </w:tcBorders>
            <w:shd w:val="clear" w:color="auto" w:fill="auto"/>
          </w:tcPr>
          <w:p w14:paraId="1AE6B29B">
            <w:pPr>
              <w:spacing w:line="400" w:lineRule="exact"/>
              <w:rPr>
                <w:rFonts w:ascii="Times New Roman" w:hAnsi="Times New Roman"/>
                <w:color w:val="000000"/>
                <w:szCs w:val="21"/>
              </w:rPr>
            </w:pPr>
            <w:r>
              <w:rPr>
                <w:rFonts w:ascii="Times New Roman" w:hAnsi="Times New Roman"/>
                <w:color w:val="000000"/>
                <w:szCs w:val="21"/>
              </w:rPr>
              <w:t>（一）评分内容：</w:t>
            </w:r>
          </w:p>
          <w:p w14:paraId="30489C3C">
            <w:pPr>
              <w:spacing w:line="400" w:lineRule="exact"/>
              <w:rPr>
                <w:rFonts w:ascii="Times New Roman" w:hAnsi="Times New Roman"/>
                <w:color w:val="000000"/>
                <w:szCs w:val="21"/>
              </w:rPr>
            </w:pPr>
            <w:r>
              <w:rPr>
                <w:rFonts w:ascii="Times New Roman" w:hAnsi="Times New Roman"/>
                <w:color w:val="000000"/>
                <w:szCs w:val="21"/>
              </w:rPr>
              <w:t>根据投标人供货响应时间、备品备件数量等进行综合评价打分：</w:t>
            </w:r>
          </w:p>
          <w:p w14:paraId="7B6A3144">
            <w:pPr>
              <w:spacing w:line="400" w:lineRule="exact"/>
              <w:rPr>
                <w:rFonts w:ascii="Times New Roman" w:hAnsi="Times New Roman"/>
                <w:color w:val="000000"/>
                <w:szCs w:val="21"/>
              </w:rPr>
            </w:pPr>
            <w:r>
              <w:rPr>
                <w:rFonts w:ascii="Times New Roman" w:hAnsi="Times New Roman"/>
                <w:color w:val="000000"/>
                <w:szCs w:val="21"/>
              </w:rPr>
              <w:t>1. 供货响应时间：供货响应时间3天（含）以内，得50%；供货响应时间3天（不含）以上7天（含）以内，得30%；供货响应时间7天（不含）以上10天（含）以内，得10%；供货响应时间大于10天不得分；本项最高得50%。</w:t>
            </w:r>
          </w:p>
          <w:p w14:paraId="6B8276F3">
            <w:pPr>
              <w:spacing w:line="400" w:lineRule="exact"/>
              <w:rPr>
                <w:rFonts w:ascii="Times New Roman" w:hAnsi="Times New Roman"/>
                <w:color w:val="000000"/>
                <w:szCs w:val="21"/>
              </w:rPr>
            </w:pPr>
            <w:r>
              <w:rPr>
                <w:rFonts w:ascii="Times New Roman" w:hAnsi="Times New Roman"/>
                <w:color w:val="000000"/>
                <w:szCs w:val="21"/>
              </w:rPr>
              <w:t>2. 备品备件数量：投标人针对配置清单中所有货物都能提供2倍或以上备品备件的，得50%</w:t>
            </w:r>
            <w:r>
              <w:rPr>
                <w:rFonts w:hint="eastAsia" w:ascii="Times New Roman" w:hAnsi="Times New Roman"/>
                <w:color w:val="000000"/>
                <w:szCs w:val="21"/>
              </w:rPr>
              <w:t>；</w:t>
            </w:r>
            <w:r>
              <w:rPr>
                <w:rFonts w:ascii="Times New Roman" w:hAnsi="Times New Roman"/>
                <w:color w:val="000000"/>
                <w:szCs w:val="21"/>
              </w:rPr>
              <w:t>投标人针对配置清单中所有货物都能提供备品备件，但数量不足2倍的，得20%；投标人针对配置清单中所有货物，仅能提供部分货物备品备件的，得10%</w:t>
            </w:r>
            <w:r>
              <w:rPr>
                <w:rFonts w:hint="eastAsia" w:ascii="Times New Roman" w:hAnsi="Times New Roman"/>
                <w:color w:val="000000"/>
                <w:szCs w:val="21"/>
              </w:rPr>
              <w:t>；</w:t>
            </w:r>
            <w:r>
              <w:rPr>
                <w:rFonts w:ascii="Times New Roman" w:hAnsi="Times New Roman"/>
                <w:color w:val="000000"/>
                <w:szCs w:val="21"/>
              </w:rPr>
              <w:t>不能提供备品备件的不得分</w:t>
            </w:r>
            <w:r>
              <w:rPr>
                <w:rFonts w:hint="eastAsia" w:ascii="Times New Roman" w:hAnsi="Times New Roman"/>
                <w:color w:val="000000"/>
                <w:szCs w:val="21"/>
              </w:rPr>
              <w:t>；</w:t>
            </w:r>
            <w:r>
              <w:rPr>
                <w:rFonts w:ascii="Times New Roman" w:hAnsi="Times New Roman"/>
                <w:color w:val="000000"/>
                <w:szCs w:val="21"/>
              </w:rPr>
              <w:t>本项最高得50%。</w:t>
            </w:r>
          </w:p>
          <w:p w14:paraId="5C29508C">
            <w:pPr>
              <w:spacing w:line="400" w:lineRule="exact"/>
              <w:rPr>
                <w:rFonts w:ascii="Times New Roman" w:hAnsi="Times New Roman"/>
                <w:color w:val="000000"/>
                <w:szCs w:val="21"/>
              </w:rPr>
            </w:pPr>
            <w:r>
              <w:rPr>
                <w:rFonts w:ascii="Times New Roman" w:hAnsi="Times New Roman"/>
                <w:color w:val="000000"/>
                <w:szCs w:val="21"/>
              </w:rPr>
              <w:t>（二）评分依据：</w:t>
            </w:r>
          </w:p>
          <w:p w14:paraId="2299187F">
            <w:pPr>
              <w:spacing w:line="400" w:lineRule="exact"/>
              <w:rPr>
                <w:rFonts w:ascii="Times New Roman" w:hAnsi="Times New Roman"/>
                <w:szCs w:val="21"/>
              </w:rPr>
            </w:pPr>
            <w:r>
              <w:rPr>
                <w:rFonts w:ascii="Times New Roman" w:hAnsi="Times New Roman"/>
                <w:color w:val="000000"/>
                <w:szCs w:val="21"/>
              </w:rPr>
              <w:t>1. 投标人须提供承诺函（包含上述的供货响应时间和备品配件数量等）并如实填写《货物说明一览表》中备品备件情况，并加盖投标人公章作为得分依据，评分中出现无证明资料或专家无法凭所提供资料判断是否得分的情况，一律作不得分处理。</w:t>
            </w:r>
          </w:p>
        </w:tc>
      </w:tr>
      <w:tr w14:paraId="6C1740C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left w:val="single" w:color="000000" w:sz="8" w:space="0"/>
              <w:bottom w:val="single" w:color="000000" w:sz="8" w:space="0"/>
              <w:right w:val="single" w:color="000000" w:sz="8" w:space="0"/>
            </w:tcBorders>
          </w:tcPr>
          <w:p w14:paraId="2F96DC43">
            <w:pPr>
              <w:wordWrap w:val="0"/>
              <w:rPr>
                <w:rFonts w:ascii="Times New Roman" w:hAnsi="Times New Roman"/>
                <w:b/>
                <w:bCs/>
                <w:color w:val="0000FF"/>
                <w:sz w:val="24"/>
              </w:rPr>
            </w:pPr>
          </w:p>
        </w:tc>
        <w:tc>
          <w:tcPr>
            <w:tcW w:w="680" w:type="dxa"/>
            <w:tcBorders>
              <w:top w:val="single" w:color="000000" w:sz="8" w:space="0"/>
              <w:left w:val="single" w:color="000000" w:sz="8" w:space="0"/>
              <w:bottom w:val="single" w:color="000000" w:sz="8" w:space="0"/>
              <w:right w:val="single" w:color="000000" w:sz="8" w:space="0"/>
            </w:tcBorders>
          </w:tcPr>
          <w:p w14:paraId="3382B47E">
            <w:pPr>
              <w:wordWrap w:val="0"/>
              <w:jc w:val="center"/>
              <w:rPr>
                <w:rFonts w:ascii="Times New Roman" w:hAnsi="Times New Roman"/>
                <w:szCs w:val="21"/>
              </w:rPr>
            </w:pPr>
            <w:r>
              <w:rPr>
                <w:rFonts w:hint="eastAsia" w:ascii="Times New Roman" w:hAnsi="Times New Roman"/>
                <w:szCs w:val="21"/>
              </w:rPr>
              <w:t>3</w:t>
            </w:r>
          </w:p>
        </w:tc>
        <w:tc>
          <w:tcPr>
            <w:tcW w:w="1646" w:type="dxa"/>
            <w:tcBorders>
              <w:top w:val="single" w:color="000000" w:sz="8" w:space="0"/>
              <w:left w:val="single" w:color="000000" w:sz="8" w:space="0"/>
              <w:bottom w:val="single" w:color="000000" w:sz="8" w:space="0"/>
              <w:right w:val="single" w:color="000000" w:sz="8" w:space="0"/>
            </w:tcBorders>
            <w:shd w:val="clear" w:color="auto" w:fill="auto"/>
          </w:tcPr>
          <w:p w14:paraId="06DEC6BC">
            <w:pPr>
              <w:pStyle w:val="45"/>
              <w:rPr>
                <w:rFonts w:hint="default" w:ascii="Times New Roman" w:hAnsi="Times New Roman"/>
                <w:color w:val="000000"/>
                <w:kern w:val="2"/>
                <w:sz w:val="21"/>
                <w:szCs w:val="21"/>
              </w:rPr>
            </w:pPr>
            <w:r>
              <w:rPr>
                <w:rFonts w:hint="default" w:ascii="Times New Roman" w:hAnsi="Times New Roman"/>
                <w:color w:val="000000"/>
                <w:kern w:val="2"/>
                <w:sz w:val="21"/>
                <w:szCs w:val="21"/>
                <w:lang w:eastAsia="zh-CN"/>
              </w:rPr>
              <w:t xml:space="preserve">售后服务方案 </w:t>
            </w:r>
          </w:p>
        </w:tc>
        <w:tc>
          <w:tcPr>
            <w:tcW w:w="709" w:type="dxa"/>
            <w:tcBorders>
              <w:top w:val="single" w:color="000000" w:sz="8" w:space="0"/>
              <w:left w:val="single" w:color="000000" w:sz="8" w:space="0"/>
              <w:bottom w:val="single" w:color="000000" w:sz="8" w:space="0"/>
              <w:right w:val="single" w:color="000000" w:sz="8" w:space="0"/>
            </w:tcBorders>
            <w:shd w:val="clear" w:color="auto" w:fill="auto"/>
          </w:tcPr>
          <w:p w14:paraId="7B8225D8">
            <w:pPr>
              <w:pStyle w:val="45"/>
              <w:rPr>
                <w:rFonts w:hint="default" w:ascii="Times New Roman" w:hAnsi="Times New Roman"/>
                <w:color w:val="000000"/>
                <w:kern w:val="2"/>
                <w:sz w:val="21"/>
                <w:szCs w:val="21"/>
                <w:lang w:eastAsia="zh-CN"/>
              </w:rPr>
            </w:pPr>
            <w:r>
              <w:rPr>
                <w:rFonts w:ascii="Times New Roman" w:hAnsi="Times New Roman"/>
                <w:color w:val="000000"/>
                <w:kern w:val="2"/>
                <w:sz w:val="21"/>
                <w:szCs w:val="21"/>
                <w:lang w:eastAsia="zh-CN"/>
              </w:rPr>
              <w:t>5</w:t>
            </w:r>
          </w:p>
        </w:tc>
        <w:tc>
          <w:tcPr>
            <w:tcW w:w="5357" w:type="dxa"/>
            <w:tcBorders>
              <w:top w:val="single" w:color="000000" w:sz="8" w:space="0"/>
              <w:left w:val="single" w:color="000000" w:sz="8" w:space="0"/>
              <w:bottom w:val="single" w:color="000000" w:sz="8" w:space="0"/>
              <w:right w:val="single" w:color="000000" w:sz="8" w:space="0"/>
            </w:tcBorders>
            <w:shd w:val="clear" w:color="auto" w:fill="auto"/>
          </w:tcPr>
          <w:p w14:paraId="5BC0F9AA">
            <w:pPr>
              <w:spacing w:line="400" w:lineRule="exact"/>
              <w:rPr>
                <w:rFonts w:ascii="Times New Roman" w:hAnsi="Times New Roman"/>
                <w:color w:val="000000"/>
                <w:szCs w:val="21"/>
              </w:rPr>
            </w:pPr>
            <w:r>
              <w:rPr>
                <w:rFonts w:ascii="Times New Roman" w:hAnsi="Times New Roman"/>
                <w:color w:val="000000"/>
                <w:szCs w:val="21"/>
              </w:rPr>
              <w:t>根据投标人提供的质量保证及售后服务方案（包括①供货保障及售后服务措施；②问题产品的更换措施及渠道；③质量保证承诺；④客户维护措施；⑤针对本项目及采购单位实际需求提供的增值服务）的内容进行综合评价：各项内容均全面完善、科学合理，具有可行性的得</w:t>
            </w:r>
            <w:r>
              <w:rPr>
                <w:rFonts w:hint="eastAsia" w:ascii="Times New Roman" w:hAnsi="Times New Roman"/>
                <w:color w:val="000000"/>
                <w:szCs w:val="21"/>
              </w:rPr>
              <w:t>5</w:t>
            </w:r>
            <w:r>
              <w:rPr>
                <w:rFonts w:ascii="Times New Roman" w:hAnsi="Times New Roman"/>
                <w:color w:val="000000"/>
                <w:szCs w:val="21"/>
              </w:rPr>
              <w:t>分；每有1项不全面、不合理、内容有缺失或未提供内容的扣</w:t>
            </w:r>
            <w:r>
              <w:rPr>
                <w:rFonts w:hint="eastAsia" w:ascii="Times New Roman" w:hAnsi="Times New Roman"/>
                <w:color w:val="000000"/>
                <w:szCs w:val="21"/>
              </w:rPr>
              <w:t>1</w:t>
            </w:r>
            <w:r>
              <w:rPr>
                <w:rFonts w:ascii="Times New Roman" w:hAnsi="Times New Roman"/>
                <w:color w:val="000000"/>
                <w:szCs w:val="21"/>
              </w:rPr>
              <w:t>分，扣完为止。</w:t>
            </w:r>
          </w:p>
        </w:tc>
      </w:tr>
    </w:tbl>
    <w:p w14:paraId="42CF4938"/>
    <w:p w14:paraId="3441236B">
      <w:pPr>
        <w:spacing w:line="360" w:lineRule="auto"/>
        <w:ind w:firstLine="480" w:firstLineChars="200"/>
        <w:jc w:val="left"/>
        <w:rPr>
          <w:rFonts w:ascii="宋体" w:hAnsi="宋体"/>
          <w:sz w:val="24"/>
        </w:rPr>
        <w:sectPr>
          <w:pgSz w:w="11906" w:h="16838"/>
          <w:pgMar w:top="1418" w:right="1474" w:bottom="1418" w:left="1474" w:header="851" w:footer="992" w:gutter="0"/>
          <w:cols w:space="425" w:num="1"/>
          <w:docGrid w:type="lines" w:linePitch="312" w:charSpace="0"/>
        </w:sectPr>
      </w:pPr>
    </w:p>
    <w:p w14:paraId="15ED79EE">
      <w:pPr>
        <w:pStyle w:val="2"/>
      </w:pPr>
      <w:r>
        <w:rPr>
          <w:rFonts w:hint="eastAsia"/>
        </w:rPr>
        <w:t>第三章  投标人须知</w:t>
      </w:r>
      <w:bookmarkEnd w:id="9"/>
      <w:bookmarkEnd w:id="10"/>
    </w:p>
    <w:p w14:paraId="65D5E123">
      <w:pPr>
        <w:pStyle w:val="5"/>
        <w:ind w:firstLine="482"/>
      </w:pPr>
      <w:bookmarkStart w:id="11" w:name="_Toc55548492"/>
      <w:r>
        <w:t>一、说明</w:t>
      </w:r>
      <w:bookmarkEnd w:id="11"/>
    </w:p>
    <w:p w14:paraId="2E7B6194">
      <w:pPr>
        <w:pStyle w:val="4"/>
        <w:spacing w:line="360" w:lineRule="auto"/>
        <w:ind w:firstLine="482"/>
      </w:pPr>
      <w:bookmarkStart w:id="12" w:name="_Toc55548493"/>
      <w:bookmarkStart w:id="13" w:name="_Toc18091"/>
      <w:r>
        <w:t>招标人及资金来源</w:t>
      </w:r>
      <w:bookmarkEnd w:id="12"/>
      <w:bookmarkEnd w:id="13"/>
    </w:p>
    <w:p w14:paraId="19BFBBA9">
      <w:pPr>
        <w:spacing w:line="360" w:lineRule="auto"/>
        <w:ind w:firstLine="420" w:firstLineChars="200"/>
        <w:rPr>
          <w:rFonts w:asciiTheme="minorEastAsia" w:hAnsiTheme="minorEastAsia"/>
          <w:szCs w:val="21"/>
        </w:rPr>
      </w:pPr>
      <w:bookmarkStart w:id="14" w:name="_Ref179620507"/>
      <w:r>
        <w:rPr>
          <w:rFonts w:asciiTheme="minorEastAsia" w:hAnsiTheme="minorEastAsia"/>
          <w:szCs w:val="21"/>
        </w:rPr>
        <w:t>招标人已拥有一笔资金/</w:t>
      </w:r>
      <w:r>
        <w:rPr>
          <w:rFonts w:hint="eastAsia" w:asciiTheme="minorEastAsia" w:hAnsiTheme="minorEastAsia"/>
          <w:szCs w:val="21"/>
        </w:rPr>
        <w:t>货</w:t>
      </w:r>
      <w:r>
        <w:rPr>
          <w:rFonts w:asciiTheme="minorEastAsia" w:hAnsiTheme="minorEastAsia"/>
          <w:szCs w:val="21"/>
        </w:rPr>
        <w:t>款。招标人计划将一部分资金/贷款用于支付本次招标后所签订合同项下的款项，资金来源</w:t>
      </w:r>
      <w:r>
        <w:rPr>
          <w:rFonts w:hint="eastAsia" w:asciiTheme="minorEastAsia" w:hAnsiTheme="minorEastAsia"/>
          <w:szCs w:val="21"/>
        </w:rPr>
        <w:t>为：</w:t>
      </w:r>
      <w:r>
        <w:rPr>
          <w:rFonts w:asciiTheme="minorEastAsia" w:hAnsiTheme="minorEastAsia"/>
          <w:szCs w:val="21"/>
        </w:rPr>
        <w:t>财政资金。</w:t>
      </w:r>
      <w:bookmarkEnd w:id="14"/>
    </w:p>
    <w:p w14:paraId="18F40C7D">
      <w:pPr>
        <w:pStyle w:val="4"/>
        <w:spacing w:line="360" w:lineRule="auto"/>
        <w:ind w:firstLine="482"/>
      </w:pPr>
      <w:bookmarkStart w:id="15" w:name="_Toc29370"/>
      <w:bookmarkStart w:id="16" w:name="_Toc55548494"/>
      <w:r>
        <w:t>合格的投标人</w:t>
      </w:r>
      <w:bookmarkEnd w:id="15"/>
      <w:bookmarkEnd w:id="16"/>
    </w:p>
    <w:p w14:paraId="7CD132D3">
      <w:pPr>
        <w:spacing w:line="360" w:lineRule="auto"/>
        <w:ind w:firstLine="420" w:firstLineChars="200"/>
        <w:rPr>
          <w:rFonts w:asciiTheme="minorEastAsia" w:hAnsiTheme="minorEastAsia"/>
          <w:szCs w:val="21"/>
        </w:rPr>
      </w:pPr>
      <w:bookmarkStart w:id="17" w:name="_Ref179620057"/>
      <w:r>
        <w:rPr>
          <w:rFonts w:asciiTheme="minorEastAsia" w:hAnsiTheme="minorEastAsia"/>
          <w:szCs w:val="21"/>
        </w:rPr>
        <w:t>合格的投标人</w:t>
      </w:r>
      <w:bookmarkEnd w:id="17"/>
    </w:p>
    <w:p w14:paraId="0DE65E88">
      <w:pPr>
        <w:spacing w:line="360" w:lineRule="auto"/>
        <w:ind w:firstLine="420" w:firstLineChars="200"/>
        <w:rPr>
          <w:rFonts w:asciiTheme="minorEastAsia" w:hAnsiTheme="minorEastAsia"/>
          <w:szCs w:val="21"/>
        </w:rPr>
      </w:pPr>
      <w:r>
        <w:rPr>
          <w:rFonts w:asciiTheme="minorEastAsia" w:hAnsiTheme="minorEastAsia"/>
          <w:szCs w:val="21"/>
        </w:rPr>
        <w:t>除非下文另有规定，凡是在中华人民共和国境内注册且为人民币流通区域内的供货人均可投标。</w:t>
      </w:r>
    </w:p>
    <w:p w14:paraId="4E1E7114">
      <w:pPr>
        <w:spacing w:line="360" w:lineRule="auto"/>
        <w:ind w:firstLine="420" w:firstLineChars="200"/>
        <w:rPr>
          <w:rFonts w:asciiTheme="minorEastAsia" w:hAnsiTheme="minorEastAsia"/>
          <w:szCs w:val="21"/>
        </w:rPr>
      </w:pPr>
      <w:r>
        <w:rPr>
          <w:rFonts w:asciiTheme="minorEastAsia" w:hAnsiTheme="minorEastAsia"/>
          <w:szCs w:val="21"/>
        </w:rPr>
        <w:t>只有在法律上和财务上独立、合法运作并独立于招标人的供货人才能参加投标。</w:t>
      </w:r>
    </w:p>
    <w:p w14:paraId="1CDC7977">
      <w:pPr>
        <w:spacing w:line="360" w:lineRule="auto"/>
        <w:ind w:firstLine="420" w:firstLineChars="200"/>
        <w:rPr>
          <w:rFonts w:asciiTheme="minorEastAsia" w:hAnsiTheme="minorEastAsia"/>
          <w:szCs w:val="21"/>
        </w:rPr>
      </w:pPr>
      <w:r>
        <w:rPr>
          <w:rFonts w:asciiTheme="minorEastAsia" w:hAnsiTheme="minorEastAsia"/>
          <w:szCs w:val="21"/>
        </w:rPr>
        <w:t>投标人不得直接或间接地与招标人为采购本次招标的货物进行设计、编制规范和其他文件所委托的咨询公司或其附属机构有任何关联。</w:t>
      </w:r>
    </w:p>
    <w:p w14:paraId="319C5853">
      <w:pPr>
        <w:pStyle w:val="4"/>
        <w:spacing w:line="360" w:lineRule="auto"/>
        <w:ind w:firstLine="482"/>
      </w:pPr>
      <w:bookmarkStart w:id="18" w:name="_Toc55548495"/>
      <w:bookmarkStart w:id="19" w:name="_Toc12412"/>
      <w:r>
        <w:t>合格的货物和服务</w:t>
      </w:r>
      <w:bookmarkEnd w:id="18"/>
      <w:bookmarkEnd w:id="19"/>
    </w:p>
    <w:p w14:paraId="4F2E06D5">
      <w:pPr>
        <w:spacing w:line="360" w:lineRule="auto"/>
        <w:ind w:firstLine="420" w:firstLineChars="200"/>
        <w:rPr>
          <w:rFonts w:asciiTheme="minorEastAsia" w:hAnsiTheme="minorEastAsia"/>
          <w:szCs w:val="21"/>
        </w:rPr>
      </w:pPr>
      <w:r>
        <w:rPr>
          <w:rFonts w:asciiTheme="minorEastAsia" w:hAnsiTheme="minorEastAsia"/>
          <w:szCs w:val="21"/>
        </w:rPr>
        <w:t>必须是全新的货物，如安装或配置了软件的，须为正版软件。</w:t>
      </w:r>
    </w:p>
    <w:p w14:paraId="7F56029D">
      <w:pPr>
        <w:spacing w:line="360" w:lineRule="auto"/>
        <w:ind w:firstLine="420" w:firstLineChars="200"/>
        <w:rPr>
          <w:rFonts w:asciiTheme="minorEastAsia" w:hAnsiTheme="minorEastAsia"/>
          <w:szCs w:val="21"/>
        </w:rPr>
      </w:pPr>
      <w:r>
        <w:rPr>
          <w:rFonts w:asciiTheme="minorEastAsia" w:hAnsiTheme="minorEastAsia"/>
          <w:szCs w:val="21"/>
        </w:rPr>
        <w:t>产品及相关的服务必须符合中华人民共和国的设计和制造生产或行业标准。</w:t>
      </w:r>
    </w:p>
    <w:p w14:paraId="59EB8BD0">
      <w:pPr>
        <w:spacing w:line="360" w:lineRule="auto"/>
        <w:ind w:firstLine="420" w:firstLineChars="200"/>
        <w:rPr>
          <w:rFonts w:asciiTheme="minorEastAsia" w:hAnsiTheme="minorEastAsia"/>
          <w:szCs w:val="21"/>
        </w:rPr>
      </w:pPr>
      <w:r>
        <w:rPr>
          <w:rFonts w:asciiTheme="minorEastAsia" w:hAnsiTheme="minorEastAsia"/>
          <w:szCs w:val="21"/>
        </w:rPr>
        <w:t>进口的货物必须是具有合法的进口手续和途径并通过了中华人民共和国商检部门检验。</w:t>
      </w:r>
    </w:p>
    <w:p w14:paraId="74D08617">
      <w:pPr>
        <w:spacing w:line="360" w:lineRule="auto"/>
        <w:ind w:firstLine="420" w:firstLineChars="200"/>
        <w:rPr>
          <w:rFonts w:asciiTheme="minorEastAsia" w:hAnsiTheme="minorEastAsia"/>
          <w:szCs w:val="21"/>
        </w:rPr>
      </w:pPr>
      <w:r>
        <w:rPr>
          <w:rFonts w:asciiTheme="minorEastAsia" w:hAnsiTheme="minorEastAsia"/>
          <w:szCs w:val="21"/>
        </w:rPr>
        <w:t>投标人应保证，采购人在中华人民共和国使用该产品的任何一部分时，免受第三方提出的包括但不限于侵犯其专利权、商标权或工业设计权等知识产权和抵押权在内的担保物权的起诉。</w:t>
      </w:r>
    </w:p>
    <w:p w14:paraId="68E07629">
      <w:pPr>
        <w:spacing w:line="360" w:lineRule="auto"/>
        <w:ind w:firstLine="420" w:firstLineChars="200"/>
        <w:rPr>
          <w:rFonts w:asciiTheme="minorEastAsia" w:hAnsiTheme="minorEastAsia"/>
          <w:szCs w:val="21"/>
        </w:rPr>
      </w:pPr>
      <w:r>
        <w:rPr>
          <w:rFonts w:asciiTheme="minorEastAsia" w:hAnsiTheme="minorEastAsia"/>
          <w:szCs w:val="21"/>
        </w:rPr>
        <w:t>投标人应保证，其所提供的货物应具有行政主管部门颁发的资质证书或国家质量监督部门的产品《检验报告》。设备到货验收时，还必须提供设备的产品合格证、质量保证文件。若中标后，除非另有约定，必须按合同规定完成设备的安装，并达到验收标准。</w:t>
      </w:r>
    </w:p>
    <w:p w14:paraId="49BFA51B">
      <w:pPr>
        <w:pStyle w:val="4"/>
        <w:spacing w:line="360" w:lineRule="auto"/>
        <w:ind w:firstLine="482"/>
      </w:pPr>
      <w:bookmarkStart w:id="20" w:name="_Toc25686"/>
      <w:bookmarkStart w:id="21" w:name="_Toc55548496"/>
      <w:r>
        <w:t>投标费用</w:t>
      </w:r>
      <w:bookmarkEnd w:id="20"/>
      <w:bookmarkEnd w:id="21"/>
    </w:p>
    <w:p w14:paraId="65C1FCDC">
      <w:pPr>
        <w:spacing w:line="360" w:lineRule="auto"/>
        <w:ind w:firstLine="420" w:firstLineChars="200"/>
        <w:rPr>
          <w:rFonts w:asciiTheme="minorEastAsia" w:hAnsiTheme="minorEastAsia"/>
          <w:szCs w:val="21"/>
        </w:rPr>
      </w:pPr>
      <w:r>
        <w:rPr>
          <w:rFonts w:asciiTheme="minorEastAsia" w:hAnsiTheme="minorEastAsia"/>
          <w:szCs w:val="21"/>
        </w:rPr>
        <w:t>投标人应承担所有与准备和参加投标有关的费用。不论投标的结果如何，招标人均无义务和责任承担这些费用。</w:t>
      </w:r>
    </w:p>
    <w:p w14:paraId="060671A4">
      <w:pPr>
        <w:pStyle w:val="4"/>
        <w:spacing w:line="360" w:lineRule="auto"/>
        <w:ind w:firstLine="482"/>
      </w:pPr>
      <w:bookmarkStart w:id="22" w:name="_Toc10390"/>
      <w:bookmarkStart w:id="23" w:name="_Toc55548497"/>
      <w:r>
        <w:t>踏勘现场</w:t>
      </w:r>
      <w:bookmarkEnd w:id="22"/>
      <w:bookmarkEnd w:id="23"/>
    </w:p>
    <w:p w14:paraId="25BBAF9F">
      <w:pPr>
        <w:spacing w:line="360" w:lineRule="auto"/>
        <w:ind w:firstLine="420" w:firstLineChars="200"/>
        <w:rPr>
          <w:rFonts w:asciiTheme="minorEastAsia" w:hAnsiTheme="minorEastAsia"/>
          <w:szCs w:val="21"/>
        </w:rPr>
      </w:pPr>
      <w:bookmarkStart w:id="24" w:name="_Ref179620557"/>
      <w:r>
        <w:rPr>
          <w:rFonts w:asciiTheme="minorEastAsia" w:hAnsiTheme="minorEastAsia"/>
          <w:szCs w:val="21"/>
        </w:rPr>
        <w:t>如有必要，</w:t>
      </w:r>
      <w:r>
        <w:rPr>
          <w:rFonts w:hint="eastAsia" w:asciiTheme="minorEastAsia" w:hAnsiTheme="minorEastAsia"/>
          <w:szCs w:val="21"/>
        </w:rPr>
        <w:t>本中心</w:t>
      </w:r>
      <w:r>
        <w:rPr>
          <w:rFonts w:asciiTheme="minorEastAsia" w:hAnsiTheme="minorEastAsia"/>
          <w:szCs w:val="21"/>
        </w:rPr>
        <w:t>将组织投标人对项目现场及周围环境进行踏勘，以便投标人获取须自己负责的有关编制响应文件和签署合同所需的所有资料。踏勘现场所发生的费用由投标人自己承担。</w:t>
      </w:r>
      <w:bookmarkEnd w:id="24"/>
    </w:p>
    <w:p w14:paraId="7F24756A">
      <w:pPr>
        <w:spacing w:line="360" w:lineRule="auto"/>
        <w:ind w:firstLine="420" w:firstLineChars="200"/>
        <w:rPr>
          <w:rFonts w:asciiTheme="minorEastAsia" w:hAnsiTheme="minorEastAsia"/>
          <w:szCs w:val="21"/>
        </w:rPr>
      </w:pPr>
      <w:r>
        <w:rPr>
          <w:rFonts w:asciiTheme="minorEastAsia" w:hAnsiTheme="minorEastAsia"/>
          <w:szCs w:val="21"/>
        </w:rPr>
        <w:t>招标人向投标人提供的有关现场的资料和数据，是招标人现有的能使投标人利用的资料。招标人对投标人由此而做出的推论、理解和结论概不负责。</w:t>
      </w:r>
    </w:p>
    <w:p w14:paraId="129971DF">
      <w:pPr>
        <w:spacing w:line="360" w:lineRule="auto"/>
        <w:ind w:firstLine="420" w:firstLineChars="200"/>
        <w:rPr>
          <w:rFonts w:asciiTheme="minorEastAsia" w:hAnsiTheme="minorEastAsia"/>
          <w:szCs w:val="21"/>
        </w:rPr>
      </w:pPr>
      <w:r>
        <w:rPr>
          <w:rFonts w:asciiTheme="minorEastAsia" w:hAnsiTheme="minorEastAsia"/>
          <w:szCs w:val="21"/>
        </w:rPr>
        <w:t>投标人及其人员经过招标人的允许，可为踏勘目的进入招标人的工程现场，但投标人及其人员不得因此使招标人及其人员承担有关的责任和蒙受损失。投标人并应对由此次踏勘现场而造成的死亡、人身伤害、财产损失、损害以及任何其它损失、损害和引起的费用和开支承担责任。</w:t>
      </w:r>
    </w:p>
    <w:p w14:paraId="3A38B7CE">
      <w:pPr>
        <w:spacing w:line="360" w:lineRule="auto"/>
        <w:ind w:firstLine="420" w:firstLineChars="200"/>
        <w:rPr>
          <w:rFonts w:asciiTheme="minorEastAsia" w:hAnsiTheme="minorEastAsia"/>
          <w:szCs w:val="21"/>
        </w:rPr>
      </w:pPr>
      <w:r>
        <w:rPr>
          <w:rFonts w:asciiTheme="minorEastAsia" w:hAnsiTheme="minorEastAsia"/>
          <w:szCs w:val="21"/>
        </w:rPr>
        <w:t>如果投标人认为需要再次进行现场踏勘，招标人将予以支持，费用自理。</w:t>
      </w:r>
    </w:p>
    <w:p w14:paraId="51BE7932">
      <w:pPr>
        <w:pStyle w:val="5"/>
        <w:ind w:firstLine="482"/>
      </w:pPr>
      <w:bookmarkStart w:id="25" w:name="_Toc1751"/>
      <w:bookmarkStart w:id="26" w:name="_Toc55548498"/>
      <w:bookmarkStart w:id="27" w:name="_Toc6043"/>
      <w:r>
        <w:t>二、竞价文件</w:t>
      </w:r>
      <w:bookmarkEnd w:id="25"/>
      <w:bookmarkEnd w:id="26"/>
      <w:bookmarkEnd w:id="27"/>
    </w:p>
    <w:p w14:paraId="1FF8F3AC">
      <w:pPr>
        <w:pStyle w:val="4"/>
        <w:spacing w:line="360" w:lineRule="auto"/>
        <w:ind w:firstLine="482"/>
      </w:pPr>
      <w:bookmarkStart w:id="28" w:name="_Toc19397"/>
      <w:bookmarkStart w:id="29" w:name="_Toc55548499"/>
      <w:r>
        <w:t>竞价文件的构成</w:t>
      </w:r>
      <w:bookmarkEnd w:id="28"/>
      <w:bookmarkEnd w:id="29"/>
    </w:p>
    <w:p w14:paraId="1989E11B">
      <w:pPr>
        <w:spacing w:line="360" w:lineRule="auto"/>
        <w:ind w:firstLine="420" w:firstLineChars="200"/>
        <w:rPr>
          <w:rFonts w:asciiTheme="minorEastAsia" w:hAnsiTheme="minorEastAsia"/>
          <w:szCs w:val="21"/>
        </w:rPr>
      </w:pPr>
      <w:r>
        <w:rPr>
          <w:rFonts w:asciiTheme="minorEastAsia" w:hAnsiTheme="minorEastAsia"/>
          <w:szCs w:val="21"/>
        </w:rPr>
        <w:t>第</w:t>
      </w:r>
      <w:r>
        <w:rPr>
          <w:rFonts w:hint="eastAsia" w:asciiTheme="minorEastAsia" w:hAnsiTheme="minorEastAsia"/>
          <w:szCs w:val="21"/>
        </w:rPr>
        <w:t>一</w:t>
      </w:r>
      <w:r>
        <w:rPr>
          <w:rFonts w:asciiTheme="minorEastAsia" w:hAnsiTheme="minorEastAsia"/>
          <w:szCs w:val="21"/>
        </w:rPr>
        <w:t xml:space="preserve">章 </w:t>
      </w:r>
      <w:r>
        <w:rPr>
          <w:rFonts w:hint="eastAsia" w:asciiTheme="minorEastAsia" w:hAnsiTheme="minorEastAsia"/>
          <w:szCs w:val="21"/>
        </w:rPr>
        <w:t>招标公告</w:t>
      </w:r>
    </w:p>
    <w:p w14:paraId="0BBE7314">
      <w:pPr>
        <w:spacing w:line="360" w:lineRule="auto"/>
        <w:ind w:firstLine="420" w:firstLineChars="200"/>
        <w:rPr>
          <w:rFonts w:asciiTheme="minorEastAsia" w:hAnsiTheme="minorEastAsia"/>
          <w:szCs w:val="21"/>
        </w:rPr>
      </w:pPr>
      <w:r>
        <w:rPr>
          <w:rFonts w:asciiTheme="minorEastAsia" w:hAnsiTheme="minorEastAsia"/>
          <w:szCs w:val="21"/>
        </w:rPr>
        <w:t>第</w:t>
      </w:r>
      <w:r>
        <w:rPr>
          <w:rFonts w:hint="eastAsia" w:asciiTheme="minorEastAsia" w:hAnsiTheme="minorEastAsia"/>
          <w:szCs w:val="21"/>
        </w:rPr>
        <w:t>二</w:t>
      </w:r>
      <w:r>
        <w:rPr>
          <w:rFonts w:asciiTheme="minorEastAsia" w:hAnsiTheme="minorEastAsia"/>
          <w:szCs w:val="21"/>
        </w:rPr>
        <w:t>章 用户需求书</w:t>
      </w:r>
    </w:p>
    <w:p w14:paraId="5EC3497D">
      <w:pPr>
        <w:spacing w:line="360" w:lineRule="auto"/>
        <w:ind w:firstLine="420" w:firstLineChars="200"/>
        <w:rPr>
          <w:rFonts w:asciiTheme="minorEastAsia" w:hAnsiTheme="minorEastAsia"/>
          <w:szCs w:val="21"/>
        </w:rPr>
      </w:pPr>
      <w:r>
        <w:rPr>
          <w:rFonts w:hint="eastAsia" w:asciiTheme="minorEastAsia" w:hAnsiTheme="minorEastAsia"/>
          <w:szCs w:val="21"/>
        </w:rPr>
        <w:t>第三章 投标人须知</w:t>
      </w:r>
    </w:p>
    <w:p w14:paraId="53D7CF9B">
      <w:pPr>
        <w:spacing w:line="360" w:lineRule="auto"/>
        <w:ind w:firstLine="420" w:firstLineChars="200"/>
        <w:rPr>
          <w:rFonts w:asciiTheme="minorEastAsia" w:hAnsiTheme="minorEastAsia"/>
          <w:szCs w:val="21"/>
        </w:rPr>
      </w:pPr>
      <w:r>
        <w:rPr>
          <w:rFonts w:hint="eastAsia" w:asciiTheme="minorEastAsia" w:hAnsiTheme="minorEastAsia"/>
          <w:szCs w:val="21"/>
        </w:rPr>
        <w:t>第四章 附件-</w:t>
      </w:r>
      <w:r>
        <w:rPr>
          <w:rFonts w:asciiTheme="minorEastAsia" w:hAnsiTheme="minorEastAsia"/>
          <w:szCs w:val="21"/>
        </w:rPr>
        <w:t>响应文件格式</w:t>
      </w:r>
    </w:p>
    <w:p w14:paraId="52014FAD">
      <w:pPr>
        <w:spacing w:line="360" w:lineRule="auto"/>
        <w:ind w:firstLine="420" w:firstLineChars="200"/>
        <w:rPr>
          <w:rFonts w:asciiTheme="minorEastAsia" w:hAnsiTheme="minorEastAsia"/>
          <w:szCs w:val="21"/>
        </w:rPr>
      </w:pPr>
      <w:r>
        <w:rPr>
          <w:rFonts w:asciiTheme="minorEastAsia" w:hAnsiTheme="minorEastAsia"/>
          <w:szCs w:val="21"/>
        </w:rPr>
        <w:t>投标人应认真阅读竞价文件中所有的事项、格式、条款和技术规格等。投标人没有按照竞价文件要求提交全部资料，或者投标没有对竞价文件在各方面都作出实质性响应是投标人的风险，并可能导致其投标被拒绝。</w:t>
      </w:r>
    </w:p>
    <w:p w14:paraId="057FAE8F">
      <w:pPr>
        <w:pStyle w:val="4"/>
        <w:spacing w:line="360" w:lineRule="auto"/>
        <w:ind w:firstLine="482"/>
      </w:pPr>
      <w:bookmarkStart w:id="30" w:name="_Toc55548500"/>
      <w:bookmarkStart w:id="31" w:name="_Toc31711"/>
      <w:r>
        <w:t>竞价文件的澄清</w:t>
      </w:r>
      <w:bookmarkEnd w:id="30"/>
      <w:bookmarkEnd w:id="31"/>
    </w:p>
    <w:p w14:paraId="479FA585">
      <w:pPr>
        <w:spacing w:line="360" w:lineRule="auto"/>
        <w:ind w:firstLine="420" w:firstLineChars="200"/>
        <w:rPr>
          <w:rFonts w:asciiTheme="minorEastAsia" w:hAnsiTheme="minorEastAsia"/>
          <w:szCs w:val="21"/>
        </w:rPr>
      </w:pPr>
      <w:r>
        <w:rPr>
          <w:rFonts w:asciiTheme="minorEastAsia" w:hAnsiTheme="minorEastAsia"/>
          <w:szCs w:val="21"/>
        </w:rPr>
        <w:t>任何要求对竞价文件进行澄清的潜在投标人，均应以书面形式通知招标人。</w:t>
      </w:r>
      <w:r>
        <w:rPr>
          <w:rFonts w:hint="eastAsia" w:asciiTheme="minorEastAsia" w:hAnsiTheme="minorEastAsia"/>
          <w:szCs w:val="21"/>
        </w:rPr>
        <w:t>本中心</w:t>
      </w:r>
      <w:r>
        <w:rPr>
          <w:rFonts w:asciiTheme="minorEastAsia" w:hAnsiTheme="minorEastAsia"/>
          <w:szCs w:val="21"/>
        </w:rPr>
        <w:t>对其在投标截止期五日以前收到的对竞价文件的澄清要求均以书面形式予以答复，同时将书面答复方式发给每个购买竞价文件的潜在投标人(答复中不包括问题的来源)。</w:t>
      </w:r>
    </w:p>
    <w:p w14:paraId="3A5A53C5">
      <w:pPr>
        <w:pStyle w:val="4"/>
        <w:spacing w:line="360" w:lineRule="auto"/>
        <w:ind w:firstLine="482"/>
      </w:pPr>
      <w:bookmarkStart w:id="32" w:name="_Toc55548501"/>
      <w:bookmarkStart w:id="33" w:name="_Ref179619612"/>
      <w:bookmarkStart w:id="34" w:name="_Toc21781"/>
      <w:r>
        <w:t>竞价文件的修改</w:t>
      </w:r>
      <w:bookmarkEnd w:id="32"/>
      <w:bookmarkEnd w:id="33"/>
      <w:bookmarkEnd w:id="34"/>
    </w:p>
    <w:p w14:paraId="0AA5C9A0">
      <w:pPr>
        <w:spacing w:line="360" w:lineRule="auto"/>
        <w:ind w:firstLine="420" w:firstLineChars="200"/>
        <w:rPr>
          <w:rFonts w:asciiTheme="minorEastAsia" w:hAnsiTheme="minorEastAsia"/>
          <w:szCs w:val="21"/>
        </w:rPr>
      </w:pPr>
      <w:r>
        <w:rPr>
          <w:rFonts w:asciiTheme="minorEastAsia" w:hAnsiTheme="minorEastAsia"/>
          <w:szCs w:val="21"/>
        </w:rPr>
        <w:t>在投标截止时间三日前，招标人可主动地或在解答潜在投标人提出的澄清问题时对竞价文件进行修改。澄清或修改时间不足三日的，</w:t>
      </w:r>
      <w:r>
        <w:rPr>
          <w:rFonts w:hint="eastAsia" w:asciiTheme="minorEastAsia" w:hAnsiTheme="minorEastAsia"/>
          <w:szCs w:val="21"/>
        </w:rPr>
        <w:t>本中心</w:t>
      </w:r>
      <w:r>
        <w:rPr>
          <w:rFonts w:asciiTheme="minorEastAsia" w:hAnsiTheme="minorEastAsia"/>
          <w:szCs w:val="21"/>
        </w:rPr>
        <w:t>在征得已获取竞价文件的供应商同意并书面确认后，可不改变投标截至时间。</w:t>
      </w:r>
    </w:p>
    <w:p w14:paraId="41940B2D">
      <w:pPr>
        <w:spacing w:line="360" w:lineRule="auto"/>
        <w:ind w:firstLine="420" w:firstLineChars="200"/>
        <w:rPr>
          <w:rFonts w:asciiTheme="minorEastAsia" w:hAnsiTheme="minorEastAsia"/>
          <w:szCs w:val="21"/>
        </w:rPr>
      </w:pPr>
      <w:bookmarkStart w:id="35" w:name="_Ref179619147"/>
      <w:r>
        <w:rPr>
          <w:rFonts w:asciiTheme="minorEastAsia" w:hAnsiTheme="minorEastAsia"/>
          <w:szCs w:val="21"/>
        </w:rPr>
        <w:t>竞价文件的修改是竞价文件的组成部分，竞价文件的修改均在</w:t>
      </w:r>
      <w:r>
        <w:rPr>
          <w:rFonts w:hint="eastAsia" w:asciiTheme="minorEastAsia" w:hAnsiTheme="minorEastAsia"/>
          <w:kern w:val="0"/>
          <w:szCs w:val="21"/>
        </w:rPr>
        <w:t>http://www.bawjxt.net/bacdc/ (深圳市宝安区疾病预防控制中心官网)</w:t>
      </w:r>
      <w:r>
        <w:rPr>
          <w:rFonts w:asciiTheme="minorEastAsia" w:hAnsiTheme="minorEastAsia"/>
          <w:szCs w:val="21"/>
        </w:rPr>
        <w:t>以网上公告形式发布，并对投标人具有约束力，招标期间，投标人有义务上网查看，公告一经上网发布，即视为送达。</w:t>
      </w:r>
      <w:bookmarkEnd w:id="35"/>
    </w:p>
    <w:p w14:paraId="06FA3608">
      <w:pPr>
        <w:spacing w:line="360" w:lineRule="auto"/>
        <w:ind w:firstLine="420" w:firstLineChars="200"/>
        <w:rPr>
          <w:rFonts w:asciiTheme="minorEastAsia" w:hAnsiTheme="minorEastAsia"/>
          <w:szCs w:val="21"/>
        </w:rPr>
      </w:pPr>
      <w:r>
        <w:rPr>
          <w:rFonts w:asciiTheme="minorEastAsia" w:hAnsiTheme="minorEastAsia"/>
          <w:szCs w:val="21"/>
        </w:rPr>
        <w:t>为使投标人准备投标时有充分时间对竞价文件的修改部分进行研究，招标人可适当推迟投标截止期。</w:t>
      </w:r>
    </w:p>
    <w:p w14:paraId="69CD96AA">
      <w:pPr>
        <w:pStyle w:val="5"/>
        <w:ind w:firstLine="482"/>
      </w:pPr>
      <w:bookmarkStart w:id="36" w:name="_Toc20164"/>
      <w:bookmarkStart w:id="37" w:name="_Toc55548502"/>
      <w:bookmarkStart w:id="38" w:name="_Toc6740"/>
      <w:r>
        <w:t>三、响应文件的编制</w:t>
      </w:r>
      <w:bookmarkEnd w:id="36"/>
      <w:bookmarkEnd w:id="37"/>
      <w:bookmarkEnd w:id="38"/>
    </w:p>
    <w:p w14:paraId="34F8D1B1">
      <w:pPr>
        <w:pStyle w:val="4"/>
        <w:spacing w:line="360" w:lineRule="auto"/>
        <w:ind w:firstLine="482"/>
      </w:pPr>
      <w:bookmarkStart w:id="39" w:name="_Toc55548503"/>
      <w:bookmarkStart w:id="40" w:name="_Toc28578"/>
      <w:r>
        <w:t>投标的语言</w:t>
      </w:r>
      <w:bookmarkEnd w:id="39"/>
      <w:bookmarkEnd w:id="40"/>
    </w:p>
    <w:p w14:paraId="7DCD2864">
      <w:pPr>
        <w:spacing w:line="360" w:lineRule="auto"/>
        <w:ind w:firstLine="420" w:firstLineChars="200"/>
        <w:rPr>
          <w:rFonts w:asciiTheme="minorEastAsia" w:hAnsiTheme="minorEastAsia"/>
          <w:szCs w:val="21"/>
        </w:rPr>
      </w:pPr>
      <w:bookmarkStart w:id="41" w:name="_Ref179620571"/>
      <w:r>
        <w:rPr>
          <w:rFonts w:asciiTheme="minorEastAsia" w:hAnsiTheme="minorEastAsia"/>
          <w:szCs w:val="21"/>
        </w:rPr>
        <w:t>投标人提交的响应文件以及投标人与招标人就有关投标的所有来往函电均应使用</w:t>
      </w:r>
      <w:r>
        <w:rPr>
          <w:rFonts w:hint="eastAsia" w:asciiTheme="minorEastAsia" w:hAnsiTheme="minorEastAsia"/>
          <w:b/>
          <w:szCs w:val="21"/>
        </w:rPr>
        <w:t>中文</w:t>
      </w:r>
      <w:r>
        <w:rPr>
          <w:rFonts w:asciiTheme="minorEastAsia" w:hAnsiTheme="minorEastAsia"/>
          <w:szCs w:val="21"/>
        </w:rPr>
        <w:t>书写。投标人提交的支持资料和已印刷的文献可以用另一种语言，但相应内容应附有</w:t>
      </w:r>
      <w:r>
        <w:rPr>
          <w:rFonts w:hint="eastAsia" w:asciiTheme="minorEastAsia" w:hAnsiTheme="minorEastAsia"/>
          <w:b/>
          <w:szCs w:val="21"/>
        </w:rPr>
        <w:t>中文</w:t>
      </w:r>
      <w:r>
        <w:rPr>
          <w:rFonts w:asciiTheme="minorEastAsia" w:hAnsiTheme="minorEastAsia"/>
          <w:szCs w:val="21"/>
        </w:rPr>
        <w:t>的翻译本，在解释响应文件时以翻译本为准。</w:t>
      </w:r>
      <w:bookmarkEnd w:id="41"/>
    </w:p>
    <w:p w14:paraId="64F7DF08">
      <w:pPr>
        <w:pStyle w:val="4"/>
        <w:spacing w:line="360" w:lineRule="auto"/>
        <w:ind w:firstLine="482"/>
      </w:pPr>
      <w:bookmarkStart w:id="42" w:name="_Toc55548504"/>
      <w:bookmarkStart w:id="43" w:name="_Toc31114"/>
      <w:r>
        <w:t>投标范围及响应文件中计量单位的使用</w:t>
      </w:r>
      <w:bookmarkEnd w:id="42"/>
      <w:bookmarkEnd w:id="43"/>
    </w:p>
    <w:p w14:paraId="0C8F870C">
      <w:pPr>
        <w:spacing w:line="360" w:lineRule="auto"/>
        <w:ind w:firstLine="420" w:firstLineChars="200"/>
        <w:rPr>
          <w:rFonts w:asciiTheme="minorEastAsia" w:hAnsiTheme="minorEastAsia"/>
          <w:szCs w:val="21"/>
        </w:rPr>
      </w:pPr>
      <w:r>
        <w:rPr>
          <w:rFonts w:asciiTheme="minorEastAsia" w:hAnsiTheme="minorEastAsia"/>
          <w:szCs w:val="21"/>
        </w:rPr>
        <w:t>投标人可对竞价文件中“用户需求书”中所述的所有货物</w:t>
      </w:r>
      <w:r>
        <w:rPr>
          <w:rFonts w:hint="eastAsia" w:asciiTheme="minorEastAsia" w:hAnsiTheme="minorEastAsia"/>
          <w:szCs w:val="21"/>
        </w:rPr>
        <w:t>或者</w:t>
      </w:r>
      <w:r>
        <w:rPr>
          <w:rFonts w:asciiTheme="minorEastAsia" w:hAnsiTheme="minorEastAsia"/>
          <w:szCs w:val="21"/>
        </w:rPr>
        <w:t>服务进行投标，也可以只对其中一包或几包货物进行投标，但不得将一包中的内容拆开投标。</w:t>
      </w:r>
    </w:p>
    <w:p w14:paraId="3484C535">
      <w:pPr>
        <w:spacing w:line="360" w:lineRule="auto"/>
        <w:ind w:firstLine="420" w:firstLineChars="200"/>
        <w:rPr>
          <w:rFonts w:asciiTheme="minorEastAsia" w:hAnsiTheme="minorEastAsia"/>
          <w:szCs w:val="21"/>
        </w:rPr>
      </w:pPr>
      <w:r>
        <w:rPr>
          <w:rFonts w:asciiTheme="minorEastAsia" w:hAnsiTheme="minorEastAsia"/>
          <w:szCs w:val="21"/>
        </w:rPr>
        <w:t>响应文件中所使用的计量单位，除竞价文件中有特殊要求外，应采用中华人民共和国法定计量单位。</w:t>
      </w:r>
    </w:p>
    <w:p w14:paraId="2247F013">
      <w:pPr>
        <w:spacing w:line="360" w:lineRule="auto"/>
        <w:ind w:firstLine="420" w:firstLineChars="200"/>
        <w:rPr>
          <w:rFonts w:asciiTheme="minorEastAsia" w:hAnsiTheme="minorEastAsia"/>
          <w:szCs w:val="21"/>
        </w:rPr>
      </w:pPr>
      <w:r>
        <w:rPr>
          <w:rFonts w:asciiTheme="minorEastAsia" w:hAnsiTheme="minorEastAsia"/>
          <w:szCs w:val="21"/>
        </w:rPr>
        <w:t>除非另有说明，本竞价文件中所称“日”均指日历日，响应文件中需以日历日对竞价文件作出响应。评审时，对投标中出现的“工作日”按五个工作日折合七个日历日计算，且评标委员会可能会就有关日期作出对该投标人不利的折算或量化，投标人不得对此提出异议，否则其投标将被拒绝。</w:t>
      </w:r>
    </w:p>
    <w:p w14:paraId="19FE7941">
      <w:pPr>
        <w:pStyle w:val="4"/>
        <w:spacing w:line="360" w:lineRule="auto"/>
        <w:ind w:firstLine="482"/>
      </w:pPr>
      <w:bookmarkStart w:id="44" w:name="_Toc4999"/>
      <w:bookmarkStart w:id="45" w:name="_Toc55548505"/>
      <w:r>
        <w:t>响应文件的构成</w:t>
      </w:r>
      <w:bookmarkEnd w:id="44"/>
      <w:bookmarkEnd w:id="45"/>
    </w:p>
    <w:p w14:paraId="016A7C31">
      <w:pPr>
        <w:spacing w:line="360" w:lineRule="auto"/>
        <w:ind w:firstLine="420" w:firstLineChars="200"/>
        <w:rPr>
          <w:rFonts w:asciiTheme="minorEastAsia" w:hAnsiTheme="minorEastAsia"/>
          <w:szCs w:val="21"/>
        </w:rPr>
      </w:pPr>
      <w:r>
        <w:rPr>
          <w:rFonts w:asciiTheme="minorEastAsia" w:hAnsiTheme="minorEastAsia"/>
          <w:szCs w:val="21"/>
        </w:rPr>
        <w:t>投标人应完整地按竞价文件提供的响应文件格式制作响应文件。</w:t>
      </w:r>
    </w:p>
    <w:p w14:paraId="0729E041">
      <w:pPr>
        <w:pStyle w:val="4"/>
        <w:spacing w:line="360" w:lineRule="auto"/>
        <w:ind w:firstLine="482"/>
      </w:pPr>
      <w:bookmarkStart w:id="46" w:name="_Toc55548507"/>
      <w:bookmarkStart w:id="47" w:name="_Toc12177"/>
      <w:r>
        <w:t>响应文件的编写</w:t>
      </w:r>
      <w:bookmarkEnd w:id="46"/>
      <w:bookmarkEnd w:id="47"/>
    </w:p>
    <w:p w14:paraId="3149956D">
      <w:pPr>
        <w:spacing w:line="360" w:lineRule="auto"/>
        <w:ind w:firstLine="420" w:firstLineChars="200"/>
        <w:rPr>
          <w:rFonts w:asciiTheme="minorEastAsia" w:hAnsiTheme="minorEastAsia"/>
          <w:szCs w:val="21"/>
        </w:rPr>
      </w:pPr>
      <w:r>
        <w:rPr>
          <w:rFonts w:asciiTheme="minorEastAsia" w:hAnsiTheme="minorEastAsia"/>
          <w:szCs w:val="21"/>
        </w:rPr>
        <w:t>投标人应按竞价文件的规定，及附件要求的内容和格式完整地填写和提供资料，并保证所提供的全部资料的真实性。</w:t>
      </w:r>
    </w:p>
    <w:p w14:paraId="7CC76E14">
      <w:pPr>
        <w:pStyle w:val="4"/>
        <w:spacing w:line="360" w:lineRule="auto"/>
        <w:ind w:firstLine="482"/>
      </w:pPr>
      <w:bookmarkStart w:id="48" w:name="_Toc55548508"/>
      <w:bookmarkStart w:id="49" w:name="_Toc26930"/>
      <w:r>
        <w:t>投标报价</w:t>
      </w:r>
      <w:bookmarkEnd w:id="48"/>
      <w:bookmarkEnd w:id="49"/>
    </w:p>
    <w:p w14:paraId="798CCD92">
      <w:pPr>
        <w:spacing w:line="360" w:lineRule="auto"/>
        <w:ind w:firstLine="420" w:firstLineChars="200"/>
        <w:rPr>
          <w:rFonts w:asciiTheme="minorEastAsia" w:hAnsiTheme="minorEastAsia"/>
          <w:szCs w:val="21"/>
        </w:rPr>
      </w:pPr>
      <w:r>
        <w:rPr>
          <w:rFonts w:asciiTheme="minorEastAsia" w:hAnsiTheme="minorEastAsia"/>
          <w:szCs w:val="21"/>
        </w:rPr>
        <w:t>所有投标均以人民币报价。投标人的投标报价应符合《中华人民共和国价格法》的有关规定。</w:t>
      </w:r>
    </w:p>
    <w:p w14:paraId="791201F9">
      <w:pPr>
        <w:spacing w:line="360" w:lineRule="auto"/>
        <w:ind w:firstLine="420" w:firstLineChars="200"/>
        <w:rPr>
          <w:rFonts w:asciiTheme="minorEastAsia" w:hAnsiTheme="minorEastAsia"/>
          <w:szCs w:val="21"/>
        </w:rPr>
      </w:pPr>
      <w:bookmarkStart w:id="50" w:name="_Ref179619251"/>
      <w:r>
        <w:rPr>
          <w:rFonts w:asciiTheme="minorEastAsia" w:hAnsiTheme="minorEastAsia"/>
          <w:szCs w:val="21"/>
        </w:rPr>
        <w:t>投标人应在投标分项报价表上标明投标货物及相关服务的单价(如适用)和总价，并由法定代表人或其授权代表签署。投标总价中不得包含竞价文件要求以外的内容，否则，在评标时不予核减。</w:t>
      </w:r>
      <w:bookmarkEnd w:id="50"/>
    </w:p>
    <w:p w14:paraId="5501374E">
      <w:pPr>
        <w:spacing w:line="360" w:lineRule="auto"/>
        <w:ind w:firstLine="420" w:firstLineChars="200"/>
        <w:rPr>
          <w:rFonts w:asciiTheme="minorEastAsia" w:hAnsiTheme="minorEastAsia"/>
          <w:szCs w:val="21"/>
        </w:rPr>
      </w:pPr>
      <w:bookmarkStart w:id="51" w:name="_Ref179620595"/>
      <w:r>
        <w:rPr>
          <w:rFonts w:asciiTheme="minorEastAsia" w:hAnsiTheme="minorEastAsia"/>
          <w:szCs w:val="21"/>
        </w:rPr>
        <w:t>投标人的投标报价，应完整的包含所有采购内容，且不得以任何理由重复，每一项目只允许有一个报价，任何有选择的报价将不予接受。</w:t>
      </w:r>
      <w:bookmarkEnd w:id="51"/>
    </w:p>
    <w:p w14:paraId="56A28A33">
      <w:pPr>
        <w:spacing w:line="360" w:lineRule="auto"/>
        <w:ind w:firstLine="420" w:firstLineChars="200"/>
        <w:rPr>
          <w:rFonts w:asciiTheme="minorEastAsia" w:hAnsiTheme="minorEastAsia"/>
          <w:szCs w:val="21"/>
        </w:rPr>
      </w:pPr>
      <w:r>
        <w:rPr>
          <w:rFonts w:asciiTheme="minorEastAsia" w:hAnsiTheme="minorEastAsia"/>
          <w:szCs w:val="21"/>
        </w:rPr>
        <w:t>投标分项报价上的价格应按下列方式填写：</w:t>
      </w:r>
    </w:p>
    <w:p w14:paraId="5985C68A">
      <w:pPr>
        <w:spacing w:line="360" w:lineRule="auto"/>
        <w:ind w:firstLine="420" w:firstLineChars="200"/>
        <w:rPr>
          <w:rFonts w:asciiTheme="minorEastAsia" w:hAnsiTheme="minorEastAsia"/>
          <w:szCs w:val="21"/>
        </w:rPr>
      </w:pPr>
      <w:r>
        <w:rPr>
          <w:rFonts w:asciiTheme="minorEastAsia" w:hAnsiTheme="minorEastAsia"/>
          <w:szCs w:val="21"/>
        </w:rPr>
        <w:t>投标货物</w:t>
      </w:r>
      <w:r>
        <w:rPr>
          <w:rFonts w:hint="eastAsia" w:asciiTheme="minorEastAsia" w:hAnsiTheme="minorEastAsia"/>
          <w:szCs w:val="21"/>
        </w:rPr>
        <w:t>或</w:t>
      </w:r>
      <w:r>
        <w:rPr>
          <w:rFonts w:asciiTheme="minorEastAsia" w:hAnsiTheme="minorEastAsia"/>
          <w:szCs w:val="21"/>
        </w:rPr>
        <w:t>服务包括标准附件、备品备件、专用工具等的出厂价(包括已在中国国内的进口货物完税后的仓库交货价、展室交货价或货架交货价)，投标货物安装、调试、检验、技术服务和培训等费用；</w:t>
      </w:r>
    </w:p>
    <w:p w14:paraId="2FB5E555">
      <w:pPr>
        <w:spacing w:line="360" w:lineRule="auto"/>
        <w:ind w:firstLine="420" w:firstLineChars="200"/>
        <w:rPr>
          <w:rFonts w:asciiTheme="minorEastAsia" w:hAnsiTheme="minorEastAsia"/>
          <w:szCs w:val="21"/>
        </w:rPr>
      </w:pPr>
      <w:r>
        <w:rPr>
          <w:rFonts w:asciiTheme="minorEastAsia" w:hAnsiTheme="minorEastAsia"/>
          <w:szCs w:val="21"/>
        </w:rPr>
        <w:t>货物运至最终目的地并安装调试完毕的运输费和保险费用和伴随货物交运的有关费用；</w:t>
      </w:r>
    </w:p>
    <w:p w14:paraId="566A9A1C">
      <w:pPr>
        <w:spacing w:line="360" w:lineRule="auto"/>
        <w:ind w:firstLine="420" w:firstLineChars="200"/>
        <w:rPr>
          <w:rFonts w:asciiTheme="minorEastAsia" w:hAnsiTheme="minorEastAsia"/>
          <w:szCs w:val="21"/>
        </w:rPr>
      </w:pPr>
      <w:bookmarkStart w:id="52" w:name="_Ref179620755"/>
      <w:r>
        <w:rPr>
          <w:rFonts w:asciiTheme="minorEastAsia" w:hAnsiTheme="minorEastAsia"/>
          <w:szCs w:val="21"/>
        </w:rPr>
        <w:t>其他伴随服务的费用(如有)。</w:t>
      </w:r>
      <w:bookmarkEnd w:id="52"/>
    </w:p>
    <w:p w14:paraId="5A10C4BB">
      <w:pPr>
        <w:spacing w:line="360" w:lineRule="auto"/>
        <w:ind w:firstLine="420" w:firstLineChars="200"/>
        <w:rPr>
          <w:rFonts w:asciiTheme="minorEastAsia" w:hAnsiTheme="minorEastAsia"/>
          <w:szCs w:val="21"/>
        </w:rPr>
      </w:pPr>
      <w:r>
        <w:rPr>
          <w:rFonts w:asciiTheme="minorEastAsia" w:hAnsiTheme="minorEastAsia"/>
          <w:szCs w:val="21"/>
        </w:rPr>
        <w:t xml:space="preserve">投标人根据本须知的规定将投标价分成几部分，只是为了方便招标人对响应文件进行比较，并不限制招标人以上述任何条件订立合同的权力。 </w:t>
      </w:r>
    </w:p>
    <w:p w14:paraId="4CAE8661">
      <w:pPr>
        <w:spacing w:line="360" w:lineRule="auto"/>
        <w:ind w:firstLine="420" w:firstLineChars="200"/>
        <w:rPr>
          <w:rFonts w:asciiTheme="minorEastAsia" w:hAnsiTheme="minorEastAsia"/>
          <w:szCs w:val="21"/>
        </w:rPr>
      </w:pPr>
      <w:r>
        <w:rPr>
          <w:rFonts w:asciiTheme="minorEastAsia" w:hAnsiTheme="minorEastAsia"/>
          <w:szCs w:val="21"/>
        </w:rPr>
        <w:t>投标人所报的投标价在合同执行过程中是固定不变的，不得以任何理由予以变更。任何包含价格调整要求的投标，被认为是非实质性响应投标而予以拒绝。</w:t>
      </w:r>
    </w:p>
    <w:p w14:paraId="557BB583">
      <w:pPr>
        <w:pStyle w:val="4"/>
        <w:spacing w:line="360" w:lineRule="auto"/>
        <w:ind w:firstLine="482"/>
      </w:pPr>
      <w:bookmarkStart w:id="53" w:name="_Toc11635"/>
      <w:bookmarkStart w:id="54" w:name="_Toc55548509"/>
      <w:r>
        <w:t>证明投标人合格和资格的文件</w:t>
      </w:r>
      <w:bookmarkEnd w:id="53"/>
      <w:bookmarkEnd w:id="54"/>
      <w:r>
        <w:t xml:space="preserve"> </w:t>
      </w:r>
    </w:p>
    <w:p w14:paraId="3E1AE85C">
      <w:pPr>
        <w:spacing w:line="360" w:lineRule="auto"/>
        <w:ind w:firstLine="420" w:firstLineChars="200"/>
        <w:rPr>
          <w:rFonts w:asciiTheme="minorEastAsia" w:hAnsiTheme="minorEastAsia"/>
          <w:szCs w:val="21"/>
        </w:rPr>
      </w:pPr>
      <w:r>
        <w:rPr>
          <w:rFonts w:asciiTheme="minorEastAsia" w:hAnsiTheme="minorEastAsia"/>
          <w:szCs w:val="21"/>
        </w:rPr>
        <w:t>投标人应提交证明其有资格参加投标和中标后有能力履行合同的文件。</w:t>
      </w:r>
    </w:p>
    <w:p w14:paraId="1E12D9A4">
      <w:pPr>
        <w:spacing w:line="360" w:lineRule="auto"/>
        <w:ind w:firstLine="420" w:firstLineChars="200"/>
        <w:rPr>
          <w:rFonts w:asciiTheme="minorEastAsia" w:hAnsiTheme="minorEastAsia"/>
          <w:szCs w:val="21"/>
        </w:rPr>
      </w:pPr>
      <w:r>
        <w:rPr>
          <w:rFonts w:asciiTheme="minorEastAsia" w:hAnsiTheme="minorEastAsia"/>
          <w:szCs w:val="21"/>
        </w:rPr>
        <w:t>竞价文件允许联合体投标时，投标人始得组建联合体。联合体投标时，应提交各方的资格证明文件、联合体协议并注明主办人；联合体各方签订共同投标协议后，不得再以自己的名义单独在同一项目中投标，也不得组成新的联合体参加同一项目投标。违反上述规定的联合体投标将导致其投标被拒绝。</w:t>
      </w:r>
    </w:p>
    <w:p w14:paraId="54D8CA10">
      <w:pPr>
        <w:spacing w:line="360" w:lineRule="auto"/>
        <w:ind w:firstLine="420" w:firstLineChars="200"/>
        <w:rPr>
          <w:rFonts w:asciiTheme="minorEastAsia" w:hAnsiTheme="minorEastAsia"/>
          <w:szCs w:val="21"/>
        </w:rPr>
      </w:pPr>
      <w:r>
        <w:rPr>
          <w:rFonts w:asciiTheme="minorEastAsia" w:hAnsiTheme="minorEastAsia"/>
          <w:szCs w:val="21"/>
        </w:rPr>
        <w:t xml:space="preserve">投标人提交的证明其中标后能履行合同的资格证明文件应包括下列文件： </w:t>
      </w:r>
    </w:p>
    <w:p w14:paraId="4B66D615">
      <w:pPr>
        <w:spacing w:line="360" w:lineRule="auto"/>
        <w:ind w:firstLine="420" w:firstLineChars="200"/>
        <w:rPr>
          <w:rFonts w:asciiTheme="minorEastAsia" w:hAnsiTheme="minorEastAsia"/>
          <w:szCs w:val="21"/>
        </w:rPr>
      </w:pPr>
      <w:r>
        <w:rPr>
          <w:rFonts w:asciiTheme="minorEastAsia" w:hAnsiTheme="minorEastAsia"/>
          <w:szCs w:val="21"/>
        </w:rPr>
        <w:t>证明投标人销售资格的证明文件：制造商参加投标时，需在响应文件中注明其制造商身份；代理商参加投标时则须提交相应授权文件，授权文件包括制造商或上级代理商授权（上级代理商授权文件应可追溯至制造商授权文件，并有完整的证明资料）；竞价文件对授权文件有特殊要求的，从其规定；</w:t>
      </w:r>
    </w:p>
    <w:p w14:paraId="07B0A8CF">
      <w:pPr>
        <w:spacing w:line="360" w:lineRule="auto"/>
        <w:ind w:firstLine="420" w:firstLineChars="200"/>
        <w:rPr>
          <w:rFonts w:asciiTheme="minorEastAsia" w:hAnsiTheme="minorEastAsia"/>
          <w:szCs w:val="21"/>
        </w:rPr>
      </w:pPr>
      <w:r>
        <w:rPr>
          <w:rFonts w:asciiTheme="minorEastAsia" w:hAnsiTheme="minorEastAsia"/>
          <w:szCs w:val="21"/>
        </w:rPr>
        <w:t xml:space="preserve">证明投标人已具备履行合同所需的财务、技术和生产能力的文件； </w:t>
      </w:r>
    </w:p>
    <w:p w14:paraId="386CF825">
      <w:pPr>
        <w:spacing w:line="360" w:lineRule="auto"/>
        <w:ind w:firstLine="420" w:firstLineChars="200"/>
        <w:rPr>
          <w:rFonts w:asciiTheme="minorEastAsia" w:hAnsiTheme="minorEastAsia"/>
          <w:szCs w:val="21"/>
        </w:rPr>
      </w:pPr>
      <w:r>
        <w:rPr>
          <w:rFonts w:asciiTheme="minorEastAsia" w:hAnsiTheme="minorEastAsia"/>
          <w:szCs w:val="21"/>
        </w:rPr>
        <w:t>证明投标人满足竞价文件业绩要求的文件；</w:t>
      </w:r>
    </w:p>
    <w:p w14:paraId="65B089FB">
      <w:pPr>
        <w:spacing w:line="360" w:lineRule="auto"/>
        <w:ind w:firstLine="420" w:firstLineChars="200"/>
        <w:rPr>
          <w:rFonts w:asciiTheme="minorEastAsia" w:hAnsiTheme="minorEastAsia"/>
          <w:szCs w:val="21"/>
        </w:rPr>
      </w:pPr>
      <w:bookmarkStart w:id="55" w:name="_Ref179620846"/>
      <w:r>
        <w:rPr>
          <w:rFonts w:asciiTheme="minorEastAsia" w:hAnsiTheme="minorEastAsia"/>
          <w:szCs w:val="21"/>
        </w:rPr>
        <w:t>投标资料表要求的其它资格证明文件。</w:t>
      </w:r>
      <w:bookmarkEnd w:id="55"/>
    </w:p>
    <w:p w14:paraId="5B3F1080">
      <w:pPr>
        <w:pStyle w:val="4"/>
        <w:spacing w:line="360" w:lineRule="auto"/>
        <w:ind w:firstLine="482"/>
      </w:pPr>
      <w:bookmarkStart w:id="56" w:name="_Toc55548510"/>
      <w:bookmarkStart w:id="57" w:name="_Toc28857"/>
      <w:r>
        <w:t>证明货物的合格性和符合竞价文件规定的文件</w:t>
      </w:r>
      <w:bookmarkEnd w:id="56"/>
      <w:bookmarkEnd w:id="57"/>
    </w:p>
    <w:p w14:paraId="40807253">
      <w:pPr>
        <w:spacing w:line="360" w:lineRule="auto"/>
        <w:ind w:firstLine="420" w:firstLineChars="200"/>
        <w:rPr>
          <w:rFonts w:asciiTheme="minorEastAsia" w:hAnsiTheme="minorEastAsia"/>
          <w:szCs w:val="21"/>
        </w:rPr>
      </w:pPr>
      <w:r>
        <w:rPr>
          <w:rFonts w:asciiTheme="minorEastAsia" w:hAnsiTheme="minorEastAsia"/>
          <w:szCs w:val="21"/>
        </w:rPr>
        <w:t>投标人应提交证明文件，证明其拟供的合同项下的货物和服务的合格性符合竞价文件规定。该证明文件作为响应文件的一部分。</w:t>
      </w:r>
    </w:p>
    <w:p w14:paraId="0D675CC6">
      <w:pPr>
        <w:spacing w:line="360" w:lineRule="auto"/>
        <w:ind w:firstLine="420" w:firstLineChars="200"/>
        <w:rPr>
          <w:rFonts w:asciiTheme="minorEastAsia" w:hAnsiTheme="minorEastAsia"/>
          <w:szCs w:val="21"/>
        </w:rPr>
      </w:pPr>
      <w:r>
        <w:rPr>
          <w:rFonts w:asciiTheme="minorEastAsia" w:hAnsiTheme="minorEastAsia"/>
          <w:szCs w:val="21"/>
        </w:rPr>
        <w:t>上述所述的证明文件，可以是文字资料、图纸和数据，它包括：</w:t>
      </w:r>
    </w:p>
    <w:p w14:paraId="2CBEDA75">
      <w:pPr>
        <w:spacing w:line="360" w:lineRule="auto"/>
        <w:ind w:firstLine="420" w:firstLineChars="200"/>
        <w:rPr>
          <w:rFonts w:asciiTheme="minorEastAsia" w:hAnsiTheme="minorEastAsia"/>
          <w:szCs w:val="21"/>
        </w:rPr>
      </w:pPr>
      <w:r>
        <w:rPr>
          <w:rFonts w:asciiTheme="minorEastAsia" w:hAnsiTheme="minorEastAsia"/>
          <w:szCs w:val="21"/>
        </w:rPr>
        <w:t>货物主要技术指标和性能的详细说明；</w:t>
      </w:r>
    </w:p>
    <w:p w14:paraId="4F1BC35F">
      <w:pPr>
        <w:spacing w:line="360" w:lineRule="auto"/>
        <w:ind w:firstLine="420" w:firstLineChars="200"/>
        <w:rPr>
          <w:rFonts w:asciiTheme="minorEastAsia" w:hAnsiTheme="minorEastAsia"/>
          <w:szCs w:val="21"/>
        </w:rPr>
      </w:pPr>
      <w:r>
        <w:rPr>
          <w:rFonts w:asciiTheme="minorEastAsia" w:hAnsiTheme="minorEastAsia"/>
          <w:szCs w:val="21"/>
        </w:rPr>
        <w:t>货物从招标人验收后开始使用至竞价文件规定的保质期内正常、连续地使用所必须的备件和专用工具清单，包括备件和专用工具的货源及现行价格；</w:t>
      </w:r>
    </w:p>
    <w:p w14:paraId="5DC6C537">
      <w:pPr>
        <w:spacing w:line="360" w:lineRule="auto"/>
        <w:ind w:firstLine="420" w:firstLineChars="200"/>
        <w:rPr>
          <w:rFonts w:asciiTheme="minorEastAsia" w:hAnsiTheme="minorEastAsia"/>
          <w:szCs w:val="21"/>
        </w:rPr>
      </w:pPr>
      <w:r>
        <w:rPr>
          <w:rFonts w:asciiTheme="minorEastAsia" w:hAnsiTheme="minorEastAsia"/>
          <w:szCs w:val="21"/>
        </w:rPr>
        <w:t>对照竞价文件技术规格，逐条说明所提供货物和服务已对竞价文件的技术规格做出了实质性的响应，并申明与技术规格条文的偏差和例外。特别对有具体参数要求的指标，投标人必须提供所投设备的具体参数值。</w:t>
      </w:r>
    </w:p>
    <w:p w14:paraId="7BC0EDA8">
      <w:pPr>
        <w:spacing w:line="360" w:lineRule="auto"/>
        <w:ind w:firstLine="420" w:firstLineChars="200"/>
        <w:rPr>
          <w:rFonts w:asciiTheme="minorEastAsia" w:hAnsiTheme="minorEastAsia"/>
          <w:szCs w:val="21"/>
        </w:rPr>
      </w:pPr>
      <w:r>
        <w:rPr>
          <w:rFonts w:asciiTheme="minorEastAsia" w:hAnsiTheme="minorEastAsia"/>
          <w:szCs w:val="21"/>
        </w:rPr>
        <w:t>投标人应注意竞价文件的技术规格中指出的工艺、材料和设备的标准以及参照的品牌或型号仅起说明作用，并没有任何限制性。投标人在投标中可以选用替代标准、品牌或型号，但这些替代要实质上满足或超过竞价文件的要求。</w:t>
      </w:r>
    </w:p>
    <w:p w14:paraId="170CCE85">
      <w:pPr>
        <w:pStyle w:val="4"/>
        <w:spacing w:line="360" w:lineRule="auto"/>
        <w:ind w:firstLine="482"/>
      </w:pPr>
      <w:bookmarkStart w:id="58" w:name="_Toc55548511"/>
      <w:bookmarkStart w:id="59" w:name="_Toc1901"/>
      <w:r>
        <w:t>投标有效期</w:t>
      </w:r>
      <w:bookmarkEnd w:id="58"/>
      <w:bookmarkEnd w:id="59"/>
    </w:p>
    <w:p w14:paraId="1B539224">
      <w:pPr>
        <w:spacing w:line="360" w:lineRule="auto"/>
        <w:ind w:firstLine="420" w:firstLineChars="200"/>
        <w:rPr>
          <w:rFonts w:asciiTheme="minorEastAsia" w:hAnsiTheme="minorEastAsia"/>
          <w:szCs w:val="21"/>
        </w:rPr>
      </w:pPr>
      <w:bookmarkStart w:id="60" w:name="_Ref179620893"/>
      <w:r>
        <w:rPr>
          <w:rFonts w:asciiTheme="minorEastAsia" w:hAnsiTheme="minorEastAsia"/>
          <w:szCs w:val="21"/>
        </w:rPr>
        <w:t>投标有效期不足的投标将被视为非实质性响应，并予以拒绝。</w:t>
      </w:r>
      <w:bookmarkEnd w:id="60"/>
    </w:p>
    <w:p w14:paraId="2499F228">
      <w:pPr>
        <w:spacing w:line="360" w:lineRule="auto"/>
        <w:ind w:firstLine="420" w:firstLineChars="200"/>
        <w:rPr>
          <w:rFonts w:asciiTheme="minorEastAsia" w:hAnsiTheme="minorEastAsia"/>
          <w:szCs w:val="21"/>
        </w:rPr>
      </w:pPr>
      <w:r>
        <w:rPr>
          <w:rFonts w:asciiTheme="minorEastAsia" w:hAnsiTheme="minorEastAsia"/>
          <w:szCs w:val="21"/>
        </w:rPr>
        <w:t>特殊情况下，在原投标有效期截止之前，招标</w:t>
      </w:r>
      <w:r>
        <w:rPr>
          <w:rFonts w:hint="eastAsia" w:asciiTheme="minorEastAsia" w:hAnsiTheme="minorEastAsia"/>
          <w:szCs w:val="21"/>
        </w:rPr>
        <w:t>人</w:t>
      </w:r>
      <w:r>
        <w:rPr>
          <w:rFonts w:asciiTheme="minorEastAsia" w:hAnsiTheme="minorEastAsia"/>
          <w:szCs w:val="21"/>
        </w:rPr>
        <w:t>可要求投标人延长投标有效期。该要求与答复均应以书面形式提交。投标人可拒绝</w:t>
      </w:r>
      <w:r>
        <w:rPr>
          <w:rFonts w:hint="eastAsia" w:asciiTheme="minorEastAsia" w:hAnsiTheme="minorEastAsia"/>
          <w:szCs w:val="21"/>
        </w:rPr>
        <w:t>招标人</w:t>
      </w:r>
      <w:r>
        <w:rPr>
          <w:rFonts w:asciiTheme="minorEastAsia" w:hAnsiTheme="minorEastAsia"/>
          <w:szCs w:val="21"/>
        </w:rPr>
        <w:t>的这种要求，其投标保证金将不会被没收，但其投标在原投标有效期期满后将不再有效。同意延长投标有效期的投标人将不会被要求和允许修正其投标，而只会被要求相应地延长其投标保证金的有效期。且本须知有关投标保证金要求将在延长了的有效期内继续有效。</w:t>
      </w:r>
    </w:p>
    <w:p w14:paraId="420FFA56">
      <w:pPr>
        <w:pStyle w:val="4"/>
        <w:spacing w:line="360" w:lineRule="auto"/>
        <w:ind w:firstLine="482"/>
      </w:pPr>
      <w:bookmarkStart w:id="61" w:name="_Toc55548512"/>
      <w:bookmarkStart w:id="62" w:name="_Toc28446"/>
      <w:r>
        <w:t>响应文件的式样和签署</w:t>
      </w:r>
      <w:bookmarkEnd w:id="61"/>
      <w:bookmarkEnd w:id="62"/>
    </w:p>
    <w:p w14:paraId="2E7B0A1D">
      <w:pPr>
        <w:spacing w:line="360" w:lineRule="auto"/>
        <w:ind w:firstLine="420" w:firstLineChars="200"/>
        <w:rPr>
          <w:rFonts w:asciiTheme="minorEastAsia" w:hAnsiTheme="minorEastAsia"/>
          <w:szCs w:val="21"/>
          <w:highlight w:val="yellow"/>
        </w:rPr>
      </w:pPr>
      <w:bookmarkStart w:id="63" w:name="_Ref179620912"/>
      <w:r>
        <w:rPr>
          <w:rFonts w:asciiTheme="minorEastAsia" w:hAnsiTheme="minorEastAsia"/>
          <w:szCs w:val="21"/>
          <w:highlight w:val="yellow"/>
        </w:rPr>
        <w:t>投标人应准备</w:t>
      </w:r>
      <w:r>
        <w:rPr>
          <w:rFonts w:asciiTheme="minorEastAsia" w:hAnsiTheme="minorEastAsia"/>
          <w:b/>
          <w:szCs w:val="21"/>
          <w:highlight w:val="yellow"/>
        </w:rPr>
        <w:t>一份</w:t>
      </w:r>
      <w:r>
        <w:rPr>
          <w:rFonts w:asciiTheme="minorEastAsia" w:hAnsiTheme="minorEastAsia"/>
          <w:szCs w:val="21"/>
          <w:highlight w:val="yellow"/>
        </w:rPr>
        <w:t>响应文件正本和</w:t>
      </w:r>
      <w:r>
        <w:rPr>
          <w:rFonts w:hint="eastAsia" w:asciiTheme="minorEastAsia" w:hAnsiTheme="minorEastAsia"/>
          <w:b/>
          <w:szCs w:val="21"/>
          <w:highlight w:val="yellow"/>
        </w:rPr>
        <w:t>两份</w:t>
      </w:r>
      <w:r>
        <w:rPr>
          <w:rFonts w:asciiTheme="minorEastAsia" w:hAnsiTheme="minorEastAsia"/>
          <w:szCs w:val="21"/>
          <w:highlight w:val="yellow"/>
        </w:rPr>
        <w:t>副本</w:t>
      </w:r>
      <w:r>
        <w:rPr>
          <w:rFonts w:hint="eastAsia" w:asciiTheme="minorEastAsia" w:hAnsiTheme="minorEastAsia"/>
          <w:szCs w:val="21"/>
          <w:highlight w:val="yellow"/>
        </w:rPr>
        <w:t>，电子版一份</w:t>
      </w:r>
      <w:r>
        <w:rPr>
          <w:rFonts w:asciiTheme="minorEastAsia" w:hAnsiTheme="minorEastAsia"/>
          <w:szCs w:val="21"/>
          <w:highlight w:val="yellow"/>
        </w:rPr>
        <w:t>，每套响应文件须清楚地标明“正本”或“副本”。若副本与正本不符，以正本为准。</w:t>
      </w:r>
      <w:bookmarkEnd w:id="63"/>
    </w:p>
    <w:p w14:paraId="59A81BE6">
      <w:pPr>
        <w:spacing w:line="360" w:lineRule="auto"/>
        <w:ind w:firstLine="420" w:firstLineChars="200"/>
        <w:rPr>
          <w:rFonts w:asciiTheme="minorEastAsia" w:hAnsiTheme="minorEastAsia"/>
          <w:szCs w:val="21"/>
          <w:highlight w:val="yellow"/>
        </w:rPr>
      </w:pPr>
      <w:r>
        <w:rPr>
          <w:rFonts w:asciiTheme="minorEastAsia" w:hAnsiTheme="minorEastAsia"/>
          <w:szCs w:val="21"/>
          <w:highlight w:val="yellow"/>
        </w:rPr>
        <w:t>响应文件的正本需打印或用不褪色墨水书写，并由法定代表人或经其正式授权的代表签字并加盖单位印章。授权代表须持有书面的《法定代表人授权书》，并将其附在响应文件中。响应文件的副本可采用正本的复印件。</w:t>
      </w:r>
    </w:p>
    <w:p w14:paraId="35E85A9D">
      <w:pPr>
        <w:spacing w:line="360" w:lineRule="auto"/>
        <w:ind w:firstLine="420" w:firstLineChars="200"/>
        <w:rPr>
          <w:rFonts w:asciiTheme="minorEastAsia" w:hAnsiTheme="minorEastAsia"/>
          <w:szCs w:val="21"/>
        </w:rPr>
      </w:pPr>
      <w:r>
        <w:rPr>
          <w:rFonts w:asciiTheme="minorEastAsia" w:hAnsiTheme="minorEastAsia"/>
          <w:szCs w:val="21"/>
          <w:highlight w:val="yellow"/>
        </w:rPr>
        <w:t>任何行间插字、涂改和增删，必须由响应文件签字人用姓或首字母在旁边签字或由投标单位加盖公章才有效。</w:t>
      </w:r>
    </w:p>
    <w:p w14:paraId="4D6E978E">
      <w:pPr>
        <w:pStyle w:val="4"/>
        <w:spacing w:line="360" w:lineRule="auto"/>
        <w:ind w:firstLine="482"/>
      </w:pPr>
      <w:bookmarkStart w:id="64" w:name="_Toc9436"/>
      <w:bookmarkStart w:id="65" w:name="_Toc26845"/>
      <w:bookmarkStart w:id="66" w:name="_Toc55548513"/>
      <w:r>
        <w:t>四、响应文件的递交</w:t>
      </w:r>
      <w:bookmarkEnd w:id="64"/>
      <w:bookmarkEnd w:id="65"/>
      <w:bookmarkEnd w:id="66"/>
    </w:p>
    <w:p w14:paraId="149C76AA">
      <w:pPr>
        <w:pStyle w:val="4"/>
        <w:spacing w:line="360" w:lineRule="auto"/>
        <w:ind w:firstLine="482"/>
      </w:pPr>
      <w:bookmarkStart w:id="67" w:name="_Toc6626"/>
      <w:bookmarkStart w:id="68" w:name="_Toc55548514"/>
      <w:r>
        <w:t>响应文件的密封和标记</w:t>
      </w:r>
      <w:bookmarkEnd w:id="67"/>
      <w:bookmarkEnd w:id="68"/>
    </w:p>
    <w:p w14:paraId="16A2601E">
      <w:pPr>
        <w:spacing w:line="360" w:lineRule="auto"/>
        <w:ind w:firstLine="420" w:firstLineChars="200"/>
        <w:rPr>
          <w:rFonts w:asciiTheme="minorEastAsia" w:hAnsiTheme="minorEastAsia"/>
          <w:szCs w:val="21"/>
          <w:highlight w:val="yellow"/>
        </w:rPr>
      </w:pPr>
      <w:bookmarkStart w:id="69" w:name="_Ref179620969"/>
      <w:r>
        <w:rPr>
          <w:rFonts w:asciiTheme="minorEastAsia" w:hAnsiTheme="minorEastAsia"/>
          <w:szCs w:val="21"/>
          <w:highlight w:val="yellow"/>
        </w:rPr>
        <w:t>投标人应将响应文件正本和所有的副本封装在一个信封中</w:t>
      </w:r>
      <w:r>
        <w:rPr>
          <w:rFonts w:hint="eastAsia" w:asciiTheme="minorEastAsia" w:hAnsiTheme="minorEastAsia"/>
          <w:szCs w:val="21"/>
          <w:highlight w:val="yellow"/>
        </w:rPr>
        <w:t>，</w:t>
      </w:r>
      <w:r>
        <w:rPr>
          <w:rFonts w:asciiTheme="minorEastAsia" w:hAnsiTheme="minorEastAsia"/>
          <w:szCs w:val="21"/>
          <w:highlight w:val="yellow"/>
        </w:rPr>
        <w:t>信封均应：</w:t>
      </w:r>
      <w:bookmarkEnd w:id="69"/>
      <w:r>
        <w:rPr>
          <w:rFonts w:asciiTheme="minorEastAsia" w:hAnsiTheme="minorEastAsia"/>
          <w:szCs w:val="21"/>
          <w:highlight w:val="yellow"/>
        </w:rPr>
        <w:t xml:space="preserve"> </w:t>
      </w:r>
    </w:p>
    <w:p w14:paraId="1C31C760">
      <w:pPr>
        <w:spacing w:line="360" w:lineRule="auto"/>
        <w:ind w:firstLine="420" w:firstLineChars="200"/>
        <w:rPr>
          <w:rFonts w:asciiTheme="minorEastAsia" w:hAnsiTheme="minorEastAsia"/>
          <w:szCs w:val="21"/>
          <w:highlight w:val="yellow"/>
        </w:rPr>
      </w:pPr>
      <w:r>
        <w:rPr>
          <w:rFonts w:asciiTheme="minorEastAsia" w:hAnsiTheme="minorEastAsia"/>
          <w:szCs w:val="21"/>
          <w:highlight w:val="yellow"/>
        </w:rPr>
        <w:t>1) 清楚标明递交至</w:t>
      </w:r>
      <w:r>
        <w:rPr>
          <w:rFonts w:hint="eastAsia" w:asciiTheme="minorEastAsia" w:hAnsiTheme="minorEastAsia"/>
          <w:b/>
          <w:szCs w:val="21"/>
          <w:highlight w:val="yellow"/>
        </w:rPr>
        <w:t>招标公告</w:t>
      </w:r>
      <w:r>
        <w:rPr>
          <w:rFonts w:asciiTheme="minorEastAsia" w:hAnsiTheme="minorEastAsia"/>
          <w:szCs w:val="21"/>
          <w:highlight w:val="yellow"/>
        </w:rPr>
        <w:t>指明的地址。</w:t>
      </w:r>
    </w:p>
    <w:p w14:paraId="649C8E98">
      <w:pPr>
        <w:spacing w:line="360" w:lineRule="auto"/>
        <w:ind w:firstLine="420" w:firstLineChars="200"/>
        <w:rPr>
          <w:rFonts w:asciiTheme="minorEastAsia" w:hAnsiTheme="minorEastAsia"/>
          <w:szCs w:val="21"/>
          <w:highlight w:val="yellow"/>
        </w:rPr>
      </w:pPr>
      <w:r>
        <w:rPr>
          <w:rFonts w:asciiTheme="minorEastAsia" w:hAnsiTheme="minorEastAsia"/>
          <w:szCs w:val="21"/>
          <w:highlight w:val="yellow"/>
        </w:rPr>
        <w:t>2) 清楚标明</w:t>
      </w:r>
      <w:r>
        <w:rPr>
          <w:rFonts w:hint="eastAsia" w:asciiTheme="minorEastAsia" w:hAnsiTheme="minorEastAsia"/>
          <w:b/>
          <w:szCs w:val="21"/>
          <w:highlight w:val="yellow"/>
        </w:rPr>
        <w:t>招标公告</w:t>
      </w:r>
      <w:r>
        <w:rPr>
          <w:rFonts w:asciiTheme="minorEastAsia" w:hAnsiTheme="minorEastAsia"/>
          <w:szCs w:val="21"/>
          <w:highlight w:val="yellow"/>
        </w:rPr>
        <w:t>中指明的项目名称、包号（如果分包的话）、招标编号</w:t>
      </w:r>
      <w:r>
        <w:rPr>
          <w:rFonts w:hint="eastAsia" w:asciiTheme="minorEastAsia" w:hAnsiTheme="minorEastAsia"/>
          <w:szCs w:val="21"/>
          <w:highlight w:val="yellow"/>
        </w:rPr>
        <w:t>。</w:t>
      </w:r>
    </w:p>
    <w:p w14:paraId="3B038F65">
      <w:pPr>
        <w:spacing w:line="360" w:lineRule="auto"/>
        <w:ind w:firstLine="420" w:firstLineChars="200"/>
        <w:rPr>
          <w:rFonts w:asciiTheme="minorEastAsia" w:hAnsiTheme="minorEastAsia"/>
          <w:szCs w:val="21"/>
          <w:highlight w:val="yellow"/>
        </w:rPr>
      </w:pPr>
      <w:r>
        <w:rPr>
          <w:rFonts w:asciiTheme="minorEastAsia" w:hAnsiTheme="minorEastAsia"/>
          <w:szCs w:val="21"/>
          <w:highlight w:val="yellow"/>
        </w:rPr>
        <w:t>3) 清楚标明投标单位名称并在信封的封装处加盖投标人公章。</w:t>
      </w:r>
    </w:p>
    <w:p w14:paraId="1C04B813">
      <w:pPr>
        <w:spacing w:line="360" w:lineRule="auto"/>
        <w:ind w:firstLine="420" w:firstLineChars="200"/>
        <w:rPr>
          <w:rFonts w:asciiTheme="minorEastAsia" w:hAnsiTheme="minorEastAsia"/>
          <w:szCs w:val="21"/>
        </w:rPr>
      </w:pPr>
      <w:r>
        <w:rPr>
          <w:rFonts w:asciiTheme="minorEastAsia" w:hAnsiTheme="minorEastAsia"/>
          <w:szCs w:val="21"/>
          <w:highlight w:val="yellow"/>
        </w:rPr>
        <w:t>内层信封应写明投标人名称和地址，以便将迟交的响应文件能原封退回。</w:t>
      </w:r>
    </w:p>
    <w:p w14:paraId="25B953DE">
      <w:pPr>
        <w:spacing w:line="360" w:lineRule="auto"/>
        <w:ind w:firstLine="420" w:firstLineChars="200"/>
        <w:rPr>
          <w:rFonts w:asciiTheme="minorEastAsia" w:hAnsiTheme="minorEastAsia"/>
          <w:szCs w:val="21"/>
        </w:rPr>
      </w:pPr>
      <w:r>
        <w:rPr>
          <w:rFonts w:asciiTheme="minorEastAsia" w:hAnsiTheme="minorEastAsia"/>
          <w:szCs w:val="21"/>
        </w:rPr>
        <w:t>如果投标人未按本须知要求加写标记和密封，招标</w:t>
      </w:r>
      <w:r>
        <w:rPr>
          <w:rFonts w:hint="eastAsia" w:asciiTheme="minorEastAsia" w:hAnsiTheme="minorEastAsia"/>
          <w:szCs w:val="21"/>
        </w:rPr>
        <w:t>人</w:t>
      </w:r>
      <w:r>
        <w:rPr>
          <w:rFonts w:asciiTheme="minorEastAsia" w:hAnsiTheme="minorEastAsia"/>
          <w:szCs w:val="21"/>
        </w:rPr>
        <w:t>对响应文件的误投或提前启封概不负责。</w:t>
      </w:r>
    </w:p>
    <w:p w14:paraId="30EC1F8B">
      <w:pPr>
        <w:spacing w:line="360" w:lineRule="auto"/>
        <w:ind w:firstLine="420" w:firstLineChars="200"/>
        <w:rPr>
          <w:rFonts w:asciiTheme="minorEastAsia" w:hAnsiTheme="minorEastAsia"/>
          <w:szCs w:val="21"/>
        </w:rPr>
      </w:pPr>
      <w:r>
        <w:rPr>
          <w:rFonts w:asciiTheme="minorEastAsia" w:hAnsiTheme="minorEastAsia"/>
          <w:szCs w:val="21"/>
        </w:rPr>
        <w:t>投标人同时参加几个包投标时必须按竞价文件要求按包号分别制作响应文件，分别密封递交。</w:t>
      </w:r>
    </w:p>
    <w:p w14:paraId="5C450824">
      <w:pPr>
        <w:pStyle w:val="4"/>
        <w:spacing w:line="360" w:lineRule="auto"/>
        <w:ind w:firstLine="482"/>
      </w:pPr>
      <w:bookmarkStart w:id="70" w:name="_Toc55548515"/>
      <w:bookmarkStart w:id="71" w:name="_Toc8701"/>
      <w:r>
        <w:t>投标样品</w:t>
      </w:r>
      <w:bookmarkEnd w:id="70"/>
      <w:bookmarkEnd w:id="71"/>
    </w:p>
    <w:p w14:paraId="3D38A0DF">
      <w:pPr>
        <w:spacing w:line="360" w:lineRule="auto"/>
        <w:ind w:firstLine="420" w:firstLineChars="200"/>
        <w:rPr>
          <w:rFonts w:asciiTheme="minorEastAsia" w:hAnsiTheme="minorEastAsia"/>
          <w:szCs w:val="21"/>
        </w:rPr>
      </w:pPr>
      <w:r>
        <w:rPr>
          <w:rFonts w:asciiTheme="minorEastAsia" w:hAnsiTheme="minorEastAsia"/>
          <w:szCs w:val="21"/>
        </w:rPr>
        <w:t>如有必要，招标</w:t>
      </w:r>
      <w:r>
        <w:rPr>
          <w:rFonts w:hint="eastAsia" w:asciiTheme="minorEastAsia" w:hAnsiTheme="minorEastAsia"/>
          <w:szCs w:val="21"/>
        </w:rPr>
        <w:t>人</w:t>
      </w:r>
      <w:r>
        <w:rPr>
          <w:rFonts w:asciiTheme="minorEastAsia" w:hAnsiTheme="minorEastAsia"/>
          <w:szCs w:val="21"/>
        </w:rPr>
        <w:t>可以要求投标人提供能反映货物材质或关键部分的极少部分的尺寸、价值不大的样品，投标人在投标时应提交《样品清单》。</w:t>
      </w:r>
    </w:p>
    <w:p w14:paraId="2866846A">
      <w:pPr>
        <w:spacing w:line="360" w:lineRule="auto"/>
        <w:ind w:firstLine="420" w:firstLineChars="200"/>
        <w:rPr>
          <w:rFonts w:asciiTheme="minorEastAsia" w:hAnsiTheme="minorEastAsia"/>
          <w:szCs w:val="21"/>
        </w:rPr>
      </w:pPr>
      <w:r>
        <w:rPr>
          <w:rFonts w:asciiTheme="minorEastAsia" w:hAnsiTheme="minorEastAsia"/>
          <w:szCs w:val="21"/>
        </w:rPr>
        <w:t>为方便评标，投标人在提供样品时，应使用透明的外包装或尽量少用外包装，但必须在所提供的样品表面显著位置标注投标人的名称、包号、样品名称、竞价文件规定的货物编号。</w:t>
      </w:r>
    </w:p>
    <w:p w14:paraId="4A6C54B0">
      <w:pPr>
        <w:spacing w:line="360" w:lineRule="auto"/>
        <w:ind w:firstLine="420" w:firstLineChars="200"/>
        <w:rPr>
          <w:rFonts w:asciiTheme="minorEastAsia" w:hAnsiTheme="minorEastAsia"/>
          <w:szCs w:val="21"/>
        </w:rPr>
      </w:pPr>
      <w:r>
        <w:rPr>
          <w:rFonts w:asciiTheme="minorEastAsia" w:hAnsiTheme="minorEastAsia"/>
          <w:szCs w:val="21"/>
        </w:rPr>
        <w:t>样品作为响应文件的一部分，除非另有说明，中标单位的样品不再退还，未中标单位须在中标公告发布后五个工作日内，前往</w:t>
      </w:r>
      <w:r>
        <w:rPr>
          <w:rFonts w:hint="eastAsia" w:asciiTheme="minorEastAsia" w:hAnsiTheme="minorEastAsia"/>
          <w:szCs w:val="21"/>
        </w:rPr>
        <w:t>本中心</w:t>
      </w:r>
      <w:r>
        <w:rPr>
          <w:rFonts w:asciiTheme="minorEastAsia" w:hAnsiTheme="minorEastAsia"/>
          <w:szCs w:val="21"/>
        </w:rPr>
        <w:t>领取投标样品，逾期不领，</w:t>
      </w:r>
      <w:r>
        <w:rPr>
          <w:rFonts w:hint="eastAsia" w:asciiTheme="minorEastAsia" w:hAnsiTheme="minorEastAsia"/>
          <w:szCs w:val="21"/>
        </w:rPr>
        <w:t>本中心</w:t>
      </w:r>
      <w:r>
        <w:rPr>
          <w:rFonts w:asciiTheme="minorEastAsia" w:hAnsiTheme="minorEastAsia"/>
          <w:szCs w:val="21"/>
        </w:rPr>
        <w:t>将不承担样品的保管责任，由此引发的样品丢失、毁损，招标</w:t>
      </w:r>
      <w:r>
        <w:rPr>
          <w:rFonts w:hint="eastAsia" w:asciiTheme="minorEastAsia" w:hAnsiTheme="minorEastAsia"/>
          <w:szCs w:val="21"/>
        </w:rPr>
        <w:t>人</w:t>
      </w:r>
      <w:r>
        <w:rPr>
          <w:rFonts w:asciiTheme="minorEastAsia" w:hAnsiTheme="minorEastAsia"/>
          <w:szCs w:val="21"/>
        </w:rPr>
        <w:t>不予负责。</w:t>
      </w:r>
    </w:p>
    <w:p w14:paraId="187A9E94">
      <w:pPr>
        <w:pStyle w:val="4"/>
        <w:spacing w:line="360" w:lineRule="auto"/>
        <w:ind w:firstLine="482"/>
      </w:pPr>
      <w:bookmarkStart w:id="72" w:name="_Ref179619638"/>
      <w:bookmarkStart w:id="73" w:name="_Toc55548516"/>
      <w:bookmarkStart w:id="74" w:name="_Toc5724"/>
      <w:r>
        <w:t>投标截止期</w:t>
      </w:r>
      <w:bookmarkEnd w:id="72"/>
      <w:bookmarkEnd w:id="73"/>
      <w:bookmarkEnd w:id="74"/>
    </w:p>
    <w:p w14:paraId="2A01F8EB">
      <w:pPr>
        <w:spacing w:line="360" w:lineRule="auto"/>
        <w:ind w:firstLine="420" w:firstLineChars="200"/>
        <w:rPr>
          <w:rFonts w:asciiTheme="minorEastAsia" w:hAnsiTheme="minorEastAsia"/>
          <w:szCs w:val="21"/>
        </w:rPr>
      </w:pPr>
      <w:bookmarkStart w:id="75" w:name="_Ref179621022"/>
      <w:r>
        <w:rPr>
          <w:rFonts w:asciiTheme="minorEastAsia" w:hAnsiTheme="minorEastAsia"/>
          <w:szCs w:val="21"/>
        </w:rPr>
        <w:t>投标人应在不迟于</w:t>
      </w:r>
      <w:r>
        <w:rPr>
          <w:rFonts w:hint="eastAsia" w:asciiTheme="minorEastAsia" w:hAnsiTheme="minorEastAsia"/>
          <w:b/>
          <w:szCs w:val="21"/>
        </w:rPr>
        <w:t>招标公告</w:t>
      </w:r>
      <w:r>
        <w:rPr>
          <w:rFonts w:asciiTheme="minorEastAsia" w:hAnsiTheme="minorEastAsia"/>
          <w:szCs w:val="21"/>
        </w:rPr>
        <w:t>中规定的截止日期和时间将响应文件递交至</w:t>
      </w:r>
      <w:r>
        <w:rPr>
          <w:rFonts w:hint="eastAsia" w:asciiTheme="minorEastAsia" w:hAnsiTheme="minorEastAsia"/>
          <w:szCs w:val="21"/>
        </w:rPr>
        <w:t>本中心</w:t>
      </w:r>
      <w:r>
        <w:rPr>
          <w:rFonts w:asciiTheme="minorEastAsia" w:hAnsiTheme="minorEastAsia"/>
          <w:szCs w:val="21"/>
        </w:rPr>
        <w:t>，递交地点应是</w:t>
      </w:r>
      <w:r>
        <w:rPr>
          <w:rFonts w:hint="eastAsia" w:asciiTheme="minorEastAsia" w:hAnsiTheme="minorEastAsia"/>
          <w:b/>
          <w:szCs w:val="21"/>
        </w:rPr>
        <w:t>招标公告</w:t>
      </w:r>
      <w:r>
        <w:rPr>
          <w:rFonts w:asciiTheme="minorEastAsia" w:hAnsiTheme="minorEastAsia"/>
          <w:szCs w:val="21"/>
        </w:rPr>
        <w:t>中指明的地址。</w:t>
      </w:r>
      <w:bookmarkEnd w:id="75"/>
    </w:p>
    <w:p w14:paraId="30DF5BA7">
      <w:pPr>
        <w:spacing w:line="360" w:lineRule="auto"/>
        <w:ind w:firstLine="420" w:firstLineChars="200"/>
        <w:rPr>
          <w:rFonts w:asciiTheme="minorEastAsia" w:hAnsiTheme="minorEastAsia"/>
          <w:szCs w:val="21"/>
        </w:rPr>
      </w:pPr>
      <w:r>
        <w:rPr>
          <w:rFonts w:hint="eastAsia" w:asciiTheme="minorEastAsia" w:hAnsiTheme="minorEastAsia"/>
          <w:szCs w:val="21"/>
        </w:rPr>
        <w:t>本中心</w:t>
      </w:r>
      <w:r>
        <w:rPr>
          <w:rFonts w:asciiTheme="minorEastAsia" w:hAnsiTheme="minorEastAsia"/>
          <w:szCs w:val="21"/>
        </w:rPr>
        <w:t xml:space="preserve">可以通过修改竞价文件自行决定酌情推迟投标截止期。在此情况下，招标人和投标人受投标截止期制约的所有权利和义务均应延长至新的截止期。 </w:t>
      </w:r>
    </w:p>
    <w:p w14:paraId="6F38B5A8">
      <w:pPr>
        <w:pStyle w:val="4"/>
        <w:spacing w:line="360" w:lineRule="auto"/>
        <w:ind w:firstLine="482"/>
      </w:pPr>
      <w:bookmarkStart w:id="76" w:name="_Ref179619679"/>
      <w:bookmarkStart w:id="77" w:name="_Toc3231"/>
      <w:bookmarkStart w:id="78" w:name="_Toc55548517"/>
      <w:r>
        <w:t>迟交的响应文件</w:t>
      </w:r>
      <w:bookmarkEnd w:id="76"/>
      <w:bookmarkEnd w:id="77"/>
      <w:bookmarkEnd w:id="78"/>
    </w:p>
    <w:p w14:paraId="2EE4347E">
      <w:pPr>
        <w:spacing w:line="360" w:lineRule="auto"/>
        <w:ind w:firstLine="420" w:firstLineChars="200"/>
        <w:rPr>
          <w:rFonts w:asciiTheme="minorEastAsia" w:hAnsiTheme="minorEastAsia"/>
          <w:szCs w:val="21"/>
        </w:rPr>
      </w:pPr>
      <w:r>
        <w:rPr>
          <w:rFonts w:hint="eastAsia" w:asciiTheme="minorEastAsia" w:hAnsiTheme="minorEastAsia"/>
          <w:szCs w:val="21"/>
        </w:rPr>
        <w:t>本中心</w:t>
      </w:r>
      <w:r>
        <w:rPr>
          <w:rFonts w:asciiTheme="minorEastAsia" w:hAnsiTheme="minorEastAsia"/>
          <w:szCs w:val="21"/>
        </w:rPr>
        <w:t>将拒绝并原封退回在</w:t>
      </w:r>
      <w:r>
        <w:rPr>
          <w:rFonts w:hint="eastAsia" w:asciiTheme="minorEastAsia" w:hAnsiTheme="minorEastAsia"/>
          <w:szCs w:val="21"/>
        </w:rPr>
        <w:t>招标公告</w:t>
      </w:r>
      <w:r>
        <w:rPr>
          <w:rFonts w:asciiTheme="minorEastAsia" w:hAnsiTheme="minorEastAsia"/>
          <w:szCs w:val="21"/>
        </w:rPr>
        <w:t>的截止期后收到的任何响应文件。</w:t>
      </w:r>
    </w:p>
    <w:p w14:paraId="2D440660">
      <w:pPr>
        <w:pStyle w:val="4"/>
        <w:spacing w:line="360" w:lineRule="auto"/>
        <w:ind w:firstLine="482"/>
      </w:pPr>
      <w:bookmarkStart w:id="79" w:name="_Toc55548518"/>
      <w:bookmarkStart w:id="80" w:name="_Ref179619013"/>
      <w:bookmarkStart w:id="81" w:name="_Toc865"/>
      <w:r>
        <w:t>响应文件的修改与撤回</w:t>
      </w:r>
      <w:bookmarkEnd w:id="79"/>
      <w:bookmarkEnd w:id="80"/>
      <w:bookmarkEnd w:id="81"/>
    </w:p>
    <w:p w14:paraId="2E099F38">
      <w:pPr>
        <w:spacing w:line="360" w:lineRule="auto"/>
        <w:ind w:firstLine="420" w:firstLineChars="200"/>
        <w:rPr>
          <w:rFonts w:asciiTheme="minorEastAsia" w:hAnsiTheme="minorEastAsia"/>
          <w:szCs w:val="21"/>
        </w:rPr>
      </w:pPr>
      <w:r>
        <w:rPr>
          <w:rFonts w:asciiTheme="minorEastAsia" w:hAnsiTheme="minorEastAsia"/>
          <w:szCs w:val="21"/>
        </w:rPr>
        <w:t>投标人在递交响应文件后，可以修改或撤回其投标，但投标人必须在规定的投标截止期之前将修改或撤回的书面通知递交到</w:t>
      </w:r>
      <w:r>
        <w:rPr>
          <w:rFonts w:hint="eastAsia" w:asciiTheme="minorEastAsia" w:hAnsiTheme="minorEastAsia"/>
          <w:szCs w:val="21"/>
        </w:rPr>
        <w:t>本中心</w:t>
      </w:r>
      <w:r>
        <w:rPr>
          <w:rFonts w:asciiTheme="minorEastAsia" w:hAnsiTheme="minorEastAsia"/>
          <w:szCs w:val="21"/>
        </w:rPr>
        <w:t>。</w:t>
      </w:r>
    </w:p>
    <w:p w14:paraId="2F0F2087">
      <w:pPr>
        <w:spacing w:line="360" w:lineRule="auto"/>
        <w:ind w:firstLine="420" w:firstLineChars="200"/>
        <w:rPr>
          <w:rFonts w:asciiTheme="minorEastAsia" w:hAnsiTheme="minorEastAsia"/>
          <w:szCs w:val="21"/>
        </w:rPr>
      </w:pPr>
      <w:r>
        <w:rPr>
          <w:rFonts w:asciiTheme="minorEastAsia" w:hAnsiTheme="minorEastAsia"/>
          <w:szCs w:val="21"/>
        </w:rPr>
        <w:t>投标人的修改或撤回通知应按本须知规定编制、密封、标记和递交。</w:t>
      </w:r>
    </w:p>
    <w:p w14:paraId="1C2A83FE">
      <w:pPr>
        <w:spacing w:line="360" w:lineRule="auto"/>
        <w:ind w:firstLine="420" w:firstLineChars="200"/>
        <w:rPr>
          <w:rFonts w:asciiTheme="minorEastAsia" w:hAnsiTheme="minorEastAsia"/>
          <w:szCs w:val="21"/>
        </w:rPr>
      </w:pPr>
      <w:r>
        <w:rPr>
          <w:rFonts w:asciiTheme="minorEastAsia" w:hAnsiTheme="minorEastAsia"/>
          <w:szCs w:val="21"/>
        </w:rPr>
        <w:t>在投标截止期之后，投标人不得对其投标做任何修改。</w:t>
      </w:r>
    </w:p>
    <w:p w14:paraId="7675821A">
      <w:pPr>
        <w:spacing w:line="360" w:lineRule="auto"/>
        <w:ind w:firstLine="420" w:firstLineChars="200"/>
        <w:rPr>
          <w:rFonts w:asciiTheme="minorEastAsia" w:hAnsiTheme="minorEastAsia"/>
          <w:szCs w:val="21"/>
        </w:rPr>
      </w:pPr>
      <w:r>
        <w:rPr>
          <w:rFonts w:asciiTheme="minorEastAsia" w:hAnsiTheme="minorEastAsia"/>
          <w:szCs w:val="21"/>
        </w:rPr>
        <w:t>从投标截止期至投标人在投标书中确定的投标有效期期满的这段时间内，投标人不得撤回其投标，否则其投标保证金将按照本须知的规定被没收。</w:t>
      </w:r>
    </w:p>
    <w:p w14:paraId="4069322A">
      <w:pPr>
        <w:pStyle w:val="4"/>
        <w:spacing w:line="360" w:lineRule="auto"/>
        <w:ind w:firstLine="482"/>
      </w:pPr>
      <w:bookmarkStart w:id="82" w:name="_Toc55548519"/>
      <w:bookmarkStart w:id="83" w:name="_Toc22375"/>
      <w:r>
        <w:t>响应文件的退还</w:t>
      </w:r>
      <w:bookmarkEnd w:id="82"/>
      <w:bookmarkEnd w:id="83"/>
    </w:p>
    <w:p w14:paraId="54558FAC">
      <w:pPr>
        <w:spacing w:line="360" w:lineRule="auto"/>
        <w:ind w:firstLine="420" w:firstLineChars="200"/>
        <w:rPr>
          <w:rFonts w:asciiTheme="minorEastAsia" w:hAnsiTheme="minorEastAsia"/>
          <w:szCs w:val="21"/>
        </w:rPr>
      </w:pPr>
      <w:r>
        <w:rPr>
          <w:rFonts w:asciiTheme="minorEastAsia" w:hAnsiTheme="minorEastAsia"/>
          <w:szCs w:val="21"/>
        </w:rPr>
        <w:t>除非竞价文件另有规定或说明，响应文件一律不予退还。</w:t>
      </w:r>
    </w:p>
    <w:p w14:paraId="23262A66">
      <w:pPr>
        <w:pStyle w:val="5"/>
        <w:ind w:firstLine="482"/>
      </w:pPr>
      <w:bookmarkStart w:id="84" w:name="_Toc55548520"/>
      <w:bookmarkStart w:id="85" w:name="_Toc27271"/>
      <w:bookmarkStart w:id="86" w:name="_Toc9126"/>
      <w:r>
        <w:t>五、开标与评标</w:t>
      </w:r>
      <w:bookmarkEnd w:id="84"/>
      <w:bookmarkEnd w:id="85"/>
      <w:bookmarkEnd w:id="86"/>
    </w:p>
    <w:p w14:paraId="655E9476">
      <w:pPr>
        <w:pStyle w:val="4"/>
        <w:spacing w:line="360" w:lineRule="auto"/>
        <w:ind w:firstLine="482"/>
      </w:pPr>
      <w:bookmarkStart w:id="87" w:name="_Toc55548521"/>
      <w:bookmarkStart w:id="88" w:name="_Toc21095"/>
      <w:r>
        <w:t>开标</w:t>
      </w:r>
      <w:bookmarkEnd w:id="87"/>
      <w:bookmarkEnd w:id="88"/>
    </w:p>
    <w:p w14:paraId="31ED22C6">
      <w:pPr>
        <w:spacing w:line="360" w:lineRule="auto"/>
        <w:ind w:firstLine="420" w:firstLineChars="200"/>
        <w:rPr>
          <w:rFonts w:asciiTheme="minorEastAsia" w:hAnsiTheme="minorEastAsia"/>
          <w:szCs w:val="21"/>
        </w:rPr>
      </w:pPr>
      <w:bookmarkStart w:id="89" w:name="_Ref179621054"/>
      <w:r>
        <w:rPr>
          <w:rFonts w:hint="eastAsia" w:asciiTheme="minorEastAsia" w:hAnsiTheme="minorEastAsia"/>
          <w:szCs w:val="21"/>
        </w:rPr>
        <w:t>本中心</w:t>
      </w:r>
      <w:r>
        <w:rPr>
          <w:rFonts w:asciiTheme="minorEastAsia" w:hAnsiTheme="minorEastAsia"/>
          <w:szCs w:val="21"/>
        </w:rPr>
        <w:t>在</w:t>
      </w:r>
      <w:r>
        <w:rPr>
          <w:rFonts w:hint="eastAsia" w:asciiTheme="minorEastAsia" w:hAnsiTheme="minorEastAsia"/>
          <w:b/>
          <w:szCs w:val="21"/>
        </w:rPr>
        <w:t>招标公告</w:t>
      </w:r>
      <w:r>
        <w:rPr>
          <w:rFonts w:asciiTheme="minorEastAsia" w:hAnsiTheme="minorEastAsia"/>
          <w:szCs w:val="21"/>
        </w:rPr>
        <w:t>中规定的日期、时间和地点组织公开开标。</w:t>
      </w:r>
      <w:bookmarkEnd w:id="89"/>
    </w:p>
    <w:p w14:paraId="6B792638">
      <w:pPr>
        <w:spacing w:line="360" w:lineRule="auto"/>
        <w:ind w:firstLine="420" w:firstLineChars="200"/>
        <w:rPr>
          <w:rFonts w:asciiTheme="minorEastAsia" w:hAnsiTheme="minorEastAsia"/>
          <w:szCs w:val="21"/>
        </w:rPr>
      </w:pPr>
      <w:r>
        <w:rPr>
          <w:rFonts w:asciiTheme="minorEastAsia" w:hAnsiTheme="minorEastAsia"/>
          <w:szCs w:val="21"/>
        </w:rPr>
        <w:t>除了按照本须知的规定原封退回迟到的投标之外，开标时将不得拒绝任何已购买竞价文件的投标人的投标。</w:t>
      </w:r>
    </w:p>
    <w:p w14:paraId="6CF84821">
      <w:pPr>
        <w:pStyle w:val="4"/>
        <w:spacing w:line="360" w:lineRule="auto"/>
        <w:ind w:firstLine="482"/>
      </w:pPr>
      <w:bookmarkStart w:id="90" w:name="_Toc1622"/>
      <w:bookmarkStart w:id="91" w:name="_Toc55548522"/>
      <w:r>
        <w:t>资格核查</w:t>
      </w:r>
      <w:bookmarkEnd w:id="90"/>
      <w:bookmarkEnd w:id="91"/>
    </w:p>
    <w:p w14:paraId="41E0AFB2">
      <w:pPr>
        <w:spacing w:line="360" w:lineRule="auto"/>
        <w:ind w:firstLine="420" w:firstLineChars="200"/>
        <w:rPr>
          <w:rFonts w:asciiTheme="minorEastAsia" w:hAnsiTheme="minorEastAsia"/>
          <w:szCs w:val="21"/>
        </w:rPr>
      </w:pPr>
      <w:r>
        <w:rPr>
          <w:rFonts w:asciiTheme="minorEastAsia" w:hAnsiTheme="minorEastAsia"/>
          <w:szCs w:val="21"/>
        </w:rPr>
        <w:t>开标后，招标</w:t>
      </w:r>
      <w:r>
        <w:rPr>
          <w:rFonts w:hint="eastAsia" w:asciiTheme="minorEastAsia" w:hAnsiTheme="minorEastAsia"/>
          <w:szCs w:val="21"/>
        </w:rPr>
        <w:t>人</w:t>
      </w:r>
      <w:r>
        <w:rPr>
          <w:rFonts w:asciiTheme="minorEastAsia" w:hAnsiTheme="minorEastAsia"/>
          <w:szCs w:val="21"/>
        </w:rPr>
        <w:t>就响应文件中的资格证明等内容对投标供应商进行资格核查，核查不合格的，认定其投标无效。核查合格的响应文件提交评标委员会进行评审。</w:t>
      </w:r>
    </w:p>
    <w:p w14:paraId="60C51F08">
      <w:pPr>
        <w:spacing w:line="360" w:lineRule="auto"/>
        <w:ind w:firstLine="422" w:firstLineChars="200"/>
        <w:rPr>
          <w:rFonts w:asciiTheme="minorEastAsia" w:hAnsiTheme="minorEastAsia"/>
          <w:b/>
          <w:szCs w:val="21"/>
        </w:rPr>
      </w:pPr>
      <w:r>
        <w:rPr>
          <w:rFonts w:asciiTheme="minorEastAsia" w:hAnsiTheme="minorEastAsia"/>
          <w:b/>
          <w:szCs w:val="21"/>
        </w:rPr>
        <w:t>1) 资格瑕疵</w:t>
      </w:r>
    </w:p>
    <w:p w14:paraId="0D1AD35B">
      <w:pPr>
        <w:spacing w:line="360" w:lineRule="auto"/>
        <w:ind w:firstLine="420" w:firstLineChars="200"/>
        <w:rPr>
          <w:rFonts w:asciiTheme="minorEastAsia" w:hAnsiTheme="minorEastAsia"/>
          <w:szCs w:val="21"/>
        </w:rPr>
      </w:pPr>
      <w:r>
        <w:rPr>
          <w:rFonts w:asciiTheme="minorEastAsia" w:hAnsiTheme="minorEastAsia"/>
          <w:szCs w:val="21"/>
        </w:rPr>
        <w:t>包括但不限于：</w:t>
      </w:r>
      <w:r>
        <w:rPr>
          <w:rFonts w:hint="eastAsia" w:cs="宋体" w:asciiTheme="minorEastAsia" w:hAnsiTheme="minorEastAsia"/>
          <w:szCs w:val="21"/>
        </w:rPr>
        <w:t>①</w:t>
      </w:r>
      <w:r>
        <w:rPr>
          <w:rFonts w:asciiTheme="minorEastAsia" w:hAnsiTheme="minorEastAsia"/>
          <w:szCs w:val="21"/>
        </w:rPr>
        <w:t>资格证明文件未提供或不符合竞价文件要求的；</w:t>
      </w:r>
      <w:r>
        <w:rPr>
          <w:rFonts w:hint="eastAsia" w:cs="宋体" w:asciiTheme="minorEastAsia" w:hAnsiTheme="minorEastAsia"/>
          <w:szCs w:val="21"/>
        </w:rPr>
        <w:t>②</w:t>
      </w:r>
      <w:r>
        <w:rPr>
          <w:rFonts w:asciiTheme="minorEastAsia" w:hAnsiTheme="minorEastAsia"/>
          <w:szCs w:val="21"/>
        </w:rPr>
        <w:t>投标人及其制造商与招标人有利害关系的。</w:t>
      </w:r>
    </w:p>
    <w:p w14:paraId="14741F96">
      <w:pPr>
        <w:pStyle w:val="4"/>
        <w:spacing w:line="360" w:lineRule="auto"/>
        <w:ind w:firstLine="482"/>
      </w:pPr>
      <w:bookmarkStart w:id="92" w:name="_Toc31201"/>
      <w:bookmarkStart w:id="93" w:name="_Toc55548523"/>
      <w:r>
        <w:t>评标委员会和评标方法</w:t>
      </w:r>
      <w:bookmarkEnd w:id="92"/>
      <w:bookmarkEnd w:id="93"/>
    </w:p>
    <w:p w14:paraId="6E2BA4B5">
      <w:pPr>
        <w:spacing w:line="360" w:lineRule="auto"/>
        <w:ind w:firstLine="420" w:firstLineChars="200"/>
        <w:rPr>
          <w:rFonts w:asciiTheme="minorEastAsia" w:hAnsiTheme="minorEastAsia"/>
          <w:szCs w:val="21"/>
        </w:rPr>
      </w:pPr>
      <w:r>
        <w:rPr>
          <w:rFonts w:asciiTheme="minorEastAsia" w:hAnsiTheme="minorEastAsia"/>
          <w:szCs w:val="21"/>
        </w:rPr>
        <w:t>评标委员会根据招标项目的特点进行组建，并负责评标工作。评标委员会由招标人代表</w:t>
      </w:r>
      <w:r>
        <w:rPr>
          <w:rFonts w:hint="eastAsia" w:asciiTheme="minorEastAsia" w:hAnsiTheme="minorEastAsia"/>
          <w:szCs w:val="21"/>
        </w:rPr>
        <w:t>随机抽取3位副高级以上专业委员</w:t>
      </w:r>
      <w:r>
        <w:rPr>
          <w:rFonts w:asciiTheme="minorEastAsia" w:hAnsiTheme="minorEastAsia"/>
          <w:szCs w:val="21"/>
        </w:rPr>
        <w:t>组成，成员人数为</w:t>
      </w:r>
      <w:r>
        <w:rPr>
          <w:rFonts w:hint="eastAsia" w:asciiTheme="minorEastAsia" w:hAnsiTheme="minorEastAsia"/>
          <w:szCs w:val="21"/>
        </w:rPr>
        <w:t>三</w:t>
      </w:r>
      <w:r>
        <w:rPr>
          <w:rFonts w:asciiTheme="minorEastAsia" w:hAnsiTheme="minorEastAsia"/>
          <w:szCs w:val="21"/>
        </w:rPr>
        <w:t>人或</w:t>
      </w:r>
      <w:r>
        <w:rPr>
          <w:rFonts w:hint="eastAsia" w:asciiTheme="minorEastAsia" w:hAnsiTheme="minorEastAsia"/>
          <w:szCs w:val="21"/>
        </w:rPr>
        <w:t>三</w:t>
      </w:r>
      <w:r>
        <w:rPr>
          <w:rFonts w:asciiTheme="minorEastAsia" w:hAnsiTheme="minorEastAsia"/>
          <w:szCs w:val="21"/>
        </w:rPr>
        <w:t>人以上单数。</w:t>
      </w:r>
    </w:p>
    <w:p w14:paraId="29C8B995">
      <w:pPr>
        <w:spacing w:line="360" w:lineRule="auto"/>
        <w:ind w:firstLine="420" w:firstLineChars="200"/>
        <w:rPr>
          <w:rFonts w:asciiTheme="minorEastAsia" w:hAnsiTheme="minorEastAsia"/>
          <w:szCs w:val="21"/>
        </w:rPr>
      </w:pPr>
      <w:bookmarkStart w:id="94" w:name="_Ref179621079"/>
      <w:r>
        <w:rPr>
          <w:rFonts w:asciiTheme="minorEastAsia" w:hAnsiTheme="minorEastAsia"/>
          <w:szCs w:val="21"/>
        </w:rPr>
        <w:t>依照有关规定，货物或服务招标采购的评标方法分为最低评标价法、综合评分法和性价比法三种基本方法。评标委员会将按照</w:t>
      </w:r>
      <w:r>
        <w:rPr>
          <w:rFonts w:hint="eastAsia" w:asciiTheme="minorEastAsia" w:hAnsiTheme="minorEastAsia"/>
          <w:b/>
          <w:szCs w:val="21"/>
        </w:rPr>
        <w:t>招标公告</w:t>
      </w:r>
      <w:r>
        <w:rPr>
          <w:rFonts w:asciiTheme="minorEastAsia" w:hAnsiTheme="minorEastAsia"/>
          <w:szCs w:val="21"/>
        </w:rPr>
        <w:t>中所确定的评标方法进行评审。</w:t>
      </w:r>
      <w:bookmarkEnd w:id="94"/>
    </w:p>
    <w:p w14:paraId="4B7A01FA">
      <w:pPr>
        <w:spacing w:line="360" w:lineRule="auto"/>
        <w:ind w:firstLine="420" w:firstLineChars="200"/>
        <w:rPr>
          <w:rFonts w:asciiTheme="minorEastAsia" w:hAnsiTheme="minorEastAsia"/>
          <w:szCs w:val="21"/>
        </w:rPr>
      </w:pPr>
      <w:r>
        <w:rPr>
          <w:rFonts w:asciiTheme="minorEastAsia" w:hAnsiTheme="minorEastAsia"/>
          <w:szCs w:val="21"/>
        </w:rPr>
        <w:t>评标委员会对响应文件的评审内容，分为商务评议、技术评议和价格评议/综合评议。评审流程包括资格性检查、符合性检查、澄清问题、比较与评价、推荐中标候选人或确定中标人、编写评标报告等步骤。</w:t>
      </w:r>
    </w:p>
    <w:p w14:paraId="4BAF0E8B">
      <w:pPr>
        <w:spacing w:line="360" w:lineRule="auto"/>
        <w:ind w:firstLine="420" w:firstLineChars="200"/>
        <w:rPr>
          <w:rFonts w:asciiTheme="minorEastAsia" w:hAnsiTheme="minorEastAsia"/>
          <w:szCs w:val="21"/>
        </w:rPr>
      </w:pPr>
      <w:bookmarkStart w:id="95" w:name="_Ref179619857"/>
      <w:r>
        <w:rPr>
          <w:rFonts w:asciiTheme="minorEastAsia" w:hAnsiTheme="minorEastAsia"/>
          <w:szCs w:val="21"/>
        </w:rPr>
        <w:t>在评标期间，评标委员会可要求投标人对其响应文件进行澄清，但不得寻求、提供或允许对投标价格等实质性内容做任何更改。有关澄清的要求和答复均应以书面形式提交。</w:t>
      </w:r>
      <w:bookmarkEnd w:id="95"/>
    </w:p>
    <w:p w14:paraId="48FFD58B">
      <w:pPr>
        <w:spacing w:line="360" w:lineRule="auto"/>
        <w:ind w:firstLine="420" w:firstLineChars="200"/>
        <w:rPr>
          <w:rFonts w:asciiTheme="minorEastAsia" w:hAnsiTheme="minorEastAsia"/>
          <w:szCs w:val="21"/>
        </w:rPr>
      </w:pPr>
      <w:bookmarkStart w:id="96" w:name="_Toc27507"/>
      <w:bookmarkStart w:id="97" w:name="_Toc16749"/>
      <w:bookmarkStart w:id="98" w:name="_Toc3712"/>
      <w:bookmarkStart w:id="99" w:name="_Toc10952"/>
      <w:r>
        <w:rPr>
          <w:rFonts w:hint="eastAsia" w:asciiTheme="minorEastAsia" w:hAnsiTheme="minorEastAsia"/>
          <w:szCs w:val="21"/>
        </w:rPr>
        <w:t>不同投标人提供相同品牌产品</w:t>
      </w:r>
      <w:bookmarkEnd w:id="96"/>
      <w:bookmarkEnd w:id="97"/>
      <w:bookmarkEnd w:id="98"/>
      <w:bookmarkEnd w:id="99"/>
    </w:p>
    <w:p w14:paraId="19E55216">
      <w:pPr>
        <w:spacing w:line="360" w:lineRule="auto"/>
        <w:ind w:firstLine="420" w:firstLineChars="200"/>
        <w:rPr>
          <w:rFonts w:asciiTheme="minorEastAsia" w:hAnsiTheme="minorEastAsia"/>
          <w:szCs w:val="21"/>
        </w:rPr>
      </w:pPr>
      <w:r>
        <w:rPr>
          <w:rFonts w:hint="eastAsia" w:asciiTheme="minorEastAsia" w:hAnsiTheme="minorEastAsia"/>
          <w:szCs w:val="21"/>
        </w:rPr>
        <w:t>采用最低价法的采购项目，提供相同品牌产品的不同投标人参加同一合同项下投标的，以其中通过资格审查、符合性审查且报价最低的参加评标；报价相同的，由采购人或者采购人委托评标委员会按照竞价文件规定的方式确定一个参加评标的投标人，竞价文件未规定的采取随机抽取方式确定，其他投标无效。</w:t>
      </w:r>
    </w:p>
    <w:p w14:paraId="38BA2B3F">
      <w:pPr>
        <w:spacing w:line="360" w:lineRule="auto"/>
        <w:ind w:firstLine="420" w:firstLineChars="200"/>
        <w:rPr>
          <w:rFonts w:asciiTheme="minorEastAsia" w:hAnsiTheme="minorEastAsia"/>
          <w:szCs w:val="21"/>
        </w:rPr>
      </w:pPr>
      <w:r>
        <w:rPr>
          <w:rFonts w:hint="eastAsia" w:asciiTheme="minorEastAsia" w:hAnsiTheme="minorEastAsia"/>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竞价文件规定的方式确定一个投标人获得中标人推荐资格，竞价文件未规定的采取随机抽取方式确定，其他同品牌投标人不作为中标候选人。</w:t>
      </w:r>
    </w:p>
    <w:p w14:paraId="0905F418">
      <w:pPr>
        <w:spacing w:line="360" w:lineRule="auto"/>
        <w:ind w:firstLine="420" w:firstLineChars="200"/>
        <w:rPr>
          <w:rFonts w:asciiTheme="minorEastAsia" w:hAnsiTheme="minorEastAsia"/>
          <w:szCs w:val="21"/>
        </w:rPr>
      </w:pPr>
      <w:r>
        <w:rPr>
          <w:rFonts w:hint="eastAsia" w:asciiTheme="minorEastAsia" w:hAnsiTheme="minorEastAsia"/>
          <w:szCs w:val="21"/>
        </w:rPr>
        <w:t>非单一产品采购项目，采购人应当根据采购项目技术构成、产品价格比重等合理确定核心产品，多家投标人提供的核心产品品牌完全相同的，按本条规定处理。</w:t>
      </w:r>
    </w:p>
    <w:p w14:paraId="66E68340">
      <w:pPr>
        <w:pStyle w:val="4"/>
        <w:spacing w:line="360" w:lineRule="auto"/>
        <w:ind w:firstLine="482"/>
      </w:pPr>
      <w:bookmarkStart w:id="100" w:name="_Toc55548524"/>
      <w:bookmarkStart w:id="101" w:name="_Toc21426"/>
      <w:r>
        <w:rPr>
          <w:rFonts w:hint="eastAsia"/>
        </w:rPr>
        <w:t>响应文件的初审</w:t>
      </w:r>
      <w:bookmarkEnd w:id="100"/>
      <w:bookmarkEnd w:id="101"/>
    </w:p>
    <w:p w14:paraId="46A4240D">
      <w:pPr>
        <w:spacing w:line="360" w:lineRule="auto"/>
        <w:ind w:firstLine="420" w:firstLineChars="200"/>
        <w:rPr>
          <w:rFonts w:asciiTheme="minorEastAsia" w:hAnsiTheme="minorEastAsia"/>
          <w:szCs w:val="21"/>
        </w:rPr>
      </w:pPr>
      <w:r>
        <w:rPr>
          <w:rFonts w:asciiTheme="minorEastAsia" w:hAnsiTheme="minorEastAsia"/>
          <w:szCs w:val="21"/>
        </w:rPr>
        <w:t>评标委员会将审查响应文件是否完整、总体编排是否有序、文件签署是否合格等。</w:t>
      </w:r>
    </w:p>
    <w:p w14:paraId="5C95FB03">
      <w:pPr>
        <w:spacing w:line="360" w:lineRule="auto"/>
        <w:ind w:firstLine="420" w:firstLineChars="200"/>
        <w:rPr>
          <w:rFonts w:asciiTheme="minorEastAsia" w:hAnsiTheme="minorEastAsia"/>
          <w:szCs w:val="21"/>
        </w:rPr>
      </w:pPr>
      <w:r>
        <w:rPr>
          <w:rFonts w:asciiTheme="minorEastAsia" w:hAnsiTheme="minorEastAsia"/>
          <w:szCs w:val="21"/>
        </w:rPr>
        <w:t>算术错误将按以下方法更正：若开标一览表中单价和总价相矛盾，以投标单价为准修改总价；若开标一览表内容与响应文件中明细表内容不相符的，以开标一览表为准；若用文字表示的数值与用数字表示的数值不一致，以文字表示的数值为准。如果投标人不接受对其错误的更正，其投标将被拒绝。</w:t>
      </w:r>
    </w:p>
    <w:p w14:paraId="303B780B">
      <w:pPr>
        <w:spacing w:line="360" w:lineRule="auto"/>
        <w:ind w:firstLine="420" w:firstLineChars="200"/>
        <w:rPr>
          <w:rFonts w:asciiTheme="minorEastAsia" w:hAnsiTheme="minorEastAsia"/>
          <w:szCs w:val="21"/>
        </w:rPr>
      </w:pPr>
      <w:r>
        <w:rPr>
          <w:rFonts w:asciiTheme="minorEastAsia" w:hAnsiTheme="minorEastAsia"/>
          <w:szCs w:val="21"/>
        </w:rPr>
        <w:t>响应文件中的缺漏项将按以下方法更正：以所有投标报价中该项最高报价核算其缺漏项金额，缺漏项金额大于或等于其投标总价的1%时，视为重大投标漏项，该投标作</w:t>
      </w:r>
      <w:r>
        <w:rPr>
          <w:rFonts w:hint="eastAsia" w:asciiTheme="minorEastAsia" w:hAnsiTheme="minorEastAsia"/>
          <w:szCs w:val="21"/>
        </w:rPr>
        <w:t>投标无效</w:t>
      </w:r>
      <w:r>
        <w:rPr>
          <w:rFonts w:asciiTheme="minorEastAsia" w:hAnsiTheme="minorEastAsia"/>
          <w:szCs w:val="21"/>
        </w:rPr>
        <w:t>处理；缺漏项金额小于其投标总价的1%时，评标委员会将视为其投标总价已包括缺漏项内容，若其中标，有关该内容的合同价格不予调整，但评标时将对该投标作不利的评标价调整或评审分数量化。如果投标人不接受对其错误的更正，其投标将被拒绝。</w:t>
      </w:r>
    </w:p>
    <w:p w14:paraId="15ED9F5D">
      <w:pPr>
        <w:spacing w:line="360" w:lineRule="auto"/>
        <w:ind w:firstLine="420" w:firstLineChars="200"/>
        <w:rPr>
          <w:rFonts w:asciiTheme="minorEastAsia" w:hAnsiTheme="minorEastAsia"/>
          <w:szCs w:val="21"/>
        </w:rPr>
      </w:pPr>
      <w:r>
        <w:rPr>
          <w:rFonts w:asciiTheme="minorEastAsia" w:hAnsiTheme="minorEastAsia"/>
          <w:szCs w:val="21"/>
        </w:rPr>
        <w:t>对于响应文件中不构成实质性偏差的不正规、不一致或不规则，评标委员会可以接受，但这种接受不能损害或影响任何投标人的相对排序。</w:t>
      </w:r>
    </w:p>
    <w:p w14:paraId="5CCB5D7D">
      <w:pPr>
        <w:spacing w:line="360" w:lineRule="auto"/>
        <w:ind w:firstLine="420" w:firstLineChars="200"/>
        <w:rPr>
          <w:rFonts w:asciiTheme="minorEastAsia" w:hAnsiTheme="minorEastAsia"/>
          <w:szCs w:val="21"/>
        </w:rPr>
      </w:pPr>
      <w:r>
        <w:rPr>
          <w:rFonts w:asciiTheme="minorEastAsia" w:hAnsiTheme="minorEastAsia"/>
          <w:szCs w:val="21"/>
        </w:rPr>
        <w:t>在详细评审之前，评标委员将会审查每份响应文件是否实质上响应了竞价文件的要求。实质上响应的投标是与竞价文件要求的关键条款、条件和规格相符，没有重大偏离的投标。例如关于投标保证金、投标人资格要求、关键技术指标要求、投标报价要求和评标标准等。评标委员会审查投标的响应性只根据响应文件本身的内容，而不寻求外部的证据。</w:t>
      </w:r>
    </w:p>
    <w:p w14:paraId="73B28728">
      <w:pPr>
        <w:spacing w:line="360" w:lineRule="auto"/>
        <w:ind w:firstLine="420" w:firstLineChars="200"/>
        <w:rPr>
          <w:rFonts w:asciiTheme="minorEastAsia" w:hAnsiTheme="minorEastAsia"/>
          <w:szCs w:val="21"/>
        </w:rPr>
      </w:pPr>
      <w:bookmarkStart w:id="102" w:name="_Ref179619330"/>
      <w:r>
        <w:rPr>
          <w:rFonts w:asciiTheme="minorEastAsia" w:hAnsiTheme="minorEastAsia"/>
          <w:szCs w:val="21"/>
        </w:rPr>
        <w:t>实质上没有响应竞价文件要求的投标将被作</w:t>
      </w:r>
      <w:r>
        <w:rPr>
          <w:rFonts w:hint="eastAsia" w:asciiTheme="minorEastAsia" w:hAnsiTheme="minorEastAsia"/>
          <w:szCs w:val="21"/>
        </w:rPr>
        <w:t>投标无效</w:t>
      </w:r>
      <w:r>
        <w:rPr>
          <w:rFonts w:asciiTheme="minorEastAsia" w:hAnsiTheme="minorEastAsia"/>
          <w:szCs w:val="21"/>
        </w:rPr>
        <w:t>处理。投标人不得通过修正或撤销不合要求的偏离或保留从而使其投标成为实质上响应的投标。评标委员会评审中，发现下列情况之一的，其投标将作</w:t>
      </w:r>
      <w:r>
        <w:rPr>
          <w:rFonts w:hint="eastAsia" w:asciiTheme="minorEastAsia" w:hAnsiTheme="minorEastAsia"/>
          <w:szCs w:val="21"/>
        </w:rPr>
        <w:t>投标无效</w:t>
      </w:r>
      <w:r>
        <w:rPr>
          <w:rFonts w:asciiTheme="minorEastAsia" w:hAnsiTheme="minorEastAsia"/>
          <w:szCs w:val="21"/>
        </w:rPr>
        <w:t>处理：</w:t>
      </w:r>
      <w:bookmarkEnd w:id="102"/>
    </w:p>
    <w:p w14:paraId="0500A3DB">
      <w:pPr>
        <w:spacing w:line="360" w:lineRule="auto"/>
        <w:ind w:firstLine="420" w:firstLineChars="200"/>
        <w:rPr>
          <w:rFonts w:asciiTheme="minorEastAsia" w:hAnsiTheme="minorEastAsia"/>
          <w:szCs w:val="21"/>
        </w:rPr>
      </w:pPr>
      <w:bookmarkStart w:id="103" w:name="_Ref179621189"/>
      <w:r>
        <w:rPr>
          <w:rFonts w:asciiTheme="minorEastAsia" w:hAnsiTheme="minorEastAsia"/>
          <w:szCs w:val="21"/>
        </w:rPr>
        <w:t>符合性检查</w:t>
      </w:r>
      <w:bookmarkEnd w:id="103"/>
    </w:p>
    <w:p w14:paraId="0D06AD6E">
      <w:pPr>
        <w:spacing w:line="360" w:lineRule="auto"/>
        <w:ind w:firstLine="422" w:firstLineChars="200"/>
        <w:rPr>
          <w:rFonts w:asciiTheme="minorEastAsia" w:hAnsiTheme="minorEastAsia"/>
          <w:b/>
          <w:szCs w:val="21"/>
        </w:rPr>
      </w:pPr>
      <w:bookmarkStart w:id="104" w:name="_Toc25993"/>
      <w:bookmarkStart w:id="105" w:name="_Toc13273"/>
      <w:bookmarkStart w:id="106" w:name="_Toc5963"/>
      <w:bookmarkStart w:id="107" w:name="_Toc2459"/>
      <w:bookmarkStart w:id="108" w:name="_Toc385"/>
      <w:bookmarkStart w:id="109" w:name="_Toc1347"/>
      <w:bookmarkStart w:id="110" w:name="_Toc32392"/>
      <w:r>
        <w:rPr>
          <w:rFonts w:asciiTheme="minorEastAsia" w:hAnsiTheme="minorEastAsia"/>
          <w:b/>
          <w:szCs w:val="21"/>
        </w:rPr>
        <w:t>1) 响应文件的有效性、完整性瑕疵</w:t>
      </w:r>
      <w:bookmarkEnd w:id="104"/>
      <w:bookmarkEnd w:id="105"/>
      <w:bookmarkEnd w:id="106"/>
      <w:bookmarkEnd w:id="107"/>
      <w:bookmarkEnd w:id="108"/>
      <w:bookmarkEnd w:id="109"/>
      <w:bookmarkEnd w:id="110"/>
    </w:p>
    <w:p w14:paraId="2E7FB922">
      <w:pPr>
        <w:spacing w:line="360" w:lineRule="auto"/>
        <w:ind w:firstLine="420" w:firstLineChars="200"/>
        <w:rPr>
          <w:rFonts w:asciiTheme="minorEastAsia" w:hAnsiTheme="minorEastAsia"/>
          <w:szCs w:val="21"/>
        </w:rPr>
      </w:pPr>
      <w:r>
        <w:rPr>
          <w:rFonts w:asciiTheme="minorEastAsia" w:hAnsiTheme="minorEastAsia"/>
          <w:szCs w:val="21"/>
        </w:rPr>
        <w:t>包括但不限于：</w:t>
      </w:r>
      <w:r>
        <w:rPr>
          <w:rFonts w:hint="eastAsia" w:cs="宋体" w:asciiTheme="minorEastAsia" w:hAnsiTheme="minorEastAsia"/>
          <w:szCs w:val="21"/>
        </w:rPr>
        <w:t>①</w:t>
      </w:r>
      <w:r>
        <w:rPr>
          <w:rFonts w:asciiTheme="minorEastAsia" w:hAnsiTheme="minorEastAsia"/>
          <w:szCs w:val="21"/>
        </w:rPr>
        <w:t>响应文件的数量、制作、密封、标记不符合要求；</w:t>
      </w:r>
      <w:r>
        <w:rPr>
          <w:rFonts w:hint="eastAsia" w:cs="宋体" w:asciiTheme="minorEastAsia" w:hAnsiTheme="minorEastAsia"/>
          <w:szCs w:val="21"/>
        </w:rPr>
        <w:t>②</w:t>
      </w:r>
      <w:r>
        <w:rPr>
          <w:rFonts w:asciiTheme="minorEastAsia" w:hAnsiTheme="minorEastAsia"/>
          <w:szCs w:val="21"/>
        </w:rPr>
        <w:t>响应文件无法定代表人或其授权代表签字，或签字人无法定代表人有效授权的；</w:t>
      </w:r>
      <w:r>
        <w:rPr>
          <w:rFonts w:hint="eastAsia" w:cs="宋体" w:asciiTheme="minorEastAsia" w:hAnsiTheme="minorEastAsia"/>
          <w:szCs w:val="21"/>
        </w:rPr>
        <w:t>③</w:t>
      </w:r>
      <w:r>
        <w:rPr>
          <w:rFonts w:asciiTheme="minorEastAsia" w:hAnsiTheme="minorEastAsia"/>
          <w:szCs w:val="21"/>
        </w:rPr>
        <w:t>签字盖章不符合竞价文件要求的；</w:t>
      </w:r>
      <w:r>
        <w:rPr>
          <w:rFonts w:hint="eastAsia" w:cs="宋体" w:asciiTheme="minorEastAsia" w:hAnsiTheme="minorEastAsia"/>
          <w:szCs w:val="21"/>
        </w:rPr>
        <w:t>④</w:t>
      </w:r>
      <w:r>
        <w:rPr>
          <w:rFonts w:asciiTheme="minorEastAsia" w:hAnsiTheme="minorEastAsia"/>
          <w:szCs w:val="21"/>
        </w:rPr>
        <w:t>响应文件内容有严重缺漏项的；</w:t>
      </w:r>
      <w:r>
        <w:rPr>
          <w:rFonts w:hint="eastAsia" w:cs="宋体" w:asciiTheme="minorEastAsia" w:hAnsiTheme="minorEastAsia"/>
          <w:szCs w:val="21"/>
        </w:rPr>
        <w:t>⑤</w:t>
      </w:r>
      <w:r>
        <w:rPr>
          <w:rFonts w:asciiTheme="minorEastAsia" w:hAnsiTheme="minorEastAsia"/>
          <w:szCs w:val="21"/>
        </w:rPr>
        <w:t>投标报价有严重缺漏项的；</w:t>
      </w:r>
      <w:r>
        <w:rPr>
          <w:rFonts w:hint="eastAsia" w:cs="宋体" w:asciiTheme="minorEastAsia" w:hAnsiTheme="minorEastAsia"/>
          <w:szCs w:val="21"/>
        </w:rPr>
        <w:t>⑥</w:t>
      </w:r>
      <w:r>
        <w:rPr>
          <w:rFonts w:asciiTheme="minorEastAsia" w:hAnsiTheme="minorEastAsia"/>
          <w:szCs w:val="21"/>
        </w:rPr>
        <w:t>响应文件的关键内容字迹模糊、无法辨认的</w:t>
      </w:r>
      <w:r>
        <w:rPr>
          <w:rFonts w:hint="eastAsia" w:asciiTheme="minorEastAsia" w:hAnsiTheme="minorEastAsia"/>
          <w:szCs w:val="21"/>
        </w:rPr>
        <w:t>；</w:t>
      </w:r>
      <w:r>
        <w:rPr>
          <w:rFonts w:hint="eastAsia" w:cs="宋体" w:asciiTheme="minorEastAsia" w:hAnsiTheme="minorEastAsia"/>
          <w:szCs w:val="21"/>
        </w:rPr>
        <w:t>⑦</w:t>
      </w:r>
      <w:r>
        <w:rPr>
          <w:rFonts w:hint="eastAsia" w:asciiTheme="minorEastAsia" w:hAnsiTheme="minorEastAsia"/>
          <w:szCs w:val="21"/>
        </w:rPr>
        <w:t>未按竞价文件要求编制。</w:t>
      </w:r>
    </w:p>
    <w:p w14:paraId="3748F55E">
      <w:pPr>
        <w:spacing w:line="360" w:lineRule="auto"/>
        <w:ind w:firstLine="422" w:firstLineChars="200"/>
        <w:rPr>
          <w:rFonts w:asciiTheme="minorEastAsia" w:hAnsiTheme="minorEastAsia"/>
          <w:b/>
          <w:szCs w:val="21"/>
        </w:rPr>
      </w:pPr>
      <w:bookmarkStart w:id="111" w:name="_Toc4787"/>
      <w:bookmarkStart w:id="112" w:name="_Toc30904"/>
      <w:bookmarkStart w:id="113" w:name="_Toc29078"/>
      <w:bookmarkStart w:id="114" w:name="_Toc17493"/>
      <w:bookmarkStart w:id="115" w:name="_Toc31066"/>
      <w:bookmarkStart w:id="116" w:name="_Toc24825"/>
      <w:bookmarkStart w:id="117" w:name="_Toc6513"/>
      <w:r>
        <w:rPr>
          <w:rFonts w:asciiTheme="minorEastAsia" w:hAnsiTheme="minorEastAsia"/>
          <w:b/>
          <w:szCs w:val="21"/>
        </w:rPr>
        <w:t>2) 技术响应瑕疵</w:t>
      </w:r>
      <w:bookmarkEnd w:id="111"/>
      <w:bookmarkEnd w:id="112"/>
      <w:bookmarkEnd w:id="113"/>
      <w:bookmarkEnd w:id="114"/>
      <w:bookmarkEnd w:id="115"/>
      <w:bookmarkEnd w:id="116"/>
      <w:bookmarkEnd w:id="117"/>
    </w:p>
    <w:p w14:paraId="426CFD04">
      <w:pPr>
        <w:spacing w:line="360" w:lineRule="auto"/>
        <w:ind w:firstLine="420" w:firstLineChars="200"/>
        <w:rPr>
          <w:rFonts w:asciiTheme="minorEastAsia" w:hAnsiTheme="minorEastAsia"/>
          <w:szCs w:val="21"/>
        </w:rPr>
      </w:pPr>
      <w:r>
        <w:rPr>
          <w:rFonts w:asciiTheme="minorEastAsia" w:hAnsiTheme="minorEastAsia"/>
          <w:szCs w:val="21"/>
        </w:rPr>
        <w:t>包括但不限于：</w:t>
      </w:r>
      <w:r>
        <w:rPr>
          <w:rFonts w:hint="eastAsia" w:cs="宋体" w:asciiTheme="minorEastAsia" w:hAnsiTheme="minorEastAsia"/>
          <w:szCs w:val="21"/>
        </w:rPr>
        <w:t>①</w:t>
      </w:r>
      <w:r>
        <w:rPr>
          <w:rFonts w:asciiTheme="minorEastAsia" w:hAnsiTheme="minorEastAsia"/>
          <w:szCs w:val="21"/>
        </w:rPr>
        <w:t>响应文件不满足竞价文件中加注星号（</w:t>
      </w:r>
      <w:r>
        <w:rPr>
          <w:rFonts w:hint="eastAsia" w:cs="宋体" w:asciiTheme="minorEastAsia" w:hAnsiTheme="minorEastAsia"/>
          <w:szCs w:val="21"/>
        </w:rPr>
        <w:t>※</w:t>
      </w:r>
      <w:r>
        <w:rPr>
          <w:rFonts w:asciiTheme="minorEastAsia" w:hAnsiTheme="minorEastAsia"/>
          <w:szCs w:val="21"/>
        </w:rPr>
        <w:t>）的主要参数要求或加注星号的主要参数无技术资料支持的；</w:t>
      </w:r>
      <w:r>
        <w:rPr>
          <w:rFonts w:hint="eastAsia" w:cs="宋体" w:asciiTheme="minorEastAsia" w:hAnsiTheme="minorEastAsia"/>
          <w:szCs w:val="21"/>
        </w:rPr>
        <w:t>②</w:t>
      </w:r>
      <w:r>
        <w:rPr>
          <w:rFonts w:asciiTheme="minorEastAsia" w:hAnsiTheme="minorEastAsia"/>
          <w:szCs w:val="21"/>
        </w:rPr>
        <w:t>一般参数超出允许偏离的最大范围或最高项数的；</w:t>
      </w:r>
      <w:r>
        <w:rPr>
          <w:rFonts w:hint="eastAsia" w:cs="宋体" w:asciiTheme="minorEastAsia" w:hAnsiTheme="minorEastAsia"/>
          <w:szCs w:val="21"/>
        </w:rPr>
        <w:t>③</w:t>
      </w:r>
      <w:r>
        <w:rPr>
          <w:rFonts w:asciiTheme="minorEastAsia" w:hAnsiTheme="minorEastAsia"/>
          <w:szCs w:val="21"/>
        </w:rPr>
        <w:t>响应文件技术响应与事实不符或虚假投标的；</w:t>
      </w:r>
      <w:r>
        <w:rPr>
          <w:rFonts w:hint="eastAsia" w:cs="宋体" w:asciiTheme="minorEastAsia" w:hAnsiTheme="minorEastAsia"/>
          <w:szCs w:val="21"/>
        </w:rPr>
        <w:t>④</w:t>
      </w:r>
      <w:r>
        <w:rPr>
          <w:rFonts w:asciiTheme="minorEastAsia" w:hAnsiTheme="minorEastAsia"/>
          <w:szCs w:val="21"/>
        </w:rPr>
        <w:t>投标人复制竞价文件的技术规格相关部分内容作为其响应文件的一部分的；</w:t>
      </w:r>
      <w:r>
        <w:rPr>
          <w:rFonts w:hint="eastAsia" w:cs="宋体" w:asciiTheme="minorEastAsia" w:hAnsiTheme="minorEastAsia"/>
          <w:szCs w:val="21"/>
        </w:rPr>
        <w:t>⑤</w:t>
      </w:r>
      <w:r>
        <w:rPr>
          <w:rFonts w:asciiTheme="minorEastAsia" w:hAnsiTheme="minorEastAsia"/>
          <w:szCs w:val="21"/>
        </w:rPr>
        <w:t>《技术规格偏离表》填写不明或不实的；</w:t>
      </w:r>
      <w:r>
        <w:rPr>
          <w:rFonts w:hint="eastAsia" w:cs="宋体" w:asciiTheme="minorEastAsia" w:hAnsiTheme="minorEastAsia"/>
          <w:szCs w:val="21"/>
        </w:rPr>
        <w:t>⑥</w:t>
      </w:r>
      <w:r>
        <w:rPr>
          <w:rFonts w:asciiTheme="minorEastAsia" w:hAnsiTheme="minorEastAsia"/>
          <w:szCs w:val="21"/>
        </w:rPr>
        <w:t>将一个包中的内容拆开投标的；</w:t>
      </w:r>
      <w:r>
        <w:rPr>
          <w:rFonts w:hint="eastAsia" w:cs="宋体" w:asciiTheme="minorEastAsia" w:hAnsiTheme="minorEastAsia"/>
          <w:szCs w:val="21"/>
        </w:rPr>
        <w:t>⑦</w:t>
      </w:r>
      <w:r>
        <w:rPr>
          <w:rFonts w:asciiTheme="minorEastAsia" w:hAnsiTheme="minorEastAsia"/>
          <w:szCs w:val="21"/>
        </w:rPr>
        <w:t>投标人对同一货物或服务投标时，同时提供两套或两套以上的投标方案的；</w:t>
      </w:r>
      <w:r>
        <w:rPr>
          <w:rFonts w:hint="eastAsia" w:cs="宋体" w:asciiTheme="minorEastAsia" w:hAnsiTheme="minorEastAsia"/>
          <w:szCs w:val="21"/>
        </w:rPr>
        <w:t>⑧</w:t>
      </w:r>
      <w:r>
        <w:rPr>
          <w:rFonts w:asciiTheme="minorEastAsia" w:hAnsiTheme="minorEastAsia"/>
          <w:szCs w:val="21"/>
        </w:rPr>
        <w:t>明显不符合技术规格、技术标准要求的；</w:t>
      </w:r>
      <w:r>
        <w:rPr>
          <w:rFonts w:hint="eastAsia" w:cs="宋体" w:asciiTheme="minorEastAsia" w:hAnsiTheme="minorEastAsia"/>
          <w:szCs w:val="21"/>
        </w:rPr>
        <w:t>⑨</w:t>
      </w:r>
      <w:r>
        <w:rPr>
          <w:rFonts w:asciiTheme="minorEastAsia" w:hAnsiTheme="minorEastAsia"/>
          <w:szCs w:val="21"/>
        </w:rPr>
        <w:t>其他未实质性响应竞价文件技术要求的。</w:t>
      </w:r>
    </w:p>
    <w:p w14:paraId="51E4B446">
      <w:pPr>
        <w:spacing w:line="360" w:lineRule="auto"/>
        <w:ind w:firstLine="422" w:firstLineChars="200"/>
        <w:rPr>
          <w:rFonts w:asciiTheme="minorEastAsia" w:hAnsiTheme="minorEastAsia"/>
          <w:b/>
          <w:szCs w:val="21"/>
        </w:rPr>
      </w:pPr>
      <w:bookmarkStart w:id="118" w:name="_Toc9317"/>
      <w:bookmarkStart w:id="119" w:name="_Toc27147"/>
      <w:bookmarkStart w:id="120" w:name="_Toc6987"/>
      <w:bookmarkStart w:id="121" w:name="_Toc32692"/>
      <w:bookmarkStart w:id="122" w:name="_Toc13742"/>
      <w:bookmarkStart w:id="123" w:name="_Toc16856"/>
      <w:bookmarkStart w:id="124" w:name="_Toc19531"/>
      <w:r>
        <w:rPr>
          <w:rFonts w:asciiTheme="minorEastAsia" w:hAnsiTheme="minorEastAsia"/>
          <w:b/>
          <w:szCs w:val="21"/>
        </w:rPr>
        <w:t>3) 商务响应瑕疵</w:t>
      </w:r>
      <w:bookmarkEnd w:id="118"/>
      <w:bookmarkEnd w:id="119"/>
      <w:bookmarkEnd w:id="120"/>
      <w:bookmarkEnd w:id="121"/>
      <w:bookmarkEnd w:id="122"/>
      <w:bookmarkEnd w:id="123"/>
      <w:bookmarkEnd w:id="124"/>
    </w:p>
    <w:p w14:paraId="4F8A2BEC">
      <w:pPr>
        <w:spacing w:line="360" w:lineRule="auto"/>
        <w:ind w:firstLine="420" w:firstLineChars="200"/>
        <w:rPr>
          <w:rFonts w:asciiTheme="minorEastAsia" w:hAnsiTheme="minorEastAsia"/>
          <w:szCs w:val="21"/>
        </w:rPr>
      </w:pPr>
      <w:r>
        <w:rPr>
          <w:rFonts w:asciiTheme="minorEastAsia" w:hAnsiTheme="minorEastAsia"/>
          <w:szCs w:val="21"/>
        </w:rPr>
        <w:t>包括但不限于：</w:t>
      </w:r>
      <w:r>
        <w:rPr>
          <w:rFonts w:hint="eastAsia" w:cs="宋体" w:asciiTheme="minorEastAsia" w:hAnsiTheme="minorEastAsia"/>
          <w:szCs w:val="21"/>
        </w:rPr>
        <w:t>①</w:t>
      </w:r>
      <w:r>
        <w:rPr>
          <w:rFonts w:asciiTheme="minorEastAsia" w:hAnsiTheme="minorEastAsia"/>
          <w:szCs w:val="21"/>
        </w:rPr>
        <w:t>竞价文件加注星号（</w:t>
      </w:r>
      <w:r>
        <w:rPr>
          <w:rFonts w:hint="eastAsia" w:cs="宋体" w:asciiTheme="minorEastAsia" w:hAnsiTheme="minorEastAsia"/>
          <w:szCs w:val="21"/>
        </w:rPr>
        <w:t>※</w:t>
      </w:r>
      <w:r>
        <w:rPr>
          <w:rFonts w:asciiTheme="minorEastAsia" w:hAnsiTheme="minorEastAsia"/>
          <w:szCs w:val="21"/>
        </w:rPr>
        <w:t>）的商务要求负偏离的；</w:t>
      </w:r>
      <w:r>
        <w:rPr>
          <w:rFonts w:hint="eastAsia" w:cs="宋体" w:asciiTheme="minorEastAsia" w:hAnsiTheme="minorEastAsia"/>
          <w:szCs w:val="21"/>
        </w:rPr>
        <w:t>②</w:t>
      </w:r>
      <w:r>
        <w:rPr>
          <w:rFonts w:asciiTheme="minorEastAsia" w:hAnsiTheme="minorEastAsia"/>
          <w:szCs w:val="21"/>
        </w:rPr>
        <w:t>招标项目完成期未满足竞价文件要求的；</w:t>
      </w:r>
      <w:r>
        <w:rPr>
          <w:rFonts w:hint="eastAsia" w:cs="宋体" w:asciiTheme="minorEastAsia" w:hAnsiTheme="minorEastAsia"/>
          <w:szCs w:val="21"/>
        </w:rPr>
        <w:t>③</w:t>
      </w:r>
      <w:r>
        <w:rPr>
          <w:rFonts w:asciiTheme="minorEastAsia" w:hAnsiTheme="minorEastAsia"/>
          <w:szCs w:val="21"/>
        </w:rPr>
        <w:t>响应文件载明的货物包装方式、检验标准和方法不符合竞价文件要求的；</w:t>
      </w:r>
      <w:r>
        <w:rPr>
          <w:rFonts w:hint="eastAsia" w:cs="宋体" w:asciiTheme="minorEastAsia" w:hAnsiTheme="minorEastAsia"/>
          <w:szCs w:val="21"/>
        </w:rPr>
        <w:t>④</w:t>
      </w:r>
      <w:r>
        <w:rPr>
          <w:rFonts w:asciiTheme="minorEastAsia" w:hAnsiTheme="minorEastAsia"/>
          <w:szCs w:val="21"/>
        </w:rPr>
        <w:t>《商务条款偏离表》填写不明或不实的；</w:t>
      </w:r>
      <w:r>
        <w:rPr>
          <w:rFonts w:hint="eastAsia" w:cs="宋体" w:asciiTheme="minorEastAsia" w:hAnsiTheme="minorEastAsia"/>
          <w:szCs w:val="21"/>
        </w:rPr>
        <w:t>⑤</w:t>
      </w:r>
      <w:r>
        <w:rPr>
          <w:rFonts w:asciiTheme="minorEastAsia" w:hAnsiTheme="minorEastAsia"/>
          <w:szCs w:val="21"/>
        </w:rPr>
        <w:t>响应文件附有招标人不能接受的条件的；</w:t>
      </w:r>
      <w:r>
        <w:rPr>
          <w:rFonts w:hint="eastAsia" w:cs="宋体" w:asciiTheme="minorEastAsia" w:hAnsiTheme="minorEastAsia"/>
          <w:szCs w:val="21"/>
        </w:rPr>
        <w:t>⑥</w:t>
      </w:r>
      <w:r>
        <w:rPr>
          <w:rFonts w:hint="eastAsia" w:asciiTheme="minorEastAsia" w:hAnsiTheme="minorEastAsia"/>
          <w:szCs w:val="21"/>
        </w:rPr>
        <w:t>响应文件中附有招标人不能接受的条件；</w:t>
      </w:r>
      <w:r>
        <w:rPr>
          <w:rFonts w:hint="eastAsia" w:cs="宋体" w:asciiTheme="minorEastAsia" w:hAnsiTheme="minorEastAsia"/>
          <w:szCs w:val="21"/>
        </w:rPr>
        <w:t>⑦</w:t>
      </w:r>
      <w:r>
        <w:rPr>
          <w:rFonts w:asciiTheme="minorEastAsia" w:hAnsiTheme="minorEastAsia"/>
          <w:szCs w:val="21"/>
        </w:rPr>
        <w:t>其他未实质性响应竞价文件商务要求的。</w:t>
      </w:r>
    </w:p>
    <w:p w14:paraId="5C678B98">
      <w:pPr>
        <w:spacing w:line="360" w:lineRule="auto"/>
        <w:ind w:firstLine="422" w:firstLineChars="200"/>
        <w:rPr>
          <w:rFonts w:asciiTheme="minorEastAsia" w:hAnsiTheme="minorEastAsia"/>
          <w:b/>
          <w:szCs w:val="21"/>
        </w:rPr>
      </w:pPr>
      <w:r>
        <w:rPr>
          <w:rFonts w:asciiTheme="minorEastAsia" w:hAnsiTheme="minorEastAsia"/>
          <w:b/>
          <w:szCs w:val="21"/>
        </w:rPr>
        <w:t>4）违规行为</w:t>
      </w:r>
    </w:p>
    <w:p w14:paraId="46897384">
      <w:pPr>
        <w:spacing w:line="360" w:lineRule="auto"/>
        <w:ind w:firstLine="420" w:firstLineChars="200"/>
        <w:rPr>
          <w:rFonts w:asciiTheme="minorEastAsia" w:hAnsiTheme="minorEastAsia"/>
          <w:szCs w:val="21"/>
        </w:rPr>
      </w:pPr>
      <w:r>
        <w:rPr>
          <w:rFonts w:asciiTheme="minorEastAsia" w:hAnsiTheme="minorEastAsia"/>
          <w:szCs w:val="21"/>
        </w:rPr>
        <w:t>包括但不限于：</w:t>
      </w:r>
      <w:r>
        <w:rPr>
          <w:rFonts w:hint="eastAsia" w:cs="宋体" w:asciiTheme="minorEastAsia" w:hAnsiTheme="minorEastAsia"/>
          <w:szCs w:val="21"/>
        </w:rPr>
        <w:t>①</w:t>
      </w:r>
      <w:r>
        <w:rPr>
          <w:rFonts w:asciiTheme="minorEastAsia" w:hAnsiTheme="minorEastAsia"/>
          <w:szCs w:val="21"/>
        </w:rPr>
        <w:t>以他人的名义投标、串通投标、以行贿手段谋取中标或者以其他弄虚作假方式投标的；</w:t>
      </w:r>
      <w:r>
        <w:rPr>
          <w:rFonts w:hint="eastAsia" w:cs="宋体" w:asciiTheme="minorEastAsia" w:hAnsiTheme="minorEastAsia"/>
          <w:szCs w:val="21"/>
        </w:rPr>
        <w:t>②</w:t>
      </w:r>
      <w:r>
        <w:rPr>
          <w:rFonts w:asciiTheme="minorEastAsia" w:hAnsiTheme="minorEastAsia"/>
          <w:szCs w:val="21"/>
        </w:rPr>
        <w:t>拒不按照要求对响应文件进行澄清、说明或者补正的；</w:t>
      </w:r>
      <w:r>
        <w:rPr>
          <w:rFonts w:hint="eastAsia" w:cs="宋体" w:asciiTheme="minorEastAsia" w:hAnsiTheme="minorEastAsia"/>
          <w:szCs w:val="21"/>
        </w:rPr>
        <w:t>③</w:t>
      </w:r>
      <w:r>
        <w:rPr>
          <w:rFonts w:asciiTheme="minorEastAsia" w:hAnsiTheme="minorEastAsia"/>
          <w:szCs w:val="21"/>
        </w:rPr>
        <w:t>扰乱开标、评标秩序，干扰招标工作正常进行的。</w:t>
      </w:r>
    </w:p>
    <w:p w14:paraId="4D713E39">
      <w:pPr>
        <w:spacing w:line="360" w:lineRule="auto"/>
        <w:ind w:firstLine="422" w:firstLineChars="200"/>
        <w:rPr>
          <w:rFonts w:asciiTheme="minorEastAsia" w:hAnsiTheme="minorEastAsia"/>
          <w:b/>
          <w:szCs w:val="21"/>
        </w:rPr>
      </w:pPr>
      <w:r>
        <w:rPr>
          <w:rFonts w:hint="eastAsia" w:asciiTheme="minorEastAsia" w:hAnsiTheme="minorEastAsia"/>
          <w:b/>
          <w:szCs w:val="21"/>
        </w:rPr>
        <w:t>投标报价</w:t>
      </w:r>
    </w:p>
    <w:p w14:paraId="7A787E6C">
      <w:pPr>
        <w:spacing w:line="360" w:lineRule="auto"/>
        <w:ind w:firstLine="420" w:firstLineChars="200"/>
        <w:rPr>
          <w:rFonts w:asciiTheme="minorEastAsia" w:hAnsiTheme="minorEastAsia"/>
          <w:szCs w:val="21"/>
        </w:rPr>
      </w:pPr>
      <w:r>
        <w:rPr>
          <w:rFonts w:hint="eastAsia" w:asciiTheme="minorEastAsia" w:hAnsiTheme="minorEastAsia"/>
          <w:bCs/>
          <w:szCs w:val="21"/>
        </w:rPr>
        <w:t>包括但不限于：</w:t>
      </w:r>
      <w:r>
        <w:rPr>
          <w:rFonts w:hint="eastAsia" w:cs="宋体" w:asciiTheme="minorEastAsia" w:hAnsiTheme="minorEastAsia"/>
          <w:szCs w:val="21"/>
        </w:rPr>
        <w:t>①</w:t>
      </w:r>
      <w:r>
        <w:rPr>
          <w:rFonts w:hint="eastAsia" w:asciiTheme="minorEastAsia" w:hAnsiTheme="minorEastAsia"/>
          <w:szCs w:val="21"/>
        </w:rPr>
        <w:t>投标报价超出预算控制金额上限，或超过竞价文件规定的最高投标限价</w:t>
      </w:r>
      <w:r>
        <w:rPr>
          <w:rFonts w:hint="eastAsia" w:cs="宋体" w:asciiTheme="minorEastAsia" w:hAnsiTheme="minorEastAsia"/>
          <w:szCs w:val="21"/>
        </w:rPr>
        <w:t>②</w:t>
      </w:r>
      <w:r>
        <w:rPr>
          <w:rFonts w:hint="eastAsia" w:asciiTheme="minorEastAsia" w:hAnsiTheme="minorEastAsia"/>
          <w:szCs w:val="21"/>
        </w:rPr>
        <w:t>选择性报价或可变动报价</w:t>
      </w:r>
      <w:r>
        <w:rPr>
          <w:rFonts w:hint="eastAsia" w:cs="宋体" w:asciiTheme="minorEastAsia" w:hAnsiTheme="minorEastAsia"/>
          <w:szCs w:val="21"/>
        </w:rPr>
        <w:t>③</w:t>
      </w:r>
      <w:r>
        <w:rPr>
          <w:rFonts w:asciiTheme="minorEastAsia" w:hAnsiTheme="minorEastAsia"/>
          <w:szCs w:val="21"/>
        </w:rPr>
        <w:t>投标人低于成本报价竞标的</w:t>
      </w:r>
    </w:p>
    <w:p w14:paraId="200DDCCF">
      <w:pPr>
        <w:spacing w:line="360" w:lineRule="auto"/>
        <w:ind w:firstLine="422" w:firstLineChars="200"/>
        <w:rPr>
          <w:rFonts w:asciiTheme="minorEastAsia" w:hAnsiTheme="minorEastAsia"/>
          <w:b/>
          <w:bCs/>
          <w:szCs w:val="21"/>
        </w:rPr>
      </w:pPr>
      <w:r>
        <w:rPr>
          <w:rFonts w:hint="eastAsia" w:asciiTheme="minorEastAsia" w:hAnsiTheme="minorEastAsia"/>
          <w:b/>
          <w:bCs/>
          <w:szCs w:val="21"/>
        </w:rPr>
        <w:t>6</w:t>
      </w:r>
      <w:r>
        <w:rPr>
          <w:rFonts w:asciiTheme="minorEastAsia" w:hAnsiTheme="minorEastAsia"/>
          <w:b/>
          <w:bCs/>
          <w:szCs w:val="21"/>
        </w:rPr>
        <w:t>）法律法规及竞价文件中规定的其它情形。</w:t>
      </w:r>
    </w:p>
    <w:p w14:paraId="34275032">
      <w:pPr>
        <w:spacing w:line="360" w:lineRule="auto"/>
        <w:ind w:firstLine="420" w:firstLineChars="200"/>
        <w:rPr>
          <w:rFonts w:asciiTheme="minorEastAsia" w:hAnsiTheme="minorEastAsia"/>
          <w:szCs w:val="21"/>
        </w:rPr>
      </w:pPr>
      <w:r>
        <w:rPr>
          <w:rFonts w:asciiTheme="minorEastAsia" w:hAnsiTheme="minorEastAsia"/>
          <w:szCs w:val="21"/>
        </w:rPr>
        <w:t>根据项目情况，评标委员会有权决定竞价文件中“可能导致</w:t>
      </w:r>
      <w:r>
        <w:rPr>
          <w:rFonts w:hint="eastAsia" w:asciiTheme="minorEastAsia" w:hAnsiTheme="minorEastAsia"/>
          <w:szCs w:val="21"/>
        </w:rPr>
        <w:t>投标无效</w:t>
      </w:r>
      <w:r>
        <w:rPr>
          <w:rFonts w:asciiTheme="minorEastAsia" w:hAnsiTheme="minorEastAsia"/>
          <w:szCs w:val="21"/>
        </w:rPr>
        <w:t>”或“可能导致其投标被拒绝”等具体条款是否实施“</w:t>
      </w:r>
      <w:r>
        <w:rPr>
          <w:rFonts w:hint="eastAsia" w:asciiTheme="minorEastAsia" w:hAnsiTheme="minorEastAsia"/>
          <w:szCs w:val="21"/>
        </w:rPr>
        <w:t>投标无效</w:t>
      </w:r>
      <w:r>
        <w:rPr>
          <w:rFonts w:asciiTheme="minorEastAsia" w:hAnsiTheme="minorEastAsia"/>
          <w:szCs w:val="21"/>
        </w:rPr>
        <w:t>”或“投标被拒绝”，但对同一条款的裁决应适用于每个投标人。</w:t>
      </w:r>
    </w:p>
    <w:p w14:paraId="7C98445F">
      <w:pPr>
        <w:pStyle w:val="4"/>
        <w:spacing w:line="360" w:lineRule="auto"/>
        <w:ind w:firstLine="482"/>
      </w:pPr>
      <w:bookmarkStart w:id="125" w:name="_Toc7255"/>
      <w:bookmarkStart w:id="126" w:name="_Toc55548525"/>
      <w:r>
        <w:rPr>
          <w:rFonts w:hint="eastAsia"/>
        </w:rPr>
        <w:t>评标方法和定标原则</w:t>
      </w:r>
      <w:bookmarkEnd w:id="125"/>
      <w:bookmarkEnd w:id="126"/>
    </w:p>
    <w:p w14:paraId="45DBD172">
      <w:pPr>
        <w:spacing w:line="360" w:lineRule="auto"/>
        <w:ind w:firstLine="420" w:firstLineChars="200"/>
        <w:rPr>
          <w:rFonts w:asciiTheme="minorEastAsia" w:hAnsiTheme="minorEastAsia"/>
          <w:szCs w:val="21"/>
        </w:rPr>
      </w:pPr>
      <w:r>
        <w:rPr>
          <w:rFonts w:asciiTheme="minorEastAsia" w:hAnsiTheme="minorEastAsia"/>
          <w:szCs w:val="21"/>
        </w:rPr>
        <w:t>最低评标价法</w:t>
      </w:r>
    </w:p>
    <w:p w14:paraId="3567537D">
      <w:pPr>
        <w:spacing w:line="360" w:lineRule="auto"/>
        <w:ind w:firstLine="420" w:firstLineChars="200"/>
        <w:rPr>
          <w:rFonts w:asciiTheme="minorEastAsia" w:hAnsiTheme="minorEastAsia"/>
          <w:szCs w:val="21"/>
        </w:rPr>
      </w:pPr>
      <w:r>
        <w:rPr>
          <w:rFonts w:asciiTheme="minorEastAsia" w:hAnsiTheme="minorEastAsia"/>
          <w:szCs w:val="21"/>
        </w:rPr>
        <w:t>最低评标价法，是指以价格因素确定中标候选人的评标方法，即在满足竞价文件实质性要求前提下，以报价最低的投标供应商作为中标候选人或中标人。完全满足竞价文件的实质性要求，按照报价由低到高的顺序，依据竞价文件中规定的数量或者比例推荐候选中标供应商。</w:t>
      </w:r>
    </w:p>
    <w:p w14:paraId="1CDDF6A3">
      <w:pPr>
        <w:spacing w:line="360" w:lineRule="auto"/>
        <w:ind w:firstLine="420" w:firstLineChars="200"/>
        <w:rPr>
          <w:rFonts w:asciiTheme="minorEastAsia" w:hAnsiTheme="minorEastAsia"/>
          <w:szCs w:val="21"/>
        </w:rPr>
      </w:pPr>
      <w:r>
        <w:rPr>
          <w:rFonts w:asciiTheme="minorEastAsia" w:hAnsiTheme="minorEastAsia"/>
          <w:szCs w:val="21"/>
        </w:rPr>
        <w:t>中标人的投标应当符合竞价文件规定的资质、技术要求和标准，但评标委员会无需对响应文件的技术部分进行价格折算。</w:t>
      </w:r>
    </w:p>
    <w:p w14:paraId="7153D321">
      <w:pPr>
        <w:spacing w:line="360" w:lineRule="auto"/>
        <w:ind w:firstLine="420" w:firstLineChars="200"/>
        <w:rPr>
          <w:rFonts w:asciiTheme="minorEastAsia" w:hAnsiTheme="minorEastAsia"/>
          <w:szCs w:val="21"/>
        </w:rPr>
      </w:pPr>
      <w:r>
        <w:rPr>
          <w:rFonts w:asciiTheme="minorEastAsia" w:hAnsiTheme="minorEastAsia"/>
          <w:szCs w:val="21"/>
        </w:rPr>
        <w:t>评标委员会将依据委托招标金额作为授予合同价格的上限。</w:t>
      </w:r>
    </w:p>
    <w:p w14:paraId="60241D06">
      <w:pPr>
        <w:spacing w:line="360" w:lineRule="auto"/>
        <w:ind w:firstLine="420" w:firstLineChars="200"/>
        <w:rPr>
          <w:rFonts w:asciiTheme="minorEastAsia" w:hAnsiTheme="minorEastAsia"/>
          <w:szCs w:val="21"/>
        </w:rPr>
      </w:pPr>
      <w:r>
        <w:rPr>
          <w:rFonts w:asciiTheme="minorEastAsia" w:hAnsiTheme="minorEastAsia"/>
          <w:szCs w:val="21"/>
        </w:rPr>
        <w:t>评标委员会同时将参照本须知规定，只对确定为实质上响应竞价文件要求的投标进行下一步评定。</w:t>
      </w:r>
    </w:p>
    <w:p w14:paraId="359795A8">
      <w:pPr>
        <w:spacing w:line="360" w:lineRule="auto"/>
        <w:ind w:firstLine="420" w:firstLineChars="200"/>
        <w:rPr>
          <w:rFonts w:asciiTheme="minorEastAsia" w:hAnsiTheme="minorEastAsia"/>
          <w:szCs w:val="21"/>
        </w:rPr>
      </w:pPr>
      <w:r>
        <w:rPr>
          <w:rFonts w:asciiTheme="minorEastAsia" w:hAnsiTheme="minorEastAsia"/>
          <w:szCs w:val="21"/>
        </w:rPr>
        <w:t>定标原则</w:t>
      </w:r>
    </w:p>
    <w:p w14:paraId="66DBAB48">
      <w:pPr>
        <w:spacing w:line="360" w:lineRule="auto"/>
        <w:ind w:firstLine="420" w:firstLineChars="200"/>
        <w:rPr>
          <w:rFonts w:asciiTheme="minorEastAsia" w:hAnsiTheme="minorEastAsia"/>
          <w:szCs w:val="21"/>
        </w:rPr>
      </w:pPr>
      <w:r>
        <w:rPr>
          <w:rFonts w:asciiTheme="minorEastAsia" w:hAnsiTheme="minorEastAsia"/>
          <w:szCs w:val="21"/>
        </w:rPr>
        <w:t>通过资格性检查和符合性审查且报价不超过预算控制金额并同时具备以下条件的投标人应当确定为中标候选供应商或中标供应商：</w:t>
      </w:r>
    </w:p>
    <w:p w14:paraId="0FDB9696">
      <w:pPr>
        <w:spacing w:line="360" w:lineRule="auto"/>
        <w:ind w:firstLine="420" w:firstLineChars="200"/>
        <w:rPr>
          <w:rFonts w:asciiTheme="minorEastAsia" w:hAnsiTheme="minorEastAsia"/>
          <w:szCs w:val="21"/>
        </w:rPr>
      </w:pPr>
      <w:r>
        <w:rPr>
          <w:rFonts w:asciiTheme="minorEastAsia" w:hAnsiTheme="minorEastAsia"/>
          <w:szCs w:val="21"/>
        </w:rPr>
        <w:t>（一）满足竞价文件实质性要求；</w:t>
      </w:r>
    </w:p>
    <w:p w14:paraId="53E03B70">
      <w:pPr>
        <w:spacing w:line="360" w:lineRule="auto"/>
        <w:ind w:firstLine="420" w:firstLineChars="200"/>
        <w:rPr>
          <w:rFonts w:asciiTheme="minorEastAsia" w:hAnsiTheme="minorEastAsia"/>
          <w:szCs w:val="21"/>
        </w:rPr>
      </w:pPr>
      <w:r>
        <w:rPr>
          <w:rFonts w:asciiTheme="minorEastAsia" w:hAnsiTheme="minorEastAsia"/>
          <w:szCs w:val="21"/>
        </w:rPr>
        <w:t>（二）投标的价格最低。</w:t>
      </w:r>
    </w:p>
    <w:p w14:paraId="43BE7F7A">
      <w:pPr>
        <w:spacing w:line="360" w:lineRule="auto"/>
        <w:ind w:firstLine="420" w:firstLineChars="200"/>
        <w:rPr>
          <w:rFonts w:asciiTheme="minorEastAsia" w:hAnsiTheme="minorEastAsia"/>
          <w:szCs w:val="21"/>
        </w:rPr>
      </w:pPr>
      <w:r>
        <w:rPr>
          <w:rFonts w:asciiTheme="minorEastAsia" w:hAnsiTheme="minorEastAsia"/>
          <w:szCs w:val="21"/>
        </w:rPr>
        <w:t>按投标报价由低到高顺序排列。投标报价相同的，按技术指标优劣顺序排列。评标委员会认为，排在前面的供应商的最低投标报价或者某些分项报价明显不合理或者低于成本，有可能影响商品质量和不能诚信履约的，评标委员会应当要求其在规定的期限内提供书面文件予以解释说明，并提交相关证明材料；否则，评标委员会可以取消该投标供应商的中标资格，按顺序由排在后面的供应商递补，以此类推。</w:t>
      </w:r>
    </w:p>
    <w:p w14:paraId="0D63C5D8">
      <w:pPr>
        <w:spacing w:line="360" w:lineRule="auto"/>
        <w:ind w:firstLine="420" w:firstLineChars="200"/>
        <w:rPr>
          <w:rFonts w:asciiTheme="minorEastAsia" w:hAnsiTheme="minorEastAsia"/>
          <w:szCs w:val="21"/>
        </w:rPr>
      </w:pPr>
      <w:r>
        <w:rPr>
          <w:rFonts w:asciiTheme="minorEastAsia" w:hAnsiTheme="minorEastAsia"/>
          <w:szCs w:val="21"/>
        </w:rPr>
        <w:t>综合评分法</w:t>
      </w:r>
    </w:p>
    <w:p w14:paraId="66D69060">
      <w:pPr>
        <w:spacing w:line="360" w:lineRule="auto"/>
        <w:ind w:firstLine="420" w:firstLineChars="200"/>
        <w:rPr>
          <w:rFonts w:asciiTheme="minorEastAsia" w:hAnsiTheme="minorEastAsia"/>
          <w:szCs w:val="21"/>
        </w:rPr>
      </w:pPr>
      <w:r>
        <w:rPr>
          <w:rFonts w:asciiTheme="minorEastAsia" w:hAnsiTheme="minorEastAsia"/>
          <w:szCs w:val="21"/>
        </w:rPr>
        <w:t>综合评分法是指在最大限度满足竞价文件实质性要求前提下，按照竞价文件规定的各项评价因素进行量化打分，每个投标供应商的总得分应以全体评委评分加权汇总后的算术平均值确定，以评标总得分最高的投标供应商作为中标候选供应商或中标供应商的评标方法。除另有规定外，评标委员会在评标报告中，按照“N+2”的数量推荐中标候选供应商，其中N为需要的中标供应商数量。当有效供应商少于“N+2”时，全部推荐。</w:t>
      </w:r>
    </w:p>
    <w:p w14:paraId="785394A5">
      <w:pPr>
        <w:spacing w:line="360" w:lineRule="auto"/>
        <w:ind w:firstLine="420" w:firstLineChars="200"/>
        <w:rPr>
          <w:rFonts w:asciiTheme="minorEastAsia" w:hAnsiTheme="minorEastAsia"/>
          <w:szCs w:val="21"/>
        </w:rPr>
      </w:pPr>
      <w:r>
        <w:rPr>
          <w:rFonts w:asciiTheme="minorEastAsia" w:hAnsiTheme="minorEastAsia"/>
          <w:szCs w:val="21"/>
        </w:rPr>
        <w:t>评标委员会将依据委托招标金额作为授予合同价格的上限。</w:t>
      </w:r>
    </w:p>
    <w:p w14:paraId="071E5594">
      <w:pPr>
        <w:spacing w:line="360" w:lineRule="auto"/>
        <w:ind w:firstLine="420" w:firstLineChars="200"/>
        <w:rPr>
          <w:rFonts w:asciiTheme="minorEastAsia" w:hAnsiTheme="minorEastAsia"/>
          <w:szCs w:val="21"/>
        </w:rPr>
      </w:pPr>
      <w:r>
        <w:rPr>
          <w:rFonts w:asciiTheme="minorEastAsia" w:hAnsiTheme="minorEastAsia"/>
          <w:szCs w:val="21"/>
        </w:rPr>
        <w:t>评标委员会同时将参照本须知规定，只对确定为实质上响应竞价文件要求的投标进行下一步评定。</w:t>
      </w:r>
    </w:p>
    <w:p w14:paraId="3923AD93">
      <w:pPr>
        <w:spacing w:line="360" w:lineRule="auto"/>
        <w:ind w:firstLine="420" w:firstLineChars="200"/>
        <w:rPr>
          <w:rFonts w:asciiTheme="minorEastAsia" w:hAnsiTheme="minorEastAsia"/>
          <w:szCs w:val="21"/>
        </w:rPr>
      </w:pPr>
      <w:bookmarkStart w:id="127" w:name="_Ref179621304"/>
      <w:r>
        <w:rPr>
          <w:rFonts w:asciiTheme="minorEastAsia" w:hAnsiTheme="minorEastAsia"/>
          <w:szCs w:val="21"/>
        </w:rPr>
        <w:t>综合评审：评标委员会按照下述公式对每个通过资格性检查和符合性检查且报价不超过预算控制金额的投标供应商进行评审、打分，然后汇总每个投标供应商每项评分因素的得分。综合评分的各项因素主要包括技术、价格和商务等内容，根据招标项目要求的不同，本项目的评分因素和权重分值见竞价文件。</w:t>
      </w:r>
      <w:bookmarkEnd w:id="127"/>
    </w:p>
    <w:p w14:paraId="0BA977AB">
      <w:pPr>
        <w:spacing w:line="360" w:lineRule="auto"/>
        <w:ind w:firstLine="420" w:firstLineChars="200"/>
        <w:rPr>
          <w:rFonts w:asciiTheme="minorEastAsia" w:hAnsiTheme="minorEastAsia"/>
          <w:szCs w:val="21"/>
        </w:rPr>
      </w:pPr>
      <w:r>
        <w:rPr>
          <w:rFonts w:asciiTheme="minorEastAsia" w:hAnsiTheme="minorEastAsia"/>
          <w:szCs w:val="21"/>
        </w:rPr>
        <w:t>评标总得分＝（A1×J+A2×S+…An×X）；</w:t>
      </w:r>
    </w:p>
    <w:p w14:paraId="6CD87CC9">
      <w:pPr>
        <w:spacing w:line="360" w:lineRule="auto"/>
        <w:ind w:firstLine="420" w:firstLineChars="200"/>
        <w:rPr>
          <w:rFonts w:asciiTheme="minorEastAsia" w:hAnsiTheme="minorEastAsia"/>
          <w:szCs w:val="21"/>
        </w:rPr>
      </w:pPr>
      <w:r>
        <w:rPr>
          <w:rFonts w:asciiTheme="minorEastAsia" w:hAnsiTheme="minorEastAsia"/>
          <w:szCs w:val="21"/>
        </w:rPr>
        <w:t>J、S、……X分别为各项评分因素，各因素满分均为100分；</w:t>
      </w:r>
    </w:p>
    <w:p w14:paraId="7BA5927D">
      <w:pPr>
        <w:spacing w:line="360" w:lineRule="auto"/>
        <w:ind w:firstLine="420" w:firstLineChars="200"/>
        <w:rPr>
          <w:rFonts w:asciiTheme="minorEastAsia" w:hAnsiTheme="minorEastAsia"/>
          <w:szCs w:val="21"/>
        </w:rPr>
      </w:pPr>
      <w:r>
        <w:rPr>
          <w:rFonts w:asciiTheme="minorEastAsia" w:hAnsiTheme="minorEastAsia"/>
          <w:szCs w:val="21"/>
        </w:rPr>
        <w:t>A1 、A2、A3、...An分别是各项评分因素所占的权重（A1＋A2＋A3＋…＋An＝1）；</w:t>
      </w:r>
    </w:p>
    <w:p w14:paraId="659C542C">
      <w:pPr>
        <w:spacing w:line="360" w:lineRule="auto"/>
        <w:ind w:firstLine="420" w:firstLineChars="200"/>
        <w:rPr>
          <w:rFonts w:asciiTheme="minorEastAsia" w:hAnsiTheme="minorEastAsia"/>
          <w:szCs w:val="21"/>
        </w:rPr>
      </w:pPr>
      <w:r>
        <w:rPr>
          <w:rFonts w:asciiTheme="minorEastAsia" w:hAnsiTheme="minorEastAsia"/>
          <w:szCs w:val="21"/>
        </w:rPr>
        <w:t>价格分计算方法：满足竞价文件要求且投标价格最低的投标报价为评标基准价，其价格分为满分。其他投标人的价格分统一按照下列公式计算：</w:t>
      </w:r>
    </w:p>
    <w:p w14:paraId="06A6AB24">
      <w:pPr>
        <w:spacing w:line="360" w:lineRule="auto"/>
        <w:ind w:firstLine="420" w:firstLineChars="200"/>
        <w:rPr>
          <w:rFonts w:asciiTheme="minorEastAsia" w:hAnsiTheme="minorEastAsia"/>
          <w:szCs w:val="21"/>
        </w:rPr>
      </w:pPr>
      <w:r>
        <w:rPr>
          <w:rFonts w:asciiTheme="minorEastAsia" w:hAnsiTheme="minorEastAsia"/>
          <w:szCs w:val="21"/>
        </w:rPr>
        <w:t>投标报价得分=(评标基准价／投标报价)×价格权重×100</w:t>
      </w:r>
    </w:p>
    <w:p w14:paraId="44FAFC50">
      <w:pPr>
        <w:spacing w:line="360" w:lineRule="auto"/>
        <w:ind w:firstLine="420" w:firstLineChars="200"/>
        <w:rPr>
          <w:rFonts w:asciiTheme="minorEastAsia" w:hAnsiTheme="minorEastAsia"/>
          <w:szCs w:val="21"/>
        </w:rPr>
      </w:pPr>
      <w:r>
        <w:rPr>
          <w:rFonts w:asciiTheme="minorEastAsia" w:hAnsiTheme="minorEastAsia"/>
          <w:szCs w:val="21"/>
        </w:rPr>
        <w:t>定标原则：按评审后得分由高到低顺序排序。得分最高的投标供应商作为中标候选供应商或中标供应商。得分相同的，按投标报价由低到高排列。得分且投标报价相同的，按技术指标优劣顺序排列。</w:t>
      </w:r>
    </w:p>
    <w:p w14:paraId="71182C48">
      <w:pPr>
        <w:spacing w:line="360" w:lineRule="auto"/>
        <w:ind w:firstLine="420" w:firstLineChars="200"/>
        <w:rPr>
          <w:rFonts w:asciiTheme="minorEastAsia" w:hAnsiTheme="minorEastAsia"/>
          <w:szCs w:val="21"/>
        </w:rPr>
      </w:pPr>
      <w:r>
        <w:rPr>
          <w:rFonts w:asciiTheme="minorEastAsia" w:hAnsiTheme="minorEastAsia"/>
          <w:szCs w:val="21"/>
        </w:rPr>
        <w:t>性价比法</w:t>
      </w:r>
    </w:p>
    <w:p w14:paraId="4E3D2207">
      <w:pPr>
        <w:spacing w:line="360" w:lineRule="auto"/>
        <w:ind w:firstLine="420" w:firstLineChars="200"/>
        <w:rPr>
          <w:rFonts w:asciiTheme="minorEastAsia" w:hAnsiTheme="minorEastAsia"/>
          <w:szCs w:val="21"/>
        </w:rPr>
      </w:pPr>
      <w:r>
        <w:rPr>
          <w:rFonts w:asciiTheme="minorEastAsia" w:hAnsiTheme="minorEastAsia"/>
          <w:szCs w:val="21"/>
        </w:rPr>
        <w:t>性价比法，是指除价格因素外，经对响应文件进行评审，计算出各评分因素的总分，除以投标报价，以商数最高的投标供应商作为中标候选供应商或中标供应商的评标方法。</w:t>
      </w:r>
    </w:p>
    <w:p w14:paraId="63A75FBB">
      <w:pPr>
        <w:spacing w:line="360" w:lineRule="auto"/>
        <w:ind w:firstLine="420" w:firstLineChars="200"/>
        <w:rPr>
          <w:rFonts w:asciiTheme="minorEastAsia" w:hAnsiTheme="minorEastAsia"/>
          <w:szCs w:val="21"/>
        </w:rPr>
      </w:pPr>
      <w:r>
        <w:rPr>
          <w:rFonts w:asciiTheme="minorEastAsia" w:hAnsiTheme="minorEastAsia"/>
          <w:szCs w:val="21"/>
        </w:rPr>
        <w:t>评标委员会将依据委托招标金额作为授予合同价格的上限。</w:t>
      </w:r>
    </w:p>
    <w:p w14:paraId="6AAE7028">
      <w:pPr>
        <w:spacing w:line="360" w:lineRule="auto"/>
        <w:ind w:firstLine="420" w:firstLineChars="200"/>
        <w:rPr>
          <w:rFonts w:asciiTheme="minorEastAsia" w:hAnsiTheme="minorEastAsia"/>
          <w:szCs w:val="21"/>
        </w:rPr>
      </w:pPr>
      <w:r>
        <w:rPr>
          <w:rFonts w:asciiTheme="minorEastAsia" w:hAnsiTheme="minorEastAsia"/>
          <w:szCs w:val="21"/>
        </w:rPr>
        <w:t>评标委员会同时将参照本须知第</w:t>
      </w:r>
      <w:r>
        <w:rPr>
          <w:rFonts w:asciiTheme="minorEastAsia" w:hAnsiTheme="minorEastAsia"/>
          <w:szCs w:val="21"/>
        </w:rPr>
        <w:fldChar w:fldCharType="begin"/>
      </w:r>
      <w:r>
        <w:rPr>
          <w:rFonts w:asciiTheme="minorEastAsia" w:hAnsiTheme="minorEastAsia"/>
          <w:szCs w:val="21"/>
        </w:rPr>
        <w:instrText xml:space="preserve"> REF _Ref179619330 \r \h  \* MERGEFORMAT </w:instrText>
      </w:r>
      <w:r>
        <w:rPr>
          <w:rFonts w:asciiTheme="minorEastAsia" w:hAnsiTheme="minorEastAsia"/>
          <w:szCs w:val="21"/>
        </w:rPr>
        <w:fldChar w:fldCharType="separate"/>
      </w:r>
      <w:r>
        <w:rPr>
          <w:rFonts w:asciiTheme="minorEastAsia" w:hAnsiTheme="minorEastAsia"/>
          <w:b/>
          <w:szCs w:val="21"/>
        </w:rPr>
        <w:t>0</w:t>
      </w:r>
      <w:r>
        <w:rPr>
          <w:rFonts w:asciiTheme="minorEastAsia" w:hAnsiTheme="minorEastAsia"/>
          <w:szCs w:val="21"/>
        </w:rPr>
        <w:fldChar w:fldCharType="end"/>
      </w:r>
      <w:r>
        <w:rPr>
          <w:rFonts w:asciiTheme="minorEastAsia" w:hAnsiTheme="minorEastAsia"/>
          <w:szCs w:val="21"/>
        </w:rPr>
        <w:t>条规定，只对确定为实质上响应竞价文件要求的投标进行下一步评定。</w:t>
      </w:r>
    </w:p>
    <w:p w14:paraId="63505E85">
      <w:pPr>
        <w:spacing w:line="360" w:lineRule="auto"/>
        <w:ind w:firstLine="420" w:firstLineChars="200"/>
        <w:rPr>
          <w:rFonts w:asciiTheme="minorEastAsia" w:hAnsiTheme="minorEastAsia"/>
          <w:szCs w:val="21"/>
        </w:rPr>
      </w:pPr>
      <w:bookmarkStart w:id="128" w:name="_Ref179621588"/>
      <w:r>
        <w:rPr>
          <w:rFonts w:asciiTheme="minorEastAsia" w:hAnsiTheme="minorEastAsia"/>
          <w:szCs w:val="21"/>
        </w:rPr>
        <w:t>综合评审：评标委员会对每个通过资格性检查和符合性检查且报价不超过预算控制金额的投标供应商进行评审、打分。综合评分的各项因素主要包括技术和商务等内容，根据招标项目要求的不同，本项目的评分因素和权重分值见竞价文件。</w:t>
      </w:r>
      <w:bookmarkEnd w:id="128"/>
    </w:p>
    <w:p w14:paraId="60D50EC6">
      <w:pPr>
        <w:spacing w:line="360" w:lineRule="auto"/>
        <w:ind w:firstLine="420" w:firstLineChars="200"/>
        <w:rPr>
          <w:rFonts w:asciiTheme="minorEastAsia" w:hAnsiTheme="minorEastAsia"/>
          <w:szCs w:val="21"/>
        </w:rPr>
      </w:pPr>
      <w:r>
        <w:rPr>
          <w:rFonts w:asciiTheme="minorEastAsia" w:hAnsiTheme="minorEastAsia"/>
          <w:szCs w:val="21"/>
        </w:rPr>
        <w:t>计算</w:t>
      </w:r>
    </w:p>
    <w:p w14:paraId="3420E46D">
      <w:pPr>
        <w:spacing w:line="360" w:lineRule="auto"/>
        <w:ind w:firstLine="420" w:firstLineChars="200"/>
        <w:rPr>
          <w:rFonts w:asciiTheme="minorEastAsia" w:hAnsiTheme="minorEastAsia"/>
          <w:szCs w:val="21"/>
        </w:rPr>
      </w:pPr>
      <w:r>
        <w:rPr>
          <w:rFonts w:asciiTheme="minorEastAsia" w:hAnsiTheme="minorEastAsia"/>
          <w:szCs w:val="21"/>
        </w:rPr>
        <w:t>评标总得分=Bi/Ni</w:t>
      </w:r>
    </w:p>
    <w:p w14:paraId="35EF0A2D">
      <w:pPr>
        <w:spacing w:line="360" w:lineRule="auto"/>
        <w:ind w:firstLine="420" w:firstLineChars="200"/>
        <w:rPr>
          <w:rFonts w:asciiTheme="minorEastAsia" w:hAnsiTheme="minorEastAsia"/>
          <w:szCs w:val="21"/>
        </w:rPr>
      </w:pPr>
      <w:r>
        <w:rPr>
          <w:rFonts w:asciiTheme="minorEastAsia" w:hAnsiTheme="minorEastAsia"/>
          <w:szCs w:val="21"/>
        </w:rPr>
        <w:t>Ni——为投标供应商的投标报价；</w:t>
      </w:r>
    </w:p>
    <w:p w14:paraId="6B105F09">
      <w:pPr>
        <w:spacing w:line="360" w:lineRule="auto"/>
        <w:ind w:firstLine="420" w:firstLineChars="200"/>
        <w:rPr>
          <w:rFonts w:asciiTheme="minorEastAsia" w:hAnsiTheme="minorEastAsia"/>
          <w:szCs w:val="21"/>
        </w:rPr>
      </w:pPr>
      <w:r>
        <w:rPr>
          <w:rFonts w:asciiTheme="minorEastAsia" w:hAnsiTheme="minorEastAsia"/>
          <w:szCs w:val="21"/>
        </w:rPr>
        <w:t>Bi——为投标供应商的综合得分，其中Bi＝（A1×J+A2×C+…+An×F）；</w:t>
      </w:r>
    </w:p>
    <w:p w14:paraId="32D536D5">
      <w:pPr>
        <w:spacing w:line="360" w:lineRule="auto"/>
        <w:ind w:firstLine="420" w:firstLineChars="200"/>
        <w:rPr>
          <w:rFonts w:asciiTheme="minorEastAsia" w:hAnsiTheme="minorEastAsia"/>
          <w:szCs w:val="21"/>
        </w:rPr>
      </w:pPr>
      <w:r>
        <w:rPr>
          <w:rFonts w:asciiTheme="minorEastAsia" w:hAnsiTheme="minorEastAsia"/>
          <w:szCs w:val="21"/>
        </w:rPr>
        <w:t>J、C、……F分别为各项评分因素（技术、信誉、业绩、服务等因素），投标报价除外；各因素满分均为100分；</w:t>
      </w:r>
    </w:p>
    <w:p w14:paraId="00AE3496">
      <w:pPr>
        <w:spacing w:line="360" w:lineRule="auto"/>
        <w:ind w:firstLine="420" w:firstLineChars="200"/>
        <w:rPr>
          <w:rFonts w:asciiTheme="minorEastAsia" w:hAnsiTheme="minorEastAsia"/>
          <w:szCs w:val="21"/>
        </w:rPr>
      </w:pPr>
      <w:r>
        <w:rPr>
          <w:rFonts w:asciiTheme="minorEastAsia" w:hAnsiTheme="minorEastAsia"/>
          <w:szCs w:val="21"/>
        </w:rPr>
        <w:t>A1 、A2、A3、...An分别是各项评分因素所占的权重（A1＋A2＋A3＋…＋An＝1）；</w:t>
      </w:r>
    </w:p>
    <w:p w14:paraId="2EDE9B4E">
      <w:pPr>
        <w:spacing w:line="360" w:lineRule="auto"/>
        <w:ind w:firstLine="420" w:firstLineChars="200"/>
        <w:rPr>
          <w:rFonts w:asciiTheme="minorEastAsia" w:hAnsiTheme="minorEastAsia"/>
          <w:szCs w:val="21"/>
        </w:rPr>
      </w:pPr>
      <w:r>
        <w:rPr>
          <w:rFonts w:asciiTheme="minorEastAsia" w:hAnsiTheme="minorEastAsia"/>
          <w:szCs w:val="21"/>
        </w:rPr>
        <w:t>定标原则</w:t>
      </w:r>
    </w:p>
    <w:p w14:paraId="615F9AE6">
      <w:pPr>
        <w:spacing w:line="360" w:lineRule="auto"/>
        <w:ind w:firstLine="420" w:firstLineChars="200"/>
        <w:rPr>
          <w:rFonts w:asciiTheme="minorEastAsia" w:hAnsiTheme="minorEastAsia"/>
          <w:szCs w:val="21"/>
        </w:rPr>
      </w:pPr>
      <w:r>
        <w:rPr>
          <w:rFonts w:asciiTheme="minorEastAsia" w:hAnsiTheme="minorEastAsia"/>
          <w:szCs w:val="21"/>
        </w:rPr>
        <w:t>按商数得分由高到低顺序排列，以商数最高的投标供应商作为中标侯选供应商或中标供应商。商数得分相同的，按投标报价由低到高顺序排列。商数得分且投标报价相同的，按技术指标优劣顺序排列。</w:t>
      </w:r>
    </w:p>
    <w:p w14:paraId="57B074BE">
      <w:pPr>
        <w:pStyle w:val="5"/>
        <w:ind w:firstLine="482"/>
      </w:pPr>
      <w:bookmarkStart w:id="129" w:name="_Toc12447"/>
      <w:bookmarkStart w:id="130" w:name="_Toc31060"/>
      <w:bookmarkStart w:id="131" w:name="_Toc55548528"/>
      <w:r>
        <w:t>六、授予合同</w:t>
      </w:r>
      <w:bookmarkEnd w:id="129"/>
      <w:bookmarkEnd w:id="130"/>
      <w:bookmarkEnd w:id="131"/>
    </w:p>
    <w:p w14:paraId="43247A06">
      <w:pPr>
        <w:pStyle w:val="4"/>
        <w:spacing w:line="360" w:lineRule="auto"/>
        <w:ind w:firstLine="482"/>
      </w:pPr>
      <w:bookmarkStart w:id="132" w:name="_Toc55548529"/>
      <w:bookmarkStart w:id="133" w:name="_Toc4551"/>
      <w:r>
        <w:rPr>
          <w:rFonts w:hint="eastAsia"/>
        </w:rPr>
        <w:t>最终审查</w:t>
      </w:r>
      <w:bookmarkEnd w:id="132"/>
      <w:bookmarkEnd w:id="133"/>
    </w:p>
    <w:p w14:paraId="504D411F">
      <w:pPr>
        <w:spacing w:line="360" w:lineRule="auto"/>
        <w:ind w:firstLine="420" w:firstLineChars="200"/>
        <w:rPr>
          <w:rFonts w:asciiTheme="minorEastAsia" w:hAnsiTheme="minorEastAsia"/>
          <w:szCs w:val="21"/>
        </w:rPr>
      </w:pPr>
      <w:r>
        <w:rPr>
          <w:rFonts w:asciiTheme="minorEastAsia" w:hAnsiTheme="minorEastAsia"/>
          <w:szCs w:val="21"/>
        </w:rPr>
        <w:t>评标委员会将根据本须知列出的标准审查第一中标候选人是否有能力圆满地履行合同。</w:t>
      </w:r>
    </w:p>
    <w:p w14:paraId="5ADD67C5">
      <w:pPr>
        <w:spacing w:line="360" w:lineRule="auto"/>
        <w:ind w:firstLine="420" w:firstLineChars="200"/>
        <w:rPr>
          <w:rFonts w:asciiTheme="minorEastAsia" w:hAnsiTheme="minorEastAsia"/>
          <w:szCs w:val="21"/>
        </w:rPr>
      </w:pPr>
      <w:r>
        <w:rPr>
          <w:rFonts w:asciiTheme="minorEastAsia" w:hAnsiTheme="minorEastAsia"/>
          <w:szCs w:val="21"/>
        </w:rPr>
        <w:t>授标决定时还将考虑投标人的财务、技术和生产能力在招标期间是否有实质性变化。其基础是审查投标人按照本须知规定提交的资格证明文件和评标委员会认为必要的、合适的其它资料。</w:t>
      </w:r>
    </w:p>
    <w:p w14:paraId="1DDE7C7A">
      <w:pPr>
        <w:spacing w:line="360" w:lineRule="auto"/>
        <w:ind w:firstLine="420" w:firstLineChars="200"/>
        <w:rPr>
          <w:rFonts w:asciiTheme="minorEastAsia" w:hAnsiTheme="minorEastAsia"/>
          <w:szCs w:val="21"/>
        </w:rPr>
      </w:pPr>
      <w:r>
        <w:rPr>
          <w:rFonts w:asciiTheme="minorEastAsia" w:hAnsiTheme="minorEastAsia"/>
          <w:szCs w:val="21"/>
        </w:rPr>
        <w:t>如果审查通过，评标委员会将把合同授予该投标人；如果审查没有通过，评标委员会将拒绝其投标，并对下一个中标候选人能否令人满意地履行合同作类似的审查。</w:t>
      </w:r>
    </w:p>
    <w:p w14:paraId="05C90406">
      <w:pPr>
        <w:pStyle w:val="4"/>
        <w:spacing w:line="360" w:lineRule="auto"/>
        <w:ind w:firstLine="482"/>
      </w:pPr>
      <w:bookmarkStart w:id="134" w:name="_Toc9998"/>
      <w:bookmarkStart w:id="135" w:name="_Toc55548530"/>
      <w:r>
        <w:rPr>
          <w:rFonts w:hint="eastAsia"/>
        </w:rPr>
        <w:t>合同授予标准</w:t>
      </w:r>
      <w:bookmarkEnd w:id="134"/>
      <w:bookmarkEnd w:id="135"/>
    </w:p>
    <w:p w14:paraId="2F1A2866">
      <w:pPr>
        <w:spacing w:line="360" w:lineRule="auto"/>
        <w:ind w:firstLine="420" w:firstLineChars="200"/>
        <w:rPr>
          <w:rFonts w:asciiTheme="minorEastAsia" w:hAnsiTheme="minorEastAsia"/>
          <w:szCs w:val="21"/>
        </w:rPr>
      </w:pPr>
      <w:r>
        <w:rPr>
          <w:rFonts w:asciiTheme="minorEastAsia" w:hAnsiTheme="minorEastAsia"/>
          <w:szCs w:val="21"/>
        </w:rPr>
        <w:t>评标委员会将把合同授予被确定为实质上响应竞价文件的要求并有履行合同能力的最低评标价的投标人或综合评价得分最高的投标人或评标总商数最高的投标人。</w:t>
      </w:r>
    </w:p>
    <w:p w14:paraId="5233D2DA">
      <w:pPr>
        <w:pStyle w:val="4"/>
        <w:spacing w:line="360" w:lineRule="auto"/>
        <w:ind w:firstLine="482"/>
      </w:pPr>
      <w:bookmarkStart w:id="136" w:name="_Toc29853"/>
      <w:bookmarkStart w:id="137" w:name="_Toc55548532"/>
      <w:r>
        <w:rPr>
          <w:rFonts w:hint="eastAsia"/>
        </w:rPr>
        <w:t>中标结果公示</w:t>
      </w:r>
      <w:bookmarkEnd w:id="136"/>
      <w:bookmarkEnd w:id="137"/>
    </w:p>
    <w:p w14:paraId="042953E8">
      <w:pPr>
        <w:spacing w:line="360" w:lineRule="auto"/>
        <w:ind w:firstLine="420" w:firstLineChars="200"/>
        <w:rPr>
          <w:rFonts w:asciiTheme="minorEastAsia" w:hAnsiTheme="minorEastAsia"/>
          <w:szCs w:val="21"/>
        </w:rPr>
      </w:pPr>
      <w:r>
        <w:rPr>
          <w:rFonts w:asciiTheme="minorEastAsia" w:hAnsiTheme="minorEastAsia"/>
          <w:szCs w:val="21"/>
        </w:rPr>
        <w:t>为体现“公开、公平、公正”的原则，评标结束后，将在</w:t>
      </w:r>
      <w:r>
        <w:rPr>
          <w:rFonts w:hint="eastAsia" w:asciiTheme="minorEastAsia" w:hAnsiTheme="minorEastAsia"/>
          <w:szCs w:val="21"/>
        </w:rPr>
        <w:t>http://www.bawjxt.net/bacdc/ (深圳市宝安区疾病预防控制中心官网)</w:t>
      </w:r>
      <w:r>
        <w:rPr>
          <w:rFonts w:asciiTheme="minorEastAsia" w:hAnsiTheme="minorEastAsia"/>
          <w:szCs w:val="21"/>
        </w:rPr>
        <w:t>进行中标结果公示，公示期为三日。投标人如对评标结果有异议，应于公示期内以书面形式提出。若在公示期内未提出异议，则视为无异议或放弃异议权。</w:t>
      </w:r>
    </w:p>
    <w:p w14:paraId="2532A68A">
      <w:pPr>
        <w:spacing w:line="360" w:lineRule="auto"/>
        <w:ind w:firstLine="420" w:firstLineChars="200"/>
        <w:rPr>
          <w:rFonts w:asciiTheme="minorEastAsia" w:hAnsiTheme="minorEastAsia"/>
          <w:szCs w:val="21"/>
        </w:rPr>
      </w:pPr>
      <w:r>
        <w:rPr>
          <w:rFonts w:asciiTheme="minorEastAsia" w:hAnsiTheme="minorEastAsia"/>
          <w:szCs w:val="21"/>
        </w:rPr>
        <w:t>提出质疑的投标人应保证提出质疑内容及相应证明材料的真实性及来源的合法性，并承担相应的法律责任。提供虚假情况恶意质疑投诉，情节严重的，将可能导致暂停或取消其投标资格或者投标保证金被罚没。</w:t>
      </w:r>
    </w:p>
    <w:p w14:paraId="27682AA9">
      <w:pPr>
        <w:pStyle w:val="4"/>
        <w:spacing w:line="360" w:lineRule="auto"/>
        <w:ind w:firstLine="482"/>
      </w:pPr>
      <w:bookmarkStart w:id="138" w:name="_Toc5257"/>
      <w:bookmarkStart w:id="139" w:name="_Toc55548533"/>
      <w:bookmarkStart w:id="140" w:name="_Ref179619923"/>
      <w:r>
        <w:rPr>
          <w:rFonts w:hint="eastAsia"/>
        </w:rPr>
        <w:t>接受和拒绝任何或所有投标的权力</w:t>
      </w:r>
      <w:bookmarkEnd w:id="138"/>
      <w:bookmarkEnd w:id="139"/>
      <w:bookmarkEnd w:id="140"/>
    </w:p>
    <w:p w14:paraId="1D09BC69">
      <w:pPr>
        <w:spacing w:line="360" w:lineRule="auto"/>
        <w:ind w:firstLine="420" w:firstLineChars="200"/>
        <w:rPr>
          <w:rFonts w:asciiTheme="minorEastAsia" w:hAnsiTheme="minorEastAsia"/>
          <w:szCs w:val="21"/>
        </w:rPr>
      </w:pPr>
      <w:r>
        <w:rPr>
          <w:rFonts w:asciiTheme="minorEastAsia" w:hAnsiTheme="minorEastAsia"/>
          <w:szCs w:val="21"/>
        </w:rPr>
        <w:t>在特殊情况下，招标人保留在授标之前拒绝任何投标以及宣布招标程序无效或拒绝所有投标的权力，且对受影响的投标人不承担任何责任，也无义务向受影响的投标人解释采取这一行动的理由。</w:t>
      </w:r>
    </w:p>
    <w:p w14:paraId="256CA0F6">
      <w:pPr>
        <w:pStyle w:val="4"/>
        <w:spacing w:line="360" w:lineRule="auto"/>
        <w:ind w:firstLine="482"/>
      </w:pPr>
      <w:bookmarkStart w:id="141" w:name="_Toc55548534"/>
      <w:bookmarkStart w:id="142" w:name="_Toc1842"/>
      <w:r>
        <w:rPr>
          <w:rFonts w:hint="eastAsia"/>
        </w:rPr>
        <w:t>中标通知书</w:t>
      </w:r>
      <w:bookmarkEnd w:id="141"/>
      <w:bookmarkEnd w:id="142"/>
    </w:p>
    <w:p w14:paraId="6C88BA51">
      <w:pPr>
        <w:spacing w:line="360" w:lineRule="auto"/>
        <w:ind w:firstLine="420" w:firstLineChars="200"/>
        <w:rPr>
          <w:rFonts w:asciiTheme="minorEastAsia" w:hAnsiTheme="minorEastAsia"/>
          <w:szCs w:val="21"/>
        </w:rPr>
      </w:pPr>
      <w:r>
        <w:rPr>
          <w:rFonts w:asciiTheme="minorEastAsia" w:hAnsiTheme="minorEastAsia"/>
          <w:szCs w:val="21"/>
        </w:rPr>
        <w:t>中标人确定后，</w:t>
      </w:r>
      <w:r>
        <w:rPr>
          <w:rFonts w:hint="eastAsia" w:asciiTheme="minorEastAsia" w:hAnsiTheme="minorEastAsia"/>
          <w:szCs w:val="21"/>
        </w:rPr>
        <w:t>本中心</w:t>
      </w:r>
      <w:r>
        <w:rPr>
          <w:rFonts w:asciiTheme="minorEastAsia" w:hAnsiTheme="minorEastAsia"/>
          <w:szCs w:val="21"/>
        </w:rPr>
        <w:t>将向中标人发出《中标通知书》。</w:t>
      </w:r>
    </w:p>
    <w:p w14:paraId="223AA609">
      <w:pPr>
        <w:spacing w:line="360" w:lineRule="auto"/>
        <w:ind w:firstLine="420" w:firstLineChars="200"/>
        <w:rPr>
          <w:rFonts w:asciiTheme="minorEastAsia" w:hAnsiTheme="minorEastAsia"/>
          <w:szCs w:val="21"/>
        </w:rPr>
      </w:pPr>
      <w:r>
        <w:rPr>
          <w:rFonts w:asciiTheme="minorEastAsia" w:hAnsiTheme="minorEastAsia"/>
          <w:szCs w:val="21"/>
        </w:rPr>
        <w:t>《中标通知书》是合同的一个组成部分。</w:t>
      </w:r>
    </w:p>
    <w:p w14:paraId="26D0CBBA">
      <w:pPr>
        <w:pStyle w:val="4"/>
        <w:spacing w:line="360" w:lineRule="auto"/>
        <w:ind w:firstLine="482"/>
      </w:pPr>
      <w:bookmarkStart w:id="143" w:name="_Toc55548535"/>
      <w:bookmarkStart w:id="144" w:name="_Ref179619520"/>
      <w:bookmarkStart w:id="145" w:name="_Toc11931"/>
      <w:r>
        <w:rPr>
          <w:rFonts w:hint="eastAsia"/>
        </w:rPr>
        <w:t>签订合同</w:t>
      </w:r>
      <w:bookmarkEnd w:id="143"/>
      <w:bookmarkEnd w:id="144"/>
      <w:bookmarkEnd w:id="145"/>
    </w:p>
    <w:p w14:paraId="14FA61F8">
      <w:pPr>
        <w:spacing w:line="360" w:lineRule="auto"/>
        <w:ind w:firstLine="420" w:firstLineChars="200"/>
        <w:rPr>
          <w:rFonts w:asciiTheme="minorEastAsia" w:hAnsiTheme="minorEastAsia"/>
          <w:szCs w:val="21"/>
        </w:rPr>
      </w:pPr>
      <w:r>
        <w:rPr>
          <w:rFonts w:asciiTheme="minorEastAsia" w:hAnsiTheme="minorEastAsia"/>
          <w:szCs w:val="21"/>
        </w:rPr>
        <w:t>《中标通知书》发出后10个工作日内，中标人应按照竞价文件和中标人的响应文件订立书面合同。中标人不得与招标人再订立背离合同实质性内容的其他协议。</w:t>
      </w:r>
    </w:p>
    <w:p w14:paraId="46C413F4">
      <w:pPr>
        <w:spacing w:line="360" w:lineRule="auto"/>
        <w:ind w:firstLine="420" w:firstLineChars="200"/>
        <w:rPr>
          <w:rFonts w:asciiTheme="minorEastAsia" w:hAnsiTheme="minorEastAsia"/>
          <w:szCs w:val="21"/>
        </w:rPr>
      </w:pPr>
      <w:r>
        <w:rPr>
          <w:rFonts w:asciiTheme="minorEastAsia" w:hAnsiTheme="minorEastAsia"/>
          <w:szCs w:val="21"/>
        </w:rPr>
        <w:t>竞价文件、中标人的响应文件及其澄清文件等，均为签订合同的依据。</w:t>
      </w:r>
    </w:p>
    <w:p w14:paraId="3F6FB298">
      <w:pPr>
        <w:spacing w:line="360" w:lineRule="auto"/>
        <w:ind w:firstLine="420" w:firstLineChars="200"/>
        <w:rPr>
          <w:rFonts w:asciiTheme="minorEastAsia" w:hAnsiTheme="minorEastAsia"/>
          <w:szCs w:val="21"/>
        </w:rPr>
      </w:pPr>
      <w:r>
        <w:rPr>
          <w:rFonts w:asciiTheme="minorEastAsia" w:hAnsiTheme="minorEastAsia"/>
          <w:szCs w:val="21"/>
        </w:rPr>
        <w:t>合同签订后5个工作日内，中标人须将合同副本(合同复印件加盖中标人公章，原件核验)送</w:t>
      </w:r>
      <w:r>
        <w:rPr>
          <w:rFonts w:hint="eastAsia" w:asciiTheme="minorEastAsia" w:hAnsiTheme="minorEastAsia"/>
          <w:szCs w:val="21"/>
        </w:rPr>
        <w:t>本中心</w:t>
      </w:r>
      <w:r>
        <w:rPr>
          <w:rFonts w:asciiTheme="minorEastAsia" w:hAnsiTheme="minorEastAsia"/>
          <w:szCs w:val="21"/>
        </w:rPr>
        <w:t>存档备案。</w:t>
      </w:r>
    </w:p>
    <w:p w14:paraId="31B4FF52">
      <w:pPr>
        <w:spacing w:line="360" w:lineRule="auto"/>
        <w:ind w:firstLine="420" w:firstLineChars="200"/>
        <w:sectPr>
          <w:pgSz w:w="11906" w:h="16838"/>
          <w:pgMar w:top="1418" w:right="1474" w:bottom="1418" w:left="1474" w:header="851" w:footer="992" w:gutter="0"/>
          <w:cols w:space="425" w:num="1"/>
          <w:docGrid w:type="lines" w:linePitch="312" w:charSpace="0"/>
        </w:sectPr>
      </w:pPr>
    </w:p>
    <w:p w14:paraId="5D330809">
      <w:pPr>
        <w:pStyle w:val="2"/>
      </w:pPr>
      <w:bookmarkStart w:id="146" w:name="_Toc86939331"/>
      <w:bookmarkStart w:id="147" w:name="_Toc61880307"/>
      <w:bookmarkStart w:id="148" w:name="_Toc61539111"/>
      <w:r>
        <w:rPr>
          <w:rFonts w:hint="eastAsia"/>
        </w:rPr>
        <w:t>第四章  附件－响应文件格式</w:t>
      </w:r>
      <w:bookmarkEnd w:id="146"/>
      <w:bookmarkEnd w:id="147"/>
      <w:bookmarkEnd w:id="148"/>
    </w:p>
    <w:p w14:paraId="7F54D067">
      <w:pPr>
        <w:spacing w:line="360" w:lineRule="auto"/>
        <w:ind w:firstLine="420" w:firstLineChars="200"/>
        <w:rPr>
          <w:rFonts w:asciiTheme="minorEastAsia" w:hAnsiTheme="minorEastAsia"/>
          <w:szCs w:val="21"/>
        </w:rPr>
      </w:pPr>
      <w:r>
        <w:rPr>
          <w:rFonts w:hint="eastAsia" w:asciiTheme="minorEastAsia" w:hAnsiTheme="minorEastAsia"/>
          <w:szCs w:val="21"/>
        </w:rPr>
        <w:t>附件1：投标函格式</w:t>
      </w:r>
    </w:p>
    <w:p w14:paraId="14E88959">
      <w:pPr>
        <w:keepNext/>
        <w:keepLines/>
        <w:spacing w:before="160" w:after="170"/>
        <w:ind w:firstLine="602" w:firstLineChars="200"/>
        <w:jc w:val="center"/>
        <w:outlineLvl w:val="4"/>
        <w:rPr>
          <w:b/>
          <w:bCs/>
          <w:sz w:val="30"/>
          <w:szCs w:val="28"/>
        </w:rPr>
      </w:pPr>
      <w:bookmarkStart w:id="149" w:name="_Toc55548538"/>
      <w:r>
        <w:rPr>
          <w:rFonts w:hint="eastAsia"/>
          <w:b/>
          <w:bCs/>
          <w:sz w:val="30"/>
          <w:szCs w:val="28"/>
        </w:rPr>
        <w:t>投标函</w:t>
      </w:r>
      <w:bookmarkEnd w:id="149"/>
    </w:p>
    <w:p w14:paraId="6BEB9083">
      <w:pPr>
        <w:spacing w:line="360" w:lineRule="auto"/>
        <w:ind w:firstLine="420" w:firstLineChars="200"/>
        <w:rPr>
          <w:rFonts w:asciiTheme="minorEastAsia" w:hAnsiTheme="minorEastAsia"/>
          <w:color w:val="000000"/>
          <w:szCs w:val="21"/>
          <w:u w:val="single"/>
        </w:rPr>
      </w:pPr>
      <w:r>
        <w:rPr>
          <w:rFonts w:hint="eastAsia" w:asciiTheme="minorEastAsia" w:hAnsiTheme="minorEastAsia"/>
          <w:color w:val="000000"/>
          <w:szCs w:val="21"/>
        </w:rPr>
        <w:t>致：</w:t>
      </w:r>
      <w:r>
        <w:rPr>
          <w:rFonts w:hint="eastAsia" w:asciiTheme="minorEastAsia" w:hAnsiTheme="minorEastAsia"/>
          <w:szCs w:val="21"/>
          <w:u w:val="single"/>
        </w:rPr>
        <w:t>深圳市宝安区疾病预防控制中心</w:t>
      </w:r>
    </w:p>
    <w:p w14:paraId="5C3C25A3">
      <w:pPr>
        <w:spacing w:line="360" w:lineRule="auto"/>
        <w:ind w:firstLine="420" w:firstLineChars="200"/>
        <w:rPr>
          <w:rFonts w:asciiTheme="minorEastAsia" w:hAnsiTheme="minorEastAsia"/>
          <w:color w:val="000000"/>
          <w:szCs w:val="21"/>
        </w:rPr>
      </w:pPr>
      <w:r>
        <w:rPr>
          <w:rFonts w:hint="eastAsia" w:asciiTheme="minorEastAsia" w:hAnsiTheme="minorEastAsia"/>
          <w:color w:val="000000"/>
          <w:szCs w:val="21"/>
        </w:rPr>
        <w:t>我们收到你们组织的</w:t>
      </w:r>
      <w:r>
        <w:rPr>
          <w:rFonts w:hint="eastAsia" w:asciiTheme="minorEastAsia" w:hAnsiTheme="minorEastAsia"/>
          <w:color w:val="000000"/>
          <w:szCs w:val="21"/>
          <w:u w:val="single"/>
        </w:rPr>
        <w:t xml:space="preserve"> （项目名称） </w:t>
      </w:r>
      <w:r>
        <w:rPr>
          <w:rFonts w:hint="eastAsia" w:asciiTheme="minorEastAsia" w:hAnsiTheme="minorEastAsia"/>
          <w:color w:val="000000"/>
          <w:szCs w:val="21"/>
        </w:rPr>
        <w:t xml:space="preserve">竞价文件，经详细研究，我们决定参加该项目 </w:t>
      </w:r>
      <w:r>
        <w:rPr>
          <w:rFonts w:hint="eastAsia" w:asciiTheme="minorEastAsia" w:hAnsiTheme="minorEastAsia"/>
          <w:color w:val="000000"/>
          <w:szCs w:val="21"/>
          <w:u w:val="single"/>
        </w:rPr>
        <w:t xml:space="preserve">（项目编号） </w:t>
      </w:r>
      <w:r>
        <w:rPr>
          <w:rFonts w:hint="eastAsia" w:asciiTheme="minorEastAsia" w:hAnsiTheme="minorEastAsia"/>
          <w:color w:val="000000"/>
          <w:szCs w:val="21"/>
        </w:rPr>
        <w:t xml:space="preserve"> 招标的有关活动，并投标。为此，我方谨郑重声明以下诸点，并对之负法律责任。</w:t>
      </w:r>
    </w:p>
    <w:p w14:paraId="656B556B">
      <w:pPr>
        <w:spacing w:line="360" w:lineRule="auto"/>
        <w:ind w:firstLine="420" w:firstLineChars="200"/>
        <w:rPr>
          <w:rFonts w:asciiTheme="minorEastAsia" w:hAnsiTheme="minorEastAsia"/>
          <w:color w:val="000000"/>
          <w:szCs w:val="21"/>
        </w:rPr>
      </w:pPr>
      <w:r>
        <w:rPr>
          <w:rFonts w:hint="eastAsia" w:asciiTheme="minorEastAsia" w:hAnsiTheme="minorEastAsia"/>
          <w:color w:val="000000"/>
          <w:szCs w:val="21"/>
        </w:rPr>
        <w:t>1、我方愿以《开标一览表》中填写的投标总价并按照竞价文件中的一切要求，承担上述项目的全部工作。</w:t>
      </w:r>
    </w:p>
    <w:p w14:paraId="702C9AFA">
      <w:pPr>
        <w:spacing w:line="360" w:lineRule="auto"/>
        <w:ind w:firstLine="420" w:firstLineChars="200"/>
        <w:rPr>
          <w:rFonts w:asciiTheme="minorEastAsia" w:hAnsiTheme="minorEastAsia"/>
          <w:color w:val="000000"/>
          <w:szCs w:val="21"/>
        </w:rPr>
      </w:pPr>
      <w:r>
        <w:rPr>
          <w:rFonts w:hint="eastAsia" w:asciiTheme="minorEastAsia" w:hAnsiTheme="minorEastAsia"/>
          <w:color w:val="000000"/>
          <w:szCs w:val="21"/>
        </w:rPr>
        <w:t>2、我方提交的响应文件为：投标书正本一份，副本二份，电子档文件一份。</w:t>
      </w:r>
    </w:p>
    <w:p w14:paraId="2B6908AC">
      <w:pPr>
        <w:spacing w:line="360" w:lineRule="auto"/>
        <w:ind w:firstLine="420" w:firstLineChars="200"/>
        <w:rPr>
          <w:rFonts w:asciiTheme="minorEastAsia" w:hAnsiTheme="minorEastAsia"/>
          <w:color w:val="000000"/>
          <w:szCs w:val="21"/>
        </w:rPr>
      </w:pPr>
      <w:r>
        <w:rPr>
          <w:rFonts w:hint="eastAsia" w:asciiTheme="minorEastAsia" w:hAnsiTheme="minorEastAsia"/>
          <w:color w:val="000000"/>
          <w:szCs w:val="21"/>
        </w:rPr>
        <w:t>3、如果我们投标书被接受，我们将履行竞价文件中规定的每一项要求，按期、按质、按量完成任务。</w:t>
      </w:r>
    </w:p>
    <w:p w14:paraId="10B1C8AC">
      <w:pPr>
        <w:spacing w:line="360" w:lineRule="auto"/>
        <w:ind w:firstLine="420" w:firstLineChars="200"/>
        <w:rPr>
          <w:rFonts w:asciiTheme="minorEastAsia" w:hAnsiTheme="minorEastAsia"/>
          <w:color w:val="000000"/>
          <w:szCs w:val="21"/>
        </w:rPr>
      </w:pPr>
      <w:r>
        <w:rPr>
          <w:rFonts w:hint="eastAsia" w:asciiTheme="minorEastAsia" w:hAnsiTheme="minorEastAsia"/>
          <w:color w:val="000000"/>
          <w:szCs w:val="21"/>
        </w:rPr>
        <w:t>4、我们愿意提供竞价文件中要求的所有资料，且所递交的响应文件在投标有效期（即90天）内有效，在此期间内我方的投标有可能中标，我方将受此约束。</w:t>
      </w:r>
    </w:p>
    <w:p w14:paraId="432F0BD0">
      <w:pPr>
        <w:spacing w:line="360" w:lineRule="auto"/>
        <w:ind w:firstLine="420" w:firstLineChars="200"/>
        <w:rPr>
          <w:rFonts w:asciiTheme="minorEastAsia" w:hAnsiTheme="minorEastAsia"/>
          <w:color w:val="000000"/>
          <w:szCs w:val="21"/>
        </w:rPr>
      </w:pPr>
      <w:r>
        <w:rPr>
          <w:rFonts w:hint="eastAsia" w:asciiTheme="minorEastAsia" w:hAnsiTheme="minorEastAsia"/>
          <w:color w:val="000000"/>
          <w:szCs w:val="21"/>
        </w:rPr>
        <w:t>5、我们理解，最低报价不是中标的唯一条件。我们认为你们有选择或拒绝任何投标者中标的权利。</w:t>
      </w:r>
    </w:p>
    <w:p w14:paraId="5659476B">
      <w:pPr>
        <w:spacing w:line="360" w:lineRule="auto"/>
        <w:ind w:firstLine="420" w:firstLineChars="200"/>
        <w:rPr>
          <w:rFonts w:asciiTheme="minorEastAsia" w:hAnsiTheme="minorEastAsia"/>
          <w:color w:val="000000"/>
          <w:szCs w:val="21"/>
        </w:rPr>
      </w:pPr>
      <w:r>
        <w:rPr>
          <w:rFonts w:hint="eastAsia" w:asciiTheme="minorEastAsia" w:hAnsiTheme="minorEastAsia"/>
          <w:color w:val="000000"/>
          <w:szCs w:val="21"/>
        </w:rPr>
        <w:t>6、我方愿按《中华人民共和国合同法》履行自己的全部责任。</w:t>
      </w:r>
    </w:p>
    <w:p w14:paraId="63D6CD06">
      <w:pPr>
        <w:spacing w:line="360" w:lineRule="auto"/>
        <w:ind w:firstLine="420" w:firstLineChars="200"/>
        <w:rPr>
          <w:rFonts w:asciiTheme="minorEastAsia" w:hAnsiTheme="minorEastAsia"/>
          <w:color w:val="000000"/>
          <w:szCs w:val="21"/>
        </w:rPr>
      </w:pPr>
      <w:r>
        <w:rPr>
          <w:rFonts w:hint="eastAsia" w:asciiTheme="minorEastAsia" w:hAnsiTheme="minorEastAsia"/>
          <w:color w:val="000000"/>
          <w:szCs w:val="21"/>
        </w:rPr>
        <w:t>7、我们同意竞价文件之规定，遵守有关招标的各项规定。</w:t>
      </w:r>
    </w:p>
    <w:p w14:paraId="5DF05BA0">
      <w:pPr>
        <w:spacing w:line="360" w:lineRule="auto"/>
        <w:ind w:firstLine="420" w:firstLineChars="200"/>
        <w:rPr>
          <w:rFonts w:asciiTheme="minorEastAsia" w:hAnsiTheme="minorEastAsia"/>
          <w:color w:val="000000"/>
          <w:szCs w:val="21"/>
        </w:rPr>
      </w:pPr>
      <w:r>
        <w:rPr>
          <w:rFonts w:asciiTheme="minorEastAsia" w:hAnsiTheme="minorEastAsia"/>
          <w:color w:val="000000"/>
          <w:szCs w:val="21"/>
        </w:rPr>
        <w:t>8</w:t>
      </w:r>
      <w:r>
        <w:rPr>
          <w:rFonts w:hint="eastAsia" w:asciiTheme="minorEastAsia" w:hAnsiTheme="minorEastAsia"/>
          <w:color w:val="000000"/>
          <w:szCs w:val="21"/>
        </w:rPr>
        <w:t>、所有有关本标书的函电，请按下列地址联系：</w:t>
      </w:r>
    </w:p>
    <w:p w14:paraId="07EBAC64">
      <w:pPr>
        <w:spacing w:line="360" w:lineRule="auto"/>
        <w:ind w:firstLine="420" w:firstLineChars="200"/>
        <w:rPr>
          <w:rFonts w:asciiTheme="minorEastAsia" w:hAnsiTheme="minorEastAsia"/>
          <w:color w:val="000000"/>
          <w:szCs w:val="21"/>
        </w:rPr>
      </w:pPr>
    </w:p>
    <w:p w14:paraId="6A051DE6">
      <w:pPr>
        <w:spacing w:line="360" w:lineRule="auto"/>
        <w:ind w:firstLine="420" w:firstLineChars="200"/>
        <w:rPr>
          <w:rFonts w:asciiTheme="minorEastAsia" w:hAnsiTheme="minorEastAsia"/>
          <w:color w:val="000000"/>
          <w:szCs w:val="21"/>
        </w:rPr>
      </w:pPr>
      <w:r>
        <w:rPr>
          <w:rFonts w:hint="eastAsia" w:asciiTheme="minorEastAsia" w:hAnsiTheme="minorEastAsia"/>
          <w:color w:val="000000"/>
          <w:szCs w:val="21"/>
        </w:rPr>
        <w:t>单    位： （盖章）</w:t>
      </w:r>
    </w:p>
    <w:p w14:paraId="57876A31">
      <w:pPr>
        <w:spacing w:line="360" w:lineRule="auto"/>
        <w:ind w:firstLine="420" w:firstLineChars="200"/>
        <w:rPr>
          <w:rFonts w:asciiTheme="minorEastAsia" w:hAnsiTheme="minorEastAsia"/>
          <w:color w:val="000000"/>
          <w:szCs w:val="21"/>
        </w:rPr>
      </w:pPr>
      <w:r>
        <w:rPr>
          <w:rFonts w:hint="eastAsia" w:asciiTheme="minorEastAsia" w:hAnsiTheme="minorEastAsia"/>
          <w:color w:val="000000"/>
          <w:szCs w:val="21"/>
        </w:rPr>
        <w:t>授权代表或法人代表： （签字）</w:t>
      </w:r>
    </w:p>
    <w:p w14:paraId="422E494F">
      <w:pPr>
        <w:spacing w:line="360" w:lineRule="auto"/>
        <w:ind w:firstLine="420" w:firstLineChars="200"/>
        <w:rPr>
          <w:rFonts w:asciiTheme="minorEastAsia" w:hAnsiTheme="minorEastAsia"/>
          <w:color w:val="000000"/>
          <w:szCs w:val="21"/>
        </w:rPr>
      </w:pPr>
      <w:r>
        <w:rPr>
          <w:rFonts w:hint="eastAsia" w:asciiTheme="minorEastAsia" w:hAnsiTheme="minorEastAsia"/>
          <w:color w:val="000000"/>
          <w:szCs w:val="21"/>
        </w:rPr>
        <w:t xml:space="preserve">地    址： </w:t>
      </w:r>
    </w:p>
    <w:p w14:paraId="786739EB">
      <w:pPr>
        <w:spacing w:line="360" w:lineRule="auto"/>
        <w:ind w:firstLine="420" w:firstLineChars="200"/>
        <w:rPr>
          <w:rFonts w:asciiTheme="minorEastAsia" w:hAnsiTheme="minorEastAsia"/>
          <w:color w:val="000000"/>
          <w:szCs w:val="21"/>
        </w:rPr>
      </w:pPr>
      <w:r>
        <w:rPr>
          <w:rFonts w:hint="eastAsia" w:asciiTheme="minorEastAsia" w:hAnsiTheme="minorEastAsia"/>
          <w:color w:val="000000"/>
          <w:szCs w:val="21"/>
        </w:rPr>
        <w:t xml:space="preserve">电    话：     </w:t>
      </w:r>
    </w:p>
    <w:p w14:paraId="31EB713E">
      <w:pPr>
        <w:spacing w:line="360" w:lineRule="auto"/>
        <w:ind w:firstLine="420" w:firstLineChars="200"/>
        <w:rPr>
          <w:rFonts w:asciiTheme="minorEastAsia" w:hAnsiTheme="minorEastAsia"/>
          <w:color w:val="000000"/>
          <w:szCs w:val="21"/>
        </w:rPr>
      </w:pPr>
      <w:r>
        <w:rPr>
          <w:rFonts w:hint="eastAsia" w:asciiTheme="minorEastAsia" w:hAnsiTheme="minorEastAsia"/>
          <w:color w:val="000000"/>
          <w:szCs w:val="21"/>
        </w:rPr>
        <w:t>传    真：</w:t>
      </w:r>
    </w:p>
    <w:p w14:paraId="4E0D1BEF">
      <w:pPr>
        <w:spacing w:line="360" w:lineRule="auto"/>
        <w:ind w:firstLine="420" w:firstLineChars="200"/>
        <w:rPr>
          <w:rFonts w:asciiTheme="minorEastAsia" w:hAnsiTheme="minorEastAsia"/>
          <w:color w:val="000000"/>
          <w:szCs w:val="21"/>
        </w:rPr>
      </w:pPr>
      <w:r>
        <w:rPr>
          <w:rFonts w:hint="eastAsia" w:asciiTheme="minorEastAsia" w:hAnsiTheme="minorEastAsia"/>
          <w:color w:val="000000"/>
          <w:szCs w:val="21"/>
        </w:rPr>
        <w:t>邮    编：</w:t>
      </w:r>
    </w:p>
    <w:p w14:paraId="04F892CE">
      <w:pPr>
        <w:spacing w:line="360" w:lineRule="auto"/>
        <w:ind w:firstLine="420" w:firstLineChars="200"/>
        <w:rPr>
          <w:rFonts w:asciiTheme="minorEastAsia" w:hAnsiTheme="minorEastAsia"/>
          <w:szCs w:val="21"/>
        </w:rPr>
      </w:pPr>
      <w:r>
        <w:rPr>
          <w:rFonts w:asciiTheme="minorEastAsia" w:hAnsiTheme="minorEastAsia"/>
          <w:szCs w:val="21"/>
        </w:rPr>
        <w:br w:type="page"/>
      </w:r>
      <w:r>
        <w:rPr>
          <w:rFonts w:hint="eastAsia" w:asciiTheme="minorEastAsia" w:hAnsiTheme="minorEastAsia"/>
          <w:szCs w:val="21"/>
        </w:rPr>
        <w:t>附件2：政府采购投标及履约承诺函</w:t>
      </w:r>
    </w:p>
    <w:p w14:paraId="6E2B7763">
      <w:pPr>
        <w:keepNext/>
        <w:keepLines/>
        <w:spacing w:before="160" w:after="170"/>
        <w:ind w:firstLine="602" w:firstLineChars="200"/>
        <w:jc w:val="center"/>
        <w:outlineLvl w:val="4"/>
        <w:rPr>
          <w:b/>
          <w:bCs/>
          <w:sz w:val="30"/>
          <w:szCs w:val="28"/>
        </w:rPr>
      </w:pPr>
      <w:bookmarkStart w:id="150" w:name="_Toc55548539"/>
      <w:bookmarkStart w:id="151" w:name="_Toc30545"/>
      <w:r>
        <w:rPr>
          <w:rFonts w:hint="eastAsia"/>
          <w:b/>
          <w:bCs/>
          <w:sz w:val="30"/>
          <w:szCs w:val="28"/>
        </w:rPr>
        <w:t>政府采购投标及履约承诺函</w:t>
      </w:r>
      <w:bookmarkEnd w:id="150"/>
    </w:p>
    <w:p w14:paraId="0229FDB3">
      <w:pPr>
        <w:spacing w:line="276" w:lineRule="auto"/>
        <w:ind w:firstLine="420" w:firstLineChars="200"/>
        <w:rPr>
          <w:rFonts w:asciiTheme="minorEastAsia" w:hAnsiTheme="minorEastAsia"/>
          <w:szCs w:val="21"/>
        </w:rPr>
      </w:pPr>
      <w:r>
        <w:rPr>
          <w:rFonts w:hint="eastAsia" w:asciiTheme="minorEastAsia" w:hAnsiTheme="minorEastAsia"/>
          <w:szCs w:val="21"/>
        </w:rPr>
        <w:t>致：</w:t>
      </w:r>
      <w:r>
        <w:rPr>
          <w:rFonts w:hint="eastAsia" w:cs="Courier New" w:asciiTheme="minorEastAsia" w:hAnsiTheme="minorEastAsia"/>
          <w:snapToGrid w:val="0"/>
          <w:szCs w:val="21"/>
        </w:rPr>
        <w:t>深圳市宝安区疾病预防控制中心</w:t>
      </w:r>
      <w:r>
        <w:rPr>
          <w:rFonts w:hint="eastAsia" w:cs="Courier New" w:asciiTheme="minorEastAsia" w:hAnsiTheme="minorEastAsia"/>
          <w:snapToGrid w:val="0"/>
          <w:szCs w:val="21"/>
          <w:lang w:eastAsia="zh-CN"/>
        </w:rPr>
        <w:t>（</w:t>
      </w:r>
      <w:r>
        <w:rPr>
          <w:rFonts w:hint="eastAsia" w:cs="Courier New" w:asciiTheme="minorEastAsia" w:hAnsiTheme="minorEastAsia"/>
          <w:snapToGrid w:val="0"/>
          <w:szCs w:val="21"/>
          <w:lang w:val="en-US" w:eastAsia="zh-CN"/>
        </w:rPr>
        <w:t>深圳市宝安区卫生监督所</w:t>
      </w:r>
      <w:r>
        <w:rPr>
          <w:rFonts w:hint="eastAsia" w:cs="Courier New" w:asciiTheme="minorEastAsia" w:hAnsiTheme="minorEastAsia"/>
          <w:snapToGrid w:val="0"/>
          <w:szCs w:val="21"/>
          <w:lang w:eastAsia="zh-CN"/>
        </w:rPr>
        <w:t>）</w:t>
      </w:r>
    </w:p>
    <w:p w14:paraId="40C7F777">
      <w:pPr>
        <w:spacing w:line="276" w:lineRule="auto"/>
        <w:ind w:right="-815" w:firstLine="420" w:firstLineChars="200"/>
        <w:rPr>
          <w:rFonts w:asciiTheme="minorEastAsia" w:hAnsiTheme="minorEastAsia"/>
          <w:szCs w:val="21"/>
        </w:rPr>
      </w:pPr>
      <w:r>
        <w:rPr>
          <w:rFonts w:hint="eastAsia" w:asciiTheme="minorEastAsia" w:hAnsiTheme="minorEastAsia"/>
          <w:szCs w:val="21"/>
        </w:rPr>
        <w:t>我公司承诺：</w:t>
      </w:r>
    </w:p>
    <w:p w14:paraId="4349D528">
      <w:pPr>
        <w:spacing w:line="276" w:lineRule="auto"/>
        <w:ind w:firstLine="420" w:firstLineChars="200"/>
        <w:rPr>
          <w:rFonts w:asciiTheme="minorEastAsia" w:hAnsiTheme="minorEastAsia"/>
          <w:szCs w:val="21"/>
        </w:rPr>
      </w:pPr>
      <w:r>
        <w:rPr>
          <w:rFonts w:hint="eastAsia" w:asciiTheme="minorEastAsia" w:hAnsiTheme="minorEastAsia"/>
          <w:szCs w:val="21"/>
        </w:rPr>
        <w:t>1.我公司本招标项目所提供的货物或服务未侵犯知识产权。</w:t>
      </w:r>
    </w:p>
    <w:p w14:paraId="0B114D08">
      <w:pPr>
        <w:spacing w:line="276" w:lineRule="auto"/>
        <w:ind w:firstLine="420" w:firstLineChars="200"/>
        <w:rPr>
          <w:rFonts w:asciiTheme="minorEastAsia" w:hAnsiTheme="minorEastAsia"/>
          <w:szCs w:val="21"/>
        </w:rPr>
      </w:pPr>
      <w:r>
        <w:rPr>
          <w:rFonts w:hint="eastAsia" w:asciiTheme="minorEastAsia" w:hAnsiTheme="minorEastAsia"/>
          <w:szCs w:val="21"/>
        </w:rPr>
        <w:t>2.我公司近三年内(成立不足三年的从成立之日起算)无行贿犯罪记录。</w:t>
      </w:r>
    </w:p>
    <w:p w14:paraId="78E1B4A9">
      <w:pPr>
        <w:spacing w:line="276" w:lineRule="auto"/>
        <w:ind w:firstLine="420" w:firstLineChars="200"/>
        <w:rPr>
          <w:rFonts w:asciiTheme="minorEastAsia" w:hAnsiTheme="minorEastAsia"/>
          <w:szCs w:val="21"/>
        </w:rPr>
      </w:pPr>
      <w:r>
        <w:rPr>
          <w:rFonts w:hint="eastAsia" w:asciiTheme="minorEastAsia" w:hAnsiTheme="minorEastAsia"/>
          <w:szCs w:val="21"/>
        </w:rPr>
        <w:t>3.我公司参与本项目政府采购活动时不存在被有关部门禁止参与政府采购活动且在有效期内的情况。</w:t>
      </w:r>
    </w:p>
    <w:p w14:paraId="38BAE122">
      <w:pPr>
        <w:spacing w:line="276" w:lineRule="auto"/>
        <w:ind w:firstLine="420" w:firstLineChars="200"/>
        <w:rPr>
          <w:rFonts w:asciiTheme="minorEastAsia" w:hAnsiTheme="minorEastAsia"/>
          <w:szCs w:val="21"/>
        </w:rPr>
      </w:pPr>
      <w:r>
        <w:rPr>
          <w:rFonts w:hint="eastAsia" w:asciiTheme="minorEastAsia" w:hAnsiTheme="minorEastAsia"/>
          <w:szCs w:val="21"/>
        </w:rPr>
        <w:t>4.我公司具备《中华人民共和国政府采购法》第二十二条第一款规定的资质。</w:t>
      </w:r>
    </w:p>
    <w:p w14:paraId="011423FC">
      <w:pPr>
        <w:spacing w:line="276" w:lineRule="auto"/>
        <w:ind w:firstLine="420" w:firstLineChars="200"/>
        <w:rPr>
          <w:rFonts w:asciiTheme="minorEastAsia" w:hAnsiTheme="minorEastAsia"/>
          <w:szCs w:val="21"/>
        </w:rPr>
      </w:pPr>
      <w:r>
        <w:rPr>
          <w:rFonts w:hint="eastAsia" w:asciiTheme="minorEastAsia" w:hAnsiTheme="minorEastAsia"/>
          <w:szCs w:val="21"/>
        </w:rPr>
        <w:t>5.我公司与其他投标供应商不存在单位负责人为同一人或者存在直接控股、管理关系，未对本次采购项目提供整体设计、规范编制或者项目管理、监理、检测等服务。</w:t>
      </w:r>
    </w:p>
    <w:p w14:paraId="6774BA44">
      <w:pPr>
        <w:spacing w:line="276" w:lineRule="auto"/>
        <w:ind w:firstLine="420" w:firstLineChars="200"/>
        <w:rPr>
          <w:rFonts w:asciiTheme="minorEastAsia" w:hAnsiTheme="minorEastAsia"/>
          <w:szCs w:val="21"/>
        </w:rPr>
      </w:pPr>
      <w:r>
        <w:rPr>
          <w:rFonts w:hint="eastAsia" w:asciiTheme="minorEastAsia" w:hAnsiTheme="minorEastAsia"/>
          <w:szCs w:val="21"/>
        </w:rPr>
        <w:t>6.我公司未被列入失信被执行人、重大税收违法案件当事人名单、政府采购严重违法失信行为记录名单。</w:t>
      </w:r>
    </w:p>
    <w:p w14:paraId="23D33E9C">
      <w:pPr>
        <w:spacing w:line="276" w:lineRule="auto"/>
        <w:ind w:firstLine="420" w:firstLineChars="200"/>
        <w:rPr>
          <w:rFonts w:asciiTheme="minorEastAsia" w:hAnsiTheme="minorEastAsia"/>
          <w:szCs w:val="21"/>
        </w:rPr>
      </w:pPr>
      <w:r>
        <w:rPr>
          <w:rFonts w:hint="eastAsia" w:asciiTheme="minorEastAsia" w:hAnsiTheme="minorEastAsia"/>
          <w:szCs w:val="21"/>
        </w:rPr>
        <w:t>7.我公司参与该项目投标，严格遵守政府采购相关法律，投标做到诚实，不造假，不围标、串标、陪标。我公司已清楚，如违反上述要求，其投标将作废，被没收投标保证金，被列入不良记录名单并在网上曝光，同时将被提请政府采购监督管理部门给予一定年限内禁止参与政府采购活动或其他处罚。</w:t>
      </w:r>
    </w:p>
    <w:p w14:paraId="7A5F1F7C">
      <w:pPr>
        <w:spacing w:line="276" w:lineRule="auto"/>
        <w:ind w:firstLine="420" w:firstLineChars="200"/>
        <w:rPr>
          <w:rFonts w:asciiTheme="minorEastAsia" w:hAnsiTheme="minorEastAsia"/>
          <w:szCs w:val="21"/>
        </w:rPr>
      </w:pPr>
      <w:r>
        <w:rPr>
          <w:rFonts w:hint="eastAsia" w:asciiTheme="minorEastAsia" w:hAnsiTheme="minorEastAsia"/>
          <w:szCs w:val="21"/>
        </w:rPr>
        <w:t>8.我公司如果中标，做到守信，不偷工减料，依照本项目竞价文件需求内容、签署的采购合同及本公司在投标中所作的一切承诺履约。项目验收达到全部指标合格，力争优良。</w:t>
      </w:r>
    </w:p>
    <w:p w14:paraId="789BBEC4">
      <w:pPr>
        <w:spacing w:line="276" w:lineRule="auto"/>
        <w:ind w:firstLine="420" w:firstLineChars="200"/>
        <w:rPr>
          <w:rFonts w:asciiTheme="minorEastAsia" w:hAnsiTheme="minorEastAsia"/>
          <w:szCs w:val="21"/>
        </w:rPr>
      </w:pPr>
      <w:r>
        <w:rPr>
          <w:rFonts w:hint="eastAsia" w:asciiTheme="minorEastAsia" w:hAnsiTheme="minorEastAsia"/>
          <w:szCs w:val="21"/>
        </w:rPr>
        <w:t>9.我公司承诺本项目的报价不低于我公司的成本价，否则，我公司清楚将面临投标无效的风险；我公司承诺不恶意低价谋取中标；我公司对本项目的报价负责，中标后将严格按照本项目竞价文件需求、签署的采购合同及我公司在投标中所作的全部承诺履行。我公司清楚，若我公司以“报价太低而无法履约”为理由放弃本项目中标资格时，投标保证金将不被退还，且愿意接受主管部门的处理处罚。若我公司中标本项目，我公司的报价明显低于其他投标人的报价时，我公司清楚，本项目将成为重点监管、重点验收项目，我公司将按时保质保量完成，并全力配合有关监管、验收工作；若我公司未按上述要求履约，我公司愿意接受主管部门的处理处罚。</w:t>
      </w:r>
    </w:p>
    <w:p w14:paraId="24182BBE">
      <w:pPr>
        <w:spacing w:line="276" w:lineRule="auto"/>
        <w:ind w:firstLine="420" w:firstLineChars="200"/>
        <w:rPr>
          <w:rFonts w:asciiTheme="minorEastAsia" w:hAnsiTheme="minorEastAsia"/>
          <w:szCs w:val="21"/>
        </w:rPr>
      </w:pPr>
      <w:r>
        <w:rPr>
          <w:rFonts w:hint="eastAsia" w:asciiTheme="minorEastAsia" w:hAnsiTheme="minorEastAsia"/>
          <w:szCs w:val="21"/>
        </w:rPr>
        <w:t>10.我公司已认真核实了响应文件的全部内容，所有资料均为真实资料。我公司对响应文件中全部投标资料的真实性负责，如被证实我公司的响应文件中存在虚假资料的，则视为我公司隐瞒真实情况、提供虚假资料，我公司愿意接受主管部门作出的行政处罚。</w:t>
      </w:r>
    </w:p>
    <w:p w14:paraId="088B3BEA">
      <w:pPr>
        <w:spacing w:line="276" w:lineRule="auto"/>
        <w:ind w:firstLine="420" w:firstLineChars="200"/>
        <w:rPr>
          <w:rFonts w:asciiTheme="minorEastAsia" w:hAnsiTheme="minorEastAsia"/>
          <w:szCs w:val="21"/>
        </w:rPr>
      </w:pPr>
      <w:r>
        <w:rPr>
          <w:rFonts w:hint="eastAsia" w:asciiTheme="minorEastAsia" w:hAnsiTheme="minorEastAsia"/>
          <w:szCs w:val="21"/>
        </w:rPr>
        <w:t>11.我公司承诺本项目非联合体投标，不非法转包、分包。</w:t>
      </w:r>
    </w:p>
    <w:p w14:paraId="5A71BF37">
      <w:pPr>
        <w:spacing w:line="276" w:lineRule="auto"/>
        <w:ind w:firstLine="420" w:firstLineChars="200"/>
        <w:rPr>
          <w:rFonts w:asciiTheme="minorEastAsia" w:hAnsiTheme="minorEastAsia"/>
          <w:szCs w:val="21"/>
        </w:rPr>
      </w:pPr>
      <w:r>
        <w:rPr>
          <w:rFonts w:hint="eastAsia" w:asciiTheme="minorEastAsia" w:hAnsiTheme="minorEastAsia"/>
          <w:szCs w:val="21"/>
        </w:rPr>
        <w:t>以上承诺，如有违反，愿依照国家相关法律处理，并承担由此给采购人带来的损失。</w:t>
      </w:r>
    </w:p>
    <w:p w14:paraId="33E56509">
      <w:pPr>
        <w:adjustRightInd w:val="0"/>
        <w:snapToGrid w:val="0"/>
        <w:spacing w:line="276" w:lineRule="auto"/>
        <w:ind w:firstLine="422" w:firstLineChars="200"/>
        <w:rPr>
          <w:rFonts w:asciiTheme="minorEastAsia" w:hAnsiTheme="minorEastAsia"/>
          <w:b/>
          <w:snapToGrid w:val="0"/>
          <w:kern w:val="0"/>
          <w:szCs w:val="21"/>
        </w:rPr>
      </w:pPr>
    </w:p>
    <w:p w14:paraId="4615E586">
      <w:pPr>
        <w:spacing w:line="276" w:lineRule="auto"/>
        <w:ind w:firstLine="420" w:firstLineChars="200"/>
        <w:rPr>
          <w:rFonts w:asciiTheme="minorEastAsia" w:hAnsiTheme="minorEastAsia"/>
          <w:color w:val="000000"/>
          <w:szCs w:val="21"/>
        </w:rPr>
      </w:pPr>
      <w:r>
        <w:rPr>
          <w:rFonts w:hint="eastAsia" w:asciiTheme="minorEastAsia" w:hAnsiTheme="minorEastAsia"/>
          <w:color w:val="000000"/>
          <w:szCs w:val="21"/>
        </w:rPr>
        <w:t>投标供应商：</w:t>
      </w:r>
    </w:p>
    <w:p w14:paraId="2B4F42D8">
      <w:pPr>
        <w:spacing w:line="276" w:lineRule="auto"/>
        <w:ind w:firstLine="420" w:firstLineChars="200"/>
        <w:rPr>
          <w:rFonts w:asciiTheme="minorEastAsia" w:hAnsiTheme="minorEastAsia"/>
          <w:color w:val="000000"/>
          <w:szCs w:val="21"/>
        </w:rPr>
      </w:pPr>
      <w:r>
        <w:rPr>
          <w:rFonts w:hint="eastAsia" w:asciiTheme="minorEastAsia" w:hAnsiTheme="minorEastAsia"/>
          <w:color w:val="000000"/>
          <w:szCs w:val="21"/>
        </w:rPr>
        <w:t>法人或授权代表：</w:t>
      </w:r>
    </w:p>
    <w:p w14:paraId="01039A23">
      <w:pPr>
        <w:spacing w:line="276" w:lineRule="auto"/>
        <w:ind w:firstLine="420" w:firstLineChars="200"/>
        <w:rPr>
          <w:rFonts w:asciiTheme="minorEastAsia" w:hAnsiTheme="minorEastAsia"/>
          <w:color w:val="000000"/>
          <w:szCs w:val="21"/>
        </w:rPr>
        <w:sectPr>
          <w:pgSz w:w="11906" w:h="16838"/>
          <w:pgMar w:top="1440" w:right="1080" w:bottom="1440" w:left="1080" w:header="851" w:footer="992" w:gutter="0"/>
          <w:cols w:space="720" w:num="1"/>
          <w:titlePg/>
          <w:docGrid w:type="lines" w:linePitch="312" w:charSpace="0"/>
        </w:sectPr>
      </w:pPr>
      <w:r>
        <w:rPr>
          <w:rFonts w:hint="eastAsia" w:asciiTheme="minorEastAsia" w:hAnsiTheme="minorEastAsia"/>
          <w:color w:val="000000"/>
          <w:szCs w:val="21"/>
        </w:rPr>
        <w:t>日期：</w:t>
      </w:r>
    </w:p>
    <w:p w14:paraId="0BAE7B6C">
      <w:pPr>
        <w:spacing w:line="360" w:lineRule="auto"/>
        <w:ind w:firstLine="420" w:firstLineChars="200"/>
        <w:rPr>
          <w:rFonts w:asciiTheme="minorEastAsia" w:hAnsiTheme="minorEastAsia"/>
          <w:szCs w:val="21"/>
        </w:rPr>
      </w:pPr>
      <w:r>
        <w:rPr>
          <w:rFonts w:hint="eastAsia" w:asciiTheme="minorEastAsia" w:hAnsiTheme="minorEastAsia"/>
          <w:szCs w:val="21"/>
        </w:rPr>
        <w:t>附件3：诚信承诺函格式</w:t>
      </w:r>
      <w:bookmarkEnd w:id="151"/>
    </w:p>
    <w:p w14:paraId="1CCE2644">
      <w:pPr>
        <w:keepNext/>
        <w:keepLines/>
        <w:spacing w:before="160" w:after="170"/>
        <w:ind w:firstLine="602" w:firstLineChars="200"/>
        <w:jc w:val="center"/>
        <w:outlineLvl w:val="4"/>
        <w:rPr>
          <w:b/>
          <w:bCs/>
          <w:snapToGrid w:val="0"/>
          <w:sz w:val="30"/>
          <w:szCs w:val="28"/>
        </w:rPr>
      </w:pPr>
      <w:bookmarkStart w:id="152" w:name="_Toc55548540"/>
      <w:r>
        <w:rPr>
          <w:rFonts w:hint="eastAsia"/>
          <w:b/>
          <w:bCs/>
          <w:snapToGrid w:val="0"/>
          <w:sz w:val="30"/>
          <w:szCs w:val="28"/>
        </w:rPr>
        <w:t>诚信承诺函</w:t>
      </w:r>
      <w:bookmarkEnd w:id="152"/>
    </w:p>
    <w:p w14:paraId="05C87EDB">
      <w:pPr>
        <w:spacing w:line="360" w:lineRule="auto"/>
        <w:ind w:firstLine="420" w:firstLineChars="200"/>
        <w:rPr>
          <w:rFonts w:cs="Courier New" w:asciiTheme="minorEastAsia" w:hAnsiTheme="minorEastAsia"/>
          <w:snapToGrid w:val="0"/>
          <w:szCs w:val="21"/>
        </w:rPr>
      </w:pPr>
      <w:r>
        <w:rPr>
          <w:rFonts w:hint="eastAsia" w:cs="Courier New" w:asciiTheme="minorEastAsia" w:hAnsiTheme="minorEastAsia"/>
          <w:snapToGrid w:val="0"/>
          <w:szCs w:val="21"/>
        </w:rPr>
        <w:t>深圳市宝安区疾病预防控制中心</w:t>
      </w:r>
      <w:r>
        <w:rPr>
          <w:rFonts w:hint="eastAsia" w:cs="Courier New" w:asciiTheme="minorEastAsia" w:hAnsiTheme="minorEastAsia"/>
          <w:snapToGrid w:val="0"/>
          <w:szCs w:val="21"/>
          <w:lang w:eastAsia="zh-CN"/>
        </w:rPr>
        <w:t>（</w:t>
      </w:r>
      <w:r>
        <w:rPr>
          <w:rFonts w:hint="eastAsia" w:cs="Courier New" w:asciiTheme="minorEastAsia" w:hAnsiTheme="minorEastAsia"/>
          <w:snapToGrid w:val="0"/>
          <w:szCs w:val="21"/>
          <w:lang w:val="en-US" w:eastAsia="zh-CN"/>
        </w:rPr>
        <w:t>深圳市宝安区卫生监督所</w:t>
      </w:r>
      <w:r>
        <w:rPr>
          <w:rFonts w:hint="eastAsia" w:cs="Courier New" w:asciiTheme="minorEastAsia" w:hAnsiTheme="minorEastAsia"/>
          <w:snapToGrid w:val="0"/>
          <w:szCs w:val="21"/>
          <w:lang w:eastAsia="zh-CN"/>
        </w:rPr>
        <w:t>）</w:t>
      </w:r>
      <w:r>
        <w:rPr>
          <w:rFonts w:hint="eastAsia" w:cs="Courier New" w:asciiTheme="minorEastAsia" w:hAnsiTheme="minorEastAsia"/>
          <w:snapToGrid w:val="0"/>
          <w:szCs w:val="21"/>
        </w:rPr>
        <w:t>：</w:t>
      </w:r>
    </w:p>
    <w:p w14:paraId="2E19AA0B">
      <w:pPr>
        <w:spacing w:line="360" w:lineRule="auto"/>
        <w:ind w:firstLine="420" w:firstLineChars="200"/>
        <w:rPr>
          <w:rFonts w:cs="Courier New" w:asciiTheme="minorEastAsia" w:hAnsiTheme="minorEastAsia"/>
          <w:snapToGrid w:val="0"/>
          <w:szCs w:val="21"/>
        </w:rPr>
      </w:pPr>
      <w:r>
        <w:rPr>
          <w:rFonts w:hint="eastAsia" w:cs="Courier New" w:asciiTheme="minorEastAsia" w:hAnsiTheme="minorEastAsia"/>
          <w:snapToGrid w:val="0"/>
          <w:szCs w:val="21"/>
        </w:rPr>
        <w:t>我公司承诺，根据《深圳市政府采购供应商诚信管理暂行办法》相关规定，在参与政府采购活动中不存在出现诚信相关问题且在相关主管部门处理措施实施期限内，如若响应文件与事实情况不符，我司自愿承担“隐瞒真实情况，提供虚假资料”以及其他一切不利的法律后果。</w:t>
      </w:r>
    </w:p>
    <w:p w14:paraId="246BAC6A">
      <w:pPr>
        <w:spacing w:line="360" w:lineRule="auto"/>
        <w:ind w:firstLine="420" w:firstLineChars="200"/>
        <w:rPr>
          <w:rFonts w:cs="Courier New" w:asciiTheme="minorEastAsia" w:hAnsiTheme="minorEastAsia"/>
          <w:snapToGrid w:val="0"/>
          <w:szCs w:val="21"/>
        </w:rPr>
      </w:pPr>
      <w:r>
        <w:rPr>
          <w:rFonts w:hint="eastAsia" w:cs="Courier New" w:asciiTheme="minorEastAsia" w:hAnsiTheme="minorEastAsia"/>
          <w:snapToGrid w:val="0"/>
          <w:szCs w:val="21"/>
        </w:rPr>
        <w:t>我公司承诺，在参加政府采购活动中没有出现下列行为之一：</w:t>
      </w:r>
    </w:p>
    <w:p w14:paraId="0DB0B106">
      <w:pPr>
        <w:spacing w:line="360" w:lineRule="auto"/>
        <w:ind w:firstLine="420" w:firstLineChars="200"/>
        <w:rPr>
          <w:rFonts w:cs="Courier New" w:asciiTheme="minorEastAsia" w:hAnsiTheme="minorEastAsia"/>
          <w:snapToGrid w:val="0"/>
          <w:szCs w:val="21"/>
        </w:rPr>
      </w:pPr>
      <w:r>
        <w:rPr>
          <w:rFonts w:hint="eastAsia" w:cs="Courier New" w:asciiTheme="minorEastAsia" w:hAnsiTheme="minorEastAsia"/>
          <w:snapToGrid w:val="0"/>
          <w:szCs w:val="21"/>
        </w:rPr>
        <w:t>（一）投标截止后，无正当理由撤销其投标行为，导致项目无法正常开评标的；</w:t>
      </w:r>
    </w:p>
    <w:p w14:paraId="120F33BC">
      <w:pPr>
        <w:spacing w:line="360" w:lineRule="auto"/>
        <w:ind w:firstLine="420" w:firstLineChars="200"/>
        <w:rPr>
          <w:rFonts w:cs="Courier New" w:asciiTheme="minorEastAsia" w:hAnsiTheme="minorEastAsia"/>
          <w:snapToGrid w:val="0"/>
          <w:szCs w:val="21"/>
        </w:rPr>
      </w:pPr>
      <w:r>
        <w:rPr>
          <w:rFonts w:hint="eastAsia" w:cs="Courier New" w:asciiTheme="minorEastAsia" w:hAnsiTheme="minorEastAsia"/>
          <w:snapToGrid w:val="0"/>
          <w:szCs w:val="21"/>
        </w:rPr>
        <w:t>（二）未按《采购条例》规定签订、履行采购合同，严重影响采购人日常工作的；</w:t>
      </w:r>
    </w:p>
    <w:p w14:paraId="5F6D95D9">
      <w:pPr>
        <w:spacing w:line="360" w:lineRule="auto"/>
        <w:ind w:firstLine="420" w:firstLineChars="200"/>
        <w:rPr>
          <w:rFonts w:cs="Courier New" w:asciiTheme="minorEastAsia" w:hAnsiTheme="minorEastAsia"/>
          <w:snapToGrid w:val="0"/>
          <w:szCs w:val="21"/>
        </w:rPr>
      </w:pPr>
      <w:r>
        <w:rPr>
          <w:rFonts w:hint="eastAsia" w:cs="Courier New" w:asciiTheme="minorEastAsia" w:hAnsiTheme="minorEastAsia"/>
          <w:snapToGrid w:val="0"/>
          <w:szCs w:val="21"/>
        </w:rPr>
        <w:t>（三）在响应文件中未说明且未经采购人同意，将中标项目分包给他人，情节严重的；</w:t>
      </w:r>
    </w:p>
    <w:p w14:paraId="32155BD6">
      <w:pPr>
        <w:spacing w:line="360" w:lineRule="auto"/>
        <w:ind w:firstLine="420" w:firstLineChars="200"/>
        <w:rPr>
          <w:rFonts w:cs="Courier New" w:asciiTheme="minorEastAsia" w:hAnsiTheme="minorEastAsia"/>
          <w:snapToGrid w:val="0"/>
          <w:szCs w:val="21"/>
        </w:rPr>
      </w:pPr>
      <w:r>
        <w:rPr>
          <w:rFonts w:hint="eastAsia" w:cs="Courier New" w:asciiTheme="minorEastAsia" w:hAnsiTheme="minorEastAsia"/>
          <w:snapToGrid w:val="0"/>
          <w:szCs w:val="21"/>
        </w:rPr>
        <w:t>（四）严重违反合同约定，擅自降低货物质量等次和售后服务，货物、工程或者服务存在严重质量问题的；</w:t>
      </w:r>
    </w:p>
    <w:p w14:paraId="3EE23B4B">
      <w:pPr>
        <w:spacing w:line="360" w:lineRule="auto"/>
        <w:ind w:firstLine="420" w:firstLineChars="200"/>
        <w:rPr>
          <w:rFonts w:cs="Courier New" w:asciiTheme="minorEastAsia" w:hAnsiTheme="minorEastAsia"/>
          <w:snapToGrid w:val="0"/>
          <w:szCs w:val="21"/>
        </w:rPr>
      </w:pPr>
      <w:r>
        <w:rPr>
          <w:rFonts w:hint="eastAsia" w:cs="Courier New" w:asciiTheme="minorEastAsia" w:hAnsiTheme="minorEastAsia"/>
          <w:snapToGrid w:val="0"/>
          <w:szCs w:val="21"/>
        </w:rPr>
        <w:t>（五）严重违反合同约定，未能完成全部货物、服务或工程项目，中途停止配送或者变相增加费用的；</w:t>
      </w:r>
    </w:p>
    <w:p w14:paraId="6D5C51BF">
      <w:pPr>
        <w:spacing w:line="360" w:lineRule="auto"/>
        <w:ind w:firstLine="420" w:firstLineChars="200"/>
        <w:rPr>
          <w:rFonts w:cs="Courier New" w:asciiTheme="minorEastAsia" w:hAnsiTheme="minorEastAsia"/>
          <w:snapToGrid w:val="0"/>
          <w:szCs w:val="21"/>
        </w:rPr>
      </w:pPr>
      <w:r>
        <w:rPr>
          <w:rFonts w:hint="eastAsia" w:cs="Courier New" w:asciiTheme="minorEastAsia" w:hAnsiTheme="minorEastAsia"/>
          <w:snapToGrid w:val="0"/>
          <w:szCs w:val="21"/>
        </w:rPr>
        <w:t>（六）捏造事实、提供虚假材料进行质疑的；</w:t>
      </w:r>
    </w:p>
    <w:p w14:paraId="37F739CD">
      <w:pPr>
        <w:spacing w:line="360" w:lineRule="auto"/>
        <w:ind w:firstLine="420" w:firstLineChars="200"/>
        <w:rPr>
          <w:rFonts w:cs="Courier New" w:asciiTheme="minorEastAsia" w:hAnsiTheme="minorEastAsia"/>
          <w:snapToGrid w:val="0"/>
          <w:szCs w:val="21"/>
        </w:rPr>
      </w:pPr>
      <w:r>
        <w:rPr>
          <w:rFonts w:hint="eastAsia" w:cs="Courier New" w:asciiTheme="minorEastAsia" w:hAnsiTheme="minorEastAsia"/>
          <w:snapToGrid w:val="0"/>
          <w:szCs w:val="21"/>
        </w:rPr>
        <w:t>（七）假冒他人名义质疑的；</w:t>
      </w:r>
    </w:p>
    <w:p w14:paraId="3BF34425">
      <w:pPr>
        <w:spacing w:line="360" w:lineRule="auto"/>
        <w:ind w:firstLine="420" w:firstLineChars="200"/>
        <w:rPr>
          <w:rFonts w:cs="Courier New" w:asciiTheme="minorEastAsia" w:hAnsiTheme="minorEastAsia"/>
          <w:snapToGrid w:val="0"/>
          <w:szCs w:val="21"/>
        </w:rPr>
      </w:pPr>
      <w:r>
        <w:rPr>
          <w:rFonts w:hint="eastAsia" w:cs="Courier New" w:asciiTheme="minorEastAsia" w:hAnsiTheme="minorEastAsia"/>
          <w:snapToGrid w:val="0"/>
          <w:szCs w:val="21"/>
        </w:rPr>
        <w:t>（八）无正当理由拒不配合进行质疑调查的。</w:t>
      </w:r>
    </w:p>
    <w:p w14:paraId="54417F30">
      <w:pPr>
        <w:spacing w:line="360" w:lineRule="auto"/>
        <w:ind w:firstLine="420" w:firstLineChars="200"/>
        <w:rPr>
          <w:rFonts w:cs="Courier New" w:asciiTheme="minorEastAsia" w:hAnsiTheme="minorEastAsia"/>
          <w:snapToGrid w:val="0"/>
          <w:szCs w:val="21"/>
        </w:rPr>
      </w:pPr>
      <w:r>
        <w:rPr>
          <w:rFonts w:hint="eastAsia" w:cs="Courier New" w:asciiTheme="minorEastAsia" w:hAnsiTheme="minorEastAsia"/>
          <w:snapToGrid w:val="0"/>
          <w:szCs w:val="21"/>
        </w:rPr>
        <w:t>特此承诺。</w:t>
      </w:r>
    </w:p>
    <w:p w14:paraId="081C0991">
      <w:pPr>
        <w:spacing w:line="360" w:lineRule="auto"/>
        <w:ind w:firstLine="420" w:firstLineChars="200"/>
        <w:rPr>
          <w:rFonts w:asciiTheme="minorEastAsia" w:hAnsiTheme="minorEastAsia"/>
          <w:szCs w:val="21"/>
        </w:rPr>
      </w:pPr>
    </w:p>
    <w:p w14:paraId="03897CCC">
      <w:pPr>
        <w:spacing w:line="360" w:lineRule="auto"/>
        <w:ind w:firstLine="420" w:firstLineChars="200"/>
        <w:rPr>
          <w:rFonts w:asciiTheme="minorEastAsia" w:hAnsiTheme="minorEastAsia"/>
          <w:szCs w:val="21"/>
        </w:rPr>
      </w:pPr>
    </w:p>
    <w:p w14:paraId="4408FE4D">
      <w:pPr>
        <w:spacing w:line="360" w:lineRule="auto"/>
        <w:ind w:firstLine="420" w:firstLineChars="200"/>
        <w:rPr>
          <w:rFonts w:asciiTheme="minorEastAsia" w:hAnsiTheme="minorEastAsia"/>
          <w:color w:val="000000"/>
          <w:szCs w:val="21"/>
        </w:rPr>
      </w:pPr>
      <w:r>
        <w:rPr>
          <w:rFonts w:hint="eastAsia" w:asciiTheme="minorEastAsia" w:hAnsiTheme="minorEastAsia"/>
          <w:color w:val="000000"/>
          <w:szCs w:val="21"/>
        </w:rPr>
        <w:t>投标供应商：</w:t>
      </w:r>
    </w:p>
    <w:p w14:paraId="0D4D1137">
      <w:pPr>
        <w:spacing w:line="360" w:lineRule="auto"/>
        <w:ind w:firstLine="420" w:firstLineChars="200"/>
        <w:rPr>
          <w:rFonts w:asciiTheme="minorEastAsia" w:hAnsiTheme="minorEastAsia"/>
          <w:color w:val="000000"/>
          <w:szCs w:val="21"/>
        </w:rPr>
      </w:pPr>
      <w:r>
        <w:rPr>
          <w:rFonts w:hint="eastAsia" w:asciiTheme="minorEastAsia" w:hAnsiTheme="minorEastAsia"/>
          <w:color w:val="000000"/>
          <w:szCs w:val="21"/>
        </w:rPr>
        <w:t>法人或授权代表：</w:t>
      </w:r>
    </w:p>
    <w:p w14:paraId="4E4D7112">
      <w:pPr>
        <w:spacing w:line="360" w:lineRule="auto"/>
        <w:ind w:firstLine="420" w:firstLineChars="200"/>
        <w:rPr>
          <w:rFonts w:asciiTheme="minorEastAsia" w:hAnsiTheme="minorEastAsia"/>
          <w:color w:val="000000"/>
          <w:szCs w:val="21"/>
        </w:rPr>
      </w:pPr>
      <w:r>
        <w:rPr>
          <w:rFonts w:hint="eastAsia" w:asciiTheme="minorEastAsia" w:hAnsiTheme="minorEastAsia"/>
          <w:color w:val="000000"/>
          <w:szCs w:val="21"/>
        </w:rPr>
        <w:t>日期：</w:t>
      </w:r>
    </w:p>
    <w:p w14:paraId="59B6720E">
      <w:pPr>
        <w:spacing w:line="360" w:lineRule="auto"/>
        <w:ind w:firstLine="420" w:firstLineChars="200"/>
        <w:rPr>
          <w:rFonts w:asciiTheme="minorEastAsia" w:hAnsiTheme="minorEastAsia"/>
          <w:szCs w:val="21"/>
        </w:rPr>
      </w:pPr>
    </w:p>
    <w:p w14:paraId="3CB97683">
      <w:pPr>
        <w:spacing w:line="360" w:lineRule="auto"/>
        <w:ind w:firstLine="422" w:firstLineChars="200"/>
        <w:rPr>
          <w:rFonts w:asciiTheme="minorEastAsia" w:hAnsiTheme="minorEastAsia"/>
          <w:b/>
          <w:szCs w:val="21"/>
        </w:rPr>
      </w:pPr>
    </w:p>
    <w:p w14:paraId="4877D22C">
      <w:pPr>
        <w:spacing w:line="360" w:lineRule="auto"/>
        <w:ind w:firstLine="420" w:firstLineChars="200"/>
        <w:rPr>
          <w:rFonts w:asciiTheme="minorEastAsia" w:hAnsiTheme="minorEastAsia"/>
          <w:szCs w:val="21"/>
        </w:rPr>
        <w:sectPr>
          <w:pgSz w:w="11906" w:h="16838"/>
          <w:pgMar w:top="1440" w:right="1080" w:bottom="1440" w:left="1080" w:header="851" w:footer="992" w:gutter="0"/>
          <w:cols w:space="720" w:num="1"/>
          <w:titlePg/>
          <w:docGrid w:type="lines" w:linePitch="312" w:charSpace="0"/>
        </w:sectPr>
      </w:pPr>
      <w:bookmarkStart w:id="153" w:name="_Toc6706"/>
    </w:p>
    <w:p w14:paraId="4A8A308C">
      <w:pPr>
        <w:spacing w:line="360" w:lineRule="auto"/>
        <w:ind w:firstLine="420" w:firstLineChars="200"/>
        <w:rPr>
          <w:rFonts w:asciiTheme="minorEastAsia" w:hAnsiTheme="minorEastAsia"/>
          <w:szCs w:val="21"/>
        </w:rPr>
      </w:pPr>
      <w:r>
        <w:rPr>
          <w:rFonts w:hint="eastAsia" w:asciiTheme="minorEastAsia" w:hAnsiTheme="minorEastAsia"/>
          <w:szCs w:val="21"/>
        </w:rPr>
        <w:t>附件</w:t>
      </w:r>
      <w:r>
        <w:rPr>
          <w:rFonts w:asciiTheme="minorEastAsia" w:hAnsiTheme="minorEastAsia"/>
          <w:szCs w:val="21"/>
        </w:rPr>
        <w:t>4</w:t>
      </w:r>
      <w:r>
        <w:rPr>
          <w:rFonts w:hint="eastAsia" w:asciiTheme="minorEastAsia" w:hAnsiTheme="minorEastAsia"/>
          <w:szCs w:val="21"/>
        </w:rPr>
        <w:t>：开标一览表格式</w:t>
      </w:r>
      <w:bookmarkEnd w:id="153"/>
    </w:p>
    <w:p w14:paraId="6E6494EC">
      <w:pPr>
        <w:keepNext/>
        <w:keepLines/>
        <w:spacing w:before="160" w:after="170"/>
        <w:ind w:firstLine="602" w:firstLineChars="200"/>
        <w:jc w:val="center"/>
        <w:outlineLvl w:val="4"/>
        <w:rPr>
          <w:b/>
          <w:bCs/>
          <w:sz w:val="30"/>
          <w:szCs w:val="28"/>
        </w:rPr>
      </w:pPr>
      <w:bookmarkStart w:id="154" w:name="_Toc55548541"/>
      <w:r>
        <w:rPr>
          <w:rFonts w:hint="eastAsia"/>
          <w:b/>
          <w:bCs/>
          <w:sz w:val="30"/>
          <w:szCs w:val="28"/>
        </w:rPr>
        <w:t>开标一览表</w:t>
      </w:r>
      <w:bookmarkEnd w:id="154"/>
    </w:p>
    <w:p w14:paraId="5646105C">
      <w:pPr>
        <w:spacing w:line="360" w:lineRule="auto"/>
        <w:ind w:firstLine="420" w:firstLineChars="200"/>
        <w:rPr>
          <w:rFonts w:asciiTheme="minorEastAsia" w:hAnsiTheme="minorEastAsia"/>
          <w:szCs w:val="21"/>
        </w:rPr>
      </w:pPr>
      <w:r>
        <w:rPr>
          <w:rFonts w:hint="eastAsia" w:asciiTheme="minorEastAsia" w:hAnsiTheme="minorEastAsia"/>
          <w:szCs w:val="21"/>
        </w:rPr>
        <w:t>项目名称：</w:t>
      </w:r>
      <w:r>
        <w:rPr>
          <w:rFonts w:hint="eastAsia" w:asciiTheme="minorEastAsia" w:hAnsiTheme="minorEastAsia"/>
          <w:szCs w:val="21"/>
          <w:u w:val="single"/>
        </w:rPr>
        <w:t xml:space="preserve">                          </w:t>
      </w:r>
      <w:r>
        <w:rPr>
          <w:rFonts w:hint="eastAsia" w:asciiTheme="minorEastAsia" w:hAnsiTheme="minorEastAsia"/>
          <w:szCs w:val="21"/>
        </w:rPr>
        <w:t xml:space="preserve"> </w:t>
      </w:r>
    </w:p>
    <w:p w14:paraId="438BC3DA">
      <w:pPr>
        <w:spacing w:line="360" w:lineRule="auto"/>
        <w:ind w:firstLine="420" w:firstLineChars="200"/>
        <w:rPr>
          <w:rFonts w:asciiTheme="minorEastAsia" w:hAnsiTheme="minorEastAsia"/>
          <w:szCs w:val="21"/>
        </w:rPr>
      </w:pPr>
      <w:r>
        <w:rPr>
          <w:rFonts w:hint="eastAsia" w:asciiTheme="minorEastAsia" w:hAnsiTheme="minorEastAsia"/>
          <w:szCs w:val="21"/>
        </w:rPr>
        <w:t>项目编号：</w:t>
      </w:r>
      <w:r>
        <w:rPr>
          <w:rFonts w:hint="eastAsia" w:asciiTheme="minorEastAsia" w:hAnsiTheme="minorEastAsia"/>
          <w:szCs w:val="21"/>
          <w:u w:val="single"/>
        </w:rPr>
        <w:t xml:space="preserve">          </w:t>
      </w:r>
      <w:r>
        <w:rPr>
          <w:rFonts w:asciiTheme="minorEastAsia" w:hAnsiTheme="minorEastAsia"/>
          <w:szCs w:val="21"/>
          <w:u w:val="single"/>
        </w:rPr>
        <w:t xml:space="preserve">        </w:t>
      </w:r>
      <w:r>
        <w:rPr>
          <w:rFonts w:hint="eastAsia" w:asciiTheme="minorEastAsia" w:hAnsiTheme="minorEastAsia"/>
          <w:szCs w:val="21"/>
          <w:u w:val="single"/>
        </w:rPr>
        <w:t xml:space="preserve">         </w:t>
      </w:r>
      <w:r>
        <w:rPr>
          <w:rFonts w:hint="eastAsia" w:asciiTheme="minorEastAsia" w:hAnsiTheme="minorEastAsia"/>
          <w:szCs w:val="21"/>
        </w:rPr>
        <w:t xml:space="preserve"> </w:t>
      </w:r>
    </w:p>
    <w:tbl>
      <w:tblPr>
        <w:tblStyle w:val="16"/>
        <w:tblW w:w="96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88"/>
        <w:gridCol w:w="2562"/>
        <w:gridCol w:w="2694"/>
        <w:gridCol w:w="1493"/>
      </w:tblGrid>
      <w:tr w14:paraId="0E77D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7" w:hRule="atLeast"/>
          <w:jc w:val="center"/>
        </w:trPr>
        <w:tc>
          <w:tcPr>
            <w:tcW w:w="2888" w:type="dxa"/>
            <w:vAlign w:val="bottom"/>
          </w:tcPr>
          <w:p w14:paraId="469FFB13">
            <w:pPr>
              <w:spacing w:line="360" w:lineRule="auto"/>
              <w:ind w:firstLine="420" w:firstLineChars="200"/>
              <w:rPr>
                <w:rFonts w:asciiTheme="minorEastAsia" w:hAnsiTheme="minorEastAsia"/>
                <w:szCs w:val="21"/>
              </w:rPr>
            </w:pPr>
            <w:r>
              <w:rPr>
                <w:rFonts w:hint="eastAsia" w:asciiTheme="minorEastAsia" w:hAnsiTheme="minorEastAsia"/>
                <w:szCs w:val="21"/>
              </w:rPr>
              <w:t>项目名称/包号</w:t>
            </w:r>
          </w:p>
        </w:tc>
        <w:tc>
          <w:tcPr>
            <w:tcW w:w="2562" w:type="dxa"/>
            <w:vAlign w:val="bottom"/>
          </w:tcPr>
          <w:p w14:paraId="78D6C31A">
            <w:pPr>
              <w:spacing w:line="360" w:lineRule="auto"/>
              <w:ind w:firstLine="420" w:firstLineChars="200"/>
              <w:rPr>
                <w:rFonts w:asciiTheme="minorEastAsia" w:hAnsiTheme="minorEastAsia"/>
                <w:szCs w:val="21"/>
              </w:rPr>
            </w:pPr>
            <w:r>
              <w:rPr>
                <w:rFonts w:hint="eastAsia" w:asciiTheme="minorEastAsia" w:hAnsiTheme="minorEastAsia"/>
                <w:szCs w:val="21"/>
              </w:rPr>
              <w:t>投标总价</w:t>
            </w:r>
          </w:p>
          <w:p w14:paraId="1DB53521">
            <w:pPr>
              <w:spacing w:line="360" w:lineRule="auto"/>
              <w:ind w:firstLine="420" w:firstLineChars="200"/>
              <w:rPr>
                <w:rFonts w:asciiTheme="minorEastAsia" w:hAnsiTheme="minorEastAsia"/>
                <w:szCs w:val="21"/>
              </w:rPr>
            </w:pPr>
            <w:r>
              <w:rPr>
                <w:rFonts w:hint="eastAsia" w:asciiTheme="minorEastAsia" w:hAnsiTheme="minorEastAsia"/>
                <w:szCs w:val="21"/>
              </w:rPr>
              <w:t>（人民币元）</w:t>
            </w:r>
          </w:p>
        </w:tc>
        <w:tc>
          <w:tcPr>
            <w:tcW w:w="2694" w:type="dxa"/>
            <w:vAlign w:val="bottom"/>
          </w:tcPr>
          <w:p w14:paraId="275B2BE6">
            <w:pPr>
              <w:spacing w:line="360" w:lineRule="auto"/>
              <w:ind w:firstLine="420" w:firstLineChars="200"/>
              <w:rPr>
                <w:rFonts w:asciiTheme="minorEastAsia" w:hAnsiTheme="minorEastAsia"/>
                <w:szCs w:val="21"/>
              </w:rPr>
            </w:pPr>
            <w:r>
              <w:rPr>
                <w:rFonts w:hint="eastAsia" w:asciiTheme="minorEastAsia" w:hAnsiTheme="minorEastAsia"/>
                <w:szCs w:val="21"/>
              </w:rPr>
              <w:t>交货期/服务期</w:t>
            </w:r>
          </w:p>
        </w:tc>
        <w:tc>
          <w:tcPr>
            <w:tcW w:w="1493" w:type="dxa"/>
            <w:vAlign w:val="bottom"/>
          </w:tcPr>
          <w:p w14:paraId="2010CA8E">
            <w:pPr>
              <w:spacing w:line="360" w:lineRule="auto"/>
              <w:ind w:firstLine="420" w:firstLineChars="200"/>
              <w:rPr>
                <w:rFonts w:asciiTheme="minorEastAsia" w:hAnsiTheme="minorEastAsia"/>
                <w:szCs w:val="21"/>
              </w:rPr>
            </w:pPr>
            <w:r>
              <w:rPr>
                <w:rFonts w:hint="eastAsia" w:asciiTheme="minorEastAsia" w:hAnsiTheme="minorEastAsia"/>
                <w:szCs w:val="21"/>
              </w:rPr>
              <w:t>备注</w:t>
            </w:r>
          </w:p>
        </w:tc>
      </w:tr>
      <w:tr w14:paraId="0273C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29" w:hRule="atLeast"/>
          <w:jc w:val="center"/>
        </w:trPr>
        <w:tc>
          <w:tcPr>
            <w:tcW w:w="2888" w:type="dxa"/>
          </w:tcPr>
          <w:p w14:paraId="1120D8CF">
            <w:pPr>
              <w:spacing w:line="360" w:lineRule="auto"/>
              <w:ind w:firstLine="420" w:firstLineChars="200"/>
              <w:rPr>
                <w:rFonts w:asciiTheme="minorEastAsia" w:hAnsiTheme="minorEastAsia"/>
                <w:szCs w:val="21"/>
              </w:rPr>
            </w:pPr>
          </w:p>
        </w:tc>
        <w:tc>
          <w:tcPr>
            <w:tcW w:w="2562" w:type="dxa"/>
          </w:tcPr>
          <w:p w14:paraId="26A89ECC">
            <w:pPr>
              <w:spacing w:line="360" w:lineRule="auto"/>
              <w:ind w:firstLine="420" w:firstLineChars="200"/>
              <w:rPr>
                <w:rFonts w:asciiTheme="minorEastAsia" w:hAnsiTheme="minorEastAsia"/>
                <w:szCs w:val="21"/>
              </w:rPr>
            </w:pPr>
          </w:p>
          <w:p w14:paraId="43304167">
            <w:pPr>
              <w:spacing w:line="360" w:lineRule="auto"/>
              <w:ind w:firstLine="420" w:firstLineChars="200"/>
              <w:rPr>
                <w:rFonts w:asciiTheme="minorEastAsia" w:hAnsiTheme="minorEastAsia"/>
                <w:szCs w:val="21"/>
              </w:rPr>
            </w:pPr>
            <w:r>
              <w:rPr>
                <w:rFonts w:hint="eastAsia" w:asciiTheme="minorEastAsia" w:hAnsiTheme="minorEastAsia"/>
                <w:szCs w:val="21"/>
              </w:rPr>
              <w:t>大写：</w:t>
            </w:r>
            <w:r>
              <w:rPr>
                <w:rFonts w:hint="eastAsia" w:asciiTheme="minorEastAsia" w:hAnsiTheme="minorEastAsia"/>
                <w:szCs w:val="21"/>
                <w:u w:val="single"/>
              </w:rPr>
              <w:t xml:space="preserve">        </w:t>
            </w:r>
          </w:p>
          <w:p w14:paraId="3800D9EF">
            <w:pPr>
              <w:spacing w:line="360" w:lineRule="auto"/>
              <w:ind w:firstLine="420" w:firstLineChars="200"/>
              <w:rPr>
                <w:rFonts w:asciiTheme="minorEastAsia" w:hAnsiTheme="minorEastAsia"/>
                <w:szCs w:val="21"/>
              </w:rPr>
            </w:pPr>
            <w:r>
              <w:rPr>
                <w:rFonts w:hint="eastAsia" w:asciiTheme="minorEastAsia" w:hAnsiTheme="minorEastAsia"/>
                <w:szCs w:val="21"/>
              </w:rPr>
              <w:t>小写：</w:t>
            </w:r>
            <w:r>
              <w:rPr>
                <w:rFonts w:hint="eastAsia" w:asciiTheme="minorEastAsia" w:hAnsiTheme="minorEastAsia"/>
                <w:szCs w:val="21"/>
                <w:u w:val="single"/>
              </w:rPr>
              <w:t xml:space="preserve">        </w:t>
            </w:r>
          </w:p>
        </w:tc>
        <w:tc>
          <w:tcPr>
            <w:tcW w:w="2694" w:type="dxa"/>
          </w:tcPr>
          <w:p w14:paraId="1CD9D82F">
            <w:pPr>
              <w:spacing w:line="360" w:lineRule="auto"/>
              <w:ind w:firstLine="420" w:firstLineChars="200"/>
              <w:rPr>
                <w:rFonts w:asciiTheme="minorEastAsia" w:hAnsiTheme="minorEastAsia"/>
                <w:szCs w:val="21"/>
              </w:rPr>
            </w:pPr>
          </w:p>
        </w:tc>
        <w:tc>
          <w:tcPr>
            <w:tcW w:w="1493" w:type="dxa"/>
          </w:tcPr>
          <w:p w14:paraId="3EE65A94">
            <w:pPr>
              <w:spacing w:line="360" w:lineRule="auto"/>
              <w:ind w:firstLine="420" w:firstLineChars="200"/>
              <w:rPr>
                <w:rFonts w:asciiTheme="minorEastAsia" w:hAnsiTheme="minorEastAsia"/>
                <w:szCs w:val="21"/>
              </w:rPr>
            </w:pPr>
          </w:p>
        </w:tc>
      </w:tr>
    </w:tbl>
    <w:p w14:paraId="2EFCFA87">
      <w:pPr>
        <w:spacing w:line="360" w:lineRule="auto"/>
        <w:ind w:firstLine="420" w:firstLineChars="200"/>
        <w:rPr>
          <w:rFonts w:asciiTheme="minorEastAsia" w:hAnsiTheme="minorEastAsia"/>
          <w:szCs w:val="21"/>
        </w:rPr>
      </w:pPr>
    </w:p>
    <w:p w14:paraId="79890C84">
      <w:pPr>
        <w:spacing w:line="360" w:lineRule="auto"/>
        <w:ind w:firstLine="420" w:firstLineChars="200"/>
        <w:rPr>
          <w:rFonts w:asciiTheme="minorEastAsia" w:hAnsiTheme="minorEastAsia"/>
          <w:szCs w:val="21"/>
        </w:rPr>
      </w:pPr>
    </w:p>
    <w:p w14:paraId="638B62DA">
      <w:pPr>
        <w:spacing w:line="360" w:lineRule="auto"/>
        <w:ind w:firstLine="420" w:firstLineChars="200"/>
        <w:rPr>
          <w:rFonts w:asciiTheme="minorEastAsia" w:hAnsiTheme="minorEastAsia"/>
          <w:szCs w:val="21"/>
        </w:rPr>
      </w:pPr>
      <w:r>
        <w:rPr>
          <w:rFonts w:hint="eastAsia" w:asciiTheme="minorEastAsia" w:hAnsiTheme="minorEastAsia"/>
          <w:szCs w:val="21"/>
        </w:rPr>
        <w:t>投标供应商：</w:t>
      </w:r>
    </w:p>
    <w:p w14:paraId="04475BF7">
      <w:pPr>
        <w:spacing w:line="360" w:lineRule="auto"/>
        <w:ind w:firstLine="420" w:firstLineChars="200"/>
        <w:rPr>
          <w:rFonts w:asciiTheme="minorEastAsia" w:hAnsiTheme="minorEastAsia"/>
          <w:szCs w:val="21"/>
        </w:rPr>
      </w:pPr>
      <w:r>
        <w:rPr>
          <w:rFonts w:hint="eastAsia" w:asciiTheme="minorEastAsia" w:hAnsiTheme="minorEastAsia"/>
          <w:szCs w:val="21"/>
        </w:rPr>
        <w:t>法人</w:t>
      </w:r>
      <w:r>
        <w:rPr>
          <w:rFonts w:asciiTheme="minorEastAsia" w:hAnsiTheme="minorEastAsia"/>
          <w:szCs w:val="21"/>
        </w:rPr>
        <w:t>或</w:t>
      </w:r>
      <w:r>
        <w:rPr>
          <w:rFonts w:hint="eastAsia" w:asciiTheme="minorEastAsia" w:hAnsiTheme="minorEastAsia"/>
          <w:szCs w:val="21"/>
        </w:rPr>
        <w:t>授权</w:t>
      </w:r>
      <w:r>
        <w:rPr>
          <w:rFonts w:asciiTheme="minorEastAsia" w:hAnsiTheme="minorEastAsia"/>
          <w:szCs w:val="21"/>
        </w:rPr>
        <w:t>代表：</w:t>
      </w:r>
    </w:p>
    <w:p w14:paraId="034F8ED7">
      <w:pPr>
        <w:spacing w:line="360" w:lineRule="auto"/>
        <w:ind w:firstLine="420" w:firstLineChars="200"/>
        <w:rPr>
          <w:rFonts w:asciiTheme="minorEastAsia" w:hAnsiTheme="minorEastAsia"/>
          <w:szCs w:val="21"/>
        </w:rPr>
      </w:pPr>
      <w:r>
        <w:rPr>
          <w:rFonts w:hint="eastAsia" w:asciiTheme="minorEastAsia" w:hAnsiTheme="minorEastAsia"/>
          <w:szCs w:val="21"/>
        </w:rPr>
        <w:t>日期</w:t>
      </w:r>
      <w:r>
        <w:rPr>
          <w:rFonts w:asciiTheme="minorEastAsia" w:hAnsiTheme="minorEastAsia"/>
          <w:szCs w:val="21"/>
        </w:rPr>
        <w:t>：</w:t>
      </w:r>
    </w:p>
    <w:p w14:paraId="4004A3A9">
      <w:pPr>
        <w:spacing w:line="360" w:lineRule="auto"/>
        <w:ind w:firstLine="420" w:firstLineChars="200"/>
        <w:rPr>
          <w:rFonts w:asciiTheme="minorEastAsia" w:hAnsiTheme="minorEastAsia"/>
          <w:szCs w:val="21"/>
        </w:rPr>
      </w:pPr>
    </w:p>
    <w:p w14:paraId="20354EC1">
      <w:pPr>
        <w:spacing w:line="360" w:lineRule="auto"/>
        <w:ind w:firstLine="420" w:firstLineChars="200"/>
        <w:rPr>
          <w:rFonts w:asciiTheme="minorEastAsia" w:hAnsiTheme="minorEastAsia"/>
          <w:szCs w:val="21"/>
        </w:rPr>
      </w:pPr>
    </w:p>
    <w:p w14:paraId="4D4C5252">
      <w:pPr>
        <w:spacing w:line="360" w:lineRule="auto"/>
        <w:ind w:firstLine="420" w:firstLineChars="200"/>
        <w:rPr>
          <w:rFonts w:asciiTheme="minorEastAsia" w:hAnsiTheme="minorEastAsia"/>
          <w:szCs w:val="21"/>
        </w:rPr>
      </w:pPr>
      <w:r>
        <w:rPr>
          <w:rFonts w:hint="eastAsia" w:asciiTheme="minorEastAsia" w:hAnsiTheme="minorEastAsia"/>
          <w:szCs w:val="21"/>
        </w:rPr>
        <w:t>注：</w:t>
      </w:r>
    </w:p>
    <w:p w14:paraId="3F2EC4A8">
      <w:pPr>
        <w:spacing w:line="360" w:lineRule="auto"/>
        <w:ind w:firstLine="420" w:firstLineChars="200"/>
        <w:rPr>
          <w:rFonts w:asciiTheme="minorEastAsia" w:hAnsiTheme="minorEastAsia"/>
          <w:szCs w:val="21"/>
        </w:rPr>
      </w:pPr>
      <w:r>
        <w:rPr>
          <w:rFonts w:asciiTheme="minorEastAsia" w:hAnsiTheme="minorEastAsia"/>
          <w:szCs w:val="21"/>
        </w:rPr>
        <w:t>1</w:t>
      </w:r>
      <w:r>
        <w:rPr>
          <w:rFonts w:hint="eastAsia" w:asciiTheme="minorEastAsia" w:hAnsiTheme="minorEastAsia"/>
          <w:szCs w:val="21"/>
        </w:rPr>
        <w:t>、本竞价文件中所称“交货期/服务期”指所有货物运抵现场安装调试完毕后交付用户验收和</w:t>
      </w:r>
      <w:r>
        <w:rPr>
          <w:rFonts w:asciiTheme="minorEastAsia" w:hAnsiTheme="minorEastAsia"/>
          <w:szCs w:val="21"/>
        </w:rPr>
        <w:t>服务过程</w:t>
      </w:r>
      <w:r>
        <w:rPr>
          <w:rFonts w:hint="eastAsia" w:asciiTheme="minorEastAsia" w:hAnsiTheme="minorEastAsia"/>
          <w:szCs w:val="21"/>
        </w:rPr>
        <w:t>的日期。</w:t>
      </w:r>
    </w:p>
    <w:p w14:paraId="3C3BBB1F">
      <w:pPr>
        <w:spacing w:line="360" w:lineRule="auto"/>
        <w:ind w:firstLine="420" w:firstLineChars="200"/>
        <w:rPr>
          <w:rFonts w:asciiTheme="minorEastAsia" w:hAnsiTheme="minorEastAsia"/>
          <w:szCs w:val="21"/>
        </w:rPr>
      </w:pPr>
      <w:r>
        <w:rPr>
          <w:rFonts w:asciiTheme="minorEastAsia" w:hAnsiTheme="minorEastAsia"/>
          <w:szCs w:val="21"/>
        </w:rPr>
        <w:t>2</w:t>
      </w:r>
      <w:r>
        <w:rPr>
          <w:rFonts w:hint="eastAsia" w:asciiTheme="minorEastAsia" w:hAnsiTheme="minorEastAsia"/>
          <w:szCs w:val="21"/>
        </w:rPr>
        <w:t>、依据《评标委员会和评标方法暂行规定》第25条规定，“响应文件载明的招标项目完成期限超过竞价文件规定的期限”的（即交货期或完工期超过竞价文件要求期限），响应文件将作投标无效处理。</w:t>
      </w:r>
    </w:p>
    <w:p w14:paraId="7B4ACA63">
      <w:pPr>
        <w:spacing w:line="360" w:lineRule="auto"/>
        <w:ind w:firstLine="420" w:firstLineChars="200"/>
        <w:rPr>
          <w:rFonts w:asciiTheme="minorEastAsia" w:hAnsiTheme="minorEastAsia"/>
          <w:szCs w:val="21"/>
        </w:rPr>
      </w:pPr>
      <w:r>
        <w:rPr>
          <w:rFonts w:asciiTheme="minorEastAsia" w:hAnsiTheme="minorEastAsia"/>
          <w:szCs w:val="21"/>
        </w:rPr>
        <w:br w:type="page"/>
      </w:r>
      <w:bookmarkStart w:id="155" w:name="_Toc16795"/>
      <w:r>
        <w:rPr>
          <w:rFonts w:hint="eastAsia" w:asciiTheme="minorEastAsia" w:hAnsiTheme="minorEastAsia"/>
          <w:szCs w:val="21"/>
        </w:rPr>
        <w:t>附件</w:t>
      </w:r>
      <w:r>
        <w:rPr>
          <w:rFonts w:asciiTheme="minorEastAsia" w:hAnsiTheme="minorEastAsia"/>
          <w:szCs w:val="21"/>
        </w:rPr>
        <w:t>5</w:t>
      </w:r>
      <w:r>
        <w:rPr>
          <w:rFonts w:hint="eastAsia" w:asciiTheme="minorEastAsia" w:hAnsiTheme="minorEastAsia"/>
          <w:szCs w:val="21"/>
        </w:rPr>
        <w:t>：分项报价清单格式</w:t>
      </w:r>
      <w:bookmarkEnd w:id="155"/>
    </w:p>
    <w:p w14:paraId="5E945F79">
      <w:pPr>
        <w:keepNext/>
        <w:keepLines/>
        <w:spacing w:before="160" w:after="170"/>
        <w:ind w:firstLine="602" w:firstLineChars="200"/>
        <w:jc w:val="center"/>
        <w:outlineLvl w:val="4"/>
        <w:rPr>
          <w:b/>
          <w:bCs/>
          <w:sz w:val="30"/>
          <w:szCs w:val="28"/>
        </w:rPr>
      </w:pPr>
      <w:bookmarkStart w:id="156" w:name="_Toc55548542"/>
      <w:r>
        <w:rPr>
          <w:rFonts w:hint="eastAsia"/>
          <w:b/>
          <w:bCs/>
          <w:sz w:val="30"/>
          <w:szCs w:val="28"/>
        </w:rPr>
        <w:t>分项报价清单</w:t>
      </w:r>
      <w:bookmarkEnd w:id="156"/>
    </w:p>
    <w:tbl>
      <w:tblPr>
        <w:tblStyle w:val="16"/>
        <w:tblW w:w="98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7"/>
        <w:gridCol w:w="2902"/>
        <w:gridCol w:w="2357"/>
        <w:gridCol w:w="3148"/>
      </w:tblGrid>
      <w:tr w14:paraId="26448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1417" w:type="dxa"/>
            <w:vAlign w:val="center"/>
          </w:tcPr>
          <w:p w14:paraId="6963990C">
            <w:pPr>
              <w:spacing w:line="360" w:lineRule="auto"/>
              <w:ind w:firstLine="420" w:firstLineChars="200"/>
              <w:rPr>
                <w:rFonts w:asciiTheme="minorEastAsia" w:hAnsiTheme="minorEastAsia"/>
                <w:color w:val="000000"/>
                <w:szCs w:val="21"/>
              </w:rPr>
            </w:pPr>
            <w:r>
              <w:rPr>
                <w:rFonts w:hint="eastAsia" w:asciiTheme="minorEastAsia" w:hAnsiTheme="minorEastAsia"/>
                <w:color w:val="000000"/>
                <w:szCs w:val="21"/>
              </w:rPr>
              <w:t>序号</w:t>
            </w:r>
          </w:p>
        </w:tc>
        <w:tc>
          <w:tcPr>
            <w:tcW w:w="2902" w:type="dxa"/>
            <w:vAlign w:val="center"/>
          </w:tcPr>
          <w:p w14:paraId="70E3588E">
            <w:pPr>
              <w:spacing w:line="360" w:lineRule="auto"/>
              <w:ind w:firstLine="420" w:firstLineChars="200"/>
              <w:rPr>
                <w:rFonts w:asciiTheme="minorEastAsia" w:hAnsiTheme="minorEastAsia"/>
                <w:color w:val="000000"/>
                <w:szCs w:val="21"/>
              </w:rPr>
            </w:pPr>
            <w:r>
              <w:rPr>
                <w:rFonts w:hint="eastAsia" w:asciiTheme="minorEastAsia" w:hAnsiTheme="minorEastAsia"/>
                <w:color w:val="000000"/>
                <w:szCs w:val="21"/>
              </w:rPr>
              <w:t>服务项目或设备名称</w:t>
            </w:r>
          </w:p>
        </w:tc>
        <w:tc>
          <w:tcPr>
            <w:tcW w:w="2357" w:type="dxa"/>
            <w:vAlign w:val="center"/>
          </w:tcPr>
          <w:p w14:paraId="3A7BA0B8">
            <w:pPr>
              <w:spacing w:line="360" w:lineRule="auto"/>
              <w:ind w:firstLine="420" w:firstLineChars="200"/>
              <w:rPr>
                <w:rFonts w:asciiTheme="minorEastAsia" w:hAnsiTheme="minorEastAsia"/>
                <w:color w:val="000000"/>
                <w:szCs w:val="21"/>
              </w:rPr>
            </w:pPr>
            <w:r>
              <w:rPr>
                <w:rFonts w:hint="eastAsia" w:asciiTheme="minorEastAsia" w:hAnsiTheme="minorEastAsia"/>
                <w:color w:val="000000"/>
                <w:szCs w:val="21"/>
              </w:rPr>
              <w:t>总价</w:t>
            </w:r>
          </w:p>
        </w:tc>
        <w:tc>
          <w:tcPr>
            <w:tcW w:w="3148" w:type="dxa"/>
            <w:vAlign w:val="center"/>
          </w:tcPr>
          <w:p w14:paraId="5131A81D">
            <w:pPr>
              <w:spacing w:line="360" w:lineRule="auto"/>
              <w:ind w:firstLine="420" w:firstLineChars="200"/>
              <w:rPr>
                <w:rFonts w:asciiTheme="minorEastAsia" w:hAnsiTheme="minorEastAsia"/>
                <w:color w:val="000000"/>
                <w:szCs w:val="21"/>
              </w:rPr>
            </w:pPr>
            <w:r>
              <w:rPr>
                <w:rFonts w:hint="eastAsia" w:asciiTheme="minorEastAsia" w:hAnsiTheme="minorEastAsia"/>
                <w:color w:val="000000"/>
                <w:szCs w:val="21"/>
              </w:rPr>
              <w:t>备注</w:t>
            </w:r>
          </w:p>
        </w:tc>
      </w:tr>
      <w:tr w14:paraId="1BE89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417" w:type="dxa"/>
            <w:vAlign w:val="center"/>
          </w:tcPr>
          <w:p w14:paraId="0BFF9BA5">
            <w:pPr>
              <w:spacing w:line="360" w:lineRule="auto"/>
              <w:ind w:firstLine="420" w:firstLineChars="200"/>
              <w:rPr>
                <w:rFonts w:asciiTheme="minorEastAsia" w:hAnsiTheme="minorEastAsia"/>
                <w:color w:val="000000"/>
                <w:szCs w:val="21"/>
              </w:rPr>
            </w:pPr>
          </w:p>
        </w:tc>
        <w:tc>
          <w:tcPr>
            <w:tcW w:w="2902" w:type="dxa"/>
            <w:vAlign w:val="center"/>
          </w:tcPr>
          <w:p w14:paraId="52E352F4">
            <w:pPr>
              <w:spacing w:line="360" w:lineRule="auto"/>
              <w:ind w:firstLine="420" w:firstLineChars="200"/>
              <w:rPr>
                <w:rFonts w:asciiTheme="minorEastAsia" w:hAnsiTheme="minorEastAsia"/>
                <w:color w:val="000000"/>
                <w:szCs w:val="21"/>
              </w:rPr>
            </w:pPr>
          </w:p>
        </w:tc>
        <w:tc>
          <w:tcPr>
            <w:tcW w:w="2357" w:type="dxa"/>
            <w:vAlign w:val="center"/>
          </w:tcPr>
          <w:p w14:paraId="29848C67">
            <w:pPr>
              <w:spacing w:line="360" w:lineRule="auto"/>
              <w:ind w:firstLine="420" w:firstLineChars="200"/>
              <w:rPr>
                <w:rFonts w:asciiTheme="minorEastAsia" w:hAnsiTheme="minorEastAsia"/>
                <w:color w:val="000000"/>
                <w:szCs w:val="21"/>
              </w:rPr>
            </w:pPr>
          </w:p>
        </w:tc>
        <w:tc>
          <w:tcPr>
            <w:tcW w:w="3148" w:type="dxa"/>
            <w:vAlign w:val="center"/>
          </w:tcPr>
          <w:p w14:paraId="3B1EEBC4">
            <w:pPr>
              <w:spacing w:line="360" w:lineRule="auto"/>
              <w:ind w:firstLine="420" w:firstLineChars="200"/>
              <w:rPr>
                <w:rFonts w:asciiTheme="minorEastAsia" w:hAnsiTheme="minorEastAsia"/>
                <w:color w:val="000000"/>
                <w:szCs w:val="21"/>
              </w:rPr>
            </w:pPr>
          </w:p>
        </w:tc>
      </w:tr>
      <w:tr w14:paraId="7479D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417" w:type="dxa"/>
            <w:vAlign w:val="center"/>
          </w:tcPr>
          <w:p w14:paraId="268D7C07">
            <w:pPr>
              <w:spacing w:line="360" w:lineRule="auto"/>
              <w:ind w:firstLine="420" w:firstLineChars="200"/>
              <w:rPr>
                <w:rFonts w:asciiTheme="minorEastAsia" w:hAnsiTheme="minorEastAsia"/>
                <w:color w:val="000000"/>
                <w:szCs w:val="21"/>
              </w:rPr>
            </w:pPr>
          </w:p>
        </w:tc>
        <w:tc>
          <w:tcPr>
            <w:tcW w:w="2902" w:type="dxa"/>
            <w:vAlign w:val="center"/>
          </w:tcPr>
          <w:p w14:paraId="3C1B2694">
            <w:pPr>
              <w:spacing w:line="360" w:lineRule="auto"/>
              <w:ind w:firstLine="420" w:firstLineChars="200"/>
              <w:rPr>
                <w:rFonts w:asciiTheme="minorEastAsia" w:hAnsiTheme="minorEastAsia"/>
                <w:color w:val="000000"/>
                <w:szCs w:val="21"/>
              </w:rPr>
            </w:pPr>
          </w:p>
        </w:tc>
        <w:tc>
          <w:tcPr>
            <w:tcW w:w="2357" w:type="dxa"/>
            <w:vAlign w:val="center"/>
          </w:tcPr>
          <w:p w14:paraId="34DABF8C">
            <w:pPr>
              <w:spacing w:line="360" w:lineRule="auto"/>
              <w:ind w:firstLine="420" w:firstLineChars="200"/>
              <w:rPr>
                <w:rFonts w:asciiTheme="minorEastAsia" w:hAnsiTheme="minorEastAsia"/>
                <w:color w:val="000000"/>
                <w:szCs w:val="21"/>
              </w:rPr>
            </w:pPr>
          </w:p>
        </w:tc>
        <w:tc>
          <w:tcPr>
            <w:tcW w:w="3148" w:type="dxa"/>
            <w:vAlign w:val="center"/>
          </w:tcPr>
          <w:p w14:paraId="0BEAACCE">
            <w:pPr>
              <w:spacing w:line="360" w:lineRule="auto"/>
              <w:ind w:firstLine="420" w:firstLineChars="200"/>
              <w:rPr>
                <w:rFonts w:asciiTheme="minorEastAsia" w:hAnsiTheme="minorEastAsia"/>
                <w:color w:val="000000"/>
                <w:szCs w:val="21"/>
              </w:rPr>
            </w:pPr>
          </w:p>
        </w:tc>
      </w:tr>
      <w:tr w14:paraId="06CCE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417" w:type="dxa"/>
            <w:vAlign w:val="center"/>
          </w:tcPr>
          <w:p w14:paraId="48661E7D">
            <w:pPr>
              <w:spacing w:line="360" w:lineRule="auto"/>
              <w:ind w:firstLine="420" w:firstLineChars="200"/>
              <w:rPr>
                <w:rFonts w:asciiTheme="minorEastAsia" w:hAnsiTheme="minorEastAsia"/>
                <w:color w:val="000000"/>
                <w:szCs w:val="21"/>
              </w:rPr>
            </w:pPr>
          </w:p>
        </w:tc>
        <w:tc>
          <w:tcPr>
            <w:tcW w:w="2902" w:type="dxa"/>
            <w:vAlign w:val="center"/>
          </w:tcPr>
          <w:p w14:paraId="7AD9D8AB">
            <w:pPr>
              <w:spacing w:line="360" w:lineRule="auto"/>
              <w:ind w:firstLine="420" w:firstLineChars="200"/>
              <w:rPr>
                <w:rFonts w:asciiTheme="minorEastAsia" w:hAnsiTheme="minorEastAsia"/>
                <w:color w:val="000000"/>
                <w:szCs w:val="21"/>
              </w:rPr>
            </w:pPr>
          </w:p>
        </w:tc>
        <w:tc>
          <w:tcPr>
            <w:tcW w:w="2357" w:type="dxa"/>
            <w:vAlign w:val="center"/>
          </w:tcPr>
          <w:p w14:paraId="77FF00E3">
            <w:pPr>
              <w:spacing w:line="360" w:lineRule="auto"/>
              <w:ind w:firstLine="420" w:firstLineChars="200"/>
              <w:rPr>
                <w:rFonts w:asciiTheme="minorEastAsia" w:hAnsiTheme="minorEastAsia"/>
                <w:color w:val="000000"/>
                <w:szCs w:val="21"/>
              </w:rPr>
            </w:pPr>
          </w:p>
        </w:tc>
        <w:tc>
          <w:tcPr>
            <w:tcW w:w="3148" w:type="dxa"/>
            <w:vAlign w:val="center"/>
          </w:tcPr>
          <w:p w14:paraId="64F627AC">
            <w:pPr>
              <w:spacing w:line="360" w:lineRule="auto"/>
              <w:ind w:firstLine="420" w:firstLineChars="200"/>
              <w:rPr>
                <w:rFonts w:asciiTheme="minorEastAsia" w:hAnsiTheme="minorEastAsia"/>
                <w:color w:val="000000"/>
                <w:szCs w:val="21"/>
              </w:rPr>
            </w:pPr>
          </w:p>
        </w:tc>
      </w:tr>
      <w:tr w14:paraId="560FA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417" w:type="dxa"/>
            <w:vAlign w:val="center"/>
          </w:tcPr>
          <w:p w14:paraId="7659D6A5">
            <w:pPr>
              <w:spacing w:line="360" w:lineRule="auto"/>
              <w:ind w:firstLine="420" w:firstLineChars="200"/>
              <w:rPr>
                <w:rFonts w:asciiTheme="minorEastAsia" w:hAnsiTheme="minorEastAsia"/>
                <w:color w:val="000000"/>
                <w:szCs w:val="21"/>
              </w:rPr>
            </w:pPr>
          </w:p>
        </w:tc>
        <w:tc>
          <w:tcPr>
            <w:tcW w:w="2902" w:type="dxa"/>
            <w:vAlign w:val="center"/>
          </w:tcPr>
          <w:p w14:paraId="7195279A">
            <w:pPr>
              <w:spacing w:line="360" w:lineRule="auto"/>
              <w:ind w:firstLine="420" w:firstLineChars="200"/>
              <w:rPr>
                <w:rFonts w:asciiTheme="minorEastAsia" w:hAnsiTheme="minorEastAsia"/>
                <w:color w:val="000000"/>
                <w:szCs w:val="21"/>
              </w:rPr>
            </w:pPr>
          </w:p>
        </w:tc>
        <w:tc>
          <w:tcPr>
            <w:tcW w:w="2357" w:type="dxa"/>
            <w:vAlign w:val="center"/>
          </w:tcPr>
          <w:p w14:paraId="01B11FF2">
            <w:pPr>
              <w:spacing w:line="360" w:lineRule="auto"/>
              <w:ind w:firstLine="420" w:firstLineChars="200"/>
              <w:rPr>
                <w:rFonts w:asciiTheme="minorEastAsia" w:hAnsiTheme="minorEastAsia"/>
                <w:color w:val="000000"/>
                <w:szCs w:val="21"/>
              </w:rPr>
            </w:pPr>
          </w:p>
        </w:tc>
        <w:tc>
          <w:tcPr>
            <w:tcW w:w="3148" w:type="dxa"/>
            <w:vAlign w:val="center"/>
          </w:tcPr>
          <w:p w14:paraId="0DE8C8C1">
            <w:pPr>
              <w:spacing w:line="360" w:lineRule="auto"/>
              <w:ind w:firstLine="420" w:firstLineChars="200"/>
              <w:rPr>
                <w:rFonts w:asciiTheme="minorEastAsia" w:hAnsiTheme="minorEastAsia"/>
                <w:color w:val="000000"/>
                <w:szCs w:val="21"/>
              </w:rPr>
            </w:pPr>
          </w:p>
        </w:tc>
      </w:tr>
      <w:tr w14:paraId="2AFBA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417" w:type="dxa"/>
            <w:vAlign w:val="center"/>
          </w:tcPr>
          <w:p w14:paraId="6670FD85">
            <w:pPr>
              <w:spacing w:line="360" w:lineRule="auto"/>
              <w:ind w:firstLine="420" w:firstLineChars="200"/>
              <w:rPr>
                <w:rFonts w:asciiTheme="minorEastAsia" w:hAnsiTheme="minorEastAsia"/>
                <w:color w:val="000000"/>
                <w:szCs w:val="21"/>
              </w:rPr>
            </w:pPr>
          </w:p>
        </w:tc>
        <w:tc>
          <w:tcPr>
            <w:tcW w:w="2902" w:type="dxa"/>
            <w:vAlign w:val="center"/>
          </w:tcPr>
          <w:p w14:paraId="5465FE05">
            <w:pPr>
              <w:spacing w:line="360" w:lineRule="auto"/>
              <w:ind w:firstLine="420" w:firstLineChars="200"/>
              <w:rPr>
                <w:rFonts w:asciiTheme="minorEastAsia" w:hAnsiTheme="minorEastAsia"/>
                <w:color w:val="000000"/>
                <w:szCs w:val="21"/>
              </w:rPr>
            </w:pPr>
          </w:p>
        </w:tc>
        <w:tc>
          <w:tcPr>
            <w:tcW w:w="2357" w:type="dxa"/>
            <w:vAlign w:val="center"/>
          </w:tcPr>
          <w:p w14:paraId="5DB50EAA">
            <w:pPr>
              <w:spacing w:line="360" w:lineRule="auto"/>
              <w:ind w:firstLine="420" w:firstLineChars="200"/>
              <w:rPr>
                <w:rFonts w:asciiTheme="minorEastAsia" w:hAnsiTheme="minorEastAsia"/>
                <w:color w:val="000000"/>
                <w:szCs w:val="21"/>
              </w:rPr>
            </w:pPr>
          </w:p>
        </w:tc>
        <w:tc>
          <w:tcPr>
            <w:tcW w:w="3148" w:type="dxa"/>
            <w:vAlign w:val="center"/>
          </w:tcPr>
          <w:p w14:paraId="1F8E5982">
            <w:pPr>
              <w:spacing w:line="360" w:lineRule="auto"/>
              <w:ind w:firstLine="420" w:firstLineChars="200"/>
              <w:rPr>
                <w:rFonts w:asciiTheme="minorEastAsia" w:hAnsiTheme="minorEastAsia"/>
                <w:color w:val="000000"/>
                <w:szCs w:val="21"/>
              </w:rPr>
            </w:pPr>
          </w:p>
        </w:tc>
      </w:tr>
      <w:tr w14:paraId="0CB56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417" w:type="dxa"/>
            <w:vAlign w:val="center"/>
          </w:tcPr>
          <w:p w14:paraId="29E77E1A">
            <w:pPr>
              <w:spacing w:line="360" w:lineRule="auto"/>
              <w:ind w:firstLine="420" w:firstLineChars="200"/>
              <w:rPr>
                <w:rFonts w:asciiTheme="minorEastAsia" w:hAnsiTheme="minorEastAsia"/>
                <w:color w:val="000000"/>
                <w:szCs w:val="21"/>
              </w:rPr>
            </w:pPr>
          </w:p>
        </w:tc>
        <w:tc>
          <w:tcPr>
            <w:tcW w:w="2902" w:type="dxa"/>
            <w:vAlign w:val="center"/>
          </w:tcPr>
          <w:p w14:paraId="5998FBB3">
            <w:pPr>
              <w:spacing w:line="360" w:lineRule="auto"/>
              <w:ind w:firstLine="420" w:firstLineChars="200"/>
              <w:rPr>
                <w:rFonts w:asciiTheme="minorEastAsia" w:hAnsiTheme="minorEastAsia"/>
                <w:color w:val="000000"/>
                <w:szCs w:val="21"/>
              </w:rPr>
            </w:pPr>
          </w:p>
        </w:tc>
        <w:tc>
          <w:tcPr>
            <w:tcW w:w="2357" w:type="dxa"/>
            <w:vAlign w:val="center"/>
          </w:tcPr>
          <w:p w14:paraId="7868EEA0">
            <w:pPr>
              <w:spacing w:line="360" w:lineRule="auto"/>
              <w:ind w:firstLine="420" w:firstLineChars="200"/>
              <w:rPr>
                <w:rFonts w:asciiTheme="minorEastAsia" w:hAnsiTheme="minorEastAsia"/>
                <w:color w:val="000000"/>
                <w:szCs w:val="21"/>
              </w:rPr>
            </w:pPr>
          </w:p>
        </w:tc>
        <w:tc>
          <w:tcPr>
            <w:tcW w:w="3148" w:type="dxa"/>
            <w:vAlign w:val="center"/>
          </w:tcPr>
          <w:p w14:paraId="6FF5C16C">
            <w:pPr>
              <w:spacing w:line="360" w:lineRule="auto"/>
              <w:ind w:firstLine="420" w:firstLineChars="200"/>
              <w:rPr>
                <w:rFonts w:asciiTheme="minorEastAsia" w:hAnsiTheme="minorEastAsia"/>
                <w:color w:val="000000"/>
                <w:szCs w:val="21"/>
              </w:rPr>
            </w:pPr>
          </w:p>
        </w:tc>
      </w:tr>
      <w:tr w14:paraId="4009E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4319" w:type="dxa"/>
            <w:gridSpan w:val="2"/>
            <w:vAlign w:val="center"/>
          </w:tcPr>
          <w:p w14:paraId="54CD4771">
            <w:pPr>
              <w:spacing w:line="360" w:lineRule="auto"/>
              <w:ind w:firstLine="420" w:firstLineChars="200"/>
              <w:rPr>
                <w:rFonts w:asciiTheme="minorEastAsia" w:hAnsiTheme="minorEastAsia"/>
                <w:color w:val="000000"/>
                <w:szCs w:val="21"/>
              </w:rPr>
            </w:pPr>
            <w:r>
              <w:rPr>
                <w:rFonts w:hint="eastAsia" w:asciiTheme="minorEastAsia" w:hAnsiTheme="minorEastAsia"/>
                <w:color w:val="000000"/>
                <w:szCs w:val="21"/>
              </w:rPr>
              <w:t>合计</w:t>
            </w:r>
          </w:p>
        </w:tc>
        <w:tc>
          <w:tcPr>
            <w:tcW w:w="5505" w:type="dxa"/>
            <w:gridSpan w:val="2"/>
            <w:vAlign w:val="center"/>
          </w:tcPr>
          <w:p w14:paraId="47361C19">
            <w:pPr>
              <w:spacing w:line="360" w:lineRule="auto"/>
              <w:ind w:firstLine="420" w:firstLineChars="200"/>
              <w:rPr>
                <w:rFonts w:asciiTheme="minorEastAsia" w:hAnsiTheme="minorEastAsia"/>
                <w:color w:val="000000"/>
                <w:szCs w:val="21"/>
              </w:rPr>
            </w:pPr>
          </w:p>
        </w:tc>
      </w:tr>
    </w:tbl>
    <w:p w14:paraId="1472F59C">
      <w:pPr>
        <w:spacing w:line="360" w:lineRule="auto"/>
        <w:ind w:firstLine="420" w:firstLineChars="200"/>
        <w:rPr>
          <w:rFonts w:asciiTheme="minorEastAsia" w:hAnsiTheme="minorEastAsia"/>
          <w:szCs w:val="21"/>
        </w:rPr>
      </w:pPr>
      <w:r>
        <w:rPr>
          <w:rFonts w:hint="eastAsia" w:asciiTheme="minorEastAsia" w:hAnsiTheme="minorEastAsia"/>
          <w:szCs w:val="21"/>
        </w:rPr>
        <w:t>注：</w:t>
      </w:r>
    </w:p>
    <w:p w14:paraId="0507DAA9">
      <w:pPr>
        <w:spacing w:line="360" w:lineRule="auto"/>
        <w:ind w:firstLine="420" w:firstLineChars="200"/>
        <w:rPr>
          <w:rFonts w:asciiTheme="minorEastAsia" w:hAnsiTheme="minorEastAsia"/>
          <w:szCs w:val="21"/>
        </w:rPr>
      </w:pPr>
      <w:r>
        <w:rPr>
          <w:rFonts w:hint="eastAsia" w:asciiTheme="minorEastAsia" w:hAnsiTheme="minorEastAsia"/>
          <w:szCs w:val="21"/>
        </w:rPr>
        <w:t>1、所有价格应按“采购文件”中规定的货币单位填写；</w:t>
      </w:r>
    </w:p>
    <w:p w14:paraId="4CA1816F">
      <w:pPr>
        <w:spacing w:line="360" w:lineRule="auto"/>
        <w:ind w:firstLine="420" w:firstLineChars="200"/>
        <w:rPr>
          <w:rFonts w:asciiTheme="minorEastAsia" w:hAnsiTheme="minorEastAsia"/>
          <w:szCs w:val="21"/>
        </w:rPr>
      </w:pPr>
      <w:r>
        <w:rPr>
          <w:rFonts w:asciiTheme="minorEastAsia" w:hAnsiTheme="minorEastAsia"/>
          <w:szCs w:val="21"/>
        </w:rPr>
        <w:t>2</w:t>
      </w:r>
      <w:r>
        <w:rPr>
          <w:rFonts w:hint="eastAsia" w:asciiTheme="minorEastAsia" w:hAnsiTheme="minorEastAsia"/>
          <w:szCs w:val="21"/>
        </w:rPr>
        <w:t>、投标总价应为以上各分项价格之和；</w:t>
      </w:r>
    </w:p>
    <w:p w14:paraId="070D4C70">
      <w:pPr>
        <w:spacing w:line="360" w:lineRule="auto"/>
        <w:ind w:firstLine="420" w:firstLineChars="200"/>
        <w:rPr>
          <w:rFonts w:asciiTheme="minorEastAsia" w:hAnsiTheme="minorEastAsia"/>
          <w:szCs w:val="21"/>
        </w:rPr>
      </w:pPr>
      <w:r>
        <w:rPr>
          <w:rFonts w:hint="eastAsia" w:asciiTheme="minorEastAsia" w:hAnsiTheme="minorEastAsia"/>
          <w:szCs w:val="21"/>
          <w:highlight w:val="yellow"/>
        </w:rPr>
        <w:t>3、本表格式仅做参考，</w:t>
      </w:r>
      <w:r>
        <w:rPr>
          <w:rFonts w:asciiTheme="minorEastAsia" w:hAnsiTheme="minorEastAsia"/>
          <w:szCs w:val="21"/>
          <w:highlight w:val="yellow"/>
        </w:rPr>
        <w:t>可根据项目</w:t>
      </w:r>
      <w:r>
        <w:rPr>
          <w:rFonts w:hint="eastAsia" w:asciiTheme="minorEastAsia" w:hAnsiTheme="minorEastAsia"/>
          <w:szCs w:val="21"/>
          <w:highlight w:val="yellow"/>
        </w:rPr>
        <w:t>实际</w:t>
      </w:r>
      <w:r>
        <w:rPr>
          <w:rFonts w:asciiTheme="minorEastAsia" w:hAnsiTheme="minorEastAsia"/>
          <w:szCs w:val="21"/>
          <w:highlight w:val="yellow"/>
        </w:rPr>
        <w:t>内容进行调整</w:t>
      </w:r>
      <w:r>
        <w:rPr>
          <w:rFonts w:hint="eastAsia" w:asciiTheme="minorEastAsia" w:hAnsiTheme="minorEastAsia"/>
          <w:szCs w:val="21"/>
          <w:highlight w:val="yellow"/>
        </w:rPr>
        <w:t>；</w:t>
      </w:r>
    </w:p>
    <w:p w14:paraId="5AF76294">
      <w:pPr>
        <w:spacing w:line="360" w:lineRule="auto"/>
        <w:ind w:firstLine="420" w:firstLineChars="200"/>
        <w:rPr>
          <w:rFonts w:asciiTheme="minorEastAsia" w:hAnsiTheme="minorEastAsia"/>
          <w:szCs w:val="21"/>
        </w:rPr>
      </w:pPr>
      <w:r>
        <w:rPr>
          <w:rFonts w:hint="eastAsia" w:asciiTheme="minorEastAsia" w:hAnsiTheme="minorEastAsia"/>
          <w:szCs w:val="21"/>
        </w:rPr>
        <w:t>4、单价、合价和投标总价为包干价，即三者均应包含设备的价款、包装、运输、装卸、安装、调试、技术指导、培训、咨询、服务、保险、税费、检测、验收合格交付使用之前以及技术和售后服务等其他各项有关费用。</w:t>
      </w:r>
    </w:p>
    <w:p w14:paraId="4310CC65">
      <w:pPr>
        <w:spacing w:line="360" w:lineRule="auto"/>
        <w:ind w:firstLine="420" w:firstLineChars="200"/>
        <w:rPr>
          <w:rFonts w:asciiTheme="minorEastAsia" w:hAnsiTheme="minorEastAsia"/>
          <w:szCs w:val="21"/>
        </w:rPr>
      </w:pPr>
      <w:r>
        <w:rPr>
          <w:rFonts w:hint="eastAsia" w:asciiTheme="minorEastAsia" w:hAnsiTheme="minorEastAsia"/>
          <w:szCs w:val="21"/>
        </w:rPr>
        <w:t>5、投标总价和项目报价表中单个采购预算条目报价均不得超过对应的财政预算限额，否则将导致投标无效。</w:t>
      </w:r>
    </w:p>
    <w:p w14:paraId="6EDEAF78">
      <w:pPr>
        <w:spacing w:line="360" w:lineRule="auto"/>
        <w:ind w:firstLine="420" w:firstLineChars="200"/>
        <w:rPr>
          <w:rFonts w:asciiTheme="minorEastAsia" w:hAnsiTheme="minorEastAsia"/>
          <w:szCs w:val="21"/>
        </w:rPr>
      </w:pPr>
      <w:r>
        <w:rPr>
          <w:rFonts w:hint="eastAsia" w:asciiTheme="minorEastAsia" w:hAnsiTheme="minorEastAsia"/>
          <w:szCs w:val="21"/>
        </w:rPr>
        <w:t>6、开标一览表的投标总价必须与项目报价表的投标总价一致。</w:t>
      </w:r>
    </w:p>
    <w:p w14:paraId="259FBB69">
      <w:pPr>
        <w:spacing w:line="360" w:lineRule="auto"/>
        <w:ind w:firstLine="420" w:firstLineChars="200"/>
        <w:rPr>
          <w:rFonts w:asciiTheme="minorEastAsia" w:hAnsiTheme="minorEastAsia"/>
          <w:szCs w:val="21"/>
        </w:rPr>
      </w:pPr>
      <w:r>
        <w:rPr>
          <w:rFonts w:hint="eastAsia" w:asciiTheme="minorEastAsia" w:hAnsiTheme="minorEastAsia"/>
          <w:szCs w:val="21"/>
        </w:rPr>
        <w:t>7、“原产地”是指该产品的实际生产加工地，而非品牌总公司所在地。</w:t>
      </w:r>
    </w:p>
    <w:p w14:paraId="000EB22B">
      <w:pPr>
        <w:spacing w:line="360" w:lineRule="auto"/>
        <w:ind w:firstLine="420" w:firstLineChars="200"/>
      </w:pPr>
    </w:p>
    <w:p w14:paraId="5371112B">
      <w:pPr>
        <w:spacing w:line="360" w:lineRule="auto"/>
      </w:pPr>
    </w:p>
    <w:p w14:paraId="58D953CC">
      <w:pPr>
        <w:spacing w:line="360" w:lineRule="auto"/>
        <w:ind w:firstLine="420" w:firstLineChars="200"/>
      </w:pPr>
    </w:p>
    <w:p w14:paraId="34E9A992">
      <w:pPr>
        <w:spacing w:line="360" w:lineRule="auto"/>
        <w:ind w:firstLine="420" w:firstLineChars="200"/>
        <w:rPr>
          <w:rFonts w:asciiTheme="minorEastAsia" w:hAnsiTheme="minorEastAsia"/>
          <w:szCs w:val="21"/>
        </w:rPr>
      </w:pPr>
      <w:bookmarkStart w:id="157" w:name="_Toc32280"/>
      <w:r>
        <w:rPr>
          <w:rFonts w:hint="eastAsia" w:asciiTheme="minorEastAsia" w:hAnsiTheme="minorEastAsia"/>
          <w:szCs w:val="21"/>
        </w:rPr>
        <w:t>附件</w:t>
      </w:r>
      <w:r>
        <w:rPr>
          <w:rFonts w:asciiTheme="minorEastAsia" w:hAnsiTheme="minorEastAsia"/>
          <w:szCs w:val="21"/>
        </w:rPr>
        <w:t>6</w:t>
      </w:r>
      <w:r>
        <w:rPr>
          <w:rFonts w:hint="eastAsia" w:asciiTheme="minorEastAsia" w:hAnsiTheme="minorEastAsia"/>
          <w:szCs w:val="21"/>
        </w:rPr>
        <w:t>：法定代表人证明书格式</w:t>
      </w:r>
      <w:bookmarkEnd w:id="157"/>
    </w:p>
    <w:p w14:paraId="6A2C756B">
      <w:pPr>
        <w:keepNext/>
        <w:keepLines/>
        <w:spacing w:before="160" w:after="170"/>
        <w:ind w:firstLine="602" w:firstLineChars="200"/>
        <w:jc w:val="center"/>
        <w:outlineLvl w:val="4"/>
        <w:rPr>
          <w:b/>
          <w:bCs/>
          <w:sz w:val="30"/>
          <w:szCs w:val="28"/>
        </w:rPr>
      </w:pPr>
      <w:bookmarkStart w:id="158" w:name="_Toc55548545"/>
      <w:bookmarkStart w:id="159" w:name="_Toc2383"/>
      <w:r>
        <w:rPr>
          <w:rFonts w:hint="eastAsia"/>
          <w:b/>
          <w:bCs/>
          <w:sz w:val="30"/>
          <w:szCs w:val="28"/>
        </w:rPr>
        <w:t>法定代表人证明书</w:t>
      </w:r>
      <w:bookmarkEnd w:id="158"/>
    </w:p>
    <w:p w14:paraId="2FB61D4B">
      <w:pPr>
        <w:tabs>
          <w:tab w:val="left" w:pos="900"/>
        </w:tabs>
        <w:spacing w:line="360" w:lineRule="auto"/>
        <w:ind w:firstLine="420" w:firstLineChars="200"/>
        <w:rPr>
          <w:rFonts w:asciiTheme="minorEastAsia" w:hAnsiTheme="minorEastAsia"/>
          <w:szCs w:val="21"/>
        </w:rPr>
      </w:pPr>
      <w:r>
        <w:rPr>
          <w:rFonts w:hint="eastAsia" w:asciiTheme="minorEastAsia" w:hAnsiTheme="minorEastAsia"/>
          <w:szCs w:val="21"/>
        </w:rPr>
        <w:t>______________同志，现任我单位</w:t>
      </w:r>
      <w:r>
        <w:rPr>
          <w:rFonts w:asciiTheme="minorEastAsia" w:hAnsiTheme="minorEastAsia"/>
          <w:szCs w:val="21"/>
          <w:u w:val="single"/>
        </w:rPr>
        <w:t xml:space="preserve">         </w:t>
      </w:r>
      <w:r>
        <w:rPr>
          <w:rFonts w:hint="eastAsia" w:asciiTheme="minorEastAsia" w:hAnsiTheme="minorEastAsia"/>
          <w:szCs w:val="21"/>
        </w:rPr>
        <w:t>职务，为法定代表人，特此证明。</w:t>
      </w:r>
    </w:p>
    <w:p w14:paraId="5871729F">
      <w:pPr>
        <w:spacing w:line="360" w:lineRule="auto"/>
        <w:ind w:firstLine="420" w:firstLineChars="200"/>
        <w:rPr>
          <w:rFonts w:asciiTheme="minorEastAsia" w:hAnsiTheme="minorEastAsia"/>
          <w:szCs w:val="21"/>
        </w:rPr>
      </w:pPr>
      <w:r>
        <w:rPr>
          <w:rFonts w:hint="eastAsia" w:asciiTheme="minorEastAsia" w:hAnsiTheme="minorEastAsia"/>
          <w:szCs w:val="21"/>
        </w:rPr>
        <w:t>有效日期与本公司响应文件中标注的投标有效期相同。</w:t>
      </w:r>
      <w:r>
        <w:rPr>
          <w:rFonts w:asciiTheme="minorEastAsia" w:hAnsiTheme="minorEastAsia"/>
          <w:szCs w:val="21"/>
        </w:rPr>
        <w:t xml:space="preserve">  </w:t>
      </w:r>
    </w:p>
    <w:p w14:paraId="15A8840A">
      <w:pPr>
        <w:spacing w:line="360" w:lineRule="auto"/>
        <w:ind w:firstLine="420" w:firstLineChars="200"/>
        <w:rPr>
          <w:rFonts w:asciiTheme="minorEastAsia" w:hAnsiTheme="minorEastAsia"/>
          <w:szCs w:val="21"/>
        </w:rPr>
      </w:pPr>
      <w:r>
        <w:rPr>
          <w:rFonts w:hint="eastAsia" w:asciiTheme="minorEastAsia" w:hAnsiTheme="minorEastAsia"/>
          <w:szCs w:val="21"/>
        </w:rPr>
        <w:t>签发日期：</w:t>
      </w:r>
      <w:r>
        <w:rPr>
          <w:rFonts w:hint="eastAsia" w:asciiTheme="minorEastAsia" w:hAnsiTheme="minorEastAsia"/>
          <w:szCs w:val="21"/>
          <w:u w:val="single"/>
        </w:rPr>
        <w:t xml:space="preserve">     </w:t>
      </w:r>
      <w:r>
        <w:rPr>
          <w:rFonts w:hint="eastAsia" w:asciiTheme="minorEastAsia" w:hAnsiTheme="minorEastAsia"/>
          <w:szCs w:val="21"/>
        </w:rPr>
        <w:t>年</w:t>
      </w:r>
      <w:r>
        <w:rPr>
          <w:rFonts w:hint="eastAsia" w:asciiTheme="minorEastAsia" w:hAnsiTheme="minorEastAsia"/>
          <w:szCs w:val="21"/>
          <w:u w:val="single"/>
        </w:rPr>
        <w:t xml:space="preserve">   </w:t>
      </w:r>
      <w:r>
        <w:rPr>
          <w:rFonts w:hint="eastAsia" w:asciiTheme="minorEastAsia" w:hAnsiTheme="minorEastAsia"/>
          <w:szCs w:val="21"/>
        </w:rPr>
        <w:t>月</w:t>
      </w:r>
      <w:r>
        <w:rPr>
          <w:rFonts w:hint="eastAsia" w:asciiTheme="minorEastAsia" w:hAnsiTheme="minorEastAsia"/>
          <w:szCs w:val="21"/>
          <w:u w:val="single"/>
        </w:rPr>
        <w:t xml:space="preserve">   </w:t>
      </w:r>
      <w:r>
        <w:rPr>
          <w:rFonts w:hint="eastAsia" w:asciiTheme="minorEastAsia" w:hAnsiTheme="minorEastAsia"/>
          <w:szCs w:val="21"/>
        </w:rPr>
        <w:t>日</w:t>
      </w:r>
      <w:r>
        <w:rPr>
          <w:rFonts w:asciiTheme="minorEastAsia" w:hAnsiTheme="minorEastAsia"/>
          <w:szCs w:val="21"/>
        </w:rPr>
        <w:t xml:space="preserve">             </w:t>
      </w:r>
    </w:p>
    <w:p w14:paraId="25335397">
      <w:pPr>
        <w:spacing w:line="360" w:lineRule="auto"/>
        <w:ind w:firstLine="420" w:firstLineChars="200"/>
        <w:rPr>
          <w:rFonts w:asciiTheme="minorEastAsia" w:hAnsiTheme="minorEastAsia"/>
          <w:szCs w:val="21"/>
        </w:rPr>
      </w:pPr>
      <w:r>
        <w:rPr>
          <w:rFonts w:hint="eastAsia" w:asciiTheme="minorEastAsia" w:hAnsiTheme="minorEastAsia"/>
          <w:szCs w:val="21"/>
        </w:rPr>
        <w:t>附：</w:t>
      </w:r>
    </w:p>
    <w:p w14:paraId="18390C4B">
      <w:pPr>
        <w:spacing w:line="360" w:lineRule="auto"/>
        <w:ind w:firstLine="420" w:firstLineChars="200"/>
        <w:rPr>
          <w:rFonts w:asciiTheme="minorEastAsia" w:hAnsiTheme="minorEastAsia"/>
          <w:szCs w:val="21"/>
        </w:rPr>
      </w:pPr>
      <w:r>
        <w:rPr>
          <w:rFonts w:hint="eastAsia" w:asciiTheme="minorEastAsia" w:hAnsiTheme="minorEastAsia"/>
          <w:szCs w:val="21"/>
        </w:rPr>
        <w:t xml:space="preserve">营业执照（注册号）：                       </w:t>
      </w:r>
    </w:p>
    <w:p w14:paraId="2F2EBE9D">
      <w:pPr>
        <w:spacing w:line="360" w:lineRule="auto"/>
        <w:ind w:firstLine="420" w:firstLineChars="200"/>
        <w:rPr>
          <w:rFonts w:asciiTheme="minorEastAsia" w:hAnsiTheme="minorEastAsia"/>
          <w:szCs w:val="21"/>
        </w:rPr>
      </w:pPr>
      <w:r>
        <w:rPr>
          <w:rFonts w:hint="eastAsia" w:asciiTheme="minorEastAsia" w:hAnsiTheme="minorEastAsia"/>
          <w:szCs w:val="21"/>
        </w:rPr>
        <w:t>经济性质：</w:t>
      </w:r>
    </w:p>
    <w:p w14:paraId="5516A49B">
      <w:pPr>
        <w:spacing w:line="360" w:lineRule="auto"/>
        <w:ind w:firstLine="420" w:firstLineChars="200"/>
        <w:rPr>
          <w:rFonts w:asciiTheme="minorEastAsia" w:hAnsiTheme="minorEastAsia"/>
          <w:szCs w:val="21"/>
        </w:rPr>
      </w:pPr>
      <w:r>
        <w:rPr>
          <w:rFonts w:hint="eastAsia" w:asciiTheme="minorEastAsia" w:hAnsiTheme="minorEastAsia"/>
          <w:szCs w:val="21"/>
        </w:rPr>
        <w:t>主营（产）：</w:t>
      </w:r>
    </w:p>
    <w:p w14:paraId="15D7C39F">
      <w:pPr>
        <w:spacing w:line="360" w:lineRule="auto"/>
        <w:ind w:firstLine="420" w:firstLineChars="200"/>
        <w:rPr>
          <w:rFonts w:asciiTheme="minorEastAsia" w:hAnsiTheme="minorEastAsia"/>
          <w:szCs w:val="21"/>
        </w:rPr>
      </w:pPr>
      <w:r>
        <w:rPr>
          <w:rFonts w:hint="eastAsia" w:asciiTheme="minorEastAsia" w:hAnsiTheme="minorEastAsia"/>
          <w:szCs w:val="21"/>
        </w:rPr>
        <w:t>兼营（产）：</w:t>
      </w:r>
    </w:p>
    <w:p w14:paraId="25115092">
      <w:pPr>
        <w:spacing w:line="360" w:lineRule="auto"/>
        <w:ind w:firstLine="420" w:firstLineChars="200"/>
        <w:rPr>
          <w:rFonts w:asciiTheme="minorEastAsia" w:hAnsiTheme="minorEastAsia"/>
          <w:szCs w:val="21"/>
        </w:rPr>
      </w:pPr>
    </w:p>
    <w:p w14:paraId="59440578">
      <w:pPr>
        <w:spacing w:line="360" w:lineRule="auto"/>
        <w:ind w:firstLine="420" w:firstLineChars="200"/>
        <w:rPr>
          <w:rFonts w:asciiTheme="minorEastAsia" w:hAnsiTheme="minorEastAsia"/>
          <w:b/>
          <w:bCs/>
          <w:szCs w:val="21"/>
        </w:rPr>
      </w:pPr>
      <w:r>
        <mc:AlternateContent>
          <mc:Choice Requires="wps">
            <w:drawing>
              <wp:anchor distT="0" distB="0" distL="114300" distR="114300" simplePos="0" relativeHeight="251660288" behindDoc="0" locked="0" layoutInCell="1" allowOverlap="1">
                <wp:simplePos x="0" y="0"/>
                <wp:positionH relativeFrom="column">
                  <wp:posOffset>2840355</wp:posOffset>
                </wp:positionH>
                <wp:positionV relativeFrom="paragraph">
                  <wp:posOffset>136525</wp:posOffset>
                </wp:positionV>
                <wp:extent cx="2705100" cy="1981200"/>
                <wp:effectExtent l="0" t="0" r="19050" b="19050"/>
                <wp:wrapNone/>
                <wp:docPr id="69" name="矩形 69"/>
                <wp:cNvGraphicFramePr/>
                <a:graphic xmlns:a="http://schemas.openxmlformats.org/drawingml/2006/main">
                  <a:graphicData uri="http://schemas.microsoft.com/office/word/2010/wordprocessingShape">
                    <wps:wsp>
                      <wps:cNvSpPr>
                        <a:spLocks noChangeArrowheads="1"/>
                      </wps:cNvSpPr>
                      <wps:spPr bwMode="auto">
                        <a:xfrm>
                          <a:off x="0" y="0"/>
                          <a:ext cx="2705100" cy="1981200"/>
                        </a:xfrm>
                        <a:prstGeom prst="rect">
                          <a:avLst/>
                        </a:prstGeom>
                        <a:solidFill>
                          <a:srgbClr val="FFFFFF"/>
                        </a:solidFill>
                        <a:ln w="9525">
                          <a:solidFill>
                            <a:srgbClr val="000000"/>
                          </a:solidFill>
                          <a:miter lim="800000"/>
                        </a:ln>
                      </wps:spPr>
                      <wps:txbx>
                        <w:txbxContent>
                          <w:p w14:paraId="01DD6E64">
                            <w:pPr>
                              <w:spacing w:line="360" w:lineRule="auto"/>
                              <w:ind w:firstLine="1680" w:firstLineChars="800"/>
                            </w:pPr>
                          </w:p>
                          <w:p w14:paraId="55C1F50E">
                            <w:pPr>
                              <w:spacing w:line="360" w:lineRule="auto"/>
                              <w:ind w:firstLine="1680" w:firstLineChars="800"/>
                            </w:pPr>
                            <w:r>
                              <w:rPr>
                                <w:rFonts w:hint="eastAsia"/>
                              </w:rPr>
                              <w:t>法定代表人</w:t>
                            </w:r>
                          </w:p>
                          <w:p w14:paraId="4637B315">
                            <w:pPr>
                              <w:spacing w:line="360" w:lineRule="auto"/>
                              <w:ind w:firstLine="1155" w:firstLineChars="550"/>
                            </w:pPr>
                            <w:r>
                              <w:rPr>
                                <w:rFonts w:hint="eastAsia"/>
                              </w:rPr>
                              <w:t>居民身份证复印件粘贴处</w:t>
                            </w:r>
                          </w:p>
                          <w:p w14:paraId="09EEFC37">
                            <w:pPr>
                              <w:spacing w:line="360" w:lineRule="auto"/>
                              <w:ind w:firstLine="1785" w:firstLineChars="850"/>
                            </w:pPr>
                            <w:r>
                              <w:rPr>
                                <w:rFonts w:hint="eastAsia"/>
                              </w:rPr>
                              <w:t>（反面）</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23.65pt;margin-top:10.75pt;height:156pt;width:213pt;z-index:251660288;mso-width-relative:page;mso-height-relative:page;" fillcolor="#FFFFFF" filled="t" stroked="t" coordsize="21600,21600" o:gfxdata="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PcT0NvZAAAACgEAAA8AAAAAAAAAAQAgAAAAIgAAAGRycy9k&#10;b3ducmV2LnhtbFBLAQIUABQAAAAIAIdO4kCe2XEjOgIAAH0EAAAOAAAAAAAAAAEAIAAAACgBAABk&#10;cnMvZTJvRG9jLnhtbFBLBQYAAAAABgAGAFkBAADUBQAAAAA=&#10;">
                <v:fill on="t" focussize="0,0"/>
                <v:stroke color="#000000" miterlimit="8" joinstyle="miter"/>
                <v:imagedata o:title=""/>
                <o:lock v:ext="edit" aspectratio="f"/>
                <v:textbox>
                  <w:txbxContent>
                    <w:p w14:paraId="01DD6E64">
                      <w:pPr>
                        <w:spacing w:line="360" w:lineRule="auto"/>
                        <w:ind w:firstLine="1680" w:firstLineChars="800"/>
                      </w:pPr>
                    </w:p>
                    <w:p w14:paraId="55C1F50E">
                      <w:pPr>
                        <w:spacing w:line="360" w:lineRule="auto"/>
                        <w:ind w:firstLine="1680" w:firstLineChars="800"/>
                      </w:pPr>
                      <w:r>
                        <w:rPr>
                          <w:rFonts w:hint="eastAsia"/>
                        </w:rPr>
                        <w:t>法定代表人</w:t>
                      </w:r>
                    </w:p>
                    <w:p w14:paraId="4637B315">
                      <w:pPr>
                        <w:spacing w:line="360" w:lineRule="auto"/>
                        <w:ind w:firstLine="1155" w:firstLineChars="550"/>
                      </w:pPr>
                      <w:r>
                        <w:rPr>
                          <w:rFonts w:hint="eastAsia"/>
                        </w:rPr>
                        <w:t>居民身份证复印件粘贴处</w:t>
                      </w:r>
                    </w:p>
                    <w:p w14:paraId="09EEFC37">
                      <w:pPr>
                        <w:spacing w:line="360" w:lineRule="auto"/>
                        <w:ind w:firstLine="1785" w:firstLineChars="850"/>
                      </w:pPr>
                      <w:r>
                        <w:rPr>
                          <w:rFonts w:hint="eastAsia"/>
                        </w:rPr>
                        <w:t>（反面）</w:t>
                      </w:r>
                    </w:p>
                  </w:txbxContent>
                </v:textbox>
              </v:rect>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-112395</wp:posOffset>
                </wp:positionH>
                <wp:positionV relativeFrom="paragraph">
                  <wp:posOffset>136525</wp:posOffset>
                </wp:positionV>
                <wp:extent cx="2705100" cy="1981200"/>
                <wp:effectExtent l="0" t="0" r="19050" b="19050"/>
                <wp:wrapNone/>
                <wp:docPr id="68" name="矩形 68"/>
                <wp:cNvGraphicFramePr/>
                <a:graphic xmlns:a="http://schemas.openxmlformats.org/drawingml/2006/main">
                  <a:graphicData uri="http://schemas.microsoft.com/office/word/2010/wordprocessingShape">
                    <wps:wsp>
                      <wps:cNvSpPr>
                        <a:spLocks noChangeArrowheads="1"/>
                      </wps:cNvSpPr>
                      <wps:spPr bwMode="auto">
                        <a:xfrm>
                          <a:off x="0" y="0"/>
                          <a:ext cx="2705100" cy="1981200"/>
                        </a:xfrm>
                        <a:prstGeom prst="rect">
                          <a:avLst/>
                        </a:prstGeom>
                        <a:solidFill>
                          <a:srgbClr val="FFFFFF"/>
                        </a:solidFill>
                        <a:ln w="9525">
                          <a:solidFill>
                            <a:srgbClr val="000000"/>
                          </a:solidFill>
                          <a:miter lim="800000"/>
                        </a:ln>
                      </wps:spPr>
                      <wps:txbx>
                        <w:txbxContent>
                          <w:p w14:paraId="72446043">
                            <w:pPr>
                              <w:spacing w:line="360" w:lineRule="auto"/>
                              <w:jc w:val="center"/>
                            </w:pPr>
                          </w:p>
                          <w:p w14:paraId="7B544F2D">
                            <w:pPr>
                              <w:spacing w:line="360" w:lineRule="auto"/>
                              <w:jc w:val="center"/>
                            </w:pPr>
                            <w:r>
                              <w:rPr>
                                <w:rFonts w:hint="eastAsia"/>
                              </w:rPr>
                              <w:t>法定代表人</w:t>
                            </w:r>
                          </w:p>
                          <w:p w14:paraId="36DAC4BA">
                            <w:pPr>
                              <w:spacing w:line="360" w:lineRule="auto"/>
                              <w:jc w:val="center"/>
                            </w:pPr>
                            <w:r>
                              <w:rPr>
                                <w:rFonts w:hint="eastAsia"/>
                              </w:rPr>
                              <w:t>居民身份证复印件粘贴处</w:t>
                            </w:r>
                          </w:p>
                          <w:p w14:paraId="74805837">
                            <w:pPr>
                              <w:spacing w:line="360" w:lineRule="auto"/>
                              <w:jc w:val="center"/>
                            </w:pPr>
                            <w:r>
                              <w:rPr>
                                <w:rFonts w:hint="eastAsia"/>
                              </w:rPr>
                              <w:t>（正面）</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8.85pt;margin-top:10.75pt;height:156pt;width:213pt;z-index:251659264;mso-width-relative:page;mso-height-relative:page;" fillcolor="#FFFFFF" filled="t" stroked="t" coordsize="21600,21600" o:gfxdata="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sTcSu9kAAAAKAQAADwAAAAAAAAABACAAAAAiAAAAZHJzL2Rv&#10;d25yZXYueG1sUEsBAhQAFAAAAAgAh07iQOP/zn45AgAAfQQAAA4AAAAAAAAAAQAgAAAAKAEAAGRy&#10;cy9lMm9Eb2MueG1sUEsFBgAAAAAGAAYAWQEAANMFAAAAAA==&#10;">
                <v:fill on="t" focussize="0,0"/>
                <v:stroke color="#000000" miterlimit="8" joinstyle="miter"/>
                <v:imagedata o:title=""/>
                <o:lock v:ext="edit" aspectratio="f"/>
                <v:textbox>
                  <w:txbxContent>
                    <w:p w14:paraId="72446043">
                      <w:pPr>
                        <w:spacing w:line="360" w:lineRule="auto"/>
                        <w:jc w:val="center"/>
                      </w:pPr>
                    </w:p>
                    <w:p w14:paraId="7B544F2D">
                      <w:pPr>
                        <w:spacing w:line="360" w:lineRule="auto"/>
                        <w:jc w:val="center"/>
                      </w:pPr>
                      <w:r>
                        <w:rPr>
                          <w:rFonts w:hint="eastAsia"/>
                        </w:rPr>
                        <w:t>法定代表人</w:t>
                      </w:r>
                    </w:p>
                    <w:p w14:paraId="36DAC4BA">
                      <w:pPr>
                        <w:spacing w:line="360" w:lineRule="auto"/>
                        <w:jc w:val="center"/>
                      </w:pPr>
                      <w:r>
                        <w:rPr>
                          <w:rFonts w:hint="eastAsia"/>
                        </w:rPr>
                        <w:t>居民身份证复印件粘贴处</w:t>
                      </w:r>
                    </w:p>
                    <w:p w14:paraId="74805837">
                      <w:pPr>
                        <w:spacing w:line="360" w:lineRule="auto"/>
                        <w:jc w:val="center"/>
                      </w:pPr>
                      <w:r>
                        <w:rPr>
                          <w:rFonts w:hint="eastAsia"/>
                        </w:rPr>
                        <w:t>（正面）</w:t>
                      </w:r>
                    </w:p>
                  </w:txbxContent>
                </v:textbox>
              </v:rect>
            </w:pict>
          </mc:Fallback>
        </mc:AlternateContent>
      </w:r>
    </w:p>
    <w:p w14:paraId="457F2249">
      <w:pPr>
        <w:spacing w:line="360" w:lineRule="auto"/>
        <w:ind w:firstLine="422" w:firstLineChars="200"/>
        <w:rPr>
          <w:rFonts w:asciiTheme="minorEastAsia" w:hAnsiTheme="minorEastAsia"/>
          <w:b/>
          <w:bCs/>
          <w:szCs w:val="21"/>
        </w:rPr>
      </w:pPr>
    </w:p>
    <w:p w14:paraId="24406877">
      <w:pPr>
        <w:spacing w:line="360" w:lineRule="auto"/>
        <w:ind w:firstLine="422" w:firstLineChars="200"/>
        <w:rPr>
          <w:rFonts w:asciiTheme="minorEastAsia" w:hAnsiTheme="minorEastAsia"/>
          <w:b/>
          <w:bCs/>
          <w:szCs w:val="21"/>
        </w:rPr>
      </w:pPr>
    </w:p>
    <w:p w14:paraId="17FAC7DE">
      <w:pPr>
        <w:spacing w:line="360" w:lineRule="auto"/>
        <w:ind w:firstLine="422" w:firstLineChars="200"/>
        <w:rPr>
          <w:rFonts w:asciiTheme="minorEastAsia" w:hAnsiTheme="minorEastAsia"/>
          <w:b/>
          <w:bCs/>
          <w:szCs w:val="21"/>
        </w:rPr>
      </w:pPr>
    </w:p>
    <w:p w14:paraId="5B16281D">
      <w:pPr>
        <w:spacing w:line="360" w:lineRule="auto"/>
        <w:ind w:firstLine="422" w:firstLineChars="200"/>
        <w:rPr>
          <w:rFonts w:asciiTheme="minorEastAsia" w:hAnsiTheme="minorEastAsia"/>
          <w:b/>
          <w:bCs/>
          <w:szCs w:val="21"/>
        </w:rPr>
      </w:pPr>
    </w:p>
    <w:p w14:paraId="1CCE90FC">
      <w:pPr>
        <w:spacing w:line="360" w:lineRule="auto"/>
        <w:ind w:firstLine="422" w:firstLineChars="200"/>
        <w:rPr>
          <w:rFonts w:asciiTheme="minorEastAsia" w:hAnsiTheme="minorEastAsia"/>
          <w:b/>
          <w:bCs/>
          <w:szCs w:val="21"/>
        </w:rPr>
      </w:pPr>
    </w:p>
    <w:p w14:paraId="3C95FEB4">
      <w:pPr>
        <w:spacing w:line="360" w:lineRule="auto"/>
        <w:ind w:firstLine="422" w:firstLineChars="200"/>
        <w:rPr>
          <w:rFonts w:asciiTheme="minorEastAsia" w:hAnsiTheme="minorEastAsia"/>
          <w:b/>
          <w:bCs/>
          <w:szCs w:val="21"/>
        </w:rPr>
      </w:pPr>
      <w:r>
        <w:rPr>
          <w:rFonts w:hint="eastAsia" w:asciiTheme="minorEastAsia" w:hAnsiTheme="minorEastAsia"/>
          <w:b/>
          <w:bCs/>
          <w:szCs w:val="21"/>
        </w:rPr>
        <w:t xml:space="preserve">                         </w:t>
      </w:r>
    </w:p>
    <w:p w14:paraId="4BFC58A2">
      <w:pPr>
        <w:spacing w:line="360" w:lineRule="auto"/>
        <w:ind w:firstLine="420" w:firstLineChars="200"/>
        <w:rPr>
          <w:rFonts w:asciiTheme="minorEastAsia" w:hAnsiTheme="minorEastAsia"/>
          <w:szCs w:val="21"/>
        </w:rPr>
      </w:pPr>
    </w:p>
    <w:p w14:paraId="2FBD034F">
      <w:pPr>
        <w:spacing w:line="360" w:lineRule="auto"/>
        <w:ind w:firstLine="420" w:firstLineChars="200"/>
        <w:rPr>
          <w:rFonts w:asciiTheme="minorEastAsia" w:hAnsiTheme="minorEastAsia"/>
          <w:szCs w:val="21"/>
        </w:rPr>
      </w:pPr>
    </w:p>
    <w:p w14:paraId="0834B127">
      <w:pPr>
        <w:spacing w:line="360" w:lineRule="auto"/>
        <w:ind w:firstLine="420" w:firstLineChars="200"/>
        <w:rPr>
          <w:rFonts w:asciiTheme="minorEastAsia" w:hAnsiTheme="minorEastAsia"/>
          <w:szCs w:val="21"/>
        </w:rPr>
      </w:pPr>
      <w:r>
        <w:rPr>
          <w:rFonts w:hint="eastAsia" w:asciiTheme="minorEastAsia" w:hAnsiTheme="minorEastAsia"/>
          <w:szCs w:val="21"/>
        </w:rPr>
        <w:t>单位名称：（公章）：</w:t>
      </w:r>
      <w:r>
        <w:rPr>
          <w:rFonts w:hint="eastAsia" w:asciiTheme="minorEastAsia" w:hAnsiTheme="minorEastAsia"/>
          <w:szCs w:val="21"/>
          <w:u w:val="single"/>
        </w:rPr>
        <w:t xml:space="preserve">             </w:t>
      </w:r>
    </w:p>
    <w:p w14:paraId="020CEE2E">
      <w:pPr>
        <w:spacing w:line="360" w:lineRule="auto"/>
        <w:ind w:firstLine="420" w:firstLineChars="200"/>
        <w:rPr>
          <w:rFonts w:asciiTheme="minorEastAsia" w:hAnsiTheme="minorEastAsia"/>
          <w:szCs w:val="21"/>
        </w:rPr>
      </w:pPr>
      <w:r>
        <w:rPr>
          <w:rFonts w:hint="eastAsia" w:asciiTheme="minorEastAsia" w:hAnsiTheme="minorEastAsia"/>
          <w:szCs w:val="21"/>
        </w:rPr>
        <w:t>日期：</w:t>
      </w:r>
      <w:r>
        <w:rPr>
          <w:rFonts w:hint="eastAsia" w:asciiTheme="minorEastAsia" w:hAnsiTheme="minorEastAsia"/>
          <w:szCs w:val="21"/>
          <w:u w:val="single"/>
        </w:rPr>
        <w:t xml:space="preserve">         </w:t>
      </w:r>
      <w:r>
        <w:rPr>
          <w:rFonts w:hint="eastAsia" w:asciiTheme="minorEastAsia" w:hAnsiTheme="minorEastAsia"/>
          <w:szCs w:val="21"/>
        </w:rPr>
        <w:t>年</w:t>
      </w:r>
      <w:r>
        <w:rPr>
          <w:rFonts w:hint="eastAsia" w:asciiTheme="minorEastAsia" w:hAnsiTheme="minorEastAsia"/>
          <w:szCs w:val="21"/>
          <w:u w:val="single"/>
        </w:rPr>
        <w:t xml:space="preserve">     </w:t>
      </w:r>
      <w:r>
        <w:rPr>
          <w:rFonts w:hint="eastAsia" w:asciiTheme="minorEastAsia" w:hAnsiTheme="minorEastAsia"/>
          <w:szCs w:val="21"/>
        </w:rPr>
        <w:t xml:space="preserve">月 </w:t>
      </w:r>
      <w:r>
        <w:rPr>
          <w:rFonts w:hint="eastAsia" w:asciiTheme="minorEastAsia" w:hAnsiTheme="minorEastAsia"/>
          <w:szCs w:val="21"/>
          <w:u w:val="single"/>
        </w:rPr>
        <w:t xml:space="preserve">      </w:t>
      </w:r>
      <w:r>
        <w:rPr>
          <w:rFonts w:hint="eastAsia" w:asciiTheme="minorEastAsia" w:hAnsiTheme="minorEastAsia"/>
          <w:szCs w:val="21"/>
        </w:rPr>
        <w:t>日</w:t>
      </w:r>
    </w:p>
    <w:p w14:paraId="6424EC5C">
      <w:pPr>
        <w:ind w:firstLine="420" w:firstLineChars="200"/>
      </w:pPr>
    </w:p>
    <w:p w14:paraId="0479395A">
      <w:pPr>
        <w:adjustRightInd w:val="0"/>
        <w:snapToGrid w:val="0"/>
        <w:spacing w:line="360" w:lineRule="auto"/>
        <w:ind w:firstLine="422" w:firstLineChars="200"/>
        <w:rPr>
          <w:rFonts w:asciiTheme="minorEastAsia" w:hAnsiTheme="minorEastAsia"/>
          <w:b/>
          <w:snapToGrid w:val="0"/>
          <w:kern w:val="0"/>
          <w:szCs w:val="21"/>
        </w:rPr>
      </w:pPr>
    </w:p>
    <w:p w14:paraId="655D17AE">
      <w:pPr>
        <w:spacing w:line="360" w:lineRule="auto"/>
        <w:ind w:firstLine="420" w:firstLineChars="200"/>
        <w:rPr>
          <w:rFonts w:asciiTheme="minorEastAsia" w:hAnsiTheme="minorEastAsia"/>
          <w:szCs w:val="21"/>
        </w:rPr>
        <w:sectPr>
          <w:pgSz w:w="11906" w:h="16838"/>
          <w:pgMar w:top="1440" w:right="1080" w:bottom="1440" w:left="1080" w:header="851" w:footer="992" w:gutter="0"/>
          <w:cols w:space="720" w:num="1"/>
          <w:titlePg/>
          <w:docGrid w:type="lines" w:linePitch="312" w:charSpace="0"/>
        </w:sectPr>
      </w:pPr>
    </w:p>
    <w:p w14:paraId="045E898E">
      <w:pPr>
        <w:spacing w:line="360" w:lineRule="auto"/>
        <w:ind w:firstLine="420" w:firstLineChars="200"/>
        <w:rPr>
          <w:rFonts w:asciiTheme="minorEastAsia" w:hAnsiTheme="minorEastAsia"/>
          <w:szCs w:val="21"/>
        </w:rPr>
      </w:pPr>
      <w:r>
        <w:rPr>
          <w:rFonts w:hint="eastAsia" w:asciiTheme="minorEastAsia" w:hAnsiTheme="minorEastAsia"/>
          <w:szCs w:val="21"/>
        </w:rPr>
        <w:t>附件</w:t>
      </w:r>
      <w:r>
        <w:rPr>
          <w:rFonts w:asciiTheme="minorEastAsia" w:hAnsiTheme="minorEastAsia"/>
          <w:szCs w:val="21"/>
        </w:rPr>
        <w:t>7</w:t>
      </w:r>
      <w:r>
        <w:rPr>
          <w:rFonts w:hint="eastAsia" w:asciiTheme="minorEastAsia" w:hAnsiTheme="minorEastAsia"/>
          <w:szCs w:val="21"/>
        </w:rPr>
        <w:t>：</w:t>
      </w:r>
      <w:bookmarkEnd w:id="159"/>
      <w:r>
        <w:rPr>
          <w:rFonts w:hint="eastAsia" w:asciiTheme="minorEastAsia" w:hAnsiTheme="minorEastAsia"/>
          <w:szCs w:val="21"/>
        </w:rPr>
        <w:t>法定代表人授权委托证明书</w:t>
      </w:r>
    </w:p>
    <w:p w14:paraId="4A24AE05">
      <w:pPr>
        <w:keepNext/>
        <w:keepLines/>
        <w:spacing w:before="160" w:after="170"/>
        <w:ind w:firstLine="602" w:firstLineChars="200"/>
        <w:jc w:val="center"/>
        <w:outlineLvl w:val="4"/>
        <w:rPr>
          <w:b/>
          <w:bCs/>
          <w:sz w:val="30"/>
          <w:szCs w:val="28"/>
        </w:rPr>
      </w:pPr>
      <w:bookmarkStart w:id="160" w:name="_Toc55548546"/>
      <w:bookmarkStart w:id="161" w:name="_Toc437"/>
      <w:r>
        <w:rPr>
          <w:rFonts w:hint="eastAsia"/>
          <w:b/>
          <w:bCs/>
          <w:sz w:val="30"/>
          <w:szCs w:val="28"/>
        </w:rPr>
        <w:t>法定代表人授权委托书</w:t>
      </w:r>
      <w:bookmarkEnd w:id="160"/>
    </w:p>
    <w:p w14:paraId="70672347">
      <w:pPr>
        <w:spacing w:line="360" w:lineRule="auto"/>
        <w:ind w:firstLine="420" w:firstLineChars="200"/>
        <w:rPr>
          <w:rFonts w:asciiTheme="minorEastAsia" w:hAnsiTheme="minorEastAsia"/>
          <w:b/>
          <w:bCs/>
          <w:szCs w:val="21"/>
        </w:rPr>
      </w:pPr>
      <w:r>
        <w:rPr>
          <w:rFonts w:hint="eastAsia" w:cs="Courier New" w:asciiTheme="minorEastAsia" w:hAnsiTheme="minorEastAsia"/>
          <w:snapToGrid w:val="0"/>
          <w:szCs w:val="21"/>
        </w:rPr>
        <w:t>深圳市宝安区疾病预防控制中心</w:t>
      </w:r>
      <w:r>
        <w:rPr>
          <w:rFonts w:hint="eastAsia" w:cs="Courier New" w:asciiTheme="minorEastAsia" w:hAnsiTheme="minorEastAsia"/>
          <w:snapToGrid w:val="0"/>
          <w:szCs w:val="21"/>
          <w:lang w:eastAsia="zh-CN"/>
        </w:rPr>
        <w:t>（</w:t>
      </w:r>
      <w:r>
        <w:rPr>
          <w:rFonts w:hint="eastAsia" w:cs="Courier New" w:asciiTheme="minorEastAsia" w:hAnsiTheme="minorEastAsia"/>
          <w:snapToGrid w:val="0"/>
          <w:szCs w:val="21"/>
          <w:lang w:val="en-US" w:eastAsia="zh-CN"/>
        </w:rPr>
        <w:t>深圳市宝安区卫生监督所</w:t>
      </w:r>
      <w:r>
        <w:rPr>
          <w:rFonts w:hint="eastAsia" w:cs="Courier New" w:asciiTheme="minorEastAsia" w:hAnsiTheme="minorEastAsia"/>
          <w:snapToGrid w:val="0"/>
          <w:szCs w:val="21"/>
          <w:lang w:eastAsia="zh-CN"/>
        </w:rPr>
        <w:t>）</w:t>
      </w:r>
      <w:r>
        <w:rPr>
          <w:rFonts w:hint="eastAsia" w:asciiTheme="minorEastAsia" w:hAnsiTheme="minorEastAsia"/>
          <w:b/>
          <w:bCs/>
          <w:szCs w:val="21"/>
        </w:rPr>
        <w:t>：</w:t>
      </w:r>
    </w:p>
    <w:p w14:paraId="6C089A8A">
      <w:pPr>
        <w:adjustRightInd w:val="0"/>
        <w:snapToGrid w:val="0"/>
        <w:spacing w:line="360" w:lineRule="auto"/>
        <w:ind w:firstLine="420" w:firstLineChars="200"/>
        <w:rPr>
          <w:rFonts w:asciiTheme="minorEastAsia" w:hAnsiTheme="minorEastAsia"/>
          <w:szCs w:val="21"/>
        </w:rPr>
      </w:pPr>
      <w:r>
        <w:rPr>
          <w:rFonts w:hint="eastAsia" w:asciiTheme="minorEastAsia" w:hAnsiTheme="minorEastAsia"/>
          <w:szCs w:val="21"/>
        </w:rPr>
        <w:t>现委派</w:t>
      </w:r>
      <w:r>
        <w:rPr>
          <w:rFonts w:hint="eastAsia" w:asciiTheme="minorEastAsia" w:hAnsiTheme="minorEastAsia"/>
          <w:szCs w:val="21"/>
          <w:u w:val="single"/>
        </w:rPr>
        <w:t xml:space="preserve">  （姓名、职务） </w:t>
      </w:r>
      <w:r>
        <w:rPr>
          <w:rFonts w:hint="eastAsia" w:asciiTheme="minorEastAsia" w:hAnsiTheme="minorEastAsia"/>
          <w:szCs w:val="21"/>
        </w:rPr>
        <w:t>参加贵公司组织的</w:t>
      </w:r>
      <w:r>
        <w:rPr>
          <w:rFonts w:hint="eastAsia" w:asciiTheme="minorEastAsia" w:hAnsiTheme="minorEastAsia"/>
          <w:b/>
          <w:bCs/>
          <w:szCs w:val="21"/>
          <w:u w:val="single"/>
        </w:rPr>
        <w:t xml:space="preserve">  </w:t>
      </w:r>
      <w:r>
        <w:rPr>
          <w:rFonts w:hint="eastAsia" w:asciiTheme="minorEastAsia" w:hAnsiTheme="minorEastAsia"/>
          <w:szCs w:val="21"/>
          <w:u w:val="single"/>
        </w:rPr>
        <w:t xml:space="preserve">（招标项目名称、编号） </w:t>
      </w:r>
      <w:r>
        <w:rPr>
          <w:rFonts w:hint="eastAsia" w:asciiTheme="minorEastAsia" w:hAnsiTheme="minorEastAsia"/>
          <w:szCs w:val="21"/>
        </w:rPr>
        <w:t>招标活动，全权代表我单位处理投标的有关事宜。</w:t>
      </w:r>
    </w:p>
    <w:p w14:paraId="342D20B0">
      <w:pPr>
        <w:spacing w:line="360" w:lineRule="auto"/>
        <w:ind w:firstLine="420" w:firstLineChars="200"/>
        <w:rPr>
          <w:rFonts w:asciiTheme="minorEastAsia" w:hAnsiTheme="minorEastAsia"/>
          <w:szCs w:val="21"/>
        </w:rPr>
      </w:pPr>
    </w:p>
    <w:p w14:paraId="75DB166B">
      <w:pPr>
        <w:adjustRightInd w:val="0"/>
        <w:snapToGrid w:val="0"/>
        <w:spacing w:line="360" w:lineRule="auto"/>
        <w:ind w:firstLine="422" w:firstLineChars="200"/>
        <w:rPr>
          <w:rFonts w:asciiTheme="minorEastAsia" w:hAnsiTheme="minorEastAsia"/>
          <w:b/>
          <w:bCs/>
          <w:szCs w:val="21"/>
        </w:rPr>
      </w:pPr>
      <w:r>
        <w:rPr>
          <w:rFonts w:hint="eastAsia" w:asciiTheme="minorEastAsia" w:hAnsiTheme="minorEastAsia"/>
          <w:b/>
          <w:bCs/>
          <w:szCs w:val="21"/>
        </w:rPr>
        <w:t>附授权代表情况：</w:t>
      </w:r>
    </w:p>
    <w:p w14:paraId="3B3B1FD6">
      <w:pPr>
        <w:adjustRightInd w:val="0"/>
        <w:snapToGrid w:val="0"/>
        <w:spacing w:line="360" w:lineRule="auto"/>
        <w:ind w:firstLine="420" w:firstLineChars="200"/>
        <w:rPr>
          <w:rFonts w:asciiTheme="minorEastAsia" w:hAnsiTheme="minorEastAsia"/>
          <w:szCs w:val="21"/>
        </w:rPr>
      </w:pPr>
      <w:r>
        <w:rPr>
          <w:rFonts w:hint="eastAsia" w:asciiTheme="minorEastAsia" w:hAnsiTheme="minorEastAsia"/>
          <w:szCs w:val="21"/>
        </w:rPr>
        <w:t>姓名：</w:t>
      </w:r>
      <w:r>
        <w:rPr>
          <w:rFonts w:hint="eastAsia" w:asciiTheme="minorEastAsia" w:hAnsiTheme="minorEastAsia"/>
          <w:b/>
          <w:bCs/>
          <w:szCs w:val="21"/>
        </w:rPr>
        <w:t xml:space="preserve">    </w:t>
      </w:r>
      <w:r>
        <w:rPr>
          <w:rFonts w:hint="eastAsia" w:asciiTheme="minorEastAsia" w:hAnsiTheme="minorEastAsia"/>
          <w:szCs w:val="21"/>
        </w:rPr>
        <w:t xml:space="preserve">            性别：</w:t>
      </w:r>
      <w:r>
        <w:rPr>
          <w:rFonts w:hint="eastAsia" w:asciiTheme="minorEastAsia" w:hAnsiTheme="minorEastAsia"/>
          <w:b/>
          <w:bCs/>
          <w:szCs w:val="21"/>
        </w:rPr>
        <w:t xml:space="preserve"> </w:t>
      </w:r>
    </w:p>
    <w:p w14:paraId="535D8B16">
      <w:pPr>
        <w:adjustRightInd w:val="0"/>
        <w:snapToGrid w:val="0"/>
        <w:spacing w:line="360" w:lineRule="auto"/>
        <w:ind w:firstLine="420" w:firstLineChars="200"/>
        <w:rPr>
          <w:rFonts w:asciiTheme="minorEastAsia" w:hAnsiTheme="minorEastAsia"/>
          <w:b/>
          <w:bCs/>
          <w:szCs w:val="21"/>
        </w:rPr>
      </w:pPr>
      <w:r>
        <w:rPr>
          <w:rFonts w:hint="eastAsia" w:asciiTheme="minorEastAsia" w:hAnsiTheme="minorEastAsia"/>
          <w:szCs w:val="21"/>
        </w:rPr>
        <w:t>年龄：</w:t>
      </w:r>
      <w:r>
        <w:rPr>
          <w:rFonts w:hint="eastAsia" w:asciiTheme="minorEastAsia" w:hAnsiTheme="minorEastAsia"/>
          <w:b/>
          <w:bCs/>
          <w:szCs w:val="21"/>
        </w:rPr>
        <w:t xml:space="preserve"> </w:t>
      </w:r>
      <w:r>
        <w:rPr>
          <w:rFonts w:hint="eastAsia" w:asciiTheme="minorEastAsia" w:hAnsiTheme="minorEastAsia"/>
          <w:szCs w:val="21"/>
        </w:rPr>
        <w:t xml:space="preserve">            </w:t>
      </w:r>
    </w:p>
    <w:p w14:paraId="57D14778">
      <w:pPr>
        <w:adjustRightInd w:val="0"/>
        <w:snapToGrid w:val="0"/>
        <w:spacing w:line="360" w:lineRule="auto"/>
        <w:ind w:firstLine="420" w:firstLineChars="200"/>
        <w:rPr>
          <w:rFonts w:asciiTheme="minorEastAsia" w:hAnsiTheme="minorEastAsia"/>
          <w:szCs w:val="21"/>
        </w:rPr>
      </w:pPr>
      <w:r>
        <w:rPr>
          <w:rFonts w:hint="eastAsia" w:asciiTheme="minorEastAsia" w:hAnsiTheme="minorEastAsia"/>
          <w:szCs w:val="21"/>
        </w:rPr>
        <w:t>职务：</w:t>
      </w:r>
    </w:p>
    <w:p w14:paraId="6341338E">
      <w:pPr>
        <w:adjustRightInd w:val="0"/>
        <w:snapToGrid w:val="0"/>
        <w:spacing w:line="360" w:lineRule="auto"/>
        <w:ind w:firstLine="420" w:firstLineChars="200"/>
        <w:rPr>
          <w:rFonts w:asciiTheme="minorEastAsia" w:hAnsiTheme="minorEastAsia"/>
          <w:szCs w:val="21"/>
        </w:rPr>
      </w:pPr>
      <w:r>
        <w:rPr>
          <w:rFonts w:hint="eastAsia" w:asciiTheme="minorEastAsia" w:hAnsiTheme="minorEastAsia"/>
          <w:szCs w:val="21"/>
        </w:rPr>
        <w:t>身份证号码：</w:t>
      </w:r>
    </w:p>
    <w:p w14:paraId="0492564E">
      <w:pPr>
        <w:adjustRightInd w:val="0"/>
        <w:snapToGrid w:val="0"/>
        <w:spacing w:line="360" w:lineRule="auto"/>
        <w:ind w:firstLine="420" w:firstLineChars="200"/>
        <w:rPr>
          <w:rFonts w:asciiTheme="minorEastAsia" w:hAnsiTheme="minorEastAsia"/>
          <w:b/>
          <w:bCs/>
          <w:szCs w:val="21"/>
        </w:rPr>
      </w:pPr>
      <w:r>
        <w:rPr>
          <w:rFonts w:hint="eastAsia" w:asciiTheme="minorEastAsia" w:hAnsiTheme="minorEastAsia"/>
          <w:szCs w:val="21"/>
        </w:rPr>
        <w:t>邮编：</w:t>
      </w:r>
      <w:r>
        <w:rPr>
          <w:rFonts w:hint="eastAsia" w:asciiTheme="minorEastAsia" w:hAnsiTheme="minorEastAsia"/>
          <w:b/>
          <w:bCs/>
          <w:szCs w:val="21"/>
        </w:rPr>
        <w:t xml:space="preserve"> </w:t>
      </w:r>
    </w:p>
    <w:p w14:paraId="52964E73">
      <w:pPr>
        <w:adjustRightInd w:val="0"/>
        <w:snapToGrid w:val="0"/>
        <w:spacing w:line="360" w:lineRule="auto"/>
        <w:ind w:firstLine="420" w:firstLineChars="200"/>
        <w:rPr>
          <w:rFonts w:asciiTheme="minorEastAsia" w:hAnsiTheme="minorEastAsia"/>
          <w:szCs w:val="21"/>
        </w:rPr>
      </w:pPr>
      <w:r>
        <w:rPr>
          <w:rFonts w:hint="eastAsia" w:asciiTheme="minorEastAsia" w:hAnsiTheme="minorEastAsia"/>
          <w:szCs w:val="21"/>
        </w:rPr>
        <w:t>通讯地址：</w:t>
      </w:r>
      <w:r>
        <w:rPr>
          <w:rFonts w:hint="eastAsia" w:asciiTheme="minorEastAsia" w:hAnsiTheme="minorEastAsia"/>
          <w:b/>
          <w:bCs/>
          <w:szCs w:val="21"/>
        </w:rPr>
        <w:t xml:space="preserve"> </w:t>
      </w:r>
    </w:p>
    <w:p w14:paraId="201DD389">
      <w:pPr>
        <w:adjustRightInd w:val="0"/>
        <w:snapToGrid w:val="0"/>
        <w:spacing w:line="360" w:lineRule="auto"/>
        <w:ind w:firstLine="420" w:firstLineChars="200"/>
        <w:rPr>
          <w:rFonts w:asciiTheme="minorEastAsia" w:hAnsiTheme="minorEastAsia"/>
          <w:szCs w:val="21"/>
        </w:rPr>
      </w:pPr>
      <w:r>
        <w:rPr>
          <w:rFonts w:hint="eastAsia" w:asciiTheme="minorEastAsia" w:hAnsiTheme="minorEastAsia"/>
          <w:szCs w:val="21"/>
        </w:rPr>
        <w:t xml:space="preserve">电话： </w:t>
      </w:r>
    </w:p>
    <w:p w14:paraId="137055BA">
      <w:pPr>
        <w:spacing w:line="360" w:lineRule="auto"/>
        <w:ind w:firstLine="420" w:firstLineChars="200"/>
        <w:rPr>
          <w:rFonts w:asciiTheme="minorEastAsia" w:hAnsiTheme="minorEastAsia"/>
          <w:szCs w:val="21"/>
        </w:rPr>
      </w:pPr>
      <w:r>
        <w:rPr>
          <w:rFonts w:hint="eastAsia" w:asciiTheme="minorEastAsia" w:hAnsiTheme="minorEastAsia"/>
          <w:szCs w:val="21"/>
        </w:rPr>
        <w:t>单位名称：（公章）</w:t>
      </w:r>
    </w:p>
    <w:p w14:paraId="1053430D">
      <w:pPr>
        <w:spacing w:line="360" w:lineRule="auto"/>
        <w:ind w:firstLine="420" w:firstLineChars="200"/>
        <w:rPr>
          <w:rFonts w:asciiTheme="minorEastAsia" w:hAnsiTheme="minorEastAsia"/>
          <w:szCs w:val="21"/>
        </w:rPr>
      </w:pPr>
    </w:p>
    <w:p w14:paraId="3563FAC5">
      <w:pPr>
        <w:spacing w:line="360" w:lineRule="auto"/>
        <w:ind w:firstLine="420" w:firstLineChars="200"/>
        <w:rPr>
          <w:rFonts w:asciiTheme="minorEastAsia" w:hAnsiTheme="minorEastAsia"/>
          <w:szCs w:val="21"/>
        </w:rPr>
      </w:pPr>
      <w:r>
        <w:rPr>
          <w:rFonts w:hint="eastAsia" w:asciiTheme="minorEastAsia" w:hAnsiTheme="minorEastAsia"/>
          <w:szCs w:val="21"/>
        </w:rPr>
        <w:t>法人代表：（签章）</w:t>
      </w:r>
    </w:p>
    <w:p w14:paraId="2335B9D6">
      <w:pPr>
        <w:adjustRightInd w:val="0"/>
        <w:snapToGrid w:val="0"/>
        <w:spacing w:line="360" w:lineRule="auto"/>
        <w:ind w:firstLine="420" w:firstLineChars="200"/>
        <w:rPr>
          <w:rFonts w:asciiTheme="minorEastAsia" w:hAnsiTheme="minorEastAsia"/>
          <w:szCs w:val="21"/>
        </w:rPr>
      </w:pPr>
      <w:r>
        <w:rPr>
          <w:rFonts w:hint="eastAsia" w:asciiTheme="minorEastAsia" w:hAnsiTheme="minorEastAsia"/>
          <w:szCs w:val="21"/>
        </w:rPr>
        <w:t>年</w:t>
      </w:r>
      <w:r>
        <w:rPr>
          <w:rFonts w:hint="eastAsia" w:asciiTheme="minorEastAsia" w:hAnsiTheme="minorEastAsia"/>
          <w:b/>
          <w:bCs/>
          <w:szCs w:val="21"/>
        </w:rPr>
        <w:t xml:space="preserve">    </w:t>
      </w:r>
      <w:r>
        <w:rPr>
          <w:rFonts w:hint="eastAsia" w:asciiTheme="minorEastAsia" w:hAnsiTheme="minorEastAsia"/>
          <w:szCs w:val="21"/>
        </w:rPr>
        <w:t>月</w:t>
      </w:r>
      <w:r>
        <w:rPr>
          <w:rFonts w:hint="eastAsia" w:asciiTheme="minorEastAsia" w:hAnsiTheme="minorEastAsia"/>
          <w:b/>
          <w:bCs/>
          <w:szCs w:val="21"/>
        </w:rPr>
        <w:t xml:space="preserve">   </w:t>
      </w:r>
      <w:r>
        <w:rPr>
          <w:rFonts w:hint="eastAsia" w:asciiTheme="minorEastAsia" w:hAnsiTheme="minorEastAsia"/>
          <w:szCs w:val="21"/>
        </w:rPr>
        <w:t>日</w:t>
      </w:r>
    </w:p>
    <w:p w14:paraId="75AA686C">
      <w:pPr>
        <w:spacing w:line="360" w:lineRule="auto"/>
        <w:ind w:firstLine="420" w:firstLineChars="200"/>
        <w:rPr>
          <w:rFonts w:asciiTheme="minorEastAsia" w:hAnsiTheme="minorEastAsia"/>
          <w:szCs w:val="21"/>
        </w:rPr>
      </w:pPr>
      <w:bookmarkStart w:id="162" w:name="_Toc226217114"/>
      <w:r>
        <mc:AlternateContent>
          <mc:Choice Requires="wps">
            <w:drawing>
              <wp:anchor distT="0" distB="0" distL="114300" distR="114300" simplePos="0" relativeHeight="251661312" behindDoc="0" locked="0" layoutInCell="1" allowOverlap="1">
                <wp:simplePos x="0" y="0"/>
                <wp:positionH relativeFrom="column">
                  <wp:posOffset>-17145</wp:posOffset>
                </wp:positionH>
                <wp:positionV relativeFrom="paragraph">
                  <wp:posOffset>71120</wp:posOffset>
                </wp:positionV>
                <wp:extent cx="2619375" cy="1722755"/>
                <wp:effectExtent l="0" t="0" r="28575" b="10795"/>
                <wp:wrapNone/>
                <wp:docPr id="67" name="矩形 67"/>
                <wp:cNvGraphicFramePr/>
                <a:graphic xmlns:a="http://schemas.openxmlformats.org/drawingml/2006/main">
                  <a:graphicData uri="http://schemas.microsoft.com/office/word/2010/wordprocessingShape">
                    <wps:wsp>
                      <wps:cNvSpPr>
                        <a:spLocks noChangeArrowheads="1"/>
                      </wps:cNvSpPr>
                      <wps:spPr bwMode="auto">
                        <a:xfrm>
                          <a:off x="0" y="0"/>
                          <a:ext cx="2619375" cy="1722755"/>
                        </a:xfrm>
                        <a:prstGeom prst="rect">
                          <a:avLst/>
                        </a:prstGeom>
                        <a:solidFill>
                          <a:srgbClr val="FFFFFF"/>
                        </a:solidFill>
                        <a:ln w="9525">
                          <a:solidFill>
                            <a:srgbClr val="000000"/>
                          </a:solidFill>
                          <a:miter lim="800000"/>
                        </a:ln>
                      </wps:spPr>
                      <wps:txbx>
                        <w:txbxContent>
                          <w:p w14:paraId="70D8683B">
                            <w:pPr>
                              <w:spacing w:line="360" w:lineRule="auto"/>
                              <w:ind w:firstLine="1260" w:firstLineChars="600"/>
                            </w:pPr>
                          </w:p>
                          <w:p w14:paraId="0A495052">
                            <w:pPr>
                              <w:spacing w:line="360" w:lineRule="auto"/>
                              <w:ind w:firstLine="1260" w:firstLineChars="600"/>
                            </w:pPr>
                            <w:r>
                              <w:rPr>
                                <w:rFonts w:hint="eastAsia"/>
                              </w:rPr>
                              <w:t>被授权人（授权代表）</w:t>
                            </w:r>
                          </w:p>
                          <w:p w14:paraId="4DFD8F52">
                            <w:pPr>
                              <w:spacing w:line="360" w:lineRule="auto"/>
                              <w:ind w:firstLine="1050" w:firstLineChars="500"/>
                            </w:pPr>
                            <w:r>
                              <w:rPr>
                                <w:rFonts w:hint="eastAsia"/>
                              </w:rPr>
                              <w:t>居民身份证复印件粘贴处</w:t>
                            </w:r>
                          </w:p>
                          <w:p w14:paraId="018457A2">
                            <w:pPr>
                              <w:spacing w:line="360" w:lineRule="auto"/>
                              <w:jc w:val="center"/>
                            </w:pPr>
                            <w:r>
                              <w:rPr>
                                <w:rFonts w:hint="eastAsia"/>
                              </w:rPr>
                              <w:t>（正面）</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35pt;margin-top:5.6pt;height:135.65pt;width:206.25pt;z-index:251661312;mso-width-relative:page;mso-height-relative:page;" fillcolor="#FFFFFF" filled="t" stroked="t" coordsize="21600,21600" o:gfxdata="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HHeQVtcAAAAJAQAADwAAAAAAAAABACAAAAAiAAAAZHJzL2Rv&#10;d25yZXYueG1sUEsBAhQAFAAAAAgAh07iQMp/CnE7AgAAfQQAAA4AAAAAAAAAAQAgAAAAJgEAAGRy&#10;cy9lMm9Eb2MueG1sUEsFBgAAAAAGAAYAWQEAANMFAAAAAA==&#10;">
                <v:fill on="t" focussize="0,0"/>
                <v:stroke color="#000000" miterlimit="8" joinstyle="miter"/>
                <v:imagedata o:title=""/>
                <o:lock v:ext="edit" aspectratio="f"/>
                <v:textbox>
                  <w:txbxContent>
                    <w:p w14:paraId="70D8683B">
                      <w:pPr>
                        <w:spacing w:line="360" w:lineRule="auto"/>
                        <w:ind w:firstLine="1260" w:firstLineChars="600"/>
                      </w:pPr>
                    </w:p>
                    <w:p w14:paraId="0A495052">
                      <w:pPr>
                        <w:spacing w:line="360" w:lineRule="auto"/>
                        <w:ind w:firstLine="1260" w:firstLineChars="600"/>
                      </w:pPr>
                      <w:r>
                        <w:rPr>
                          <w:rFonts w:hint="eastAsia"/>
                        </w:rPr>
                        <w:t>被授权人（授权代表）</w:t>
                      </w:r>
                    </w:p>
                    <w:p w14:paraId="4DFD8F52">
                      <w:pPr>
                        <w:spacing w:line="360" w:lineRule="auto"/>
                        <w:ind w:firstLine="1050" w:firstLineChars="500"/>
                      </w:pPr>
                      <w:r>
                        <w:rPr>
                          <w:rFonts w:hint="eastAsia"/>
                        </w:rPr>
                        <w:t>居民身份证复印件粘贴处</w:t>
                      </w:r>
                    </w:p>
                    <w:p w14:paraId="018457A2">
                      <w:pPr>
                        <w:spacing w:line="360" w:lineRule="auto"/>
                        <w:jc w:val="center"/>
                      </w:pPr>
                      <w:r>
                        <w:rPr>
                          <w:rFonts w:hint="eastAsia"/>
                        </w:rPr>
                        <w:t>（正面）</w:t>
                      </w:r>
                    </w:p>
                  </w:txbxContent>
                </v:textbox>
              </v:rect>
            </w:pict>
          </mc:Fallback>
        </mc:AlternateContent>
      </w:r>
      <w:r>
        <mc:AlternateContent>
          <mc:Choice Requires="wps">
            <w:drawing>
              <wp:anchor distT="0" distB="0" distL="114300" distR="114300" simplePos="0" relativeHeight="251662336" behindDoc="0" locked="0" layoutInCell="1" allowOverlap="1">
                <wp:simplePos x="0" y="0"/>
                <wp:positionH relativeFrom="column">
                  <wp:posOffset>2821305</wp:posOffset>
                </wp:positionH>
                <wp:positionV relativeFrom="paragraph">
                  <wp:posOffset>71120</wp:posOffset>
                </wp:positionV>
                <wp:extent cx="2533650" cy="1722755"/>
                <wp:effectExtent l="0" t="0" r="19050" b="10795"/>
                <wp:wrapNone/>
                <wp:docPr id="66" name="矩形 66"/>
                <wp:cNvGraphicFramePr/>
                <a:graphic xmlns:a="http://schemas.openxmlformats.org/drawingml/2006/main">
                  <a:graphicData uri="http://schemas.microsoft.com/office/word/2010/wordprocessingShape">
                    <wps:wsp>
                      <wps:cNvSpPr>
                        <a:spLocks noChangeArrowheads="1"/>
                      </wps:cNvSpPr>
                      <wps:spPr bwMode="auto">
                        <a:xfrm>
                          <a:off x="0" y="0"/>
                          <a:ext cx="2533650" cy="1722755"/>
                        </a:xfrm>
                        <a:prstGeom prst="rect">
                          <a:avLst/>
                        </a:prstGeom>
                        <a:solidFill>
                          <a:srgbClr val="FFFFFF"/>
                        </a:solidFill>
                        <a:ln w="9525">
                          <a:solidFill>
                            <a:srgbClr val="000000"/>
                          </a:solidFill>
                          <a:miter lim="800000"/>
                        </a:ln>
                      </wps:spPr>
                      <wps:txbx>
                        <w:txbxContent>
                          <w:p w14:paraId="6B04C09E">
                            <w:pPr>
                              <w:spacing w:line="360" w:lineRule="auto"/>
                              <w:jc w:val="center"/>
                            </w:pPr>
                          </w:p>
                          <w:p w14:paraId="7AD87543">
                            <w:pPr>
                              <w:spacing w:line="360" w:lineRule="auto"/>
                              <w:jc w:val="center"/>
                            </w:pPr>
                            <w:r>
                              <w:rPr>
                                <w:rFonts w:hint="eastAsia"/>
                              </w:rPr>
                              <w:t>被授权人（授权代表）</w:t>
                            </w:r>
                          </w:p>
                          <w:p w14:paraId="391093FE">
                            <w:pPr>
                              <w:spacing w:line="360" w:lineRule="auto"/>
                              <w:jc w:val="center"/>
                            </w:pPr>
                            <w:r>
                              <w:rPr>
                                <w:rFonts w:hint="eastAsia"/>
                              </w:rPr>
                              <w:t>居民身份证复印件粘贴处</w:t>
                            </w:r>
                          </w:p>
                          <w:p w14:paraId="731BD2C7">
                            <w:pPr>
                              <w:spacing w:line="360" w:lineRule="auto"/>
                              <w:jc w:val="center"/>
                            </w:pPr>
                            <w:r>
                              <w:rPr>
                                <w:rFonts w:hint="eastAsia"/>
                              </w:rPr>
                              <w:t>（反面）</w:t>
                            </w:r>
                          </w:p>
                          <w:p w14:paraId="60DFD0D0"/>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22.15pt;margin-top:5.6pt;height:135.65pt;width:199.5pt;z-index:251662336;mso-width-relative:page;mso-height-relative:page;" fillcolor="#FFFFFF" filled="t" stroked="t" coordsize="21600,21600" o:gfxdata="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bTsh1NcAAAAKAQAADwAAAAAAAAABACAAAAAiAAAAZHJzL2Rv&#10;d25yZXYueG1sUEsBAhQAFAAAAAgAh07iQEyOoPE7AgAAfQQAAA4AAAAAAAAAAQAgAAAAJgEAAGRy&#10;cy9lMm9Eb2MueG1sUEsFBgAAAAAGAAYAWQEAANMFAAAAAA==&#10;">
                <v:fill on="t" focussize="0,0"/>
                <v:stroke color="#000000" miterlimit="8" joinstyle="miter"/>
                <v:imagedata o:title=""/>
                <o:lock v:ext="edit" aspectratio="f"/>
                <v:textbox>
                  <w:txbxContent>
                    <w:p w14:paraId="6B04C09E">
                      <w:pPr>
                        <w:spacing w:line="360" w:lineRule="auto"/>
                        <w:jc w:val="center"/>
                      </w:pPr>
                    </w:p>
                    <w:p w14:paraId="7AD87543">
                      <w:pPr>
                        <w:spacing w:line="360" w:lineRule="auto"/>
                        <w:jc w:val="center"/>
                      </w:pPr>
                      <w:r>
                        <w:rPr>
                          <w:rFonts w:hint="eastAsia"/>
                        </w:rPr>
                        <w:t>被授权人（授权代表）</w:t>
                      </w:r>
                    </w:p>
                    <w:p w14:paraId="391093FE">
                      <w:pPr>
                        <w:spacing w:line="360" w:lineRule="auto"/>
                        <w:jc w:val="center"/>
                      </w:pPr>
                      <w:r>
                        <w:rPr>
                          <w:rFonts w:hint="eastAsia"/>
                        </w:rPr>
                        <w:t>居民身份证复印件粘贴处</w:t>
                      </w:r>
                    </w:p>
                    <w:p w14:paraId="731BD2C7">
                      <w:pPr>
                        <w:spacing w:line="360" w:lineRule="auto"/>
                        <w:jc w:val="center"/>
                      </w:pPr>
                      <w:r>
                        <w:rPr>
                          <w:rFonts w:hint="eastAsia"/>
                        </w:rPr>
                        <w:t>（反面）</w:t>
                      </w:r>
                    </w:p>
                    <w:p w14:paraId="60DFD0D0"/>
                  </w:txbxContent>
                </v:textbox>
              </v:rect>
            </w:pict>
          </mc:Fallback>
        </mc:AlternateContent>
      </w:r>
      <w:bookmarkEnd w:id="162"/>
    </w:p>
    <w:p w14:paraId="1F3D2051">
      <w:pPr>
        <w:spacing w:line="360" w:lineRule="auto"/>
        <w:ind w:firstLine="420" w:firstLineChars="200"/>
        <w:rPr>
          <w:rFonts w:asciiTheme="minorEastAsia" w:hAnsiTheme="minorEastAsia"/>
          <w:szCs w:val="21"/>
        </w:rPr>
      </w:pPr>
    </w:p>
    <w:p w14:paraId="7507ACF0">
      <w:pPr>
        <w:spacing w:line="360" w:lineRule="auto"/>
        <w:ind w:firstLine="420" w:firstLineChars="200"/>
        <w:rPr>
          <w:rFonts w:asciiTheme="minorEastAsia" w:hAnsiTheme="minorEastAsia"/>
          <w:szCs w:val="21"/>
        </w:rPr>
      </w:pPr>
    </w:p>
    <w:p w14:paraId="1A7080B6">
      <w:pPr>
        <w:spacing w:line="360" w:lineRule="auto"/>
        <w:ind w:firstLine="420" w:firstLineChars="200"/>
        <w:rPr>
          <w:rFonts w:asciiTheme="minorEastAsia" w:hAnsiTheme="minorEastAsia"/>
          <w:szCs w:val="21"/>
        </w:rPr>
      </w:pPr>
    </w:p>
    <w:p w14:paraId="102A431D">
      <w:pPr>
        <w:spacing w:line="360" w:lineRule="auto"/>
        <w:ind w:firstLine="420" w:firstLineChars="200"/>
        <w:rPr>
          <w:rFonts w:asciiTheme="minorEastAsia" w:hAnsiTheme="minorEastAsia"/>
          <w:szCs w:val="21"/>
        </w:rPr>
      </w:pPr>
    </w:p>
    <w:p w14:paraId="747DF4E6">
      <w:pPr>
        <w:tabs>
          <w:tab w:val="left" w:pos="5115"/>
        </w:tabs>
        <w:spacing w:line="360" w:lineRule="auto"/>
        <w:ind w:firstLine="420" w:firstLineChars="200"/>
        <w:rPr>
          <w:rFonts w:asciiTheme="minorEastAsia" w:hAnsiTheme="minorEastAsia"/>
          <w:szCs w:val="21"/>
        </w:rPr>
      </w:pPr>
      <w:r>
        <w:rPr>
          <w:rFonts w:asciiTheme="minorEastAsia" w:hAnsiTheme="minorEastAsia"/>
          <w:szCs w:val="21"/>
        </w:rPr>
        <w:tab/>
      </w:r>
    </w:p>
    <w:p w14:paraId="2FDA3EFE">
      <w:pPr>
        <w:spacing w:line="360" w:lineRule="auto"/>
        <w:ind w:firstLine="420" w:firstLineChars="200"/>
        <w:rPr>
          <w:rFonts w:asciiTheme="minorEastAsia" w:hAnsiTheme="minorEastAsia"/>
          <w:szCs w:val="21"/>
        </w:rPr>
      </w:pPr>
    </w:p>
    <w:p w14:paraId="7A17B9AF">
      <w:pPr>
        <w:adjustRightInd w:val="0"/>
        <w:snapToGrid w:val="0"/>
        <w:spacing w:line="360" w:lineRule="auto"/>
        <w:ind w:firstLine="422" w:firstLineChars="200"/>
        <w:rPr>
          <w:rFonts w:asciiTheme="minorEastAsia" w:hAnsiTheme="minorEastAsia"/>
          <w:b/>
          <w:snapToGrid w:val="0"/>
          <w:kern w:val="0"/>
          <w:szCs w:val="21"/>
        </w:rPr>
      </w:pPr>
    </w:p>
    <w:p w14:paraId="2E81946B">
      <w:pPr>
        <w:spacing w:line="360" w:lineRule="auto"/>
        <w:ind w:firstLine="420" w:firstLineChars="200"/>
        <w:rPr>
          <w:rFonts w:asciiTheme="minorEastAsia" w:hAnsiTheme="minorEastAsia"/>
          <w:szCs w:val="21"/>
        </w:rPr>
        <w:sectPr>
          <w:pgSz w:w="11906" w:h="16838"/>
          <w:pgMar w:top="1440" w:right="1080" w:bottom="1440" w:left="1080" w:header="851" w:footer="992" w:gutter="0"/>
          <w:cols w:space="720" w:num="1"/>
          <w:titlePg/>
          <w:docGrid w:type="lines" w:linePitch="312" w:charSpace="0"/>
        </w:sectPr>
      </w:pPr>
    </w:p>
    <w:p w14:paraId="297F73A1">
      <w:pPr>
        <w:spacing w:line="360" w:lineRule="auto"/>
        <w:ind w:firstLine="420" w:firstLineChars="200"/>
        <w:rPr>
          <w:rFonts w:asciiTheme="minorEastAsia" w:hAnsiTheme="minorEastAsia"/>
          <w:szCs w:val="21"/>
        </w:rPr>
      </w:pPr>
      <w:r>
        <w:rPr>
          <w:rFonts w:hint="eastAsia" w:asciiTheme="minorEastAsia" w:hAnsiTheme="minorEastAsia"/>
          <w:szCs w:val="21"/>
        </w:rPr>
        <w:t>附件</w:t>
      </w:r>
      <w:r>
        <w:rPr>
          <w:rFonts w:asciiTheme="minorEastAsia" w:hAnsiTheme="minorEastAsia"/>
          <w:szCs w:val="21"/>
        </w:rPr>
        <w:t>8</w:t>
      </w:r>
      <w:r>
        <w:rPr>
          <w:rFonts w:hint="eastAsia" w:asciiTheme="minorEastAsia" w:hAnsiTheme="minorEastAsia"/>
          <w:szCs w:val="21"/>
        </w:rPr>
        <w:t>：项目实施方案格式</w:t>
      </w:r>
      <w:bookmarkEnd w:id="161"/>
      <w:r>
        <w:rPr>
          <w:rFonts w:hint="eastAsia" w:asciiTheme="minorEastAsia" w:hAnsiTheme="minorEastAsia"/>
          <w:szCs w:val="21"/>
        </w:rPr>
        <w:t>（如有）</w:t>
      </w:r>
    </w:p>
    <w:p w14:paraId="5E3E0231">
      <w:pPr>
        <w:keepNext/>
        <w:keepLines/>
        <w:spacing w:before="160" w:after="170"/>
        <w:ind w:firstLine="602" w:firstLineChars="200"/>
        <w:jc w:val="center"/>
        <w:outlineLvl w:val="4"/>
        <w:rPr>
          <w:b/>
          <w:bCs/>
          <w:sz w:val="30"/>
          <w:szCs w:val="28"/>
        </w:rPr>
      </w:pPr>
      <w:bookmarkStart w:id="163" w:name="_Toc55548547"/>
      <w:r>
        <w:rPr>
          <w:rFonts w:hint="eastAsia"/>
          <w:b/>
          <w:bCs/>
          <w:sz w:val="30"/>
          <w:szCs w:val="28"/>
        </w:rPr>
        <w:t>项目实施方案</w:t>
      </w:r>
      <w:bookmarkEnd w:id="163"/>
    </w:p>
    <w:p w14:paraId="6CB47B0C">
      <w:pPr>
        <w:spacing w:line="360" w:lineRule="auto"/>
        <w:ind w:firstLine="420" w:firstLineChars="200"/>
        <w:rPr>
          <w:rFonts w:asciiTheme="minorEastAsia" w:hAnsiTheme="minorEastAsia"/>
          <w:szCs w:val="21"/>
        </w:rPr>
      </w:pPr>
      <w:r>
        <w:rPr>
          <w:rFonts w:hint="eastAsia" w:asciiTheme="minorEastAsia" w:hAnsiTheme="minorEastAsia"/>
          <w:szCs w:val="21"/>
        </w:rPr>
        <w:t>主要内容应包括(根据项目实际情况适当调整内容)：</w:t>
      </w:r>
    </w:p>
    <w:p w14:paraId="59C1F566">
      <w:pPr>
        <w:spacing w:line="360" w:lineRule="auto"/>
        <w:ind w:firstLine="420" w:firstLineChars="200"/>
        <w:rPr>
          <w:rFonts w:asciiTheme="minorEastAsia" w:hAnsiTheme="minorEastAsia"/>
          <w:szCs w:val="21"/>
        </w:rPr>
      </w:pPr>
      <w:r>
        <w:rPr>
          <w:rFonts w:hint="eastAsia" w:asciiTheme="minorEastAsia" w:hAnsiTheme="minorEastAsia"/>
          <w:szCs w:val="21"/>
        </w:rPr>
        <w:t>1、项目实施方案、实施进度表</w:t>
      </w:r>
    </w:p>
    <w:p w14:paraId="3C1DAA53">
      <w:pPr>
        <w:spacing w:line="360" w:lineRule="auto"/>
        <w:ind w:firstLine="420" w:firstLineChars="200"/>
        <w:rPr>
          <w:rFonts w:asciiTheme="minorEastAsia" w:hAnsiTheme="minorEastAsia"/>
          <w:szCs w:val="21"/>
        </w:rPr>
      </w:pPr>
      <w:r>
        <w:rPr>
          <w:rFonts w:hint="eastAsia" w:asciiTheme="minorEastAsia" w:hAnsiTheme="minorEastAsia"/>
          <w:szCs w:val="21"/>
        </w:rPr>
        <w:t>2、相关配套措施</w:t>
      </w:r>
    </w:p>
    <w:p w14:paraId="330BC62D">
      <w:pPr>
        <w:spacing w:line="360" w:lineRule="auto"/>
        <w:ind w:firstLine="420" w:firstLineChars="200"/>
        <w:rPr>
          <w:rFonts w:asciiTheme="minorEastAsia" w:hAnsiTheme="minorEastAsia"/>
          <w:szCs w:val="21"/>
        </w:rPr>
      </w:pPr>
      <w:r>
        <w:rPr>
          <w:rFonts w:hint="eastAsia" w:asciiTheme="minorEastAsia" w:hAnsiTheme="minorEastAsia"/>
          <w:szCs w:val="21"/>
        </w:rPr>
        <w:t>（备注：该部分须与“技术保障措施”、“商务需求”等部分承诺的内容相呼应，不得前后矛盾。）</w:t>
      </w:r>
    </w:p>
    <w:p w14:paraId="50D53633">
      <w:pPr>
        <w:spacing w:line="360" w:lineRule="auto"/>
        <w:rPr>
          <w:rFonts w:asciiTheme="minorEastAsia" w:hAnsiTheme="minorEastAsia"/>
          <w:szCs w:val="21"/>
        </w:rPr>
      </w:pPr>
    </w:p>
    <w:p w14:paraId="0CB3D19A">
      <w:pPr>
        <w:spacing w:line="360" w:lineRule="auto"/>
        <w:ind w:firstLine="420" w:firstLineChars="200"/>
        <w:rPr>
          <w:rFonts w:asciiTheme="minorEastAsia" w:hAnsiTheme="minorEastAsia"/>
          <w:szCs w:val="21"/>
        </w:rPr>
      </w:pPr>
      <w:bookmarkStart w:id="164" w:name="_Toc3861"/>
      <w:bookmarkStart w:id="165" w:name="_Hlk109050114"/>
      <w:r>
        <w:rPr>
          <w:rFonts w:hint="eastAsia" w:asciiTheme="minorEastAsia" w:hAnsiTheme="minorEastAsia"/>
          <w:szCs w:val="21"/>
        </w:rPr>
        <w:t>附件</w:t>
      </w:r>
      <w:r>
        <w:rPr>
          <w:rFonts w:asciiTheme="minorEastAsia" w:hAnsiTheme="minorEastAsia"/>
          <w:szCs w:val="21"/>
        </w:rPr>
        <w:t>9</w:t>
      </w:r>
      <w:r>
        <w:rPr>
          <w:rFonts w:hint="eastAsia" w:asciiTheme="minorEastAsia" w:hAnsiTheme="minorEastAsia"/>
          <w:szCs w:val="21"/>
        </w:rPr>
        <w:t>：售后服务方案格式</w:t>
      </w:r>
      <w:bookmarkEnd w:id="164"/>
      <w:r>
        <w:rPr>
          <w:rFonts w:hint="eastAsia" w:asciiTheme="minorEastAsia" w:hAnsiTheme="minorEastAsia"/>
          <w:szCs w:val="21"/>
        </w:rPr>
        <w:t>（如有）</w:t>
      </w:r>
      <w:bookmarkEnd w:id="165"/>
    </w:p>
    <w:p w14:paraId="20931712">
      <w:pPr>
        <w:keepNext/>
        <w:keepLines/>
        <w:spacing w:before="160" w:after="170"/>
        <w:ind w:firstLine="602" w:firstLineChars="200"/>
        <w:jc w:val="center"/>
        <w:outlineLvl w:val="4"/>
        <w:rPr>
          <w:b/>
          <w:bCs/>
          <w:sz w:val="30"/>
          <w:szCs w:val="28"/>
        </w:rPr>
      </w:pPr>
      <w:bookmarkStart w:id="166" w:name="_Toc55548548"/>
      <w:r>
        <w:rPr>
          <w:rFonts w:hint="eastAsia"/>
          <w:b/>
          <w:bCs/>
          <w:sz w:val="30"/>
          <w:szCs w:val="28"/>
        </w:rPr>
        <w:t>售后服务方案</w:t>
      </w:r>
      <w:bookmarkEnd w:id="166"/>
    </w:p>
    <w:p w14:paraId="249D1468">
      <w:pPr>
        <w:spacing w:line="360" w:lineRule="auto"/>
        <w:ind w:firstLine="420" w:firstLineChars="200"/>
        <w:rPr>
          <w:rFonts w:asciiTheme="minorEastAsia" w:hAnsiTheme="minorEastAsia"/>
          <w:szCs w:val="21"/>
        </w:rPr>
      </w:pPr>
      <w:r>
        <w:rPr>
          <w:rFonts w:hint="eastAsia" w:asciiTheme="minorEastAsia" w:hAnsiTheme="minorEastAsia"/>
          <w:szCs w:val="21"/>
        </w:rPr>
        <w:t>主要内容应包括(根据项目实际情况适当调整内容)：</w:t>
      </w:r>
    </w:p>
    <w:p w14:paraId="23D468D8">
      <w:pPr>
        <w:spacing w:line="360" w:lineRule="auto"/>
        <w:ind w:firstLine="420" w:firstLineChars="200"/>
        <w:rPr>
          <w:rFonts w:asciiTheme="minorEastAsia" w:hAnsiTheme="minorEastAsia"/>
          <w:szCs w:val="21"/>
        </w:rPr>
      </w:pPr>
      <w:r>
        <w:rPr>
          <w:rFonts w:asciiTheme="minorEastAsia" w:hAnsiTheme="minorEastAsia"/>
          <w:szCs w:val="21"/>
        </w:rPr>
        <w:t>1</w:t>
      </w:r>
      <w:r>
        <w:rPr>
          <w:rFonts w:hint="eastAsia" w:asciiTheme="minorEastAsia" w:hAnsiTheme="minorEastAsia"/>
          <w:szCs w:val="21"/>
        </w:rPr>
        <w:t>、免费保修期；</w:t>
      </w:r>
    </w:p>
    <w:p w14:paraId="746E6FCA">
      <w:pPr>
        <w:spacing w:line="360" w:lineRule="auto"/>
        <w:ind w:firstLine="420" w:firstLineChars="200"/>
        <w:rPr>
          <w:rFonts w:asciiTheme="minorEastAsia" w:hAnsiTheme="minorEastAsia"/>
          <w:szCs w:val="21"/>
        </w:rPr>
      </w:pPr>
      <w:r>
        <w:rPr>
          <w:rFonts w:asciiTheme="minorEastAsia" w:hAnsiTheme="minorEastAsia"/>
          <w:szCs w:val="21"/>
        </w:rPr>
        <w:t>2</w:t>
      </w:r>
      <w:r>
        <w:rPr>
          <w:rFonts w:hint="eastAsia" w:asciiTheme="minorEastAsia" w:hAnsiTheme="minorEastAsia"/>
          <w:szCs w:val="21"/>
        </w:rPr>
        <w:t>、故障或技术支持响应时间；</w:t>
      </w:r>
    </w:p>
    <w:p w14:paraId="093A7B48">
      <w:pPr>
        <w:spacing w:line="360" w:lineRule="auto"/>
        <w:ind w:firstLine="420" w:firstLineChars="200"/>
        <w:rPr>
          <w:rFonts w:asciiTheme="minorEastAsia" w:hAnsiTheme="minorEastAsia"/>
          <w:szCs w:val="21"/>
        </w:rPr>
      </w:pPr>
      <w:r>
        <w:rPr>
          <w:rFonts w:asciiTheme="minorEastAsia" w:hAnsiTheme="minorEastAsia"/>
          <w:szCs w:val="21"/>
        </w:rPr>
        <w:t>3</w:t>
      </w:r>
      <w:r>
        <w:rPr>
          <w:rFonts w:hint="eastAsia" w:asciiTheme="minorEastAsia" w:hAnsiTheme="minorEastAsia"/>
          <w:szCs w:val="21"/>
        </w:rPr>
        <w:t>、投标人承诺的其他维修维护方案、措施</w:t>
      </w:r>
    </w:p>
    <w:p w14:paraId="11AA12F5">
      <w:pPr>
        <w:spacing w:line="360" w:lineRule="auto"/>
        <w:ind w:firstLine="420" w:firstLineChars="200"/>
        <w:rPr>
          <w:rFonts w:asciiTheme="minorEastAsia" w:hAnsiTheme="minorEastAsia"/>
          <w:szCs w:val="21"/>
        </w:rPr>
      </w:pPr>
      <w:r>
        <w:rPr>
          <w:rFonts w:asciiTheme="minorEastAsia" w:hAnsiTheme="minorEastAsia"/>
          <w:szCs w:val="21"/>
        </w:rPr>
        <w:t>4</w:t>
      </w:r>
      <w:r>
        <w:rPr>
          <w:rFonts w:hint="eastAsia" w:asciiTheme="minorEastAsia" w:hAnsiTheme="minorEastAsia"/>
          <w:szCs w:val="21"/>
        </w:rPr>
        <w:t>、质量保证及违约承诺。</w:t>
      </w:r>
    </w:p>
    <w:p w14:paraId="3AA0C3C6">
      <w:pPr>
        <w:spacing w:line="360" w:lineRule="auto"/>
        <w:ind w:firstLine="420" w:firstLineChars="200"/>
        <w:rPr>
          <w:rFonts w:asciiTheme="minorEastAsia" w:hAnsiTheme="minorEastAsia"/>
          <w:szCs w:val="21"/>
        </w:rPr>
      </w:pPr>
      <w:r>
        <w:rPr>
          <w:rFonts w:hint="eastAsia" w:asciiTheme="minorEastAsia" w:hAnsiTheme="minorEastAsia"/>
          <w:szCs w:val="21"/>
        </w:rPr>
        <w:t>（备注：该部分须与“商务需求”承诺的内容相呼应，不得前后矛盾。）</w:t>
      </w:r>
    </w:p>
    <w:p w14:paraId="6EAA4F50">
      <w:pPr>
        <w:spacing w:line="360" w:lineRule="auto"/>
        <w:ind w:firstLine="420" w:firstLineChars="200"/>
        <w:rPr>
          <w:rFonts w:asciiTheme="minorEastAsia" w:hAnsiTheme="minorEastAsia"/>
          <w:szCs w:val="21"/>
        </w:rPr>
      </w:pPr>
    </w:p>
    <w:p w14:paraId="1E31ABE1">
      <w:pPr>
        <w:spacing w:line="360" w:lineRule="auto"/>
        <w:ind w:firstLine="420" w:firstLineChars="200"/>
        <w:rPr>
          <w:rFonts w:asciiTheme="minorEastAsia" w:hAnsiTheme="minorEastAsia"/>
          <w:szCs w:val="21"/>
        </w:rPr>
      </w:pPr>
      <w:r>
        <w:rPr>
          <w:rFonts w:hint="eastAsia" w:asciiTheme="minorEastAsia" w:hAnsiTheme="minorEastAsia"/>
          <w:szCs w:val="21"/>
        </w:rPr>
        <w:t>附件</w:t>
      </w:r>
      <w:r>
        <w:rPr>
          <w:rFonts w:asciiTheme="minorEastAsia" w:hAnsiTheme="minorEastAsia"/>
          <w:szCs w:val="21"/>
        </w:rPr>
        <w:t>10</w:t>
      </w:r>
      <w:r>
        <w:rPr>
          <w:rFonts w:hint="eastAsia" w:asciiTheme="minorEastAsia" w:hAnsiTheme="minorEastAsia"/>
          <w:szCs w:val="21"/>
        </w:rPr>
        <w:t>：技术规格偏离表（如有）</w:t>
      </w:r>
    </w:p>
    <w:p w14:paraId="40700206">
      <w:pPr>
        <w:snapToGrid w:val="0"/>
        <w:spacing w:line="360" w:lineRule="auto"/>
        <w:jc w:val="center"/>
        <w:rPr>
          <w:b/>
        </w:rPr>
      </w:pPr>
      <w:bookmarkStart w:id="167" w:name="_Hlk109050125"/>
      <w:r>
        <w:rPr>
          <w:rFonts w:hint="eastAsia"/>
          <w:b/>
        </w:rPr>
        <w:t>技术规格偏离表</w:t>
      </w:r>
    </w:p>
    <w:bookmarkEnd w:id="167"/>
    <w:tbl>
      <w:tblPr>
        <w:tblStyle w:val="16"/>
        <w:tblW w:w="100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418"/>
        <w:gridCol w:w="2482"/>
        <w:gridCol w:w="1701"/>
        <w:gridCol w:w="1275"/>
        <w:gridCol w:w="2304"/>
      </w:tblGrid>
      <w:tr w14:paraId="43B52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851" w:type="dxa"/>
            <w:vAlign w:val="center"/>
          </w:tcPr>
          <w:p w14:paraId="20960BFD">
            <w:pPr>
              <w:spacing w:line="360" w:lineRule="auto"/>
              <w:jc w:val="center"/>
              <w:rPr>
                <w:rFonts w:ascii="宋体" w:hAnsi="宋体"/>
                <w:szCs w:val="21"/>
              </w:rPr>
            </w:pPr>
            <w:r>
              <w:rPr>
                <w:rFonts w:hint="eastAsia" w:ascii="宋体" w:hAnsi="宋体"/>
                <w:szCs w:val="21"/>
              </w:rPr>
              <w:t>序号</w:t>
            </w:r>
          </w:p>
        </w:tc>
        <w:tc>
          <w:tcPr>
            <w:tcW w:w="1418" w:type="dxa"/>
            <w:vAlign w:val="center"/>
          </w:tcPr>
          <w:p w14:paraId="573990E1">
            <w:pPr>
              <w:spacing w:line="360" w:lineRule="auto"/>
              <w:jc w:val="center"/>
              <w:rPr>
                <w:rFonts w:ascii="宋体" w:hAnsi="宋体"/>
                <w:szCs w:val="21"/>
              </w:rPr>
            </w:pPr>
            <w:r>
              <w:rPr>
                <w:rFonts w:hint="eastAsia" w:ascii="宋体" w:hAnsi="宋体"/>
                <w:szCs w:val="21"/>
              </w:rPr>
              <w:t>货物名称</w:t>
            </w:r>
          </w:p>
        </w:tc>
        <w:tc>
          <w:tcPr>
            <w:tcW w:w="2482" w:type="dxa"/>
            <w:vAlign w:val="center"/>
          </w:tcPr>
          <w:p w14:paraId="36F3C076">
            <w:pPr>
              <w:spacing w:line="360" w:lineRule="auto"/>
              <w:jc w:val="center"/>
              <w:rPr>
                <w:rFonts w:ascii="宋体" w:hAnsi="宋体"/>
                <w:szCs w:val="21"/>
              </w:rPr>
            </w:pPr>
            <w:r>
              <w:rPr>
                <w:rFonts w:hint="eastAsia" w:ascii="宋体" w:hAnsi="宋体"/>
                <w:szCs w:val="21"/>
              </w:rPr>
              <w:t>招标技术要求</w:t>
            </w:r>
          </w:p>
        </w:tc>
        <w:tc>
          <w:tcPr>
            <w:tcW w:w="1701" w:type="dxa"/>
            <w:vAlign w:val="center"/>
          </w:tcPr>
          <w:p w14:paraId="4ECF3882">
            <w:pPr>
              <w:spacing w:line="360" w:lineRule="auto"/>
              <w:jc w:val="center"/>
              <w:rPr>
                <w:rFonts w:ascii="宋体" w:hAnsi="宋体"/>
                <w:szCs w:val="21"/>
              </w:rPr>
            </w:pPr>
            <w:r>
              <w:rPr>
                <w:rFonts w:hint="eastAsia" w:ascii="宋体" w:hAnsi="宋体"/>
                <w:szCs w:val="21"/>
              </w:rPr>
              <w:t>投标技术响应</w:t>
            </w:r>
          </w:p>
        </w:tc>
        <w:tc>
          <w:tcPr>
            <w:tcW w:w="1275" w:type="dxa"/>
            <w:vAlign w:val="center"/>
          </w:tcPr>
          <w:p w14:paraId="4E366AC8">
            <w:pPr>
              <w:spacing w:line="360" w:lineRule="auto"/>
              <w:jc w:val="center"/>
              <w:rPr>
                <w:rFonts w:ascii="宋体" w:hAnsi="宋体"/>
                <w:szCs w:val="21"/>
              </w:rPr>
            </w:pPr>
            <w:r>
              <w:rPr>
                <w:rFonts w:hint="eastAsia" w:ascii="宋体" w:hAnsi="宋体"/>
                <w:szCs w:val="21"/>
              </w:rPr>
              <w:t>偏离情况</w:t>
            </w:r>
          </w:p>
        </w:tc>
        <w:tc>
          <w:tcPr>
            <w:tcW w:w="2304" w:type="dxa"/>
            <w:vAlign w:val="center"/>
          </w:tcPr>
          <w:p w14:paraId="10F6BE63">
            <w:pPr>
              <w:spacing w:line="360" w:lineRule="auto"/>
              <w:jc w:val="center"/>
              <w:rPr>
                <w:rFonts w:ascii="宋体" w:hAnsi="宋体"/>
                <w:szCs w:val="21"/>
              </w:rPr>
            </w:pPr>
            <w:r>
              <w:rPr>
                <w:rFonts w:hint="eastAsia" w:ascii="宋体" w:hAnsi="宋体"/>
                <w:szCs w:val="21"/>
              </w:rPr>
              <w:t>说明</w:t>
            </w:r>
          </w:p>
        </w:tc>
      </w:tr>
      <w:tr w14:paraId="666BC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851" w:type="dxa"/>
            <w:vAlign w:val="center"/>
          </w:tcPr>
          <w:p w14:paraId="7B318BC2">
            <w:pPr>
              <w:spacing w:line="360" w:lineRule="auto"/>
              <w:jc w:val="center"/>
              <w:rPr>
                <w:rFonts w:ascii="宋体" w:hAnsi="宋体"/>
                <w:szCs w:val="21"/>
              </w:rPr>
            </w:pPr>
          </w:p>
        </w:tc>
        <w:tc>
          <w:tcPr>
            <w:tcW w:w="1418" w:type="dxa"/>
            <w:vAlign w:val="center"/>
          </w:tcPr>
          <w:p w14:paraId="30F87EC1">
            <w:pPr>
              <w:spacing w:line="360" w:lineRule="auto"/>
              <w:jc w:val="center"/>
              <w:rPr>
                <w:rFonts w:ascii="宋体" w:hAnsi="宋体"/>
                <w:szCs w:val="21"/>
              </w:rPr>
            </w:pPr>
          </w:p>
        </w:tc>
        <w:tc>
          <w:tcPr>
            <w:tcW w:w="2482" w:type="dxa"/>
            <w:vAlign w:val="center"/>
          </w:tcPr>
          <w:p w14:paraId="3A121FBE">
            <w:pPr>
              <w:spacing w:line="360" w:lineRule="auto"/>
              <w:jc w:val="center"/>
              <w:rPr>
                <w:rFonts w:ascii="宋体" w:hAnsi="宋体"/>
                <w:szCs w:val="21"/>
              </w:rPr>
            </w:pPr>
          </w:p>
        </w:tc>
        <w:tc>
          <w:tcPr>
            <w:tcW w:w="1701" w:type="dxa"/>
            <w:vAlign w:val="center"/>
          </w:tcPr>
          <w:p w14:paraId="519A20E2">
            <w:pPr>
              <w:spacing w:line="360" w:lineRule="auto"/>
              <w:jc w:val="center"/>
              <w:rPr>
                <w:rFonts w:ascii="宋体" w:hAnsi="宋体"/>
                <w:szCs w:val="21"/>
              </w:rPr>
            </w:pPr>
          </w:p>
        </w:tc>
        <w:tc>
          <w:tcPr>
            <w:tcW w:w="1275" w:type="dxa"/>
            <w:vAlign w:val="center"/>
          </w:tcPr>
          <w:p w14:paraId="4A3AD850">
            <w:pPr>
              <w:spacing w:line="360" w:lineRule="auto"/>
              <w:jc w:val="center"/>
              <w:rPr>
                <w:rFonts w:ascii="宋体" w:hAnsi="宋体"/>
                <w:szCs w:val="21"/>
              </w:rPr>
            </w:pPr>
          </w:p>
        </w:tc>
        <w:tc>
          <w:tcPr>
            <w:tcW w:w="2304" w:type="dxa"/>
            <w:vAlign w:val="center"/>
          </w:tcPr>
          <w:p w14:paraId="0C2D35A0">
            <w:pPr>
              <w:jc w:val="center"/>
              <w:rPr>
                <w:rFonts w:ascii="宋体" w:hAnsi="宋体"/>
                <w:szCs w:val="21"/>
              </w:rPr>
            </w:pPr>
            <w:r>
              <w:rPr>
                <w:rFonts w:hint="eastAsia" w:ascii="宋体" w:hAnsi="宋体"/>
                <w:szCs w:val="21"/>
              </w:rPr>
              <w:t>如需附证明文件，应在</w:t>
            </w:r>
            <w:r>
              <w:rPr>
                <w:rFonts w:hint="eastAsia"/>
                <w:szCs w:val="21"/>
              </w:rPr>
              <w:t>“说明”</w:t>
            </w:r>
            <w:r>
              <w:rPr>
                <w:rFonts w:hint="eastAsia" w:ascii="宋体" w:hAnsi="宋体"/>
                <w:szCs w:val="21"/>
              </w:rPr>
              <w:t>栏填写证明文件对应名称和页码。</w:t>
            </w:r>
          </w:p>
        </w:tc>
      </w:tr>
      <w:tr w14:paraId="323CE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851" w:type="dxa"/>
            <w:vAlign w:val="center"/>
          </w:tcPr>
          <w:p w14:paraId="55D9C072">
            <w:pPr>
              <w:spacing w:line="360" w:lineRule="auto"/>
              <w:jc w:val="center"/>
              <w:rPr>
                <w:rFonts w:ascii="宋体" w:hAnsi="宋体"/>
                <w:szCs w:val="21"/>
              </w:rPr>
            </w:pPr>
          </w:p>
        </w:tc>
        <w:tc>
          <w:tcPr>
            <w:tcW w:w="1418" w:type="dxa"/>
            <w:vAlign w:val="center"/>
          </w:tcPr>
          <w:p w14:paraId="3A9E556C">
            <w:pPr>
              <w:spacing w:line="360" w:lineRule="auto"/>
              <w:jc w:val="center"/>
              <w:rPr>
                <w:rFonts w:ascii="宋体" w:hAnsi="宋体"/>
                <w:szCs w:val="21"/>
              </w:rPr>
            </w:pPr>
          </w:p>
        </w:tc>
        <w:tc>
          <w:tcPr>
            <w:tcW w:w="2482" w:type="dxa"/>
            <w:vAlign w:val="center"/>
          </w:tcPr>
          <w:p w14:paraId="18288209">
            <w:pPr>
              <w:spacing w:line="360" w:lineRule="auto"/>
              <w:jc w:val="center"/>
              <w:rPr>
                <w:rFonts w:ascii="宋体" w:hAnsi="宋体"/>
                <w:szCs w:val="21"/>
              </w:rPr>
            </w:pPr>
          </w:p>
        </w:tc>
        <w:tc>
          <w:tcPr>
            <w:tcW w:w="1701" w:type="dxa"/>
            <w:vAlign w:val="center"/>
          </w:tcPr>
          <w:p w14:paraId="3CA47DF0">
            <w:pPr>
              <w:spacing w:line="360" w:lineRule="auto"/>
              <w:jc w:val="center"/>
              <w:rPr>
                <w:rFonts w:ascii="宋体" w:hAnsi="宋体"/>
                <w:szCs w:val="21"/>
              </w:rPr>
            </w:pPr>
          </w:p>
        </w:tc>
        <w:tc>
          <w:tcPr>
            <w:tcW w:w="1275" w:type="dxa"/>
            <w:vAlign w:val="center"/>
          </w:tcPr>
          <w:p w14:paraId="16268140">
            <w:pPr>
              <w:spacing w:line="360" w:lineRule="auto"/>
              <w:jc w:val="center"/>
              <w:rPr>
                <w:rFonts w:ascii="宋体" w:hAnsi="宋体"/>
                <w:szCs w:val="21"/>
              </w:rPr>
            </w:pPr>
          </w:p>
        </w:tc>
        <w:tc>
          <w:tcPr>
            <w:tcW w:w="2304" w:type="dxa"/>
            <w:vAlign w:val="center"/>
          </w:tcPr>
          <w:p w14:paraId="5F40807A">
            <w:pPr>
              <w:spacing w:line="360" w:lineRule="auto"/>
              <w:jc w:val="center"/>
              <w:rPr>
                <w:rFonts w:ascii="宋体" w:hAnsi="宋体"/>
                <w:szCs w:val="21"/>
              </w:rPr>
            </w:pPr>
          </w:p>
        </w:tc>
      </w:tr>
      <w:tr w14:paraId="785F7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851" w:type="dxa"/>
            <w:vAlign w:val="center"/>
          </w:tcPr>
          <w:p w14:paraId="42B7839A">
            <w:pPr>
              <w:spacing w:line="360" w:lineRule="auto"/>
              <w:jc w:val="center"/>
              <w:rPr>
                <w:rFonts w:ascii="宋体" w:hAnsi="宋体"/>
                <w:szCs w:val="21"/>
              </w:rPr>
            </w:pPr>
          </w:p>
        </w:tc>
        <w:tc>
          <w:tcPr>
            <w:tcW w:w="1418" w:type="dxa"/>
            <w:vAlign w:val="center"/>
          </w:tcPr>
          <w:p w14:paraId="38D5B4AA">
            <w:pPr>
              <w:spacing w:line="360" w:lineRule="auto"/>
              <w:jc w:val="center"/>
              <w:rPr>
                <w:rFonts w:ascii="宋体" w:hAnsi="宋体"/>
                <w:szCs w:val="21"/>
              </w:rPr>
            </w:pPr>
          </w:p>
        </w:tc>
        <w:tc>
          <w:tcPr>
            <w:tcW w:w="2482" w:type="dxa"/>
            <w:vAlign w:val="center"/>
          </w:tcPr>
          <w:p w14:paraId="77D96A77">
            <w:pPr>
              <w:spacing w:line="360" w:lineRule="auto"/>
              <w:jc w:val="center"/>
              <w:rPr>
                <w:rFonts w:ascii="宋体" w:hAnsi="宋体"/>
                <w:szCs w:val="21"/>
              </w:rPr>
            </w:pPr>
          </w:p>
        </w:tc>
        <w:tc>
          <w:tcPr>
            <w:tcW w:w="1701" w:type="dxa"/>
            <w:vAlign w:val="center"/>
          </w:tcPr>
          <w:p w14:paraId="59B520D6">
            <w:pPr>
              <w:spacing w:line="360" w:lineRule="auto"/>
              <w:jc w:val="center"/>
              <w:rPr>
                <w:rFonts w:ascii="宋体" w:hAnsi="宋体"/>
                <w:szCs w:val="21"/>
              </w:rPr>
            </w:pPr>
          </w:p>
        </w:tc>
        <w:tc>
          <w:tcPr>
            <w:tcW w:w="1275" w:type="dxa"/>
            <w:vAlign w:val="center"/>
          </w:tcPr>
          <w:p w14:paraId="0099425C">
            <w:pPr>
              <w:spacing w:line="360" w:lineRule="auto"/>
              <w:jc w:val="center"/>
              <w:rPr>
                <w:rFonts w:ascii="宋体" w:hAnsi="宋体"/>
                <w:szCs w:val="21"/>
              </w:rPr>
            </w:pPr>
          </w:p>
        </w:tc>
        <w:tc>
          <w:tcPr>
            <w:tcW w:w="2304" w:type="dxa"/>
            <w:vAlign w:val="center"/>
          </w:tcPr>
          <w:p w14:paraId="279C80F0">
            <w:pPr>
              <w:spacing w:line="360" w:lineRule="auto"/>
              <w:jc w:val="center"/>
              <w:rPr>
                <w:rFonts w:ascii="宋体" w:hAnsi="宋体"/>
                <w:szCs w:val="21"/>
              </w:rPr>
            </w:pPr>
          </w:p>
        </w:tc>
      </w:tr>
      <w:tr w14:paraId="19CC7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851" w:type="dxa"/>
            <w:vAlign w:val="center"/>
          </w:tcPr>
          <w:p w14:paraId="1C00FF7A">
            <w:pPr>
              <w:spacing w:line="360" w:lineRule="auto"/>
              <w:jc w:val="center"/>
              <w:rPr>
                <w:rFonts w:ascii="宋体" w:hAnsi="宋体"/>
                <w:szCs w:val="21"/>
              </w:rPr>
            </w:pPr>
          </w:p>
        </w:tc>
        <w:tc>
          <w:tcPr>
            <w:tcW w:w="1418" w:type="dxa"/>
            <w:vAlign w:val="center"/>
          </w:tcPr>
          <w:p w14:paraId="18424A4B">
            <w:pPr>
              <w:spacing w:line="360" w:lineRule="auto"/>
              <w:jc w:val="center"/>
              <w:rPr>
                <w:rFonts w:ascii="宋体" w:hAnsi="宋体"/>
                <w:szCs w:val="21"/>
              </w:rPr>
            </w:pPr>
          </w:p>
        </w:tc>
        <w:tc>
          <w:tcPr>
            <w:tcW w:w="2482" w:type="dxa"/>
            <w:vAlign w:val="center"/>
          </w:tcPr>
          <w:p w14:paraId="63F2E1C6">
            <w:pPr>
              <w:spacing w:line="360" w:lineRule="auto"/>
              <w:jc w:val="center"/>
              <w:rPr>
                <w:rFonts w:ascii="宋体" w:hAnsi="宋体"/>
                <w:szCs w:val="21"/>
              </w:rPr>
            </w:pPr>
          </w:p>
        </w:tc>
        <w:tc>
          <w:tcPr>
            <w:tcW w:w="1701" w:type="dxa"/>
            <w:vAlign w:val="center"/>
          </w:tcPr>
          <w:p w14:paraId="0E99850B">
            <w:pPr>
              <w:spacing w:line="360" w:lineRule="auto"/>
              <w:jc w:val="center"/>
              <w:rPr>
                <w:rFonts w:ascii="宋体" w:hAnsi="宋体"/>
                <w:szCs w:val="21"/>
              </w:rPr>
            </w:pPr>
          </w:p>
        </w:tc>
        <w:tc>
          <w:tcPr>
            <w:tcW w:w="1275" w:type="dxa"/>
            <w:vAlign w:val="center"/>
          </w:tcPr>
          <w:p w14:paraId="4061AC81">
            <w:pPr>
              <w:spacing w:line="360" w:lineRule="auto"/>
              <w:jc w:val="center"/>
              <w:rPr>
                <w:rFonts w:ascii="宋体" w:hAnsi="宋体"/>
                <w:szCs w:val="21"/>
              </w:rPr>
            </w:pPr>
          </w:p>
        </w:tc>
        <w:tc>
          <w:tcPr>
            <w:tcW w:w="2304" w:type="dxa"/>
            <w:vAlign w:val="center"/>
          </w:tcPr>
          <w:p w14:paraId="1853D880">
            <w:pPr>
              <w:spacing w:line="360" w:lineRule="auto"/>
              <w:jc w:val="center"/>
              <w:rPr>
                <w:rFonts w:ascii="宋体" w:hAnsi="宋体"/>
                <w:szCs w:val="21"/>
              </w:rPr>
            </w:pPr>
          </w:p>
        </w:tc>
      </w:tr>
    </w:tbl>
    <w:p w14:paraId="18F56E4E">
      <w:pPr>
        <w:spacing w:line="360" w:lineRule="auto"/>
        <w:ind w:firstLine="420" w:firstLineChars="200"/>
        <w:rPr>
          <w:rFonts w:asciiTheme="minorEastAsia" w:hAnsiTheme="minorEastAsia"/>
          <w:szCs w:val="21"/>
        </w:rPr>
      </w:pPr>
    </w:p>
    <w:sectPr>
      <w:pgSz w:w="11906" w:h="16838"/>
      <w:pgMar w:top="1440" w:right="1080" w:bottom="1440" w:left="108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Segoe UI Symbol">
    <w:panose1 w:val="020B0502040204020203"/>
    <w:charset w:val="00"/>
    <w:family w:val="auto"/>
    <w:pitch w:val="default"/>
    <w:sig w:usb0="800001E3" w:usb1="1200FFEF" w:usb2="00040000" w:usb3="04000000" w:csb0="00000001" w:csb1="4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91686772"/>
    </w:sdtPr>
    <w:sdtContent>
      <w:sdt>
        <w:sdtPr>
          <w:id w:val="1728636285"/>
        </w:sdtPr>
        <w:sdtContent>
          <w:p w14:paraId="77FF6FA4">
            <w:pPr>
              <w:pStyle w:val="11"/>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5</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31</w:t>
            </w:r>
            <w:r>
              <w:rPr>
                <w:b/>
                <w:bCs/>
                <w:sz w:val="24"/>
                <w:szCs w:val="24"/>
              </w:rPr>
              <w:fldChar w:fldCharType="end"/>
            </w:r>
          </w:p>
        </w:sdtContent>
      </w:sdt>
    </w:sdtContent>
  </w:sdt>
  <w:p w14:paraId="5C323089">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9AA009">
    <w:pPr>
      <w:pStyle w:val="12"/>
    </w:pPr>
  </w:p>
  <w:p w14:paraId="00A6024C">
    <w:pPr>
      <w:pStyle w:val="12"/>
      <w:jc w:val="right"/>
      <w:rPr>
        <w:sz w:val="21"/>
        <w:szCs w:val="21"/>
      </w:rPr>
    </w:pPr>
    <w:bookmarkStart w:id="168" w:name="_Hlk69568634"/>
    <w:bookmarkStart w:id="169" w:name="_Hlk69568635"/>
    <w:r>
      <w:rPr>
        <w:rFonts w:hint="eastAsia"/>
        <w:sz w:val="21"/>
        <w:szCs w:val="21"/>
      </w:rPr>
      <w:t>深圳市宝安区疾病预防控制中心采购文件</w:t>
    </w:r>
    <w:bookmarkEnd w:id="168"/>
    <w:bookmarkEnd w:id="169"/>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DFA2C91"/>
    <w:multiLevelType w:val="singleLevel"/>
    <w:tmpl w:val="3DFA2C91"/>
    <w:lvl w:ilvl="0" w:tentative="0">
      <w:start w:val="1"/>
      <w:numFmt w:val="decimal"/>
      <w:lvlText w:val="%1."/>
      <w:lvlJc w:val="left"/>
      <w:pPr>
        <w:tabs>
          <w:tab w:val="left" w:pos="312"/>
        </w:tabs>
      </w:pPr>
    </w:lvl>
  </w:abstractNum>
  <w:abstractNum w:abstractNumId="1">
    <w:nsid w:val="4BAFC580"/>
    <w:multiLevelType w:val="singleLevel"/>
    <w:tmpl w:val="4BAFC580"/>
    <w:lvl w:ilvl="0" w:tentative="0">
      <w:start w:val="1"/>
      <w:numFmt w:val="decimal"/>
      <w:lvlText w:val="%1"/>
      <w:lvlJc w:val="left"/>
      <w:pPr>
        <w:tabs>
          <w:tab w:val="left" w:pos="420"/>
        </w:tabs>
        <w:ind w:left="425" w:leftChars="0" w:hanging="425" w:firstLineChars="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VjMTRiY2QxYmJlMjllYWNhNjZjMTAzYThmMWJiZjQifQ=="/>
  </w:docVars>
  <w:rsids>
    <w:rsidRoot w:val="00B27035"/>
    <w:rsid w:val="0000394F"/>
    <w:rsid w:val="00007A13"/>
    <w:rsid w:val="0001637F"/>
    <w:rsid w:val="00016C99"/>
    <w:rsid w:val="00016D41"/>
    <w:rsid w:val="00016DCD"/>
    <w:rsid w:val="00020F66"/>
    <w:rsid w:val="000236B7"/>
    <w:rsid w:val="00026541"/>
    <w:rsid w:val="000272A3"/>
    <w:rsid w:val="0003138A"/>
    <w:rsid w:val="0004025C"/>
    <w:rsid w:val="00042723"/>
    <w:rsid w:val="00046F21"/>
    <w:rsid w:val="00050084"/>
    <w:rsid w:val="000530FF"/>
    <w:rsid w:val="00053E10"/>
    <w:rsid w:val="000620DD"/>
    <w:rsid w:val="000627B7"/>
    <w:rsid w:val="00063FB1"/>
    <w:rsid w:val="00073E9D"/>
    <w:rsid w:val="00081A9E"/>
    <w:rsid w:val="00081D87"/>
    <w:rsid w:val="00084CCE"/>
    <w:rsid w:val="0008691A"/>
    <w:rsid w:val="00086C55"/>
    <w:rsid w:val="00086E51"/>
    <w:rsid w:val="00090FD5"/>
    <w:rsid w:val="00092A23"/>
    <w:rsid w:val="000968DD"/>
    <w:rsid w:val="000970E6"/>
    <w:rsid w:val="00097201"/>
    <w:rsid w:val="000974D9"/>
    <w:rsid w:val="000A013F"/>
    <w:rsid w:val="000A0BB6"/>
    <w:rsid w:val="000A4FF3"/>
    <w:rsid w:val="000A599B"/>
    <w:rsid w:val="000B13D0"/>
    <w:rsid w:val="000B2D75"/>
    <w:rsid w:val="000B3923"/>
    <w:rsid w:val="000B59F8"/>
    <w:rsid w:val="000B77F9"/>
    <w:rsid w:val="000B7EE0"/>
    <w:rsid w:val="000C561C"/>
    <w:rsid w:val="000C62B0"/>
    <w:rsid w:val="000C6CE9"/>
    <w:rsid w:val="000D08A9"/>
    <w:rsid w:val="000D2EB8"/>
    <w:rsid w:val="000D2FD9"/>
    <w:rsid w:val="000D476C"/>
    <w:rsid w:val="000D6859"/>
    <w:rsid w:val="000E5888"/>
    <w:rsid w:val="000F0F3D"/>
    <w:rsid w:val="000F101F"/>
    <w:rsid w:val="000F22EF"/>
    <w:rsid w:val="000F2D0A"/>
    <w:rsid w:val="000F6C66"/>
    <w:rsid w:val="0010066B"/>
    <w:rsid w:val="00100950"/>
    <w:rsid w:val="001043DC"/>
    <w:rsid w:val="00105F6E"/>
    <w:rsid w:val="00111B38"/>
    <w:rsid w:val="00112A97"/>
    <w:rsid w:val="00113156"/>
    <w:rsid w:val="00115CD5"/>
    <w:rsid w:val="0011797C"/>
    <w:rsid w:val="00125726"/>
    <w:rsid w:val="00125ACF"/>
    <w:rsid w:val="00125C6A"/>
    <w:rsid w:val="0012743D"/>
    <w:rsid w:val="00127C7B"/>
    <w:rsid w:val="00130814"/>
    <w:rsid w:val="001329BA"/>
    <w:rsid w:val="00132BE3"/>
    <w:rsid w:val="0013335C"/>
    <w:rsid w:val="00136300"/>
    <w:rsid w:val="00136387"/>
    <w:rsid w:val="00137876"/>
    <w:rsid w:val="001465AC"/>
    <w:rsid w:val="0014672D"/>
    <w:rsid w:val="00146F48"/>
    <w:rsid w:val="0015271F"/>
    <w:rsid w:val="001530A4"/>
    <w:rsid w:val="00154141"/>
    <w:rsid w:val="00161418"/>
    <w:rsid w:val="001624BB"/>
    <w:rsid w:val="00162B15"/>
    <w:rsid w:val="00163FBC"/>
    <w:rsid w:val="00165B6A"/>
    <w:rsid w:val="001678F7"/>
    <w:rsid w:val="00170E6B"/>
    <w:rsid w:val="00174DAC"/>
    <w:rsid w:val="001750E4"/>
    <w:rsid w:val="00180C24"/>
    <w:rsid w:val="001810ED"/>
    <w:rsid w:val="001813DD"/>
    <w:rsid w:val="00183CCF"/>
    <w:rsid w:val="00184BFC"/>
    <w:rsid w:val="00186E97"/>
    <w:rsid w:val="00187BC0"/>
    <w:rsid w:val="001905F7"/>
    <w:rsid w:val="00192254"/>
    <w:rsid w:val="001930C9"/>
    <w:rsid w:val="001938DE"/>
    <w:rsid w:val="0019395A"/>
    <w:rsid w:val="00195A48"/>
    <w:rsid w:val="00196D20"/>
    <w:rsid w:val="001A36D0"/>
    <w:rsid w:val="001A4CC2"/>
    <w:rsid w:val="001A5C2B"/>
    <w:rsid w:val="001A7960"/>
    <w:rsid w:val="001B12BF"/>
    <w:rsid w:val="001B287A"/>
    <w:rsid w:val="001B54B5"/>
    <w:rsid w:val="001C421C"/>
    <w:rsid w:val="001C42E8"/>
    <w:rsid w:val="001C7175"/>
    <w:rsid w:val="001C7613"/>
    <w:rsid w:val="001D1989"/>
    <w:rsid w:val="001D283D"/>
    <w:rsid w:val="001D5451"/>
    <w:rsid w:val="001D7F0D"/>
    <w:rsid w:val="001E5120"/>
    <w:rsid w:val="001F5585"/>
    <w:rsid w:val="00202216"/>
    <w:rsid w:val="002023D7"/>
    <w:rsid w:val="00204EC0"/>
    <w:rsid w:val="00205A0F"/>
    <w:rsid w:val="00207D31"/>
    <w:rsid w:val="00216C6D"/>
    <w:rsid w:val="00217F05"/>
    <w:rsid w:val="002219B9"/>
    <w:rsid w:val="002243E9"/>
    <w:rsid w:val="0022497B"/>
    <w:rsid w:val="00227BE1"/>
    <w:rsid w:val="00227CFD"/>
    <w:rsid w:val="0023071D"/>
    <w:rsid w:val="00232ED4"/>
    <w:rsid w:val="00234ACA"/>
    <w:rsid w:val="002350B3"/>
    <w:rsid w:val="00235B08"/>
    <w:rsid w:val="002429FB"/>
    <w:rsid w:val="00245BA9"/>
    <w:rsid w:val="002514E8"/>
    <w:rsid w:val="00253FCC"/>
    <w:rsid w:val="0025405F"/>
    <w:rsid w:val="002549AE"/>
    <w:rsid w:val="00255705"/>
    <w:rsid w:val="002570EC"/>
    <w:rsid w:val="002577FC"/>
    <w:rsid w:val="002607D8"/>
    <w:rsid w:val="00262959"/>
    <w:rsid w:val="00262E3B"/>
    <w:rsid w:val="00264146"/>
    <w:rsid w:val="00265ED8"/>
    <w:rsid w:val="00267B16"/>
    <w:rsid w:val="00270DED"/>
    <w:rsid w:val="00270EE6"/>
    <w:rsid w:val="002732D3"/>
    <w:rsid w:val="00273963"/>
    <w:rsid w:val="00273DD4"/>
    <w:rsid w:val="00274ADF"/>
    <w:rsid w:val="00275639"/>
    <w:rsid w:val="002830A3"/>
    <w:rsid w:val="00283FB4"/>
    <w:rsid w:val="002844D3"/>
    <w:rsid w:val="002849C2"/>
    <w:rsid w:val="00285211"/>
    <w:rsid w:val="00287092"/>
    <w:rsid w:val="0028748D"/>
    <w:rsid w:val="002905B6"/>
    <w:rsid w:val="0029095D"/>
    <w:rsid w:val="00291C54"/>
    <w:rsid w:val="00297795"/>
    <w:rsid w:val="002A4499"/>
    <w:rsid w:val="002A5BFA"/>
    <w:rsid w:val="002B7314"/>
    <w:rsid w:val="002C089E"/>
    <w:rsid w:val="002C0C26"/>
    <w:rsid w:val="002C12DB"/>
    <w:rsid w:val="002C4251"/>
    <w:rsid w:val="002D3543"/>
    <w:rsid w:val="002D5E47"/>
    <w:rsid w:val="002D70BB"/>
    <w:rsid w:val="002E00B6"/>
    <w:rsid w:val="002E0D63"/>
    <w:rsid w:val="002E202E"/>
    <w:rsid w:val="002E3D64"/>
    <w:rsid w:val="002E5E70"/>
    <w:rsid w:val="002F46DB"/>
    <w:rsid w:val="002F4C12"/>
    <w:rsid w:val="002F5862"/>
    <w:rsid w:val="00300139"/>
    <w:rsid w:val="003020A7"/>
    <w:rsid w:val="0030630F"/>
    <w:rsid w:val="00306350"/>
    <w:rsid w:val="00307947"/>
    <w:rsid w:val="00310DF6"/>
    <w:rsid w:val="00312AEB"/>
    <w:rsid w:val="00314147"/>
    <w:rsid w:val="00314D97"/>
    <w:rsid w:val="00320C6D"/>
    <w:rsid w:val="003234C1"/>
    <w:rsid w:val="00323F20"/>
    <w:rsid w:val="003259E0"/>
    <w:rsid w:val="00327B91"/>
    <w:rsid w:val="00331BF3"/>
    <w:rsid w:val="00335D20"/>
    <w:rsid w:val="00337BFB"/>
    <w:rsid w:val="0034222B"/>
    <w:rsid w:val="00342375"/>
    <w:rsid w:val="00343516"/>
    <w:rsid w:val="0034487A"/>
    <w:rsid w:val="00344D4A"/>
    <w:rsid w:val="00347B67"/>
    <w:rsid w:val="003531DE"/>
    <w:rsid w:val="003568C3"/>
    <w:rsid w:val="0035752B"/>
    <w:rsid w:val="00357856"/>
    <w:rsid w:val="00357903"/>
    <w:rsid w:val="00360311"/>
    <w:rsid w:val="00362847"/>
    <w:rsid w:val="00365501"/>
    <w:rsid w:val="00370E38"/>
    <w:rsid w:val="003722DC"/>
    <w:rsid w:val="0037339D"/>
    <w:rsid w:val="003765D8"/>
    <w:rsid w:val="00376712"/>
    <w:rsid w:val="00386497"/>
    <w:rsid w:val="00387FB4"/>
    <w:rsid w:val="003904C8"/>
    <w:rsid w:val="003948C4"/>
    <w:rsid w:val="00395BD5"/>
    <w:rsid w:val="003A2EF2"/>
    <w:rsid w:val="003B2B54"/>
    <w:rsid w:val="003B4C25"/>
    <w:rsid w:val="003B533D"/>
    <w:rsid w:val="003B5F69"/>
    <w:rsid w:val="003B664A"/>
    <w:rsid w:val="003C2BD3"/>
    <w:rsid w:val="003D0F25"/>
    <w:rsid w:val="003D1BFD"/>
    <w:rsid w:val="003D1C8B"/>
    <w:rsid w:val="003D3A10"/>
    <w:rsid w:val="003D3BF6"/>
    <w:rsid w:val="003D3E40"/>
    <w:rsid w:val="003D56EF"/>
    <w:rsid w:val="003E2496"/>
    <w:rsid w:val="003E47FF"/>
    <w:rsid w:val="003F3926"/>
    <w:rsid w:val="003F3E99"/>
    <w:rsid w:val="003F49FA"/>
    <w:rsid w:val="003F4A52"/>
    <w:rsid w:val="003F4C21"/>
    <w:rsid w:val="003F6BD9"/>
    <w:rsid w:val="003F7F46"/>
    <w:rsid w:val="00400BDD"/>
    <w:rsid w:val="0040568B"/>
    <w:rsid w:val="00405B4F"/>
    <w:rsid w:val="00412ADA"/>
    <w:rsid w:val="00415ABB"/>
    <w:rsid w:val="00416CB7"/>
    <w:rsid w:val="00417556"/>
    <w:rsid w:val="004224DA"/>
    <w:rsid w:val="00422C93"/>
    <w:rsid w:val="004240F2"/>
    <w:rsid w:val="004247C2"/>
    <w:rsid w:val="0042484C"/>
    <w:rsid w:val="00425768"/>
    <w:rsid w:val="00430C33"/>
    <w:rsid w:val="00431B05"/>
    <w:rsid w:val="00432BF0"/>
    <w:rsid w:val="004434FC"/>
    <w:rsid w:val="00444B83"/>
    <w:rsid w:val="004478C6"/>
    <w:rsid w:val="00450E1D"/>
    <w:rsid w:val="004512C7"/>
    <w:rsid w:val="004537FB"/>
    <w:rsid w:val="0045391A"/>
    <w:rsid w:val="00457D84"/>
    <w:rsid w:val="00460BB8"/>
    <w:rsid w:val="00461FA3"/>
    <w:rsid w:val="00462785"/>
    <w:rsid w:val="00463221"/>
    <w:rsid w:val="00463FD1"/>
    <w:rsid w:val="00473B47"/>
    <w:rsid w:val="00474DE6"/>
    <w:rsid w:val="00476B74"/>
    <w:rsid w:val="00481776"/>
    <w:rsid w:val="0048183C"/>
    <w:rsid w:val="00483481"/>
    <w:rsid w:val="0048440E"/>
    <w:rsid w:val="00484718"/>
    <w:rsid w:val="004865A3"/>
    <w:rsid w:val="00486D13"/>
    <w:rsid w:val="00487BC8"/>
    <w:rsid w:val="00491DD6"/>
    <w:rsid w:val="00492556"/>
    <w:rsid w:val="00492D8F"/>
    <w:rsid w:val="00494048"/>
    <w:rsid w:val="004970F8"/>
    <w:rsid w:val="00497DBD"/>
    <w:rsid w:val="004A0DAF"/>
    <w:rsid w:val="004A34CF"/>
    <w:rsid w:val="004A46F4"/>
    <w:rsid w:val="004A4795"/>
    <w:rsid w:val="004A4B94"/>
    <w:rsid w:val="004B08D4"/>
    <w:rsid w:val="004B0DCA"/>
    <w:rsid w:val="004B2A93"/>
    <w:rsid w:val="004B4E87"/>
    <w:rsid w:val="004B539D"/>
    <w:rsid w:val="004B6E5B"/>
    <w:rsid w:val="004C08AC"/>
    <w:rsid w:val="004C0B66"/>
    <w:rsid w:val="004C3F49"/>
    <w:rsid w:val="004D1B14"/>
    <w:rsid w:val="004D4DA5"/>
    <w:rsid w:val="004E07C0"/>
    <w:rsid w:val="004E1528"/>
    <w:rsid w:val="004E308C"/>
    <w:rsid w:val="004E46CB"/>
    <w:rsid w:val="004E725F"/>
    <w:rsid w:val="004F0148"/>
    <w:rsid w:val="004F2B76"/>
    <w:rsid w:val="004F3645"/>
    <w:rsid w:val="00500D01"/>
    <w:rsid w:val="00504CFF"/>
    <w:rsid w:val="00506D14"/>
    <w:rsid w:val="0051196C"/>
    <w:rsid w:val="005137DA"/>
    <w:rsid w:val="00513BF2"/>
    <w:rsid w:val="005173A6"/>
    <w:rsid w:val="005214AC"/>
    <w:rsid w:val="00521779"/>
    <w:rsid w:val="00521E40"/>
    <w:rsid w:val="00526344"/>
    <w:rsid w:val="00527EDC"/>
    <w:rsid w:val="00531911"/>
    <w:rsid w:val="00532B33"/>
    <w:rsid w:val="00535144"/>
    <w:rsid w:val="005352E1"/>
    <w:rsid w:val="00535430"/>
    <w:rsid w:val="00536246"/>
    <w:rsid w:val="005472BC"/>
    <w:rsid w:val="0054740D"/>
    <w:rsid w:val="00552059"/>
    <w:rsid w:val="00552C93"/>
    <w:rsid w:val="005561D7"/>
    <w:rsid w:val="00561C21"/>
    <w:rsid w:val="00561D31"/>
    <w:rsid w:val="00563895"/>
    <w:rsid w:val="005645E6"/>
    <w:rsid w:val="0056787E"/>
    <w:rsid w:val="00567D46"/>
    <w:rsid w:val="0057769D"/>
    <w:rsid w:val="0058113E"/>
    <w:rsid w:val="0058285B"/>
    <w:rsid w:val="00583310"/>
    <w:rsid w:val="005846F2"/>
    <w:rsid w:val="005849A9"/>
    <w:rsid w:val="00584F0C"/>
    <w:rsid w:val="005854FB"/>
    <w:rsid w:val="00585A02"/>
    <w:rsid w:val="00586966"/>
    <w:rsid w:val="00591CA5"/>
    <w:rsid w:val="00591D1A"/>
    <w:rsid w:val="00592F00"/>
    <w:rsid w:val="0059488B"/>
    <w:rsid w:val="00594D83"/>
    <w:rsid w:val="005A14F3"/>
    <w:rsid w:val="005A1CC5"/>
    <w:rsid w:val="005A5612"/>
    <w:rsid w:val="005B22A4"/>
    <w:rsid w:val="005B2452"/>
    <w:rsid w:val="005B4C1F"/>
    <w:rsid w:val="005B7C95"/>
    <w:rsid w:val="005C0612"/>
    <w:rsid w:val="005C0DB9"/>
    <w:rsid w:val="005C0FF6"/>
    <w:rsid w:val="005C18B9"/>
    <w:rsid w:val="005C21EE"/>
    <w:rsid w:val="005C376C"/>
    <w:rsid w:val="005C39EA"/>
    <w:rsid w:val="005D2961"/>
    <w:rsid w:val="005D2B9C"/>
    <w:rsid w:val="005D2D8F"/>
    <w:rsid w:val="005D6EF3"/>
    <w:rsid w:val="005D7164"/>
    <w:rsid w:val="005D7190"/>
    <w:rsid w:val="005E0466"/>
    <w:rsid w:val="005E11F0"/>
    <w:rsid w:val="005E12D5"/>
    <w:rsid w:val="005F3217"/>
    <w:rsid w:val="005F34BB"/>
    <w:rsid w:val="005F72F4"/>
    <w:rsid w:val="005F73F0"/>
    <w:rsid w:val="006058BB"/>
    <w:rsid w:val="00606500"/>
    <w:rsid w:val="00606715"/>
    <w:rsid w:val="00611947"/>
    <w:rsid w:val="00617363"/>
    <w:rsid w:val="006224E7"/>
    <w:rsid w:val="00623981"/>
    <w:rsid w:val="00624FEC"/>
    <w:rsid w:val="0062754D"/>
    <w:rsid w:val="006345F3"/>
    <w:rsid w:val="00635A1A"/>
    <w:rsid w:val="006407B7"/>
    <w:rsid w:val="0064183A"/>
    <w:rsid w:val="0065138F"/>
    <w:rsid w:val="00651FD0"/>
    <w:rsid w:val="00653282"/>
    <w:rsid w:val="00655479"/>
    <w:rsid w:val="0065567F"/>
    <w:rsid w:val="006557EE"/>
    <w:rsid w:val="00655894"/>
    <w:rsid w:val="006568AF"/>
    <w:rsid w:val="00660AF8"/>
    <w:rsid w:val="00660BB2"/>
    <w:rsid w:val="006617BD"/>
    <w:rsid w:val="00663633"/>
    <w:rsid w:val="0066471D"/>
    <w:rsid w:val="00664B30"/>
    <w:rsid w:val="00665979"/>
    <w:rsid w:val="00665C9C"/>
    <w:rsid w:val="00666DAC"/>
    <w:rsid w:val="006728BE"/>
    <w:rsid w:val="00673CA0"/>
    <w:rsid w:val="00674B5A"/>
    <w:rsid w:val="00684DAC"/>
    <w:rsid w:val="00685691"/>
    <w:rsid w:val="00687623"/>
    <w:rsid w:val="00690937"/>
    <w:rsid w:val="0069104B"/>
    <w:rsid w:val="006A2C16"/>
    <w:rsid w:val="006B10AC"/>
    <w:rsid w:val="006B15B6"/>
    <w:rsid w:val="006B1DB6"/>
    <w:rsid w:val="006B2D41"/>
    <w:rsid w:val="006B2FC4"/>
    <w:rsid w:val="006B302C"/>
    <w:rsid w:val="006B39F9"/>
    <w:rsid w:val="006B5CA7"/>
    <w:rsid w:val="006C2747"/>
    <w:rsid w:val="006C5653"/>
    <w:rsid w:val="006C60D3"/>
    <w:rsid w:val="006D0495"/>
    <w:rsid w:val="006D0AA6"/>
    <w:rsid w:val="006D36F6"/>
    <w:rsid w:val="006D52B6"/>
    <w:rsid w:val="006D63F9"/>
    <w:rsid w:val="006D67E5"/>
    <w:rsid w:val="006D74CC"/>
    <w:rsid w:val="006E3571"/>
    <w:rsid w:val="006F34C6"/>
    <w:rsid w:val="006F41DA"/>
    <w:rsid w:val="00705BD8"/>
    <w:rsid w:val="007067D3"/>
    <w:rsid w:val="00712BD7"/>
    <w:rsid w:val="00715E57"/>
    <w:rsid w:val="00721170"/>
    <w:rsid w:val="007231EE"/>
    <w:rsid w:val="0072335A"/>
    <w:rsid w:val="00724B87"/>
    <w:rsid w:val="0073452B"/>
    <w:rsid w:val="007459E7"/>
    <w:rsid w:val="007506FD"/>
    <w:rsid w:val="00751A67"/>
    <w:rsid w:val="007549C8"/>
    <w:rsid w:val="007554E3"/>
    <w:rsid w:val="0075689D"/>
    <w:rsid w:val="00762137"/>
    <w:rsid w:val="00766224"/>
    <w:rsid w:val="00766F64"/>
    <w:rsid w:val="00767104"/>
    <w:rsid w:val="00767478"/>
    <w:rsid w:val="007674F3"/>
    <w:rsid w:val="0077138C"/>
    <w:rsid w:val="007754EA"/>
    <w:rsid w:val="007911A0"/>
    <w:rsid w:val="00792052"/>
    <w:rsid w:val="0079207E"/>
    <w:rsid w:val="00793A6A"/>
    <w:rsid w:val="00793E70"/>
    <w:rsid w:val="00795EEA"/>
    <w:rsid w:val="007A2875"/>
    <w:rsid w:val="007A31B9"/>
    <w:rsid w:val="007A5E09"/>
    <w:rsid w:val="007A6077"/>
    <w:rsid w:val="007A7D9F"/>
    <w:rsid w:val="007B0B0E"/>
    <w:rsid w:val="007B1962"/>
    <w:rsid w:val="007B2CF3"/>
    <w:rsid w:val="007B4661"/>
    <w:rsid w:val="007B4C65"/>
    <w:rsid w:val="007B71E6"/>
    <w:rsid w:val="007C65B3"/>
    <w:rsid w:val="007C6D54"/>
    <w:rsid w:val="007D2242"/>
    <w:rsid w:val="007D60DA"/>
    <w:rsid w:val="007E14DB"/>
    <w:rsid w:val="007E1EFD"/>
    <w:rsid w:val="007E21BE"/>
    <w:rsid w:val="007E2F5A"/>
    <w:rsid w:val="007E3C03"/>
    <w:rsid w:val="007E4868"/>
    <w:rsid w:val="007E5008"/>
    <w:rsid w:val="007E639A"/>
    <w:rsid w:val="007E6A9D"/>
    <w:rsid w:val="007F11C6"/>
    <w:rsid w:val="007F482C"/>
    <w:rsid w:val="007F4EB1"/>
    <w:rsid w:val="007F5918"/>
    <w:rsid w:val="00805C93"/>
    <w:rsid w:val="0080742D"/>
    <w:rsid w:val="00817206"/>
    <w:rsid w:val="00820766"/>
    <w:rsid w:val="0082380B"/>
    <w:rsid w:val="008251A1"/>
    <w:rsid w:val="008263E2"/>
    <w:rsid w:val="008263E4"/>
    <w:rsid w:val="0083051C"/>
    <w:rsid w:val="008309A8"/>
    <w:rsid w:val="00833FA9"/>
    <w:rsid w:val="008403CD"/>
    <w:rsid w:val="0084094C"/>
    <w:rsid w:val="008427DA"/>
    <w:rsid w:val="00842966"/>
    <w:rsid w:val="008455C7"/>
    <w:rsid w:val="00850054"/>
    <w:rsid w:val="0085171D"/>
    <w:rsid w:val="00854F19"/>
    <w:rsid w:val="008565A0"/>
    <w:rsid w:val="00857094"/>
    <w:rsid w:val="00861A84"/>
    <w:rsid w:val="00865720"/>
    <w:rsid w:val="00870650"/>
    <w:rsid w:val="00871AB4"/>
    <w:rsid w:val="008737E6"/>
    <w:rsid w:val="008747B2"/>
    <w:rsid w:val="00875B2C"/>
    <w:rsid w:val="0087626E"/>
    <w:rsid w:val="00877379"/>
    <w:rsid w:val="008807FE"/>
    <w:rsid w:val="00881C68"/>
    <w:rsid w:val="0088252F"/>
    <w:rsid w:val="00885641"/>
    <w:rsid w:val="008861D0"/>
    <w:rsid w:val="00886513"/>
    <w:rsid w:val="00887EC0"/>
    <w:rsid w:val="00893BD2"/>
    <w:rsid w:val="008A25D3"/>
    <w:rsid w:val="008A4861"/>
    <w:rsid w:val="008A4CB4"/>
    <w:rsid w:val="008A5E40"/>
    <w:rsid w:val="008A65A3"/>
    <w:rsid w:val="008A6A3B"/>
    <w:rsid w:val="008B1F31"/>
    <w:rsid w:val="008B2E71"/>
    <w:rsid w:val="008B64EF"/>
    <w:rsid w:val="008B7729"/>
    <w:rsid w:val="008C2C7E"/>
    <w:rsid w:val="008C3446"/>
    <w:rsid w:val="008C480B"/>
    <w:rsid w:val="008C7B89"/>
    <w:rsid w:val="008C7C25"/>
    <w:rsid w:val="008D19C5"/>
    <w:rsid w:val="008D1E8F"/>
    <w:rsid w:val="008D26F9"/>
    <w:rsid w:val="008D3CDF"/>
    <w:rsid w:val="008D5116"/>
    <w:rsid w:val="008E0FFC"/>
    <w:rsid w:val="008E2F0D"/>
    <w:rsid w:val="008E4F01"/>
    <w:rsid w:val="008E53DE"/>
    <w:rsid w:val="008E756B"/>
    <w:rsid w:val="008F4FC5"/>
    <w:rsid w:val="008F55F8"/>
    <w:rsid w:val="008F59A9"/>
    <w:rsid w:val="009016ED"/>
    <w:rsid w:val="009023CA"/>
    <w:rsid w:val="009063D1"/>
    <w:rsid w:val="00911F33"/>
    <w:rsid w:val="0091227D"/>
    <w:rsid w:val="00912EFF"/>
    <w:rsid w:val="00913747"/>
    <w:rsid w:val="00913757"/>
    <w:rsid w:val="00916D2F"/>
    <w:rsid w:val="0092132F"/>
    <w:rsid w:val="009240C5"/>
    <w:rsid w:val="00930AE6"/>
    <w:rsid w:val="009316D6"/>
    <w:rsid w:val="0093453E"/>
    <w:rsid w:val="009419C6"/>
    <w:rsid w:val="00945543"/>
    <w:rsid w:val="00945D1E"/>
    <w:rsid w:val="009462F5"/>
    <w:rsid w:val="009509C6"/>
    <w:rsid w:val="00953BDB"/>
    <w:rsid w:val="009550B7"/>
    <w:rsid w:val="009551C2"/>
    <w:rsid w:val="00955F27"/>
    <w:rsid w:val="009577F3"/>
    <w:rsid w:val="00957AAC"/>
    <w:rsid w:val="00963C1D"/>
    <w:rsid w:val="00966013"/>
    <w:rsid w:val="009763C1"/>
    <w:rsid w:val="009817D5"/>
    <w:rsid w:val="009828B2"/>
    <w:rsid w:val="00983F17"/>
    <w:rsid w:val="00986C27"/>
    <w:rsid w:val="009940DA"/>
    <w:rsid w:val="009A14F1"/>
    <w:rsid w:val="009A14FC"/>
    <w:rsid w:val="009A2C14"/>
    <w:rsid w:val="009A2D94"/>
    <w:rsid w:val="009A677E"/>
    <w:rsid w:val="009B027B"/>
    <w:rsid w:val="009B0B06"/>
    <w:rsid w:val="009B215B"/>
    <w:rsid w:val="009B49A7"/>
    <w:rsid w:val="009B511A"/>
    <w:rsid w:val="009B6DBF"/>
    <w:rsid w:val="009B78E0"/>
    <w:rsid w:val="009C136C"/>
    <w:rsid w:val="009C13FB"/>
    <w:rsid w:val="009C3577"/>
    <w:rsid w:val="009D0140"/>
    <w:rsid w:val="009D1ED7"/>
    <w:rsid w:val="009D2EED"/>
    <w:rsid w:val="009D33E5"/>
    <w:rsid w:val="009D69AC"/>
    <w:rsid w:val="009E2191"/>
    <w:rsid w:val="009E2DF6"/>
    <w:rsid w:val="009E33AD"/>
    <w:rsid w:val="009E489A"/>
    <w:rsid w:val="009E5198"/>
    <w:rsid w:val="009E7909"/>
    <w:rsid w:val="009E7AED"/>
    <w:rsid w:val="009F3DD5"/>
    <w:rsid w:val="009F44F1"/>
    <w:rsid w:val="009F51D2"/>
    <w:rsid w:val="009F55D5"/>
    <w:rsid w:val="009F6601"/>
    <w:rsid w:val="009F718C"/>
    <w:rsid w:val="00A027F7"/>
    <w:rsid w:val="00A02C9B"/>
    <w:rsid w:val="00A02E18"/>
    <w:rsid w:val="00A032CD"/>
    <w:rsid w:val="00A069B6"/>
    <w:rsid w:val="00A074EF"/>
    <w:rsid w:val="00A10E96"/>
    <w:rsid w:val="00A142B0"/>
    <w:rsid w:val="00A14D8B"/>
    <w:rsid w:val="00A162F6"/>
    <w:rsid w:val="00A1645C"/>
    <w:rsid w:val="00A1664A"/>
    <w:rsid w:val="00A201D9"/>
    <w:rsid w:val="00A239ED"/>
    <w:rsid w:val="00A24AE0"/>
    <w:rsid w:val="00A310B6"/>
    <w:rsid w:val="00A31944"/>
    <w:rsid w:val="00A374C0"/>
    <w:rsid w:val="00A45F09"/>
    <w:rsid w:val="00A46D3B"/>
    <w:rsid w:val="00A502C8"/>
    <w:rsid w:val="00A5098C"/>
    <w:rsid w:val="00A51C85"/>
    <w:rsid w:val="00A55D91"/>
    <w:rsid w:val="00A56485"/>
    <w:rsid w:val="00A57EBB"/>
    <w:rsid w:val="00A60952"/>
    <w:rsid w:val="00A60D7F"/>
    <w:rsid w:val="00A60D89"/>
    <w:rsid w:val="00A60EC4"/>
    <w:rsid w:val="00A6357A"/>
    <w:rsid w:val="00A63D62"/>
    <w:rsid w:val="00A6426E"/>
    <w:rsid w:val="00A643B5"/>
    <w:rsid w:val="00A649B8"/>
    <w:rsid w:val="00A64B9D"/>
    <w:rsid w:val="00A6519A"/>
    <w:rsid w:val="00A665BF"/>
    <w:rsid w:val="00A66941"/>
    <w:rsid w:val="00A67361"/>
    <w:rsid w:val="00A67450"/>
    <w:rsid w:val="00A757EA"/>
    <w:rsid w:val="00A77684"/>
    <w:rsid w:val="00A804E2"/>
    <w:rsid w:val="00A83284"/>
    <w:rsid w:val="00A83993"/>
    <w:rsid w:val="00A86F04"/>
    <w:rsid w:val="00AA0A7F"/>
    <w:rsid w:val="00AA37F1"/>
    <w:rsid w:val="00AA3988"/>
    <w:rsid w:val="00AA45BA"/>
    <w:rsid w:val="00AA5B34"/>
    <w:rsid w:val="00AA5D8D"/>
    <w:rsid w:val="00AB5CB3"/>
    <w:rsid w:val="00AB5D1D"/>
    <w:rsid w:val="00AC0D8B"/>
    <w:rsid w:val="00AC3837"/>
    <w:rsid w:val="00AC44F0"/>
    <w:rsid w:val="00AC5EF8"/>
    <w:rsid w:val="00AD2111"/>
    <w:rsid w:val="00AD21D5"/>
    <w:rsid w:val="00AD42B4"/>
    <w:rsid w:val="00AD50B7"/>
    <w:rsid w:val="00AD7E8D"/>
    <w:rsid w:val="00AE032D"/>
    <w:rsid w:val="00AE449B"/>
    <w:rsid w:val="00AE72AB"/>
    <w:rsid w:val="00AE78B1"/>
    <w:rsid w:val="00AF2E0D"/>
    <w:rsid w:val="00AF3EA3"/>
    <w:rsid w:val="00AF4405"/>
    <w:rsid w:val="00AF740C"/>
    <w:rsid w:val="00B00ACC"/>
    <w:rsid w:val="00B00C44"/>
    <w:rsid w:val="00B00ED0"/>
    <w:rsid w:val="00B02508"/>
    <w:rsid w:val="00B02C9B"/>
    <w:rsid w:val="00B13AB1"/>
    <w:rsid w:val="00B17A94"/>
    <w:rsid w:val="00B21FB4"/>
    <w:rsid w:val="00B27035"/>
    <w:rsid w:val="00B30B35"/>
    <w:rsid w:val="00B32F32"/>
    <w:rsid w:val="00B331DF"/>
    <w:rsid w:val="00B35B9D"/>
    <w:rsid w:val="00B4196D"/>
    <w:rsid w:val="00B42A58"/>
    <w:rsid w:val="00B4633F"/>
    <w:rsid w:val="00B50DB2"/>
    <w:rsid w:val="00B524CE"/>
    <w:rsid w:val="00B5284E"/>
    <w:rsid w:val="00B533AF"/>
    <w:rsid w:val="00B537DA"/>
    <w:rsid w:val="00B54A3F"/>
    <w:rsid w:val="00B56CB2"/>
    <w:rsid w:val="00B61C61"/>
    <w:rsid w:val="00B63752"/>
    <w:rsid w:val="00B640C8"/>
    <w:rsid w:val="00B64FE8"/>
    <w:rsid w:val="00B70132"/>
    <w:rsid w:val="00B7357C"/>
    <w:rsid w:val="00B736D6"/>
    <w:rsid w:val="00B73E65"/>
    <w:rsid w:val="00B741DD"/>
    <w:rsid w:val="00B75547"/>
    <w:rsid w:val="00B76306"/>
    <w:rsid w:val="00B763EB"/>
    <w:rsid w:val="00B764DF"/>
    <w:rsid w:val="00B77508"/>
    <w:rsid w:val="00B775C9"/>
    <w:rsid w:val="00B77E1B"/>
    <w:rsid w:val="00B80124"/>
    <w:rsid w:val="00B90217"/>
    <w:rsid w:val="00B90430"/>
    <w:rsid w:val="00B938C7"/>
    <w:rsid w:val="00B96CC4"/>
    <w:rsid w:val="00BA1DAD"/>
    <w:rsid w:val="00BA25AD"/>
    <w:rsid w:val="00BA28BD"/>
    <w:rsid w:val="00BA5D8C"/>
    <w:rsid w:val="00BC0516"/>
    <w:rsid w:val="00BC2FED"/>
    <w:rsid w:val="00BC3264"/>
    <w:rsid w:val="00BC3A3D"/>
    <w:rsid w:val="00BC4182"/>
    <w:rsid w:val="00BC4AA0"/>
    <w:rsid w:val="00BC71EC"/>
    <w:rsid w:val="00BD0B8A"/>
    <w:rsid w:val="00BD351E"/>
    <w:rsid w:val="00BD46C4"/>
    <w:rsid w:val="00BD5C35"/>
    <w:rsid w:val="00BD7DAB"/>
    <w:rsid w:val="00BE1D99"/>
    <w:rsid w:val="00BE23B9"/>
    <w:rsid w:val="00BE4657"/>
    <w:rsid w:val="00BF1223"/>
    <w:rsid w:val="00BF3ADD"/>
    <w:rsid w:val="00BF51A1"/>
    <w:rsid w:val="00BF6E77"/>
    <w:rsid w:val="00C00565"/>
    <w:rsid w:val="00C0683B"/>
    <w:rsid w:val="00C11BAF"/>
    <w:rsid w:val="00C17C22"/>
    <w:rsid w:val="00C21F05"/>
    <w:rsid w:val="00C24421"/>
    <w:rsid w:val="00C25B04"/>
    <w:rsid w:val="00C30332"/>
    <w:rsid w:val="00C33FC8"/>
    <w:rsid w:val="00C349AB"/>
    <w:rsid w:val="00C37BAB"/>
    <w:rsid w:val="00C4123C"/>
    <w:rsid w:val="00C4135E"/>
    <w:rsid w:val="00C42C4C"/>
    <w:rsid w:val="00C435EF"/>
    <w:rsid w:val="00C436B7"/>
    <w:rsid w:val="00C43A9E"/>
    <w:rsid w:val="00C445BC"/>
    <w:rsid w:val="00C452E0"/>
    <w:rsid w:val="00C45A07"/>
    <w:rsid w:val="00C461C0"/>
    <w:rsid w:val="00C51038"/>
    <w:rsid w:val="00C53685"/>
    <w:rsid w:val="00C53B8C"/>
    <w:rsid w:val="00C54590"/>
    <w:rsid w:val="00C54C0A"/>
    <w:rsid w:val="00C55B4E"/>
    <w:rsid w:val="00C60169"/>
    <w:rsid w:val="00C609F7"/>
    <w:rsid w:val="00C60C70"/>
    <w:rsid w:val="00C63322"/>
    <w:rsid w:val="00C63DBA"/>
    <w:rsid w:val="00C66F8B"/>
    <w:rsid w:val="00C77418"/>
    <w:rsid w:val="00C87668"/>
    <w:rsid w:val="00C9059A"/>
    <w:rsid w:val="00C912A5"/>
    <w:rsid w:val="00C92E18"/>
    <w:rsid w:val="00C96F99"/>
    <w:rsid w:val="00C97ECB"/>
    <w:rsid w:val="00CA03D2"/>
    <w:rsid w:val="00CA17E0"/>
    <w:rsid w:val="00CA3542"/>
    <w:rsid w:val="00CA64A0"/>
    <w:rsid w:val="00CA6E11"/>
    <w:rsid w:val="00CB53A1"/>
    <w:rsid w:val="00CB682E"/>
    <w:rsid w:val="00CB6C22"/>
    <w:rsid w:val="00CB6EF7"/>
    <w:rsid w:val="00CC0B91"/>
    <w:rsid w:val="00CC2104"/>
    <w:rsid w:val="00CC2DFF"/>
    <w:rsid w:val="00CC3BAE"/>
    <w:rsid w:val="00CC5694"/>
    <w:rsid w:val="00CC6334"/>
    <w:rsid w:val="00CC7092"/>
    <w:rsid w:val="00CC7F32"/>
    <w:rsid w:val="00CD44F8"/>
    <w:rsid w:val="00CD7ED6"/>
    <w:rsid w:val="00CE03C2"/>
    <w:rsid w:val="00CE1C0B"/>
    <w:rsid w:val="00CE4007"/>
    <w:rsid w:val="00CF0718"/>
    <w:rsid w:val="00CF4205"/>
    <w:rsid w:val="00CF442C"/>
    <w:rsid w:val="00D00895"/>
    <w:rsid w:val="00D00C1D"/>
    <w:rsid w:val="00D019D3"/>
    <w:rsid w:val="00D04EFB"/>
    <w:rsid w:val="00D05C96"/>
    <w:rsid w:val="00D07F61"/>
    <w:rsid w:val="00D121F2"/>
    <w:rsid w:val="00D128DB"/>
    <w:rsid w:val="00D16D64"/>
    <w:rsid w:val="00D21978"/>
    <w:rsid w:val="00D21E3F"/>
    <w:rsid w:val="00D246A8"/>
    <w:rsid w:val="00D24885"/>
    <w:rsid w:val="00D26440"/>
    <w:rsid w:val="00D27C91"/>
    <w:rsid w:val="00D319C3"/>
    <w:rsid w:val="00D407CB"/>
    <w:rsid w:val="00D428A8"/>
    <w:rsid w:val="00D4292D"/>
    <w:rsid w:val="00D42B1C"/>
    <w:rsid w:val="00D46AB3"/>
    <w:rsid w:val="00D516E0"/>
    <w:rsid w:val="00D52046"/>
    <w:rsid w:val="00D52471"/>
    <w:rsid w:val="00D53B1B"/>
    <w:rsid w:val="00D54E6C"/>
    <w:rsid w:val="00D54F48"/>
    <w:rsid w:val="00D55DA3"/>
    <w:rsid w:val="00D55FA7"/>
    <w:rsid w:val="00D56956"/>
    <w:rsid w:val="00D57811"/>
    <w:rsid w:val="00D654B1"/>
    <w:rsid w:val="00D65753"/>
    <w:rsid w:val="00D65B12"/>
    <w:rsid w:val="00D672AA"/>
    <w:rsid w:val="00D70E8F"/>
    <w:rsid w:val="00D71D82"/>
    <w:rsid w:val="00D76F49"/>
    <w:rsid w:val="00D77DF6"/>
    <w:rsid w:val="00D80D99"/>
    <w:rsid w:val="00D80DA6"/>
    <w:rsid w:val="00D841FD"/>
    <w:rsid w:val="00D846D8"/>
    <w:rsid w:val="00D914B0"/>
    <w:rsid w:val="00D93093"/>
    <w:rsid w:val="00D942FA"/>
    <w:rsid w:val="00D964CA"/>
    <w:rsid w:val="00D9655A"/>
    <w:rsid w:val="00DA0306"/>
    <w:rsid w:val="00DA0A15"/>
    <w:rsid w:val="00DA0C45"/>
    <w:rsid w:val="00DA3107"/>
    <w:rsid w:val="00DA38D7"/>
    <w:rsid w:val="00DB11B3"/>
    <w:rsid w:val="00DB4C26"/>
    <w:rsid w:val="00DB4DB4"/>
    <w:rsid w:val="00DB4F3C"/>
    <w:rsid w:val="00DB7859"/>
    <w:rsid w:val="00DC161B"/>
    <w:rsid w:val="00DC1AD7"/>
    <w:rsid w:val="00DC21E6"/>
    <w:rsid w:val="00DC664D"/>
    <w:rsid w:val="00DD0AA7"/>
    <w:rsid w:val="00DD2650"/>
    <w:rsid w:val="00DD2DB5"/>
    <w:rsid w:val="00DD3270"/>
    <w:rsid w:val="00DD4C84"/>
    <w:rsid w:val="00DD5591"/>
    <w:rsid w:val="00DD7C57"/>
    <w:rsid w:val="00DE39A2"/>
    <w:rsid w:val="00DE6373"/>
    <w:rsid w:val="00DE63AC"/>
    <w:rsid w:val="00DF0796"/>
    <w:rsid w:val="00DF127E"/>
    <w:rsid w:val="00DF2ECA"/>
    <w:rsid w:val="00DF446C"/>
    <w:rsid w:val="00DF768B"/>
    <w:rsid w:val="00DF77E7"/>
    <w:rsid w:val="00E045A1"/>
    <w:rsid w:val="00E05A31"/>
    <w:rsid w:val="00E07FA0"/>
    <w:rsid w:val="00E17025"/>
    <w:rsid w:val="00E17EA3"/>
    <w:rsid w:val="00E20A7B"/>
    <w:rsid w:val="00E24B4A"/>
    <w:rsid w:val="00E31592"/>
    <w:rsid w:val="00E32D31"/>
    <w:rsid w:val="00E4039F"/>
    <w:rsid w:val="00E419E0"/>
    <w:rsid w:val="00E452D2"/>
    <w:rsid w:val="00E45C42"/>
    <w:rsid w:val="00E477F2"/>
    <w:rsid w:val="00E47A8D"/>
    <w:rsid w:val="00E5125C"/>
    <w:rsid w:val="00E55EFA"/>
    <w:rsid w:val="00E60DCF"/>
    <w:rsid w:val="00E62194"/>
    <w:rsid w:val="00E66D09"/>
    <w:rsid w:val="00E71544"/>
    <w:rsid w:val="00E747E7"/>
    <w:rsid w:val="00E7494D"/>
    <w:rsid w:val="00E774D0"/>
    <w:rsid w:val="00E810BD"/>
    <w:rsid w:val="00E81975"/>
    <w:rsid w:val="00E81F69"/>
    <w:rsid w:val="00E83D09"/>
    <w:rsid w:val="00E85D49"/>
    <w:rsid w:val="00E8649E"/>
    <w:rsid w:val="00E91443"/>
    <w:rsid w:val="00E92A2D"/>
    <w:rsid w:val="00EA0149"/>
    <w:rsid w:val="00EA0AA3"/>
    <w:rsid w:val="00EA4E6D"/>
    <w:rsid w:val="00EB3315"/>
    <w:rsid w:val="00EB3BCA"/>
    <w:rsid w:val="00EB508D"/>
    <w:rsid w:val="00EC38B0"/>
    <w:rsid w:val="00EC43D8"/>
    <w:rsid w:val="00EE06C8"/>
    <w:rsid w:val="00EE0AD9"/>
    <w:rsid w:val="00EE12E6"/>
    <w:rsid w:val="00EE15A4"/>
    <w:rsid w:val="00EE2F50"/>
    <w:rsid w:val="00EF3E9B"/>
    <w:rsid w:val="00EF41F0"/>
    <w:rsid w:val="00EF6855"/>
    <w:rsid w:val="00EF77FA"/>
    <w:rsid w:val="00F02352"/>
    <w:rsid w:val="00F03DAF"/>
    <w:rsid w:val="00F04551"/>
    <w:rsid w:val="00F05A6D"/>
    <w:rsid w:val="00F10924"/>
    <w:rsid w:val="00F109D0"/>
    <w:rsid w:val="00F153E2"/>
    <w:rsid w:val="00F16D96"/>
    <w:rsid w:val="00F172AE"/>
    <w:rsid w:val="00F216C4"/>
    <w:rsid w:val="00F21C53"/>
    <w:rsid w:val="00F22DC0"/>
    <w:rsid w:val="00F277EB"/>
    <w:rsid w:val="00F27C48"/>
    <w:rsid w:val="00F3076C"/>
    <w:rsid w:val="00F32963"/>
    <w:rsid w:val="00F403B2"/>
    <w:rsid w:val="00F414BC"/>
    <w:rsid w:val="00F447B7"/>
    <w:rsid w:val="00F4480E"/>
    <w:rsid w:val="00F51931"/>
    <w:rsid w:val="00F53078"/>
    <w:rsid w:val="00F55E6A"/>
    <w:rsid w:val="00F56248"/>
    <w:rsid w:val="00F56A6E"/>
    <w:rsid w:val="00F57194"/>
    <w:rsid w:val="00F63359"/>
    <w:rsid w:val="00F633E3"/>
    <w:rsid w:val="00F66168"/>
    <w:rsid w:val="00F67E07"/>
    <w:rsid w:val="00F67F01"/>
    <w:rsid w:val="00F703EE"/>
    <w:rsid w:val="00F71631"/>
    <w:rsid w:val="00F71E09"/>
    <w:rsid w:val="00F728FD"/>
    <w:rsid w:val="00F7399A"/>
    <w:rsid w:val="00F74A11"/>
    <w:rsid w:val="00F77BE9"/>
    <w:rsid w:val="00F80E67"/>
    <w:rsid w:val="00F8219C"/>
    <w:rsid w:val="00F835A4"/>
    <w:rsid w:val="00F842A9"/>
    <w:rsid w:val="00F84912"/>
    <w:rsid w:val="00F914A2"/>
    <w:rsid w:val="00F91577"/>
    <w:rsid w:val="00F944AB"/>
    <w:rsid w:val="00F96976"/>
    <w:rsid w:val="00F96D60"/>
    <w:rsid w:val="00FA22E9"/>
    <w:rsid w:val="00FA4902"/>
    <w:rsid w:val="00FB1917"/>
    <w:rsid w:val="00FB6E20"/>
    <w:rsid w:val="00FC097B"/>
    <w:rsid w:val="00FC5177"/>
    <w:rsid w:val="00FD2559"/>
    <w:rsid w:val="00FD2E15"/>
    <w:rsid w:val="00FD3F8A"/>
    <w:rsid w:val="00FD484A"/>
    <w:rsid w:val="00FE305B"/>
    <w:rsid w:val="00FE3355"/>
    <w:rsid w:val="00FE3D27"/>
    <w:rsid w:val="00FE4F9C"/>
    <w:rsid w:val="00FF21D8"/>
    <w:rsid w:val="00FF48FD"/>
    <w:rsid w:val="00FF5757"/>
    <w:rsid w:val="00FF7D0D"/>
    <w:rsid w:val="04B95D27"/>
    <w:rsid w:val="05A86160"/>
    <w:rsid w:val="082500FC"/>
    <w:rsid w:val="0B760B22"/>
    <w:rsid w:val="0D2F096C"/>
    <w:rsid w:val="120A5960"/>
    <w:rsid w:val="12382C51"/>
    <w:rsid w:val="24930B4D"/>
    <w:rsid w:val="2B98280F"/>
    <w:rsid w:val="2CF04DB6"/>
    <w:rsid w:val="2F292845"/>
    <w:rsid w:val="3ECF5007"/>
    <w:rsid w:val="403623E8"/>
    <w:rsid w:val="408D55B4"/>
    <w:rsid w:val="416F3F03"/>
    <w:rsid w:val="4A912D42"/>
    <w:rsid w:val="4B7D49B2"/>
    <w:rsid w:val="4EA03605"/>
    <w:rsid w:val="5DA86D0D"/>
    <w:rsid w:val="64B92463"/>
    <w:rsid w:val="752244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nhideWhenUsed="0" w:uiPriority="0"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6"/>
    <w:qFormat/>
    <w:uiPriority w:val="9"/>
    <w:pPr>
      <w:keepNext/>
      <w:keepLines/>
      <w:spacing w:before="100" w:after="90"/>
      <w:jc w:val="center"/>
      <w:outlineLvl w:val="0"/>
    </w:pPr>
    <w:rPr>
      <w:b/>
      <w:bCs/>
      <w:kern w:val="44"/>
      <w:sz w:val="36"/>
      <w:szCs w:val="44"/>
    </w:rPr>
  </w:style>
  <w:style w:type="paragraph" w:styleId="3">
    <w:name w:val="heading 2"/>
    <w:basedOn w:val="1"/>
    <w:next w:val="1"/>
    <w:link w:val="34"/>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4"/>
    <w:basedOn w:val="1"/>
    <w:next w:val="1"/>
    <w:link w:val="25"/>
    <w:qFormat/>
    <w:uiPriority w:val="0"/>
    <w:pPr>
      <w:keepNext/>
      <w:keepLines/>
      <w:spacing w:before="160" w:after="170"/>
      <w:ind w:firstLine="200" w:firstLineChars="200"/>
      <w:outlineLvl w:val="3"/>
    </w:pPr>
    <w:rPr>
      <w:rFonts w:ascii="Cambria" w:hAnsi="Cambria" w:eastAsia="宋体" w:cs="Times New Roman"/>
      <w:b/>
      <w:bCs/>
      <w:sz w:val="24"/>
      <w:szCs w:val="28"/>
    </w:rPr>
  </w:style>
  <w:style w:type="paragraph" w:styleId="5">
    <w:name w:val="heading 5"/>
    <w:basedOn w:val="1"/>
    <w:next w:val="1"/>
    <w:link w:val="27"/>
    <w:unhideWhenUsed/>
    <w:qFormat/>
    <w:uiPriority w:val="9"/>
    <w:pPr>
      <w:keepNext/>
      <w:keepLines/>
      <w:spacing w:before="160" w:after="170"/>
      <w:ind w:firstLine="200" w:firstLineChars="200"/>
      <w:outlineLvl w:val="4"/>
    </w:pPr>
    <w:rPr>
      <w:b/>
      <w:bCs/>
      <w:sz w:val="24"/>
      <w:szCs w:val="28"/>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6">
    <w:name w:val="Normal Indent"/>
    <w:basedOn w:val="1"/>
    <w:link w:val="23"/>
    <w:qFormat/>
    <w:uiPriority w:val="0"/>
    <w:pPr>
      <w:ind w:firstLine="420" w:firstLineChars="200"/>
    </w:pPr>
    <w:rPr>
      <w:rFonts w:ascii="Times New Roman" w:hAnsi="Times New Roman" w:eastAsia="宋体" w:cs="Times New Roman"/>
      <w:szCs w:val="24"/>
    </w:rPr>
  </w:style>
  <w:style w:type="paragraph" w:styleId="7">
    <w:name w:val="annotation text"/>
    <w:basedOn w:val="1"/>
    <w:link w:val="36"/>
    <w:semiHidden/>
    <w:unhideWhenUsed/>
    <w:qFormat/>
    <w:uiPriority w:val="99"/>
    <w:pPr>
      <w:jc w:val="left"/>
    </w:pPr>
  </w:style>
  <w:style w:type="paragraph" w:styleId="8">
    <w:name w:val="Plain Text"/>
    <w:basedOn w:val="1"/>
    <w:link w:val="33"/>
    <w:qFormat/>
    <w:uiPriority w:val="99"/>
    <w:rPr>
      <w:rFonts w:ascii="宋体" w:hAnsi="Courier New" w:eastAsia="宋体" w:cs="Times New Roman"/>
      <w:kern w:val="10"/>
      <w:szCs w:val="21"/>
    </w:rPr>
  </w:style>
  <w:style w:type="paragraph" w:styleId="9">
    <w:name w:val="Date"/>
    <w:basedOn w:val="1"/>
    <w:next w:val="1"/>
    <w:link w:val="38"/>
    <w:semiHidden/>
    <w:unhideWhenUsed/>
    <w:qFormat/>
    <w:uiPriority w:val="99"/>
    <w:pPr>
      <w:ind w:left="100" w:leftChars="2500"/>
    </w:pPr>
  </w:style>
  <w:style w:type="paragraph" w:styleId="10">
    <w:name w:val="Balloon Text"/>
    <w:basedOn w:val="1"/>
    <w:link w:val="29"/>
    <w:semiHidden/>
    <w:unhideWhenUsed/>
    <w:qFormat/>
    <w:uiPriority w:val="99"/>
    <w:rPr>
      <w:sz w:val="18"/>
      <w:szCs w:val="18"/>
    </w:rPr>
  </w:style>
  <w:style w:type="paragraph" w:styleId="11">
    <w:name w:val="footer"/>
    <w:basedOn w:val="1"/>
    <w:link w:val="22"/>
    <w:unhideWhenUsed/>
    <w:qFormat/>
    <w:uiPriority w:val="99"/>
    <w:pPr>
      <w:tabs>
        <w:tab w:val="center" w:pos="4153"/>
        <w:tab w:val="right" w:pos="8306"/>
      </w:tabs>
      <w:snapToGrid w:val="0"/>
      <w:jc w:val="left"/>
    </w:pPr>
    <w:rPr>
      <w:sz w:val="18"/>
      <w:szCs w:val="18"/>
    </w:rPr>
  </w:style>
  <w:style w:type="paragraph" w:styleId="12">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unhideWhenUsed/>
    <w:qFormat/>
    <w:uiPriority w:val="39"/>
  </w:style>
  <w:style w:type="paragraph" w:styleId="14">
    <w:name w:val="toc 2"/>
    <w:basedOn w:val="1"/>
    <w:next w:val="1"/>
    <w:unhideWhenUsed/>
    <w:qFormat/>
    <w:uiPriority w:val="39"/>
    <w:pPr>
      <w:ind w:left="420" w:leftChars="200"/>
    </w:pPr>
  </w:style>
  <w:style w:type="paragraph" w:styleId="15">
    <w:name w:val="Normal (Web)"/>
    <w:basedOn w:val="1"/>
    <w:unhideWhenUsed/>
    <w:qFormat/>
    <w:uiPriority w:val="0"/>
    <w:pPr>
      <w:spacing w:beforeAutospacing="1" w:afterAutospacing="1"/>
      <w:jc w:val="left"/>
    </w:pPr>
    <w:rPr>
      <w:rFonts w:cs="Times New Roman"/>
      <w:kern w:val="0"/>
      <w:sz w:val="24"/>
    </w:rPr>
  </w:style>
  <w:style w:type="table" w:styleId="17">
    <w:name w:val="Table Grid"/>
    <w:basedOn w:val="1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Hyperlink"/>
    <w:basedOn w:val="18"/>
    <w:qFormat/>
    <w:uiPriority w:val="99"/>
    <w:rPr>
      <w:color w:val="0000FF"/>
      <w:u w:val="single"/>
    </w:rPr>
  </w:style>
  <w:style w:type="character" w:styleId="20">
    <w:name w:val="annotation reference"/>
    <w:basedOn w:val="18"/>
    <w:semiHidden/>
    <w:unhideWhenUsed/>
    <w:qFormat/>
    <w:uiPriority w:val="99"/>
    <w:rPr>
      <w:sz w:val="21"/>
      <w:szCs w:val="21"/>
    </w:rPr>
  </w:style>
  <w:style w:type="character" w:customStyle="1" w:styleId="21">
    <w:name w:val="页眉 字符"/>
    <w:basedOn w:val="18"/>
    <w:link w:val="12"/>
    <w:qFormat/>
    <w:uiPriority w:val="99"/>
    <w:rPr>
      <w:sz w:val="18"/>
      <w:szCs w:val="18"/>
    </w:rPr>
  </w:style>
  <w:style w:type="character" w:customStyle="1" w:styleId="22">
    <w:name w:val="页脚 字符"/>
    <w:basedOn w:val="18"/>
    <w:link w:val="11"/>
    <w:qFormat/>
    <w:uiPriority w:val="99"/>
    <w:rPr>
      <w:sz w:val="18"/>
      <w:szCs w:val="18"/>
    </w:rPr>
  </w:style>
  <w:style w:type="character" w:customStyle="1" w:styleId="23">
    <w:name w:val="正文缩进 字符"/>
    <w:link w:val="6"/>
    <w:qFormat/>
    <w:uiPriority w:val="0"/>
    <w:rPr>
      <w:rFonts w:ascii="Times New Roman" w:hAnsi="Times New Roman" w:eastAsia="宋体" w:cs="Times New Roman"/>
      <w:szCs w:val="24"/>
    </w:rPr>
  </w:style>
  <w:style w:type="table" w:customStyle="1" w:styleId="24">
    <w:name w:val="网格型1"/>
    <w:basedOn w:val="1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5">
    <w:name w:val="标题 4 字符"/>
    <w:basedOn w:val="18"/>
    <w:link w:val="4"/>
    <w:qFormat/>
    <w:uiPriority w:val="0"/>
    <w:rPr>
      <w:rFonts w:ascii="Cambria" w:hAnsi="Cambria" w:eastAsia="宋体" w:cs="Times New Roman"/>
      <w:b/>
      <w:bCs/>
      <w:sz w:val="24"/>
      <w:szCs w:val="28"/>
    </w:rPr>
  </w:style>
  <w:style w:type="character" w:customStyle="1" w:styleId="26">
    <w:name w:val="标题 1 字符"/>
    <w:basedOn w:val="18"/>
    <w:link w:val="2"/>
    <w:qFormat/>
    <w:uiPriority w:val="9"/>
    <w:rPr>
      <w:b/>
      <w:bCs/>
      <w:kern w:val="44"/>
      <w:sz w:val="36"/>
      <w:szCs w:val="44"/>
    </w:rPr>
  </w:style>
  <w:style w:type="character" w:customStyle="1" w:styleId="27">
    <w:name w:val="标题 5 字符"/>
    <w:basedOn w:val="18"/>
    <w:link w:val="5"/>
    <w:qFormat/>
    <w:uiPriority w:val="9"/>
    <w:rPr>
      <w:b/>
      <w:bCs/>
      <w:sz w:val="24"/>
      <w:szCs w:val="28"/>
    </w:rPr>
  </w:style>
  <w:style w:type="paragraph" w:customStyle="1" w:styleId="28">
    <w:name w:val="TOC 标题1"/>
    <w:basedOn w:val="2"/>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2E75B6" w:themeColor="accent1" w:themeShade="BF"/>
      <w:kern w:val="0"/>
      <w:sz w:val="28"/>
      <w:szCs w:val="28"/>
    </w:rPr>
  </w:style>
  <w:style w:type="character" w:customStyle="1" w:styleId="29">
    <w:name w:val="批注框文本 字符"/>
    <w:basedOn w:val="18"/>
    <w:link w:val="10"/>
    <w:semiHidden/>
    <w:qFormat/>
    <w:uiPriority w:val="99"/>
    <w:rPr>
      <w:rFonts w:asciiTheme="minorHAnsi" w:hAnsiTheme="minorHAnsi" w:eastAsiaTheme="minorEastAsia" w:cstheme="minorBidi"/>
      <w:kern w:val="2"/>
      <w:sz w:val="18"/>
      <w:szCs w:val="18"/>
    </w:rPr>
  </w:style>
  <w:style w:type="paragraph" w:styleId="30">
    <w:name w:val="List Paragraph"/>
    <w:basedOn w:val="1"/>
    <w:unhideWhenUsed/>
    <w:qFormat/>
    <w:uiPriority w:val="99"/>
    <w:pPr>
      <w:ind w:firstLine="420" w:firstLineChars="200"/>
    </w:pPr>
  </w:style>
  <w:style w:type="table" w:customStyle="1" w:styleId="31">
    <w:name w:val="网格型2"/>
    <w:basedOn w:val="16"/>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2">
    <w:name w:val="纯文本 字符"/>
    <w:basedOn w:val="18"/>
    <w:qFormat/>
    <w:uiPriority w:val="99"/>
    <w:rPr>
      <w:rFonts w:hAnsi="Courier New" w:cs="Courier New" w:asciiTheme="minorEastAsia" w:eastAsiaTheme="minorEastAsia"/>
      <w:kern w:val="2"/>
      <w:sz w:val="21"/>
      <w:szCs w:val="22"/>
    </w:rPr>
  </w:style>
  <w:style w:type="character" w:customStyle="1" w:styleId="33">
    <w:name w:val="纯文本 字符1"/>
    <w:link w:val="8"/>
    <w:qFormat/>
    <w:uiPriority w:val="0"/>
    <w:rPr>
      <w:rFonts w:ascii="宋体" w:hAnsi="Courier New"/>
      <w:kern w:val="10"/>
      <w:sz w:val="21"/>
      <w:szCs w:val="21"/>
    </w:rPr>
  </w:style>
  <w:style w:type="character" w:customStyle="1" w:styleId="34">
    <w:name w:val="标题 2 字符"/>
    <w:basedOn w:val="18"/>
    <w:link w:val="3"/>
    <w:qFormat/>
    <w:uiPriority w:val="9"/>
    <w:rPr>
      <w:rFonts w:asciiTheme="majorHAnsi" w:hAnsiTheme="majorHAnsi" w:eastAsiaTheme="majorEastAsia" w:cstheme="majorBidi"/>
      <w:b/>
      <w:bCs/>
      <w:kern w:val="2"/>
      <w:sz w:val="32"/>
      <w:szCs w:val="32"/>
    </w:rPr>
  </w:style>
  <w:style w:type="paragraph" w:customStyle="1" w:styleId="35">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36">
    <w:name w:val="批注文字 字符"/>
    <w:basedOn w:val="18"/>
    <w:link w:val="7"/>
    <w:semiHidden/>
    <w:qFormat/>
    <w:uiPriority w:val="99"/>
    <w:rPr>
      <w:rFonts w:asciiTheme="minorHAnsi" w:hAnsiTheme="minorHAnsi" w:eastAsiaTheme="minorEastAsia" w:cstheme="minorBidi"/>
      <w:kern w:val="2"/>
      <w:sz w:val="21"/>
      <w:szCs w:val="22"/>
    </w:rPr>
  </w:style>
  <w:style w:type="paragraph" w:customStyle="1" w:styleId="37">
    <w:name w:val="_Style 35"/>
    <w:basedOn w:val="1"/>
    <w:next w:val="30"/>
    <w:qFormat/>
    <w:uiPriority w:val="34"/>
    <w:pPr>
      <w:ind w:firstLine="420" w:firstLineChars="200"/>
    </w:pPr>
    <w:rPr>
      <w:rFonts w:ascii="Calibri" w:hAnsi="Calibri" w:eastAsia="宋体" w:cs="Times New Roman"/>
      <w:szCs w:val="21"/>
    </w:rPr>
  </w:style>
  <w:style w:type="character" w:customStyle="1" w:styleId="38">
    <w:name w:val="日期 字符"/>
    <w:basedOn w:val="18"/>
    <w:link w:val="9"/>
    <w:semiHidden/>
    <w:qFormat/>
    <w:uiPriority w:val="99"/>
    <w:rPr>
      <w:kern w:val="2"/>
      <w:sz w:val="21"/>
      <w:szCs w:val="22"/>
    </w:rPr>
  </w:style>
  <w:style w:type="character" w:customStyle="1" w:styleId="39">
    <w:name w:val="font11"/>
    <w:basedOn w:val="18"/>
    <w:qFormat/>
    <w:uiPriority w:val="0"/>
    <w:rPr>
      <w:rFonts w:hint="eastAsia" w:ascii="宋体" w:hAnsi="宋体" w:eastAsia="宋体" w:cs="宋体"/>
      <w:color w:val="000000"/>
      <w:sz w:val="22"/>
      <w:szCs w:val="22"/>
      <w:u w:val="none"/>
    </w:rPr>
  </w:style>
  <w:style w:type="character" w:customStyle="1" w:styleId="40">
    <w:name w:val="font41"/>
    <w:basedOn w:val="18"/>
    <w:qFormat/>
    <w:uiPriority w:val="0"/>
    <w:rPr>
      <w:rFonts w:ascii="Calibri" w:hAnsi="Calibri" w:cs="Calibri"/>
      <w:color w:val="000000"/>
      <w:sz w:val="22"/>
      <w:szCs w:val="22"/>
      <w:u w:val="none"/>
    </w:rPr>
  </w:style>
  <w:style w:type="character" w:customStyle="1" w:styleId="41">
    <w:name w:val="font51"/>
    <w:basedOn w:val="18"/>
    <w:qFormat/>
    <w:uiPriority w:val="0"/>
    <w:rPr>
      <w:rFonts w:ascii="Segoe UI Symbol" w:hAnsi="Segoe UI Symbol" w:eastAsia="Segoe UI Symbol" w:cs="Segoe UI Symbol"/>
      <w:color w:val="000000"/>
      <w:sz w:val="22"/>
      <w:szCs w:val="22"/>
      <w:u w:val="none"/>
    </w:rPr>
  </w:style>
  <w:style w:type="character" w:customStyle="1" w:styleId="42">
    <w:name w:val="font61"/>
    <w:basedOn w:val="18"/>
    <w:qFormat/>
    <w:uiPriority w:val="0"/>
    <w:rPr>
      <w:rFonts w:hint="default" w:ascii="Calibri" w:hAnsi="Calibri" w:cs="Calibri"/>
      <w:color w:val="000000"/>
      <w:sz w:val="22"/>
      <w:szCs w:val="22"/>
      <w:u w:val="none"/>
    </w:rPr>
  </w:style>
  <w:style w:type="character" w:customStyle="1" w:styleId="43">
    <w:name w:val="font71"/>
    <w:basedOn w:val="18"/>
    <w:qFormat/>
    <w:uiPriority w:val="0"/>
    <w:rPr>
      <w:rFonts w:hint="eastAsia" w:ascii="宋体" w:hAnsi="宋体" w:eastAsia="宋体" w:cs="宋体"/>
      <w:color w:val="000000"/>
      <w:sz w:val="22"/>
      <w:szCs w:val="22"/>
      <w:u w:val="none"/>
    </w:rPr>
  </w:style>
  <w:style w:type="character" w:customStyle="1" w:styleId="44">
    <w:name w:val="font01"/>
    <w:basedOn w:val="18"/>
    <w:uiPriority w:val="0"/>
    <w:rPr>
      <w:rFonts w:hint="eastAsia" w:ascii="宋体" w:hAnsi="宋体" w:eastAsia="宋体" w:cs="宋体"/>
      <w:color w:val="000000"/>
      <w:sz w:val="22"/>
      <w:szCs w:val="22"/>
      <w:u w:val="none"/>
    </w:rPr>
  </w:style>
  <w:style w:type="paragraph" w:customStyle="1" w:styleId="45">
    <w:name w:val="null3"/>
    <w:hidden/>
    <w:uiPriority w:val="0"/>
    <w:rPr>
      <w:rFonts w:hint="eastAsia" w:asciiTheme="minorHAnsi" w:hAnsiTheme="minorHAnsi" w:eastAsiaTheme="minorEastAsia" w:cstheme="minorBidi"/>
      <w:lang w:val="en-US" w:eastAsia="zh-Hans"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D0B3D27-3B60-4239-9D2E-A5549BD77CA1}">
  <ds:schemaRefs/>
</ds:datastoreItem>
</file>

<file path=docProps/app.xml><?xml version="1.0" encoding="utf-8"?>
<Properties xmlns="http://schemas.openxmlformats.org/officeDocument/2006/extended-properties" xmlns:vt="http://schemas.openxmlformats.org/officeDocument/2006/docPropsVTypes">
  <Template>Normal</Template>
  <Pages>41</Pages>
  <Words>1145</Words>
  <Characters>1433</Characters>
  <Lines>149</Lines>
  <Paragraphs>42</Paragraphs>
  <TotalTime>8</TotalTime>
  <ScaleCrop>false</ScaleCrop>
  <LinksUpToDate>false</LinksUpToDate>
  <CharactersWithSpaces>1445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2021-06-06T03:46:00Z</dcterms:created>
  <dc:creator>安安的电脑</dc:creator>
  <cp:lastModifiedBy>J先生</cp:lastModifiedBy>
  <cp:lastPrinted>2025-04-11T02:25:00Z</cp:lastPrinted>
  <dcterms:modified xsi:type="dcterms:W3CDTF">2025-04-14T02:01:28Z</dcterms:modified>
  <cp:revision>501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99260A6BDC544B0AACC74F8FEA9B8DBB_13</vt:lpwstr>
  </property>
  <property fmtid="{D5CDD505-2E9C-101B-9397-08002B2CF9AE}" pid="4" name="KSOTemplateDocerSaveRecord">
    <vt:lpwstr>eyJoZGlkIjoiZDYxNzQwMWY4MzNlNjA1OTlmNzkxYjE4MGVmNTM1NDAiLCJ1c2VySWQiOiIyNjEwOTk1MTEifQ==</vt:lpwstr>
  </property>
</Properties>
</file>