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8"/>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8"/>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3"/>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3"/>
        <w:jc w:val="center"/>
        <w:rPr>
          <w:rFonts w:hint="eastAsia" w:ascii="宋体" w:hAnsi="宋体"/>
          <w:b/>
          <w:bCs/>
          <w:szCs w:val="21"/>
        </w:rPr>
      </w:pPr>
    </w:p>
    <w:p w14:paraId="2971CD1E">
      <w:pPr>
        <w:pStyle w:val="3"/>
        <w:jc w:val="center"/>
        <w:rPr>
          <w:rFonts w:hint="eastAsia" w:ascii="宋体" w:hAnsi="宋体"/>
          <w:b/>
          <w:bCs/>
          <w:szCs w:val="21"/>
        </w:rPr>
      </w:pPr>
    </w:p>
    <w:p w14:paraId="44124856">
      <w:pPr>
        <w:pStyle w:val="3"/>
        <w:jc w:val="center"/>
        <w:rPr>
          <w:rFonts w:hint="eastAsia" w:ascii="宋体" w:hAnsi="宋体"/>
          <w:b/>
          <w:bCs/>
          <w:szCs w:val="21"/>
        </w:rPr>
      </w:pPr>
    </w:p>
    <w:p w14:paraId="08AA2683">
      <w:pPr>
        <w:pStyle w:val="3"/>
        <w:jc w:val="center"/>
        <w:rPr>
          <w:rFonts w:hint="eastAsia" w:ascii="宋体" w:hAnsi="宋体"/>
          <w:b/>
          <w:bCs/>
          <w:szCs w:val="21"/>
        </w:rPr>
      </w:pPr>
    </w:p>
    <w:p w14:paraId="2F161ADF">
      <w:pPr>
        <w:pStyle w:val="3"/>
        <w:jc w:val="center"/>
        <w:rPr>
          <w:rFonts w:hint="eastAsia" w:ascii="宋体" w:hAnsi="宋体"/>
          <w:b/>
          <w:bCs/>
          <w:szCs w:val="21"/>
        </w:rPr>
      </w:pPr>
    </w:p>
    <w:p w14:paraId="0B63A0AE">
      <w:pPr>
        <w:pStyle w:val="3"/>
        <w:jc w:val="center"/>
        <w:rPr>
          <w:rFonts w:hint="eastAsia" w:ascii="宋体" w:hAnsi="宋体"/>
          <w:b/>
          <w:bCs/>
          <w:szCs w:val="21"/>
        </w:rPr>
      </w:pPr>
    </w:p>
    <w:p w14:paraId="21390DA8">
      <w:pPr>
        <w:pStyle w:val="3"/>
        <w:jc w:val="center"/>
        <w:rPr>
          <w:rFonts w:hint="eastAsia" w:ascii="宋体" w:hAnsi="宋体"/>
          <w:b/>
          <w:bCs/>
          <w:szCs w:val="21"/>
        </w:rPr>
      </w:pPr>
    </w:p>
    <w:p w14:paraId="6EDBB49F">
      <w:pPr>
        <w:pStyle w:val="3"/>
        <w:jc w:val="center"/>
        <w:rPr>
          <w:rFonts w:hint="eastAsia" w:ascii="宋体" w:hAnsi="宋体"/>
          <w:b/>
          <w:bCs/>
          <w:szCs w:val="21"/>
        </w:rPr>
      </w:pPr>
    </w:p>
    <w:p w14:paraId="1432072E">
      <w:pPr>
        <w:pStyle w:val="3"/>
        <w:jc w:val="center"/>
        <w:rPr>
          <w:rFonts w:hint="eastAsia" w:ascii="宋体" w:hAnsi="宋体"/>
          <w:b/>
          <w:bCs/>
          <w:szCs w:val="21"/>
        </w:rPr>
      </w:pPr>
    </w:p>
    <w:p w14:paraId="738F9BB8">
      <w:pPr>
        <w:pStyle w:val="3"/>
        <w:jc w:val="center"/>
        <w:rPr>
          <w:rFonts w:hint="eastAsia" w:ascii="宋体" w:hAnsi="宋体"/>
          <w:b/>
          <w:bCs/>
          <w:szCs w:val="21"/>
        </w:rPr>
      </w:pPr>
    </w:p>
    <w:p w14:paraId="2BA73101">
      <w:pPr>
        <w:pStyle w:val="3"/>
        <w:jc w:val="center"/>
        <w:rPr>
          <w:rFonts w:hint="eastAsia" w:ascii="宋体" w:hAnsi="宋体"/>
          <w:b/>
          <w:bCs/>
          <w:szCs w:val="21"/>
        </w:rPr>
      </w:pPr>
    </w:p>
    <w:p w14:paraId="631484CB">
      <w:pPr>
        <w:pStyle w:val="3"/>
        <w:jc w:val="center"/>
        <w:rPr>
          <w:rFonts w:hint="eastAsia" w:ascii="宋体" w:hAnsi="宋体"/>
          <w:b/>
          <w:bCs/>
          <w:szCs w:val="21"/>
        </w:rPr>
      </w:pPr>
    </w:p>
    <w:p w14:paraId="3DB033DB">
      <w:pPr>
        <w:pStyle w:val="3"/>
        <w:jc w:val="center"/>
        <w:rPr>
          <w:rFonts w:hint="eastAsia" w:ascii="宋体" w:hAnsi="宋体"/>
          <w:b/>
          <w:bCs/>
          <w:szCs w:val="21"/>
        </w:rPr>
      </w:pPr>
    </w:p>
    <w:p w14:paraId="20D42745">
      <w:pPr>
        <w:pStyle w:val="3"/>
        <w:jc w:val="center"/>
        <w:rPr>
          <w:rFonts w:hint="eastAsia" w:ascii="宋体" w:hAnsi="宋体"/>
          <w:b/>
          <w:bCs/>
          <w:szCs w:val="21"/>
        </w:rPr>
      </w:pPr>
    </w:p>
    <w:p w14:paraId="1AA65312">
      <w:pPr>
        <w:pStyle w:val="3"/>
        <w:jc w:val="center"/>
        <w:rPr>
          <w:rFonts w:hint="eastAsia" w:ascii="宋体" w:hAnsi="宋体"/>
          <w:b/>
          <w:bCs/>
          <w:szCs w:val="21"/>
        </w:rPr>
      </w:pPr>
    </w:p>
    <w:p w14:paraId="70224C5F">
      <w:pPr>
        <w:pStyle w:val="3"/>
        <w:jc w:val="center"/>
        <w:rPr>
          <w:rFonts w:hint="eastAsia" w:ascii="宋体" w:hAnsi="宋体"/>
          <w:b/>
          <w:bCs/>
          <w:szCs w:val="21"/>
        </w:rPr>
      </w:pPr>
    </w:p>
    <w:p w14:paraId="772B0D78">
      <w:pPr>
        <w:pStyle w:val="3"/>
        <w:jc w:val="center"/>
        <w:rPr>
          <w:rFonts w:hint="eastAsia" w:ascii="宋体" w:hAnsi="宋体"/>
          <w:b/>
          <w:bCs/>
          <w:szCs w:val="21"/>
        </w:rPr>
      </w:pPr>
    </w:p>
    <w:p w14:paraId="60817AD1">
      <w:pPr>
        <w:pStyle w:val="3"/>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3"/>
        <w:rPr>
          <w:rStyle w:val="17"/>
          <w:rFonts w:hint="default"/>
          <w:color w:val="000000"/>
          <w:szCs w:val="28"/>
          <w:lang w:val="en-US" w:eastAsia="zh-CN"/>
        </w:rPr>
      </w:pPr>
    </w:p>
    <w:p w14:paraId="47AEEB51">
      <w:pPr>
        <w:pStyle w:val="3"/>
        <w:rPr>
          <w:rStyle w:val="17"/>
          <w:color w:val="000000"/>
          <w:szCs w:val="28"/>
        </w:rPr>
      </w:pPr>
    </w:p>
    <w:p w14:paraId="65A0EA51">
      <w:pPr>
        <w:pStyle w:val="3"/>
        <w:rPr>
          <w:rStyle w:val="17"/>
          <w:color w:val="000000"/>
          <w:szCs w:val="28"/>
        </w:rPr>
      </w:pPr>
    </w:p>
    <w:p w14:paraId="4B2F013C">
      <w:pPr>
        <w:pStyle w:val="3"/>
        <w:rPr>
          <w:rStyle w:val="17"/>
          <w:color w:val="000000"/>
          <w:szCs w:val="28"/>
        </w:rPr>
      </w:pPr>
    </w:p>
    <w:p w14:paraId="481E1B8E">
      <w:pPr>
        <w:pStyle w:val="3"/>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2"/>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3"/>
        <w:jc w:val="center"/>
        <w:rPr>
          <w:rFonts w:hint="eastAsia" w:ascii="宋体" w:hAnsi="宋体"/>
          <w:b/>
          <w:bCs/>
          <w:szCs w:val="21"/>
        </w:rPr>
      </w:pPr>
    </w:p>
    <w:p w14:paraId="173FE59F">
      <w:pPr>
        <w:pStyle w:val="3"/>
        <w:jc w:val="center"/>
        <w:rPr>
          <w:rFonts w:hint="eastAsia" w:ascii="宋体" w:hAnsi="宋体"/>
          <w:b/>
          <w:bCs/>
          <w:szCs w:val="21"/>
        </w:rPr>
      </w:pPr>
    </w:p>
    <w:p w14:paraId="2C555EDF">
      <w:pPr>
        <w:pStyle w:val="3"/>
        <w:jc w:val="center"/>
        <w:rPr>
          <w:rFonts w:hint="eastAsia" w:ascii="宋体" w:hAnsi="宋体"/>
          <w:b/>
          <w:bCs/>
          <w:szCs w:val="21"/>
        </w:rPr>
      </w:pPr>
    </w:p>
    <w:p w14:paraId="21C50F1C">
      <w:pPr>
        <w:pStyle w:val="3"/>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3"/>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68EC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1C10D3F8">
                  <w:pPr>
                    <w:spacing w:line="288" w:lineRule="auto"/>
                    <w:jc w:val="center"/>
                    <w:rPr>
                      <w:color w:val="FF0000"/>
                      <w:szCs w:val="21"/>
                    </w:rPr>
                  </w:pPr>
                  <w:r>
                    <w:rPr>
                      <w:rFonts w:hint="eastAsia"/>
                      <w:color w:val="FF0000"/>
                      <w:szCs w:val="21"/>
                    </w:rPr>
                    <w:t>序号</w:t>
                  </w:r>
                </w:p>
              </w:tc>
              <w:tc>
                <w:tcPr>
                  <w:tcW w:w="3061" w:type="dxa"/>
                  <w:vAlign w:val="center"/>
                </w:tcPr>
                <w:p w14:paraId="593264DA">
                  <w:pPr>
                    <w:spacing w:line="288" w:lineRule="auto"/>
                    <w:jc w:val="center"/>
                    <w:rPr>
                      <w:color w:val="FF0000"/>
                      <w:szCs w:val="21"/>
                    </w:rPr>
                  </w:pPr>
                  <w:r>
                    <w:rPr>
                      <w:rFonts w:hint="eastAsia"/>
                      <w:color w:val="FF0000"/>
                      <w:szCs w:val="21"/>
                    </w:rPr>
                    <w:t>配置名称</w:t>
                  </w:r>
                </w:p>
              </w:tc>
              <w:tc>
                <w:tcPr>
                  <w:tcW w:w="1300" w:type="dxa"/>
                  <w:vAlign w:val="center"/>
                </w:tcPr>
                <w:p w14:paraId="5BA3DA5B">
                  <w:pPr>
                    <w:spacing w:line="288" w:lineRule="auto"/>
                    <w:jc w:val="center"/>
                    <w:rPr>
                      <w:color w:val="FF0000"/>
                      <w:szCs w:val="21"/>
                    </w:rPr>
                  </w:pPr>
                  <w:r>
                    <w:rPr>
                      <w:rFonts w:hint="eastAsia"/>
                      <w:color w:val="FF0000"/>
                      <w:szCs w:val="21"/>
                    </w:rPr>
                    <w:t>数量</w:t>
                  </w:r>
                </w:p>
              </w:tc>
              <w:tc>
                <w:tcPr>
                  <w:tcW w:w="1316" w:type="dxa"/>
                  <w:vAlign w:val="center"/>
                </w:tcPr>
                <w:p w14:paraId="217FD9EB">
                  <w:pPr>
                    <w:spacing w:line="288" w:lineRule="auto"/>
                    <w:jc w:val="center"/>
                    <w:rPr>
                      <w:color w:val="FF0000"/>
                      <w:szCs w:val="21"/>
                    </w:rPr>
                  </w:pPr>
                  <w:r>
                    <w:rPr>
                      <w:rFonts w:hint="eastAsia"/>
                      <w:color w:val="FF0000"/>
                      <w:szCs w:val="21"/>
                    </w:rPr>
                    <w:t>单位</w:t>
                  </w:r>
                </w:p>
              </w:tc>
            </w:tr>
            <w:tr w14:paraId="5C0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5558ACCF">
                  <w:pPr>
                    <w:spacing w:line="288" w:lineRule="auto"/>
                    <w:jc w:val="center"/>
                    <w:rPr>
                      <w:color w:val="FF0000"/>
                      <w:szCs w:val="21"/>
                    </w:rPr>
                  </w:pPr>
                  <w:r>
                    <w:rPr>
                      <w:rFonts w:hint="eastAsia"/>
                      <w:color w:val="FF0000"/>
                      <w:szCs w:val="21"/>
                    </w:rPr>
                    <w:t>1</w:t>
                  </w:r>
                </w:p>
              </w:tc>
              <w:tc>
                <w:tcPr>
                  <w:tcW w:w="3061" w:type="dxa"/>
                </w:tcPr>
                <w:p w14:paraId="069585F6">
                  <w:pPr>
                    <w:spacing w:line="288" w:lineRule="auto"/>
                    <w:jc w:val="center"/>
                    <w:rPr>
                      <w:color w:val="FF0000"/>
                      <w:szCs w:val="21"/>
                    </w:rPr>
                  </w:pPr>
                  <w:r>
                    <w:rPr>
                      <w:rFonts w:hint="eastAsia" w:ascii="宋体" w:hAnsi="宋体"/>
                      <w:color w:val="FF0000"/>
                      <w:szCs w:val="21"/>
                    </w:rPr>
                    <w:t>高频</w:t>
                  </w:r>
                  <w:r>
                    <w:rPr>
                      <w:rFonts w:hint="eastAsia" w:ascii="宋体" w:hAnsi="宋体"/>
                      <w:color w:val="FF0000"/>
                      <w:szCs w:val="21"/>
                      <w:lang w:val="en-US" w:eastAsia="zh-CN"/>
                    </w:rPr>
                    <w:t>手术设备</w:t>
                  </w:r>
                </w:p>
              </w:tc>
              <w:tc>
                <w:tcPr>
                  <w:tcW w:w="1300" w:type="dxa"/>
                </w:tcPr>
                <w:p w14:paraId="22C70CBE">
                  <w:pPr>
                    <w:spacing w:line="288" w:lineRule="auto"/>
                    <w:jc w:val="center"/>
                    <w:rPr>
                      <w:color w:val="FF0000"/>
                      <w:szCs w:val="21"/>
                    </w:rPr>
                  </w:pPr>
                  <w:r>
                    <w:rPr>
                      <w:rFonts w:hint="eastAsia"/>
                      <w:color w:val="FF0000"/>
                      <w:szCs w:val="21"/>
                    </w:rPr>
                    <w:t>1</w:t>
                  </w:r>
                </w:p>
              </w:tc>
              <w:tc>
                <w:tcPr>
                  <w:tcW w:w="1316" w:type="dxa"/>
                </w:tcPr>
                <w:p w14:paraId="28E91AC2">
                  <w:pPr>
                    <w:spacing w:line="288" w:lineRule="auto"/>
                    <w:jc w:val="center"/>
                    <w:rPr>
                      <w:color w:val="FF0000"/>
                      <w:szCs w:val="21"/>
                    </w:rPr>
                  </w:pPr>
                  <w:r>
                    <w:rPr>
                      <w:rFonts w:hint="eastAsia"/>
                      <w:color w:val="FF0000"/>
                      <w:szCs w:val="21"/>
                    </w:rPr>
                    <w:t>台</w:t>
                  </w:r>
                </w:p>
              </w:tc>
            </w:tr>
            <w:tr w14:paraId="05D7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5A6C6043">
                  <w:pPr>
                    <w:spacing w:line="288" w:lineRule="auto"/>
                    <w:jc w:val="center"/>
                    <w:rPr>
                      <w:color w:val="FF0000"/>
                      <w:szCs w:val="21"/>
                    </w:rPr>
                  </w:pPr>
                  <w:r>
                    <w:rPr>
                      <w:rFonts w:hint="eastAsia"/>
                      <w:color w:val="FF0000"/>
                      <w:szCs w:val="21"/>
                    </w:rPr>
                    <w:t>2</w:t>
                  </w:r>
                </w:p>
              </w:tc>
              <w:tc>
                <w:tcPr>
                  <w:tcW w:w="3061" w:type="dxa"/>
                </w:tcPr>
                <w:p w14:paraId="5785E514">
                  <w:pPr>
                    <w:spacing w:line="288" w:lineRule="auto"/>
                    <w:jc w:val="center"/>
                    <w:rPr>
                      <w:color w:val="FF0000"/>
                      <w:szCs w:val="21"/>
                    </w:rPr>
                  </w:pPr>
                  <w:r>
                    <w:rPr>
                      <w:rFonts w:hint="eastAsia"/>
                      <w:color w:val="FF0000"/>
                      <w:szCs w:val="21"/>
                    </w:rPr>
                    <w:t>双极高频导线</w:t>
                  </w:r>
                </w:p>
              </w:tc>
              <w:tc>
                <w:tcPr>
                  <w:tcW w:w="1300" w:type="dxa"/>
                </w:tcPr>
                <w:p w14:paraId="1A8E375C">
                  <w:pPr>
                    <w:spacing w:line="288" w:lineRule="auto"/>
                    <w:jc w:val="center"/>
                    <w:rPr>
                      <w:color w:val="FF0000"/>
                      <w:szCs w:val="21"/>
                    </w:rPr>
                  </w:pPr>
                  <w:r>
                    <w:rPr>
                      <w:rFonts w:hint="eastAsia"/>
                      <w:color w:val="FF0000"/>
                      <w:szCs w:val="21"/>
                    </w:rPr>
                    <w:t>1</w:t>
                  </w:r>
                </w:p>
              </w:tc>
              <w:tc>
                <w:tcPr>
                  <w:tcW w:w="1316" w:type="dxa"/>
                </w:tcPr>
                <w:p w14:paraId="3480B319">
                  <w:pPr>
                    <w:spacing w:line="288" w:lineRule="auto"/>
                    <w:jc w:val="center"/>
                    <w:rPr>
                      <w:color w:val="FF0000"/>
                      <w:szCs w:val="21"/>
                    </w:rPr>
                  </w:pPr>
                  <w:r>
                    <w:rPr>
                      <w:rFonts w:hint="eastAsia"/>
                      <w:color w:val="FF0000"/>
                      <w:szCs w:val="21"/>
                    </w:rPr>
                    <w:t>根</w:t>
                  </w:r>
                </w:p>
              </w:tc>
            </w:tr>
            <w:tr w14:paraId="72DB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14:paraId="032BB4C0">
                  <w:pPr>
                    <w:spacing w:line="288" w:lineRule="auto"/>
                    <w:jc w:val="center"/>
                    <w:rPr>
                      <w:color w:val="FF0000"/>
                      <w:szCs w:val="21"/>
                    </w:rPr>
                  </w:pPr>
                  <w:r>
                    <w:rPr>
                      <w:rFonts w:hint="eastAsia"/>
                      <w:color w:val="FF0000"/>
                      <w:szCs w:val="21"/>
                    </w:rPr>
                    <w:t>3</w:t>
                  </w:r>
                </w:p>
              </w:tc>
              <w:tc>
                <w:tcPr>
                  <w:tcW w:w="3061" w:type="dxa"/>
                </w:tcPr>
                <w:p w14:paraId="3DA8E799">
                  <w:pPr>
                    <w:spacing w:line="288" w:lineRule="auto"/>
                    <w:jc w:val="center"/>
                    <w:rPr>
                      <w:color w:val="FF0000"/>
                      <w:szCs w:val="21"/>
                    </w:rPr>
                  </w:pPr>
                  <w:r>
                    <w:rPr>
                      <w:rFonts w:hint="eastAsia"/>
                      <w:color w:val="FF0000"/>
                      <w:szCs w:val="21"/>
                    </w:rPr>
                    <w:t>双脚踏板脚踏</w:t>
                  </w:r>
                </w:p>
              </w:tc>
              <w:tc>
                <w:tcPr>
                  <w:tcW w:w="1300" w:type="dxa"/>
                </w:tcPr>
                <w:p w14:paraId="511401F4">
                  <w:pPr>
                    <w:spacing w:line="288" w:lineRule="auto"/>
                    <w:jc w:val="center"/>
                    <w:rPr>
                      <w:color w:val="FF0000"/>
                      <w:szCs w:val="21"/>
                    </w:rPr>
                  </w:pPr>
                  <w:r>
                    <w:rPr>
                      <w:rFonts w:hint="eastAsia"/>
                      <w:color w:val="FF0000"/>
                      <w:szCs w:val="21"/>
                    </w:rPr>
                    <w:t>1</w:t>
                  </w:r>
                </w:p>
              </w:tc>
              <w:tc>
                <w:tcPr>
                  <w:tcW w:w="1316" w:type="dxa"/>
                </w:tcPr>
                <w:p w14:paraId="6EFCF843">
                  <w:pPr>
                    <w:spacing w:line="288" w:lineRule="auto"/>
                    <w:jc w:val="center"/>
                    <w:rPr>
                      <w:color w:val="FF0000"/>
                      <w:szCs w:val="21"/>
                    </w:rPr>
                  </w:pPr>
                  <w:r>
                    <w:rPr>
                      <w:rFonts w:hint="eastAsia"/>
                      <w:color w:val="FF0000"/>
                      <w:szCs w:val="21"/>
                    </w:rPr>
                    <w:t>个</w:t>
                  </w:r>
                </w:p>
              </w:tc>
            </w:tr>
          </w:tbl>
          <w:p w14:paraId="7F765D2C">
            <w:pPr>
              <w:pStyle w:val="4"/>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pStyle w:val="8"/>
              <w:ind w:firstLine="0" w:firstLineChars="0"/>
              <w:rPr>
                <w:rFonts w:hint="eastAsia" w:ascii="宋体" w:cs="宋体"/>
                <w:color w:val="FF0000"/>
                <w:kern w:val="0"/>
                <w:szCs w:val="21"/>
                <w:lang w:val="en-US" w:eastAsia="zh-CN"/>
              </w:rPr>
            </w:pPr>
            <w:r>
              <w:rPr>
                <w:rFonts w:hint="eastAsia" w:ascii="宋体" w:cs="宋体"/>
                <w:color w:val="FF0000"/>
                <w:kern w:val="0"/>
                <w:szCs w:val="21"/>
              </w:rPr>
              <w:t>真正的双极系统、最小电流实现最优的组织切割、更精准的切割、止血效果更好</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74551EF6">
            <w:pPr>
              <w:pStyle w:val="8"/>
              <w:ind w:firstLine="0" w:firstLineChars="0"/>
              <w:rPr>
                <w:rFonts w:hint="eastAsia" w:ascii="宋体" w:cs="宋体"/>
                <w:color w:val="FF0000"/>
                <w:kern w:val="0"/>
                <w:szCs w:val="21"/>
              </w:rPr>
            </w:pPr>
            <w:r>
              <w:rPr>
                <w:rFonts w:hint="eastAsia" w:ascii="宋体" w:cs="宋体"/>
                <w:color w:val="FF0000"/>
                <w:kern w:val="0"/>
                <w:szCs w:val="21"/>
              </w:rPr>
              <w:t>1. ▲能量平台（高频手术设备）可满足妇科及泌尿外科的双极等离子电切；</w:t>
            </w:r>
          </w:p>
          <w:p w14:paraId="4421FD9E">
            <w:pPr>
              <w:pStyle w:val="8"/>
              <w:ind w:firstLine="0" w:firstLineChars="0"/>
              <w:rPr>
                <w:rFonts w:hint="eastAsia" w:ascii="宋体" w:cs="宋体"/>
                <w:color w:val="FF0000"/>
                <w:kern w:val="0"/>
                <w:szCs w:val="21"/>
              </w:rPr>
            </w:pPr>
            <w:r>
              <w:rPr>
                <w:rFonts w:hint="eastAsia" w:ascii="宋体" w:cs="宋体"/>
                <w:color w:val="FF0000"/>
                <w:kern w:val="0"/>
                <w:szCs w:val="21"/>
              </w:rPr>
              <w:t>2. 单极最大输出功率≥400W（200Ω）；双极最大输出功率≥400W（75Ω）；</w:t>
            </w:r>
          </w:p>
          <w:p w14:paraId="53FF43F4">
            <w:pPr>
              <w:pStyle w:val="8"/>
              <w:ind w:firstLine="0" w:firstLineChars="0"/>
              <w:rPr>
                <w:rFonts w:hint="eastAsia" w:ascii="宋体" w:cs="宋体"/>
                <w:color w:val="FF0000"/>
                <w:kern w:val="0"/>
                <w:szCs w:val="21"/>
              </w:rPr>
            </w:pPr>
            <w:r>
              <w:rPr>
                <w:rFonts w:hint="eastAsia" w:ascii="宋体" w:cs="宋体"/>
                <w:color w:val="FF0000"/>
                <w:kern w:val="0"/>
                <w:szCs w:val="21"/>
              </w:rPr>
              <w:t xml:space="preserve">3. ▲≥9 寸高分辨率液晶触屏显示器，清晰易操作；     </w:t>
            </w:r>
          </w:p>
          <w:p w14:paraId="629FFADF">
            <w:pPr>
              <w:pStyle w:val="8"/>
              <w:ind w:firstLine="0" w:firstLineChars="0"/>
              <w:rPr>
                <w:rFonts w:hint="eastAsia" w:ascii="宋体" w:cs="宋体"/>
                <w:color w:val="FF0000"/>
                <w:kern w:val="0"/>
                <w:szCs w:val="21"/>
              </w:rPr>
            </w:pPr>
            <w:r>
              <w:rPr>
                <w:rFonts w:hint="eastAsia" w:ascii="宋体" w:cs="宋体"/>
                <w:color w:val="FF0000"/>
                <w:kern w:val="0"/>
                <w:szCs w:val="21"/>
              </w:rPr>
              <w:t>4. 可通过脚踏开关进行两个插口间激活的切换和两个参数间切换；</w:t>
            </w:r>
          </w:p>
          <w:p w14:paraId="15381F65">
            <w:pPr>
              <w:pStyle w:val="8"/>
              <w:ind w:firstLine="0" w:firstLineChars="0"/>
              <w:rPr>
                <w:rFonts w:hint="eastAsia" w:ascii="宋体" w:cs="宋体"/>
                <w:color w:val="FF0000"/>
                <w:kern w:val="0"/>
                <w:szCs w:val="21"/>
              </w:rPr>
            </w:pPr>
            <w:r>
              <w:rPr>
                <w:rFonts w:hint="eastAsia" w:ascii="宋体" w:cs="宋体"/>
                <w:color w:val="FF0000"/>
                <w:kern w:val="0"/>
                <w:szCs w:val="21"/>
              </w:rPr>
              <w:t>5. 对于电切镜、双极电凝、腹腔镜、开放手术、胃内镜手术等设有专用模式</w:t>
            </w:r>
          </w:p>
          <w:p w14:paraId="092273ED">
            <w:pPr>
              <w:pStyle w:val="8"/>
              <w:ind w:firstLine="0" w:firstLineChars="0"/>
              <w:rPr>
                <w:rFonts w:hint="eastAsia" w:ascii="宋体" w:cs="宋体"/>
                <w:color w:val="FF0000"/>
                <w:kern w:val="0"/>
                <w:szCs w:val="21"/>
              </w:rPr>
            </w:pPr>
            <w:r>
              <w:rPr>
                <w:rFonts w:hint="eastAsia" w:ascii="宋体" w:cs="宋体"/>
                <w:color w:val="FF0000"/>
                <w:kern w:val="0"/>
                <w:szCs w:val="21"/>
              </w:rPr>
              <w:t>6. 单极插口≥2个；双极插口≥3个</w:t>
            </w:r>
          </w:p>
          <w:p w14:paraId="3EB14FCA">
            <w:pPr>
              <w:pStyle w:val="8"/>
              <w:ind w:firstLine="0" w:firstLineChars="0"/>
              <w:rPr>
                <w:rFonts w:hint="eastAsia" w:ascii="宋体" w:cs="宋体"/>
                <w:color w:val="FF0000"/>
                <w:kern w:val="0"/>
                <w:szCs w:val="21"/>
              </w:rPr>
            </w:pPr>
            <w:r>
              <w:rPr>
                <w:rFonts w:hint="eastAsia" w:ascii="宋体" w:cs="宋体"/>
                <w:color w:val="FF0000"/>
                <w:kern w:val="0"/>
                <w:szCs w:val="21"/>
              </w:rPr>
              <w:t>7. ▲通过连接器可实现术中自动排烟</w:t>
            </w:r>
          </w:p>
          <w:p w14:paraId="315FABA8">
            <w:pPr>
              <w:pStyle w:val="8"/>
              <w:ind w:firstLine="0" w:firstLineChars="0"/>
              <w:rPr>
                <w:rFonts w:hint="eastAsia" w:ascii="宋体" w:cs="宋体"/>
                <w:color w:val="FF0000"/>
                <w:kern w:val="0"/>
                <w:szCs w:val="21"/>
              </w:rPr>
            </w:pPr>
            <w:r>
              <w:rPr>
                <w:rFonts w:hint="eastAsia" w:ascii="宋体" w:cs="宋体"/>
                <w:color w:val="FF0000"/>
                <w:kern w:val="0"/>
                <w:szCs w:val="21"/>
              </w:rPr>
              <w:t>8. ▲设备带有预设程序的同时可以自行设计程序，最多可存储≥300个</w:t>
            </w:r>
          </w:p>
          <w:p w14:paraId="2C0F4ABA">
            <w:pPr>
              <w:pStyle w:val="8"/>
              <w:ind w:firstLine="0" w:firstLineChars="0"/>
              <w:rPr>
                <w:rFonts w:hint="eastAsia" w:ascii="宋体" w:cs="宋体"/>
                <w:color w:val="FF0000"/>
                <w:kern w:val="0"/>
                <w:szCs w:val="21"/>
              </w:rPr>
            </w:pPr>
            <w:r>
              <w:rPr>
                <w:rFonts w:hint="eastAsia" w:ascii="宋体" w:cs="宋体"/>
                <w:color w:val="FF0000"/>
                <w:kern w:val="0"/>
                <w:szCs w:val="21"/>
              </w:rPr>
              <w:t>9. ▲电气安全符合CF等级</w:t>
            </w:r>
          </w:p>
          <w:p w14:paraId="27174145">
            <w:pPr>
              <w:pStyle w:val="8"/>
              <w:ind w:firstLine="0" w:firstLineChars="0"/>
              <w:rPr>
                <w:rFonts w:hint="eastAsia" w:ascii="宋体" w:cs="宋体"/>
                <w:color w:val="FF0000"/>
                <w:kern w:val="0"/>
                <w:szCs w:val="21"/>
              </w:rPr>
            </w:pPr>
            <w:r>
              <w:rPr>
                <w:rFonts w:hint="eastAsia" w:ascii="宋体" w:cs="宋体"/>
                <w:color w:val="FF0000"/>
                <w:kern w:val="0"/>
                <w:szCs w:val="21"/>
              </w:rPr>
              <w:t>10. 设备出现错误时有声音及图像报警提示</w:t>
            </w:r>
          </w:p>
          <w:p w14:paraId="2CD86952">
            <w:pPr>
              <w:pStyle w:val="8"/>
              <w:ind w:firstLine="0" w:firstLineChars="0"/>
              <w:rPr>
                <w:rFonts w:hint="eastAsia" w:ascii="宋体" w:cs="宋体"/>
                <w:color w:val="FF0000"/>
                <w:kern w:val="0"/>
                <w:szCs w:val="21"/>
              </w:rPr>
            </w:pPr>
            <w:r>
              <w:rPr>
                <w:rFonts w:hint="eastAsia" w:ascii="宋体" w:cs="宋体"/>
                <w:color w:val="FF0000"/>
                <w:kern w:val="0"/>
                <w:szCs w:val="21"/>
              </w:rPr>
              <w:t>11. 每种模式可预设优选参数，在此基础上可以进行个性化调节</w:t>
            </w:r>
          </w:p>
          <w:p w14:paraId="5B0B0955">
            <w:pPr>
              <w:pStyle w:val="8"/>
              <w:ind w:firstLine="0" w:firstLineChars="0"/>
              <w:rPr>
                <w:rFonts w:hint="eastAsia" w:ascii="宋体" w:cs="宋体"/>
                <w:color w:val="FF0000"/>
                <w:kern w:val="0"/>
                <w:szCs w:val="21"/>
              </w:rPr>
            </w:pPr>
            <w:r>
              <w:rPr>
                <w:rFonts w:hint="eastAsia" w:ascii="宋体" w:cs="宋体"/>
                <w:color w:val="FF0000"/>
                <w:kern w:val="0"/>
                <w:szCs w:val="21"/>
              </w:rPr>
              <w:t>12. 可将个性化设置的参数设置保存，收藏</w:t>
            </w:r>
          </w:p>
          <w:p w14:paraId="583F964D">
            <w:pPr>
              <w:pStyle w:val="8"/>
              <w:ind w:firstLine="0" w:firstLineChars="0"/>
              <w:rPr>
                <w:rFonts w:hint="eastAsia" w:ascii="宋体" w:cs="宋体"/>
                <w:color w:val="FF0000"/>
                <w:kern w:val="0"/>
                <w:szCs w:val="21"/>
              </w:rPr>
            </w:pPr>
            <w:r>
              <w:rPr>
                <w:rFonts w:hint="eastAsia" w:ascii="宋体" w:cs="宋体"/>
                <w:color w:val="FF0000"/>
                <w:kern w:val="0"/>
                <w:szCs w:val="21"/>
              </w:rPr>
              <w:t>13. 可通过脚踏开关进行两个参数间切换</w:t>
            </w:r>
          </w:p>
          <w:p w14:paraId="6CB9304E">
            <w:pPr>
              <w:pStyle w:val="8"/>
              <w:ind w:firstLine="0" w:firstLineChars="0"/>
              <w:rPr>
                <w:rFonts w:hint="eastAsia" w:ascii="宋体" w:cs="宋体"/>
                <w:color w:val="FF0000"/>
                <w:kern w:val="0"/>
                <w:szCs w:val="21"/>
              </w:rPr>
            </w:pPr>
            <w:r>
              <w:rPr>
                <w:rFonts w:hint="eastAsia" w:ascii="宋体" w:cs="宋体"/>
                <w:color w:val="FF0000"/>
                <w:kern w:val="0"/>
                <w:szCs w:val="21"/>
              </w:rPr>
              <w:t>14. 可通过脚踏开关进行两个插口间激活的切换</w:t>
            </w:r>
          </w:p>
          <w:p w14:paraId="6F85A299">
            <w:pPr>
              <w:pStyle w:val="8"/>
              <w:ind w:firstLine="0" w:firstLineChars="0"/>
              <w:rPr>
                <w:rFonts w:hint="eastAsia" w:ascii="宋体" w:cs="宋体"/>
                <w:color w:val="FF0000"/>
                <w:kern w:val="0"/>
                <w:szCs w:val="21"/>
              </w:rPr>
            </w:pPr>
            <w:r>
              <w:rPr>
                <w:rFonts w:hint="eastAsia" w:ascii="宋体" w:cs="宋体"/>
                <w:color w:val="FF0000"/>
                <w:kern w:val="0"/>
                <w:szCs w:val="21"/>
              </w:rPr>
              <w:t>15. 对于电切镜、双极电凝、腹腔镜、开放手术、胃内镜手术等设有专用模式</w:t>
            </w:r>
          </w:p>
          <w:p w14:paraId="72BE9E75">
            <w:pPr>
              <w:pStyle w:val="8"/>
              <w:ind w:firstLine="0" w:firstLineChars="0"/>
              <w:rPr>
                <w:rFonts w:hint="eastAsia" w:ascii="宋体" w:cs="宋体"/>
                <w:color w:val="FF0000"/>
                <w:kern w:val="0"/>
                <w:szCs w:val="21"/>
              </w:rPr>
            </w:pPr>
            <w:r>
              <w:rPr>
                <w:rFonts w:hint="eastAsia" w:ascii="宋体" w:cs="宋体"/>
                <w:color w:val="FF0000"/>
                <w:kern w:val="0"/>
                <w:szCs w:val="21"/>
              </w:rPr>
              <w:t>16. 共计单双极模式≥37个</w:t>
            </w:r>
          </w:p>
          <w:p w14:paraId="114C3B2F">
            <w:pPr>
              <w:pStyle w:val="8"/>
              <w:ind w:firstLine="0" w:firstLineChars="0"/>
              <w:rPr>
                <w:rFonts w:hint="eastAsia" w:ascii="宋体" w:cs="宋体"/>
                <w:color w:val="FF0000"/>
                <w:kern w:val="0"/>
                <w:szCs w:val="21"/>
                <w:lang w:val="en-US" w:eastAsia="zh-CN"/>
              </w:rPr>
            </w:pPr>
            <w:r>
              <w:rPr>
                <w:rFonts w:hint="eastAsia" w:ascii="宋体" w:cs="宋体"/>
                <w:color w:val="FF0000"/>
                <w:kern w:val="0"/>
                <w:szCs w:val="21"/>
              </w:rPr>
              <w:t>17. 带有中性电极监测功能，保证安全可靠</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2F4C3C13">
      <w:pPr>
        <w:rPr>
          <w:rFonts w:hint="eastAsia" w:ascii="宋体" w:hAnsi="宋体" w:eastAsia="宋体" w:cs="Times New Roman"/>
          <w:b/>
          <w:bCs/>
          <w:color w:val="auto"/>
          <w:szCs w:val="21"/>
          <w:lang w:val="en-US" w:eastAsia="zh-CN"/>
        </w:rPr>
      </w:pPr>
      <w:bookmarkStart w:id="2" w:name="_GoBack"/>
      <w:bookmarkEnd w:id="2"/>
    </w:p>
    <w:p w14:paraId="49B73BEB">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 w:val="7DB7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autoRedefine/>
    <w:qFormat/>
    <w:uiPriority w:val="0"/>
    <w:pPr>
      <w:spacing w:after="120" w:line="480" w:lineRule="auto"/>
    </w:pPr>
  </w:style>
  <w:style w:type="paragraph" w:styleId="8">
    <w:name w:val="Normal Indent"/>
    <w:basedOn w:val="1"/>
    <w:autoRedefine/>
    <w:qFormat/>
    <w:uiPriority w:val="0"/>
    <w:pPr>
      <w:ind w:firstLine="420"/>
    </w:pPr>
    <w:rPr>
      <w:szCs w:val="20"/>
    </w:r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3584</Words>
  <Characters>3711</Characters>
  <Lines>0</Lines>
  <Paragraphs>0</Paragraphs>
  <TotalTime>0</TotalTime>
  <ScaleCrop>false</ScaleCrop>
  <LinksUpToDate>false</LinksUpToDate>
  <CharactersWithSpaces>4405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2025-02-18T01:56:07Z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