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5D626">
      <w:pPr>
        <w:spacing w:line="360" w:lineRule="auto"/>
        <w:ind w:firstLine="420" w:firstLineChars="200"/>
        <w:rPr>
          <w:rFonts w:hint="eastAsia"/>
        </w:rPr>
      </w:pPr>
    </w:p>
    <w:p w14:paraId="7C87EB25">
      <w:pPr>
        <w:spacing w:line="360" w:lineRule="auto"/>
        <w:ind w:firstLine="420" w:firstLineChars="200"/>
      </w:pPr>
    </w:p>
    <w:p w14:paraId="417092AF">
      <w:pPr>
        <w:spacing w:line="360" w:lineRule="auto"/>
        <w:ind w:firstLine="420" w:firstLineChars="200"/>
      </w:pPr>
    </w:p>
    <w:p w14:paraId="67C8E70B">
      <w:pPr>
        <w:spacing w:line="360" w:lineRule="auto"/>
        <w:ind w:firstLine="420" w:firstLineChars="200"/>
      </w:pPr>
    </w:p>
    <w:p w14:paraId="6601A1D6">
      <w:pPr>
        <w:jc w:val="center"/>
        <w:rPr>
          <w:b/>
          <w:sz w:val="44"/>
          <w:szCs w:val="44"/>
        </w:rPr>
      </w:pPr>
      <w:r>
        <w:rPr>
          <w:rFonts w:hint="eastAsia"/>
          <w:b/>
          <w:sz w:val="44"/>
          <w:szCs w:val="44"/>
        </w:rPr>
        <w:t>采购离子色谱耗材项目</w:t>
      </w:r>
    </w:p>
    <w:p w14:paraId="4D483734">
      <w:pPr>
        <w:jc w:val="center"/>
        <w:rPr>
          <w:b/>
          <w:sz w:val="30"/>
          <w:szCs w:val="30"/>
        </w:rPr>
      </w:pPr>
    </w:p>
    <w:p w14:paraId="6D2C5E4C">
      <w:pPr>
        <w:jc w:val="center"/>
        <w:rPr>
          <w:b/>
          <w:sz w:val="30"/>
          <w:szCs w:val="30"/>
        </w:rPr>
      </w:pPr>
      <w:r>
        <w:rPr>
          <w:rFonts w:hint="eastAsia"/>
          <w:b/>
          <w:sz w:val="30"/>
          <w:szCs w:val="30"/>
        </w:rPr>
        <w:t>项目编号：</w:t>
      </w:r>
      <w:r>
        <w:rPr>
          <w:rFonts w:hint="eastAsia"/>
          <w:b/>
          <w:sz w:val="30"/>
          <w:szCs w:val="30"/>
          <w:lang w:val="en-US" w:eastAsia="zh-CN"/>
        </w:rPr>
        <w:t>BACDCCG2025002</w:t>
      </w:r>
      <w:r>
        <w:rPr>
          <w:b/>
          <w:sz w:val="30"/>
          <w:szCs w:val="30"/>
        </w:rPr>
        <w:t xml:space="preserve"> </w:t>
      </w:r>
    </w:p>
    <w:p w14:paraId="790B037B">
      <w:pPr>
        <w:spacing w:line="360" w:lineRule="auto"/>
        <w:ind w:firstLine="420" w:firstLineChars="200"/>
      </w:pPr>
    </w:p>
    <w:p w14:paraId="4B96A4F8">
      <w:pPr>
        <w:spacing w:line="360" w:lineRule="auto"/>
        <w:ind w:firstLine="420" w:firstLineChars="200"/>
      </w:pPr>
    </w:p>
    <w:p w14:paraId="2AF243E3">
      <w:pPr>
        <w:spacing w:line="360" w:lineRule="auto"/>
        <w:ind w:firstLine="420" w:firstLineChars="200"/>
      </w:pPr>
    </w:p>
    <w:p w14:paraId="20AB7663">
      <w:pPr>
        <w:spacing w:line="360" w:lineRule="auto"/>
        <w:ind w:firstLine="420" w:firstLineChars="200"/>
      </w:pPr>
    </w:p>
    <w:p w14:paraId="7DDAC27D">
      <w:pPr>
        <w:spacing w:line="360" w:lineRule="auto"/>
        <w:ind w:firstLine="420" w:firstLineChars="200"/>
      </w:pPr>
    </w:p>
    <w:p w14:paraId="55EF853B">
      <w:pPr>
        <w:spacing w:line="360" w:lineRule="auto"/>
        <w:ind w:firstLine="420" w:firstLineChars="200"/>
      </w:pPr>
    </w:p>
    <w:p w14:paraId="400A9550">
      <w:pPr>
        <w:spacing w:line="360" w:lineRule="auto"/>
        <w:jc w:val="center"/>
        <w:rPr>
          <w:b/>
          <w:sz w:val="72"/>
          <w:szCs w:val="72"/>
        </w:rPr>
      </w:pPr>
      <w:r>
        <w:rPr>
          <w:rFonts w:hint="eastAsia"/>
          <w:b/>
          <w:sz w:val="72"/>
          <w:szCs w:val="72"/>
        </w:rPr>
        <w:t>招标文件</w:t>
      </w:r>
    </w:p>
    <w:p w14:paraId="6B8B1119">
      <w:pPr>
        <w:spacing w:line="360" w:lineRule="auto"/>
        <w:ind w:firstLine="420" w:firstLineChars="200"/>
      </w:pPr>
    </w:p>
    <w:p w14:paraId="73183581">
      <w:pPr>
        <w:spacing w:line="360" w:lineRule="auto"/>
        <w:ind w:firstLine="420" w:firstLineChars="200"/>
      </w:pPr>
    </w:p>
    <w:p w14:paraId="04C2A59E">
      <w:pPr>
        <w:spacing w:line="360" w:lineRule="auto"/>
        <w:ind w:firstLine="420" w:firstLineChars="200"/>
      </w:pPr>
    </w:p>
    <w:p w14:paraId="6531ECCE">
      <w:pPr>
        <w:spacing w:line="360" w:lineRule="auto"/>
        <w:ind w:firstLine="420" w:firstLineChars="200"/>
      </w:pPr>
    </w:p>
    <w:p w14:paraId="5ABDE4FD">
      <w:pPr>
        <w:spacing w:line="360" w:lineRule="auto"/>
        <w:ind w:firstLine="420" w:firstLineChars="200"/>
      </w:pPr>
    </w:p>
    <w:p w14:paraId="669194CF">
      <w:pPr>
        <w:spacing w:line="360" w:lineRule="auto"/>
      </w:pPr>
    </w:p>
    <w:p w14:paraId="04117668">
      <w:pPr>
        <w:spacing w:line="360" w:lineRule="auto"/>
      </w:pPr>
    </w:p>
    <w:p w14:paraId="2A3755E6">
      <w:pPr>
        <w:spacing w:line="360" w:lineRule="auto"/>
        <w:ind w:firstLine="420" w:firstLineChars="200"/>
      </w:pPr>
    </w:p>
    <w:p w14:paraId="678377B9">
      <w:pPr>
        <w:spacing w:line="360" w:lineRule="auto"/>
        <w:jc w:val="center"/>
        <w:rPr>
          <w:b/>
          <w:sz w:val="30"/>
          <w:szCs w:val="30"/>
        </w:rPr>
      </w:pPr>
      <w:r>
        <w:rPr>
          <w:rFonts w:hint="eastAsia"/>
          <w:b/>
          <w:sz w:val="30"/>
          <w:szCs w:val="30"/>
        </w:rPr>
        <w:t>深圳市宝安区疾病预防控制中心</w:t>
      </w:r>
    </w:p>
    <w:p w14:paraId="21565C5F">
      <w:pPr>
        <w:spacing w:line="360" w:lineRule="auto"/>
        <w:jc w:val="center"/>
        <w:rPr>
          <w:b/>
          <w:sz w:val="30"/>
          <w:szCs w:val="30"/>
        </w:rPr>
      </w:pPr>
      <w:r>
        <w:rPr>
          <w:rFonts w:hint="eastAsia"/>
          <w:b/>
          <w:sz w:val="30"/>
          <w:szCs w:val="30"/>
        </w:rPr>
        <w:t>（深圳市宝安区卫生监督所）</w:t>
      </w:r>
    </w:p>
    <w:p w14:paraId="11FE7E79">
      <w:pPr>
        <w:spacing w:line="360" w:lineRule="auto"/>
        <w:jc w:val="center"/>
        <w:rPr>
          <w:b/>
          <w:sz w:val="30"/>
          <w:szCs w:val="30"/>
        </w:rPr>
      </w:pPr>
      <w:r>
        <w:rPr>
          <w:rFonts w:hint="eastAsia"/>
          <w:b/>
          <w:sz w:val="30"/>
          <w:szCs w:val="30"/>
        </w:rPr>
        <w:t>二〇二五年三月</w:t>
      </w:r>
    </w:p>
    <w:p w14:paraId="345D6FA2">
      <w:pPr>
        <w:spacing w:line="360" w:lineRule="auto"/>
        <w:ind w:firstLine="420" w:firstLineChars="200"/>
      </w:pPr>
    </w:p>
    <w:p w14:paraId="58206A9B">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14:paraId="5A131E10">
      <w:pPr>
        <w:pStyle w:val="2"/>
      </w:pPr>
      <w:bookmarkStart w:id="0" w:name="_Toc61539108"/>
      <w:bookmarkStart w:id="1" w:name="_Toc69596218"/>
      <w:r>
        <w:rPr>
          <w:rFonts w:hint="eastAsia"/>
        </w:rPr>
        <w:t xml:space="preserve">第一章  </w:t>
      </w:r>
      <w:bookmarkEnd w:id="0"/>
      <w:r>
        <w:rPr>
          <w:rFonts w:hint="eastAsia"/>
        </w:rPr>
        <w:t>招标公告</w:t>
      </w:r>
      <w:bookmarkEnd w:id="1"/>
    </w:p>
    <w:p w14:paraId="3BF1A93B">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就采购离子色谱耗材项目</w:t>
      </w:r>
      <w:r>
        <w:rPr>
          <w:rFonts w:hint="eastAsia"/>
        </w:rPr>
        <w:t>接受以下投标人提交密封投标文件。有关事项如下：</w:t>
      </w:r>
    </w:p>
    <w:p w14:paraId="6CDDA486">
      <w:pPr>
        <w:pStyle w:val="4"/>
        <w:ind w:firstLine="482"/>
      </w:pPr>
      <w:bookmarkStart w:id="3" w:name="_Hlk69568538"/>
      <w:r>
        <w:rPr>
          <w:rFonts w:hint="eastAsia"/>
        </w:rPr>
        <w:t>一、项目基本信息</w:t>
      </w:r>
    </w:p>
    <w:p w14:paraId="034D3469">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采购离子色谱耗材项目</w:t>
      </w:r>
    </w:p>
    <w:p w14:paraId="09D0A6FD">
      <w:pPr>
        <w:spacing w:line="360" w:lineRule="auto"/>
        <w:ind w:firstLine="420" w:firstLineChars="200"/>
        <w:rPr>
          <w:rFonts w:hint="default" w:eastAsiaTheme="minorEastAsia"/>
          <w:lang w:val="en-US" w:eastAsia="zh-CN"/>
        </w:rPr>
      </w:pPr>
      <w:r>
        <w:rPr>
          <w:rFonts w:hint="eastAsia"/>
        </w:rPr>
        <w:t>2、</w:t>
      </w:r>
      <w:r>
        <w:t xml:space="preserve">项目编号： </w:t>
      </w:r>
      <w:r>
        <w:rPr>
          <w:rFonts w:hint="eastAsia"/>
          <w:lang w:val="en-US" w:eastAsia="zh-CN"/>
        </w:rPr>
        <w:t>BACDCCG2025002</w:t>
      </w:r>
    </w:p>
    <w:p w14:paraId="59A89C94">
      <w:pPr>
        <w:spacing w:line="360" w:lineRule="auto"/>
        <w:ind w:firstLine="420" w:firstLineChars="200"/>
      </w:pPr>
      <w:r>
        <w:rPr>
          <w:rFonts w:hint="eastAsia"/>
        </w:rPr>
        <w:t>3、项目类别：货物类</w:t>
      </w:r>
    </w:p>
    <w:p w14:paraId="7E5307B0">
      <w:pPr>
        <w:spacing w:line="360" w:lineRule="auto"/>
        <w:ind w:firstLine="420" w:firstLineChars="200"/>
      </w:pPr>
      <w:r>
        <w:t>4</w:t>
      </w:r>
      <w:r>
        <w:rPr>
          <w:rFonts w:hint="eastAsia"/>
        </w:rPr>
        <w:t>、</w:t>
      </w:r>
      <w:r>
        <w:t>采购单位：</w:t>
      </w:r>
      <w:r>
        <w:rPr>
          <w:rFonts w:hint="eastAsia"/>
        </w:rPr>
        <w:t>深圳市宝安区疾病预防控制中心</w:t>
      </w:r>
    </w:p>
    <w:p w14:paraId="1660EF14">
      <w:pPr>
        <w:spacing w:line="360" w:lineRule="auto"/>
        <w:ind w:firstLine="420" w:firstLineChars="200"/>
      </w:pPr>
      <w:r>
        <w:t>5</w:t>
      </w:r>
      <w:r>
        <w:rPr>
          <w:rFonts w:hint="eastAsia"/>
        </w:rPr>
        <w:t>、采购方式：公开招标</w:t>
      </w:r>
    </w:p>
    <w:p w14:paraId="454DBAAF">
      <w:pPr>
        <w:spacing w:line="360" w:lineRule="auto"/>
        <w:ind w:firstLine="422" w:firstLineChars="200"/>
        <w:rPr>
          <w:b/>
        </w:rPr>
      </w:pPr>
      <w:r>
        <w:rPr>
          <w:b/>
        </w:rPr>
        <w:t>6</w:t>
      </w:r>
      <w:r>
        <w:rPr>
          <w:rFonts w:hint="eastAsia"/>
          <w:b/>
        </w:rPr>
        <w:t>、评标方法：最低评标价法</w:t>
      </w:r>
    </w:p>
    <w:bookmarkEnd w:id="3"/>
    <w:p w14:paraId="7CEC69FE">
      <w:pPr>
        <w:pStyle w:val="4"/>
        <w:ind w:firstLine="482"/>
      </w:pPr>
      <w:r>
        <w:rPr>
          <w:rFonts w:hint="eastAsia"/>
        </w:rPr>
        <w:t>二、采购预算</w:t>
      </w:r>
    </w:p>
    <w:p w14:paraId="2CEABDD2">
      <w:pPr>
        <w:spacing w:line="360" w:lineRule="auto"/>
        <w:ind w:firstLine="420" w:firstLineChars="200"/>
      </w:pPr>
      <w:r>
        <w:rPr>
          <w:rFonts w:hint="eastAsia"/>
        </w:rPr>
        <w:t>本项目采购预算金额为4</w:t>
      </w:r>
      <w:r>
        <w:rPr>
          <w:rFonts w:hint="eastAsia"/>
          <w:lang w:val="en-US" w:eastAsia="zh-CN"/>
        </w:rPr>
        <w:t>3</w:t>
      </w:r>
      <w:r>
        <w:rPr>
          <w:rFonts w:hint="eastAsia"/>
        </w:rPr>
        <w:t>，0</w:t>
      </w:r>
      <w:r>
        <w:t>00</w:t>
      </w:r>
      <w:r>
        <w:rPr>
          <w:rFonts w:hint="eastAsia"/>
        </w:rPr>
        <w:t>.00元整。</w:t>
      </w:r>
    </w:p>
    <w:p w14:paraId="2F46365B">
      <w:pPr>
        <w:pStyle w:val="4"/>
        <w:ind w:firstLine="482"/>
      </w:pPr>
      <w:bookmarkStart w:id="4" w:name="_Hlk69568757"/>
      <w:r>
        <w:rPr>
          <w:rFonts w:hint="eastAsia"/>
        </w:rPr>
        <w:t>三、需落实的采购政策</w:t>
      </w:r>
    </w:p>
    <w:p w14:paraId="2A2D9E5A">
      <w:pPr>
        <w:spacing w:line="360" w:lineRule="auto"/>
        <w:ind w:firstLine="420" w:firstLineChars="200"/>
      </w:pPr>
      <w:r>
        <w:rPr>
          <w:rFonts w:hint="eastAsia"/>
        </w:rPr>
        <w:t>按照相关规定执行，详见采购需求标准。</w:t>
      </w:r>
    </w:p>
    <w:p w14:paraId="4B94B2F2">
      <w:pPr>
        <w:pStyle w:val="4"/>
        <w:ind w:firstLine="482"/>
      </w:pPr>
      <w:r>
        <w:rPr>
          <w:rFonts w:hint="eastAsia"/>
        </w:rPr>
        <w:t>四、供应商资格要求</w:t>
      </w:r>
    </w:p>
    <w:p w14:paraId="79B92040">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4952873F">
      <w:pPr>
        <w:spacing w:line="360" w:lineRule="auto"/>
        <w:ind w:firstLine="420" w:firstLineChars="200"/>
      </w:pPr>
      <w:bookmarkStart w:id="184" w:name="_GoBack"/>
      <w:bookmarkEnd w:id="184"/>
      <w:r>
        <w:rPr>
          <w:rFonts w:hint="eastAsia"/>
        </w:rPr>
        <w:t>2、投标人参加本次政府采购活动前3年内在经营活动中没有重大违法记录（提供声明函）；</w:t>
      </w:r>
    </w:p>
    <w:p w14:paraId="47316F1B">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1A5FD8CC">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现场网上查询)；</w:t>
      </w:r>
    </w:p>
    <w:p w14:paraId="7A443525">
      <w:pPr>
        <w:spacing w:line="360" w:lineRule="auto"/>
        <w:ind w:firstLine="420" w:firstLineChars="200"/>
      </w:pPr>
      <w:r>
        <w:rPr>
          <w:rFonts w:hint="eastAsia"/>
        </w:rPr>
        <w:t>5、本项目不接受联合体投标。</w:t>
      </w:r>
    </w:p>
    <w:p w14:paraId="55052F33">
      <w:pPr>
        <w:pStyle w:val="4"/>
        <w:ind w:firstLine="482"/>
      </w:pPr>
      <w:r>
        <w:rPr>
          <w:rFonts w:hint="eastAsia"/>
        </w:rPr>
        <w:t>五、获取招标文件的时间、地点及方式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highlight w:val="yellow"/>
        </w:rPr>
        <w:t>0</w:t>
      </w:r>
      <w:r>
        <w:rPr>
          <w:rFonts w:hint="eastAsia"/>
          <w:highlight w:val="yellow"/>
          <w:lang w:val="en-US" w:eastAsia="zh-CN"/>
        </w:rPr>
        <w:t>3</w:t>
      </w:r>
      <w:r>
        <w:rPr>
          <w:rFonts w:hint="eastAsia"/>
          <w:highlight w:val="yellow"/>
        </w:rPr>
        <w:t>月</w:t>
      </w:r>
      <w:r>
        <w:rPr>
          <w:rFonts w:hint="eastAsia"/>
          <w:highlight w:val="yellow"/>
          <w:lang w:val="en-US" w:eastAsia="zh-CN"/>
        </w:rPr>
        <w:t>19</w:t>
      </w:r>
      <w:r>
        <w:rPr>
          <w:rFonts w:hint="eastAsia"/>
          <w:highlight w:val="yellow"/>
        </w:rPr>
        <w:t>日起至202</w:t>
      </w:r>
      <w:r>
        <w:rPr>
          <w:rFonts w:hint="eastAsia"/>
          <w:highlight w:val="yellow"/>
          <w:lang w:val="en-US" w:eastAsia="zh-CN"/>
        </w:rPr>
        <w:t>5</w:t>
      </w:r>
      <w:r>
        <w:rPr>
          <w:rFonts w:hint="eastAsia"/>
          <w:highlight w:val="yellow"/>
        </w:rPr>
        <w:t>年</w:t>
      </w:r>
      <w:r>
        <w:rPr>
          <w:highlight w:val="yellow"/>
        </w:rPr>
        <w:t>0</w:t>
      </w:r>
      <w:r>
        <w:rPr>
          <w:rFonts w:hint="eastAsia"/>
          <w:highlight w:val="yellow"/>
          <w:lang w:val="en-US" w:eastAsia="zh-CN"/>
        </w:rPr>
        <w:t>3</w:t>
      </w:r>
      <w:r>
        <w:rPr>
          <w:rFonts w:hint="eastAsia"/>
          <w:highlight w:val="yellow"/>
        </w:rPr>
        <w:t>月</w:t>
      </w:r>
      <w:r>
        <w:rPr>
          <w:rFonts w:hint="default"/>
          <w:highlight w:val="yellow"/>
          <w:lang w:val="en-US"/>
        </w:rPr>
        <w:t>2</w:t>
      </w:r>
      <w:r>
        <w:rPr>
          <w:rFonts w:hint="eastAsia"/>
          <w:highlight w:val="yellow"/>
          <w:lang w:val="en-US" w:eastAsia="zh-CN"/>
        </w:rPr>
        <w:t>5</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4"/>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highlight w:val="yellow"/>
        </w:rPr>
        <w:t>0</w:t>
      </w:r>
      <w:r>
        <w:rPr>
          <w:rFonts w:hint="eastAsia"/>
          <w:highlight w:val="yellow"/>
          <w:lang w:val="en-US" w:eastAsia="zh-CN"/>
        </w:rPr>
        <w:t>3</w:t>
      </w:r>
      <w:r>
        <w:rPr>
          <w:rFonts w:hint="eastAsia"/>
          <w:highlight w:val="yellow"/>
        </w:rPr>
        <w:t>月</w:t>
      </w:r>
      <w:r>
        <w:rPr>
          <w:rFonts w:hint="default"/>
          <w:highlight w:val="yellow"/>
          <w:lang w:val="en-US" w:eastAsia="zh-CN"/>
        </w:rPr>
        <w:t>2</w:t>
      </w:r>
      <w:r>
        <w:rPr>
          <w:rFonts w:hint="eastAsia"/>
          <w:highlight w:val="yellow"/>
          <w:lang w:val="en-US" w:eastAsia="zh-CN"/>
        </w:rPr>
        <w:t>5</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4"/>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F3D5E22">
      <w:pPr>
        <w:spacing w:line="360" w:lineRule="auto"/>
        <w:ind w:firstLine="420" w:firstLineChars="200"/>
      </w:pPr>
    </w:p>
    <w:p w14:paraId="49ED86B5">
      <w:pPr>
        <w:spacing w:line="360" w:lineRule="auto"/>
        <w:ind w:firstLine="420" w:firstLineChars="200"/>
      </w:pPr>
    </w:p>
    <w:p w14:paraId="1D44210E">
      <w:pPr>
        <w:spacing w:line="360" w:lineRule="auto"/>
        <w:ind w:firstLine="5460" w:firstLineChars="2600"/>
      </w:pPr>
      <w:r>
        <w:rPr>
          <w:rFonts w:hint="eastAsia"/>
        </w:rPr>
        <w:t>深圳市宝安区疾病预防控制中心</w:t>
      </w:r>
    </w:p>
    <w:p w14:paraId="0F98AFB7">
      <w:pPr>
        <w:spacing w:line="360" w:lineRule="auto"/>
        <w:ind w:firstLine="5460" w:firstLineChars="2600"/>
      </w:pPr>
      <w:r>
        <w:rPr>
          <w:rFonts w:hint="eastAsia"/>
        </w:rPr>
        <w:t>（深圳市宝安区卫生监督所）</w:t>
      </w:r>
    </w:p>
    <w:p w14:paraId="73A6098F">
      <w:pPr>
        <w:spacing w:line="360" w:lineRule="auto"/>
        <w:ind w:firstLine="5880" w:firstLineChars="2800"/>
      </w:pPr>
      <w:r>
        <w:rPr>
          <w:rFonts w:hint="eastAsia"/>
        </w:rPr>
        <w:t>2</w:t>
      </w:r>
      <w:r>
        <w:t>025</w:t>
      </w:r>
      <w:r>
        <w:rPr>
          <w:rFonts w:hint="eastAsia"/>
        </w:rPr>
        <w:t>年</w:t>
      </w:r>
      <w:r>
        <w:t>03</w:t>
      </w:r>
      <w:r>
        <w:rPr>
          <w:rFonts w:hint="eastAsia"/>
        </w:rPr>
        <w:t>月</w:t>
      </w:r>
      <w:r>
        <w:t>1</w:t>
      </w:r>
      <w:r>
        <w:rPr>
          <w:rFonts w:hint="eastAsia"/>
          <w:lang w:val="en-US" w:eastAsia="zh-CN"/>
        </w:rPr>
        <w:t>8</w:t>
      </w:r>
      <w:r>
        <w:rPr>
          <w:rFonts w:hint="eastAsia"/>
        </w:rPr>
        <w:t>日</w:t>
      </w:r>
    </w:p>
    <w:p w14:paraId="2F15A51D">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0191A622">
      <w:pPr>
        <w:pStyle w:val="2"/>
      </w:pPr>
      <w:bookmarkStart w:id="7" w:name="_Toc69596219"/>
      <w:bookmarkStart w:id="8" w:name="_Toc61539109"/>
      <w:r>
        <w:rPr>
          <w:rFonts w:hint="eastAsia"/>
        </w:rPr>
        <w:t>第二章  用户需求书</w:t>
      </w:r>
      <w:bookmarkEnd w:id="7"/>
      <w:bookmarkEnd w:id="8"/>
    </w:p>
    <w:p w14:paraId="6B4F0BB5">
      <w:pPr>
        <w:pStyle w:val="4"/>
        <w:ind w:firstLine="482"/>
      </w:pPr>
      <w:r>
        <w:rPr>
          <w:rFonts w:hint="eastAsia"/>
        </w:rPr>
        <w:t>一、服务要求</w:t>
      </w:r>
    </w:p>
    <w:p w14:paraId="1A167EA7">
      <w:pPr>
        <w:tabs>
          <w:tab w:val="left" w:pos="907"/>
        </w:tabs>
        <w:spacing w:line="360" w:lineRule="auto"/>
        <w:rPr>
          <w:rFonts w:ascii="宋体" w:hAnsi="宋体"/>
          <w:sz w:val="24"/>
        </w:rPr>
      </w:pPr>
      <w:r>
        <w:rPr>
          <w:rFonts w:hint="eastAsia" w:ascii="宋体" w:hAnsi="宋体"/>
          <w:sz w:val="24"/>
        </w:rPr>
        <w:t>1、原耗材品牌及型号：</w:t>
      </w:r>
    </w:p>
    <w:p w14:paraId="504DF1F0">
      <w:pPr>
        <w:rPr>
          <w:rFonts w:hint="eastAsia"/>
        </w:rPr>
      </w:pPr>
    </w:p>
    <w:tbl>
      <w:tblPr>
        <w:tblStyle w:val="1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851"/>
        <w:gridCol w:w="1753"/>
        <w:gridCol w:w="620"/>
        <w:gridCol w:w="620"/>
        <w:gridCol w:w="3101"/>
      </w:tblGrid>
      <w:tr w14:paraId="0DD2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9" w:type="dxa"/>
            <w:vAlign w:val="center"/>
          </w:tcPr>
          <w:p w14:paraId="664CADB5">
            <w:pPr>
              <w:pStyle w:val="27"/>
              <w:tabs>
                <w:tab w:val="left" w:pos="907"/>
              </w:tabs>
              <w:spacing w:line="360" w:lineRule="auto"/>
              <w:ind w:firstLine="0" w:firstLineChars="0"/>
              <w:jc w:val="center"/>
              <w:rPr>
                <w:rFonts w:asciiTheme="minorEastAsia" w:hAnsiTheme="minorEastAsia"/>
                <w:szCs w:val="21"/>
              </w:rPr>
            </w:pPr>
            <w:r>
              <w:rPr>
                <w:rFonts w:hint="eastAsia" w:asciiTheme="minorEastAsia" w:hAnsiTheme="minorEastAsia"/>
                <w:szCs w:val="21"/>
              </w:rPr>
              <w:t>名称</w:t>
            </w:r>
          </w:p>
        </w:tc>
        <w:tc>
          <w:tcPr>
            <w:tcW w:w="851" w:type="dxa"/>
            <w:vAlign w:val="center"/>
          </w:tcPr>
          <w:p w14:paraId="4A9D25FC">
            <w:pPr>
              <w:pStyle w:val="27"/>
              <w:tabs>
                <w:tab w:val="left" w:pos="907"/>
              </w:tabs>
              <w:spacing w:line="360" w:lineRule="auto"/>
              <w:ind w:firstLine="0" w:firstLineChars="0"/>
              <w:jc w:val="center"/>
              <w:rPr>
                <w:rFonts w:hint="eastAsia" w:asciiTheme="minorEastAsia" w:hAnsiTheme="minorEastAsia"/>
                <w:szCs w:val="21"/>
              </w:rPr>
            </w:pPr>
            <w:r>
              <w:rPr>
                <w:rFonts w:hint="eastAsia" w:asciiTheme="minorEastAsia" w:hAnsiTheme="minorEastAsia"/>
                <w:szCs w:val="21"/>
              </w:rPr>
              <w:t>品牌</w:t>
            </w:r>
          </w:p>
        </w:tc>
        <w:tc>
          <w:tcPr>
            <w:tcW w:w="1753" w:type="dxa"/>
            <w:vAlign w:val="center"/>
          </w:tcPr>
          <w:p w14:paraId="1F85DFCD">
            <w:pPr>
              <w:pStyle w:val="27"/>
              <w:tabs>
                <w:tab w:val="left" w:pos="907"/>
              </w:tabs>
              <w:spacing w:line="360" w:lineRule="auto"/>
              <w:ind w:firstLine="0" w:firstLineChars="0"/>
              <w:jc w:val="center"/>
              <w:rPr>
                <w:rFonts w:asciiTheme="minorEastAsia" w:hAnsiTheme="minorEastAsia"/>
                <w:szCs w:val="21"/>
              </w:rPr>
            </w:pPr>
            <w:r>
              <w:rPr>
                <w:rFonts w:hint="eastAsia" w:asciiTheme="minorEastAsia" w:hAnsiTheme="minorEastAsia"/>
                <w:szCs w:val="21"/>
              </w:rPr>
              <w:t>规格</w:t>
            </w:r>
          </w:p>
        </w:tc>
        <w:tc>
          <w:tcPr>
            <w:tcW w:w="0" w:type="auto"/>
            <w:vAlign w:val="center"/>
          </w:tcPr>
          <w:p w14:paraId="7DE3DEF2">
            <w:pPr>
              <w:pStyle w:val="27"/>
              <w:tabs>
                <w:tab w:val="left" w:pos="907"/>
              </w:tabs>
              <w:spacing w:line="360" w:lineRule="auto"/>
              <w:ind w:firstLine="0" w:firstLineChars="0"/>
              <w:jc w:val="center"/>
              <w:rPr>
                <w:rFonts w:asciiTheme="minorEastAsia" w:hAnsiTheme="minorEastAsia"/>
                <w:szCs w:val="21"/>
              </w:rPr>
            </w:pPr>
            <w:r>
              <w:rPr>
                <w:rFonts w:hint="eastAsia" w:asciiTheme="minorEastAsia" w:hAnsiTheme="minorEastAsia"/>
                <w:szCs w:val="21"/>
              </w:rPr>
              <w:t>单位</w:t>
            </w:r>
          </w:p>
        </w:tc>
        <w:tc>
          <w:tcPr>
            <w:tcW w:w="0" w:type="auto"/>
            <w:vAlign w:val="center"/>
          </w:tcPr>
          <w:p w14:paraId="7E3DDA22">
            <w:pPr>
              <w:pStyle w:val="27"/>
              <w:tabs>
                <w:tab w:val="left" w:pos="907"/>
              </w:tabs>
              <w:spacing w:line="360" w:lineRule="auto"/>
              <w:ind w:firstLine="0" w:firstLineChars="0"/>
              <w:jc w:val="center"/>
              <w:rPr>
                <w:rFonts w:asciiTheme="minorEastAsia" w:hAnsiTheme="minorEastAsia"/>
                <w:szCs w:val="21"/>
              </w:rPr>
            </w:pPr>
            <w:r>
              <w:rPr>
                <w:rFonts w:hint="eastAsia" w:asciiTheme="minorEastAsia" w:hAnsiTheme="minorEastAsia"/>
                <w:szCs w:val="21"/>
              </w:rPr>
              <w:t>数量</w:t>
            </w:r>
          </w:p>
        </w:tc>
        <w:tc>
          <w:tcPr>
            <w:tcW w:w="3101" w:type="dxa"/>
            <w:vAlign w:val="center"/>
          </w:tcPr>
          <w:p w14:paraId="3A4E9462">
            <w:pPr>
              <w:pStyle w:val="27"/>
              <w:tabs>
                <w:tab w:val="left" w:pos="907"/>
              </w:tabs>
              <w:spacing w:line="360" w:lineRule="auto"/>
              <w:ind w:firstLine="0" w:firstLineChars="0"/>
              <w:jc w:val="center"/>
              <w:rPr>
                <w:rFonts w:hint="eastAsia" w:asciiTheme="minorEastAsia" w:hAnsiTheme="minorEastAsia"/>
                <w:szCs w:val="21"/>
              </w:rPr>
            </w:pPr>
            <w:r>
              <w:rPr>
                <w:rFonts w:hint="eastAsia" w:asciiTheme="minorEastAsia" w:hAnsiTheme="minorEastAsia"/>
                <w:szCs w:val="21"/>
              </w:rPr>
              <w:t>备注</w:t>
            </w:r>
          </w:p>
        </w:tc>
      </w:tr>
      <w:tr w14:paraId="451C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9" w:type="dxa"/>
            <w:vAlign w:val="center"/>
          </w:tcPr>
          <w:p w14:paraId="3BC467BB">
            <w:pPr>
              <w:spacing w:line="276" w:lineRule="auto"/>
              <w:jc w:val="center"/>
              <w:rPr>
                <w:rFonts w:asciiTheme="minorEastAsia" w:hAnsiTheme="minorEastAsia" w:cstheme="minorEastAsia"/>
                <w:color w:val="000000"/>
                <w:szCs w:val="21"/>
              </w:rPr>
            </w:pPr>
            <w:r>
              <w:rPr>
                <w:rFonts w:hint="eastAsia" w:cs="Arial"/>
                <w:color w:val="000000"/>
                <w:szCs w:val="21"/>
              </w:rPr>
              <w:t>阳离子色谱柱</w:t>
            </w:r>
          </w:p>
        </w:tc>
        <w:tc>
          <w:tcPr>
            <w:tcW w:w="851" w:type="dxa"/>
            <w:vAlign w:val="center"/>
          </w:tcPr>
          <w:p w14:paraId="4387490D">
            <w:pPr>
              <w:spacing w:line="276" w:lineRule="auto"/>
              <w:jc w:val="center"/>
              <w:rPr>
                <w:rFonts w:hint="eastAsia" w:cs="Arial"/>
                <w:color w:val="000000"/>
                <w:szCs w:val="21"/>
              </w:rPr>
            </w:pPr>
            <w:r>
              <w:rPr>
                <w:rFonts w:hint="eastAsia" w:cs="Arial"/>
                <w:color w:val="000000"/>
                <w:szCs w:val="21"/>
              </w:rPr>
              <w:t>塞默飞</w:t>
            </w:r>
          </w:p>
        </w:tc>
        <w:tc>
          <w:tcPr>
            <w:tcW w:w="1753" w:type="dxa"/>
            <w:vAlign w:val="center"/>
          </w:tcPr>
          <w:p w14:paraId="3BAA0059">
            <w:pPr>
              <w:spacing w:line="276" w:lineRule="auto"/>
              <w:jc w:val="center"/>
              <w:rPr>
                <w:rFonts w:asciiTheme="minorEastAsia" w:hAnsiTheme="minorEastAsia" w:cstheme="minorEastAsia"/>
                <w:color w:val="000000"/>
                <w:szCs w:val="21"/>
              </w:rPr>
            </w:pPr>
            <w:r>
              <w:rPr>
                <w:rFonts w:hint="eastAsia" w:cs="Arial"/>
                <w:color w:val="000000"/>
                <w:szCs w:val="21"/>
              </w:rPr>
              <w:t>CS12A</w:t>
            </w:r>
            <w:r>
              <w:rPr>
                <w:rFonts w:cs="Arial"/>
                <w:color w:val="000000"/>
                <w:szCs w:val="21"/>
              </w:rPr>
              <w:t>(</w:t>
            </w:r>
            <w:r>
              <w:rPr>
                <w:rFonts w:hint="eastAsia" w:cs="Arial"/>
                <w:color w:val="000000"/>
                <w:szCs w:val="21"/>
              </w:rPr>
              <w:t>4*250mm</w:t>
            </w:r>
            <w:r>
              <w:rPr>
                <w:rFonts w:cs="Arial"/>
                <w:color w:val="000000"/>
                <w:szCs w:val="21"/>
              </w:rPr>
              <w:t>)</w:t>
            </w:r>
          </w:p>
        </w:tc>
        <w:tc>
          <w:tcPr>
            <w:tcW w:w="0" w:type="auto"/>
            <w:vAlign w:val="center"/>
          </w:tcPr>
          <w:p w14:paraId="3639B66C">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根</w:t>
            </w:r>
          </w:p>
        </w:tc>
        <w:tc>
          <w:tcPr>
            <w:tcW w:w="0" w:type="auto"/>
            <w:vAlign w:val="center"/>
          </w:tcPr>
          <w:p w14:paraId="5660D3AA">
            <w:pPr>
              <w:spacing w:line="276" w:lineRule="auto"/>
              <w:jc w:val="center"/>
              <w:rPr>
                <w:rFonts w:cs="Arial"/>
                <w:color w:val="000000"/>
                <w:szCs w:val="21"/>
              </w:rPr>
            </w:pPr>
            <w:r>
              <w:rPr>
                <w:rFonts w:hint="eastAsia" w:cs="Arial"/>
                <w:color w:val="000000"/>
                <w:szCs w:val="21"/>
              </w:rPr>
              <w:t>1</w:t>
            </w:r>
          </w:p>
        </w:tc>
        <w:tc>
          <w:tcPr>
            <w:tcW w:w="3101" w:type="dxa"/>
          </w:tcPr>
          <w:p w14:paraId="7734CD68">
            <w:pPr>
              <w:spacing w:line="276" w:lineRule="auto"/>
              <w:jc w:val="center"/>
              <w:rPr>
                <w:rFonts w:hint="eastAsia" w:cs="Arial"/>
                <w:color w:val="000000"/>
                <w:szCs w:val="21"/>
              </w:rPr>
            </w:pPr>
            <w:r>
              <w:rPr>
                <w:rFonts w:hint="eastAsia" w:cs="Arial"/>
                <w:color w:val="000000"/>
                <w:szCs w:val="21"/>
              </w:rPr>
              <w:t>适用于塞默飞ICS-900型离子</w:t>
            </w:r>
            <w:r>
              <w:rPr>
                <w:rFonts w:cs="Arial"/>
                <w:color w:val="000000"/>
                <w:szCs w:val="21"/>
              </w:rPr>
              <w:t>色谱仪</w:t>
            </w:r>
          </w:p>
        </w:tc>
      </w:tr>
      <w:tr w14:paraId="7564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9" w:type="dxa"/>
            <w:vAlign w:val="center"/>
          </w:tcPr>
          <w:p w14:paraId="31073D53">
            <w:pPr>
              <w:spacing w:line="276" w:lineRule="auto"/>
              <w:jc w:val="center"/>
              <w:rPr>
                <w:rFonts w:asciiTheme="minorEastAsia" w:hAnsiTheme="minorEastAsia" w:cstheme="minorEastAsia"/>
                <w:color w:val="000000"/>
                <w:szCs w:val="21"/>
              </w:rPr>
            </w:pPr>
            <w:r>
              <w:rPr>
                <w:rFonts w:hint="eastAsia" w:cs="Arial"/>
                <w:color w:val="000000"/>
                <w:szCs w:val="21"/>
              </w:rPr>
              <w:t>阳离子</w:t>
            </w:r>
            <w:r>
              <w:rPr>
                <w:rFonts w:cs="Arial"/>
                <w:color w:val="000000"/>
                <w:szCs w:val="21"/>
              </w:rPr>
              <w:t>色谱柱</w:t>
            </w:r>
            <w:r>
              <w:rPr>
                <w:rFonts w:hint="eastAsia" w:cs="Arial"/>
                <w:color w:val="000000"/>
                <w:szCs w:val="21"/>
              </w:rPr>
              <w:t>保护柱</w:t>
            </w:r>
          </w:p>
        </w:tc>
        <w:tc>
          <w:tcPr>
            <w:tcW w:w="851" w:type="dxa"/>
            <w:vAlign w:val="center"/>
          </w:tcPr>
          <w:p w14:paraId="1B07356D">
            <w:pPr>
              <w:spacing w:line="276" w:lineRule="auto"/>
              <w:jc w:val="center"/>
              <w:rPr>
                <w:rFonts w:hint="eastAsia" w:cs="Arial"/>
                <w:color w:val="000000"/>
                <w:szCs w:val="21"/>
              </w:rPr>
            </w:pPr>
            <w:r>
              <w:rPr>
                <w:rFonts w:hint="eastAsia" w:cs="Arial"/>
                <w:color w:val="000000"/>
                <w:szCs w:val="21"/>
              </w:rPr>
              <w:t>塞默飞</w:t>
            </w:r>
          </w:p>
        </w:tc>
        <w:tc>
          <w:tcPr>
            <w:tcW w:w="1753" w:type="dxa"/>
            <w:vAlign w:val="center"/>
          </w:tcPr>
          <w:p w14:paraId="6F9EFBB3">
            <w:pPr>
              <w:spacing w:line="276" w:lineRule="auto"/>
              <w:jc w:val="center"/>
              <w:rPr>
                <w:rFonts w:asciiTheme="minorEastAsia" w:hAnsiTheme="minorEastAsia" w:cstheme="minorEastAsia"/>
                <w:color w:val="000000"/>
                <w:szCs w:val="21"/>
              </w:rPr>
            </w:pPr>
            <w:r>
              <w:rPr>
                <w:rFonts w:hint="eastAsia" w:cs="Arial"/>
                <w:color w:val="000000"/>
                <w:szCs w:val="21"/>
              </w:rPr>
              <w:t>CG12A</w:t>
            </w:r>
            <w:r>
              <w:rPr>
                <w:rFonts w:cs="Arial"/>
                <w:color w:val="000000"/>
                <w:szCs w:val="21"/>
              </w:rPr>
              <w:t>(</w:t>
            </w:r>
            <w:r>
              <w:rPr>
                <w:rFonts w:hint="eastAsia" w:cs="Arial"/>
                <w:color w:val="000000"/>
                <w:szCs w:val="21"/>
              </w:rPr>
              <w:t>4*50mm</w:t>
            </w:r>
            <w:r>
              <w:rPr>
                <w:rFonts w:cs="Arial"/>
                <w:color w:val="000000"/>
                <w:szCs w:val="21"/>
              </w:rPr>
              <w:t>)</w:t>
            </w:r>
          </w:p>
        </w:tc>
        <w:tc>
          <w:tcPr>
            <w:tcW w:w="0" w:type="auto"/>
            <w:vAlign w:val="center"/>
          </w:tcPr>
          <w:p w14:paraId="6FCB0704">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根</w:t>
            </w:r>
          </w:p>
        </w:tc>
        <w:tc>
          <w:tcPr>
            <w:tcW w:w="0" w:type="auto"/>
            <w:vAlign w:val="center"/>
          </w:tcPr>
          <w:p w14:paraId="432AA211">
            <w:pPr>
              <w:spacing w:line="276" w:lineRule="auto"/>
              <w:jc w:val="center"/>
              <w:rPr>
                <w:rFonts w:cs="Arial"/>
                <w:color w:val="000000"/>
                <w:szCs w:val="21"/>
              </w:rPr>
            </w:pPr>
            <w:r>
              <w:rPr>
                <w:rFonts w:hint="eastAsia" w:cs="Arial"/>
                <w:color w:val="000000"/>
                <w:szCs w:val="21"/>
              </w:rPr>
              <w:t>1</w:t>
            </w:r>
          </w:p>
        </w:tc>
        <w:tc>
          <w:tcPr>
            <w:tcW w:w="3101" w:type="dxa"/>
          </w:tcPr>
          <w:p w14:paraId="1E53BE23">
            <w:pPr>
              <w:spacing w:line="276" w:lineRule="auto"/>
              <w:jc w:val="center"/>
              <w:rPr>
                <w:rFonts w:hint="eastAsia" w:cs="Arial"/>
                <w:color w:val="000000"/>
                <w:szCs w:val="21"/>
              </w:rPr>
            </w:pPr>
            <w:r>
              <w:rPr>
                <w:rFonts w:hint="eastAsia" w:cs="Arial"/>
                <w:color w:val="000000"/>
                <w:szCs w:val="21"/>
              </w:rPr>
              <w:t>适用于塞默飞ICS-900型离子</w:t>
            </w:r>
            <w:r>
              <w:rPr>
                <w:rFonts w:cs="Arial"/>
                <w:color w:val="000000"/>
                <w:szCs w:val="21"/>
              </w:rPr>
              <w:t>色谱仪</w:t>
            </w:r>
          </w:p>
        </w:tc>
      </w:tr>
      <w:tr w14:paraId="275F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9" w:type="dxa"/>
            <w:vAlign w:val="center"/>
          </w:tcPr>
          <w:p w14:paraId="7B388D6B">
            <w:pPr>
              <w:spacing w:line="276" w:lineRule="auto"/>
              <w:jc w:val="center"/>
              <w:rPr>
                <w:rFonts w:asciiTheme="minorEastAsia" w:hAnsiTheme="minorEastAsia" w:cstheme="minorEastAsia"/>
                <w:color w:val="000000"/>
                <w:szCs w:val="21"/>
              </w:rPr>
            </w:pPr>
            <w:r>
              <w:rPr>
                <w:rFonts w:cs="Arial"/>
                <w:color w:val="000000"/>
                <w:szCs w:val="21"/>
              </w:rPr>
              <w:t>阳离子动态再生抑制器</w:t>
            </w:r>
          </w:p>
        </w:tc>
        <w:tc>
          <w:tcPr>
            <w:tcW w:w="851" w:type="dxa"/>
            <w:vAlign w:val="center"/>
          </w:tcPr>
          <w:p w14:paraId="4741CDDF">
            <w:pPr>
              <w:spacing w:line="276" w:lineRule="auto"/>
              <w:jc w:val="center"/>
              <w:rPr>
                <w:rFonts w:cs="Arial"/>
                <w:color w:val="000000"/>
                <w:szCs w:val="21"/>
              </w:rPr>
            </w:pPr>
            <w:r>
              <w:rPr>
                <w:rFonts w:hint="eastAsia" w:cs="Arial"/>
                <w:color w:val="000000"/>
                <w:szCs w:val="21"/>
              </w:rPr>
              <w:t>塞默飞</w:t>
            </w:r>
          </w:p>
        </w:tc>
        <w:tc>
          <w:tcPr>
            <w:tcW w:w="1753" w:type="dxa"/>
            <w:vAlign w:val="center"/>
          </w:tcPr>
          <w:p w14:paraId="73BDC492">
            <w:pPr>
              <w:spacing w:line="276" w:lineRule="auto"/>
              <w:jc w:val="center"/>
              <w:rPr>
                <w:rFonts w:hint="eastAsia" w:asciiTheme="minorEastAsia" w:hAnsiTheme="minorEastAsia" w:cstheme="minorEastAsia"/>
                <w:color w:val="000000"/>
                <w:szCs w:val="21"/>
              </w:rPr>
            </w:pPr>
            <w:r>
              <w:rPr>
                <w:rFonts w:cs="Arial"/>
                <w:color w:val="000000"/>
                <w:szCs w:val="21"/>
              </w:rPr>
              <w:t>CDRS 600</w:t>
            </w:r>
            <w:r>
              <w:rPr>
                <w:rFonts w:hint="eastAsia" w:cs="Arial"/>
                <w:color w:val="000000"/>
                <w:szCs w:val="21"/>
              </w:rPr>
              <w:t>(</w:t>
            </w:r>
            <w:r>
              <w:rPr>
                <w:rFonts w:cs="Arial"/>
                <w:color w:val="000000"/>
                <w:szCs w:val="21"/>
              </w:rPr>
              <w:t>4 mm)</w:t>
            </w:r>
          </w:p>
        </w:tc>
        <w:tc>
          <w:tcPr>
            <w:tcW w:w="0" w:type="auto"/>
            <w:vAlign w:val="center"/>
          </w:tcPr>
          <w:p w14:paraId="785BF29F">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个</w:t>
            </w:r>
          </w:p>
        </w:tc>
        <w:tc>
          <w:tcPr>
            <w:tcW w:w="0" w:type="auto"/>
            <w:vAlign w:val="center"/>
          </w:tcPr>
          <w:p w14:paraId="18877EC0">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3101" w:type="dxa"/>
          </w:tcPr>
          <w:p w14:paraId="6CFC3C2F">
            <w:pPr>
              <w:spacing w:line="276" w:lineRule="auto"/>
              <w:jc w:val="center"/>
              <w:rPr>
                <w:rFonts w:hint="eastAsia" w:asciiTheme="minorEastAsia" w:hAnsiTheme="minorEastAsia" w:cstheme="minorEastAsia"/>
                <w:color w:val="000000"/>
                <w:szCs w:val="21"/>
              </w:rPr>
            </w:pPr>
            <w:r>
              <w:rPr>
                <w:rFonts w:hint="eastAsia" w:cs="Arial"/>
                <w:color w:val="000000"/>
                <w:szCs w:val="21"/>
              </w:rPr>
              <w:t>适用于塞默飞ICS-900型离子</w:t>
            </w:r>
            <w:r>
              <w:rPr>
                <w:rFonts w:cs="Arial"/>
                <w:color w:val="000000"/>
                <w:szCs w:val="21"/>
              </w:rPr>
              <w:t>色谱仪</w:t>
            </w:r>
          </w:p>
        </w:tc>
      </w:tr>
    </w:tbl>
    <w:p w14:paraId="101907E6">
      <w:pPr>
        <w:tabs>
          <w:tab w:val="left" w:pos="907"/>
        </w:tabs>
        <w:spacing w:line="360" w:lineRule="auto"/>
        <w:rPr>
          <w:rFonts w:ascii="宋体" w:hAnsi="宋体"/>
          <w:sz w:val="24"/>
        </w:rPr>
      </w:pPr>
      <w:r>
        <w:rPr>
          <w:rFonts w:hint="eastAsia" w:ascii="宋体" w:hAnsi="宋体"/>
          <w:sz w:val="24"/>
        </w:rPr>
        <w:t>2. 服务范围：</w:t>
      </w:r>
    </w:p>
    <w:p w14:paraId="7B98E5F8">
      <w:pPr>
        <w:tabs>
          <w:tab w:val="left" w:pos="907"/>
        </w:tabs>
        <w:spacing w:line="360" w:lineRule="auto"/>
        <w:rPr>
          <w:rFonts w:hint="eastAsia" w:ascii="宋体" w:hAnsi="宋体"/>
          <w:sz w:val="24"/>
        </w:rPr>
      </w:pPr>
      <w:r>
        <w:rPr>
          <w:rFonts w:hint="eastAsia" w:ascii="宋体" w:hAnsi="宋体"/>
          <w:sz w:val="24"/>
        </w:rPr>
        <w:t xml:space="preserve">   本次</w:t>
      </w:r>
      <w:r>
        <w:rPr>
          <w:rFonts w:ascii="宋体" w:hAnsi="宋体"/>
          <w:sz w:val="24"/>
        </w:rPr>
        <w:t>所采购耗材为专机专用，配套</w:t>
      </w:r>
      <w:r>
        <w:rPr>
          <w:rFonts w:hint="eastAsia" w:ascii="宋体" w:hAnsi="宋体"/>
          <w:sz w:val="24"/>
        </w:rPr>
        <w:t>赛默飞ICS-900型离子</w:t>
      </w:r>
      <w:r>
        <w:rPr>
          <w:rFonts w:ascii="宋体" w:hAnsi="宋体"/>
          <w:sz w:val="24"/>
        </w:rPr>
        <w:t>色谱仪</w:t>
      </w:r>
      <w:r>
        <w:rPr>
          <w:rFonts w:hint="eastAsia" w:ascii="宋体" w:hAnsi="宋体"/>
          <w:sz w:val="24"/>
        </w:rPr>
        <w:t>。</w:t>
      </w:r>
    </w:p>
    <w:p w14:paraId="7786BA4F">
      <w:pPr>
        <w:pStyle w:val="4"/>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二、服务范围 </w:t>
      </w:r>
    </w:p>
    <w:p w14:paraId="3B5D8C6D">
      <w:pPr>
        <w:numPr>
          <w:ilvl w:val="0"/>
          <w:numId w:val="1"/>
        </w:numPr>
        <w:spacing w:line="360" w:lineRule="auto"/>
        <w:ind w:firstLine="480" w:firstLineChars="200"/>
        <w:jc w:val="left"/>
        <w:rPr>
          <w:rFonts w:ascii="宋体" w:hAnsi="宋体"/>
          <w:sz w:val="24"/>
        </w:rPr>
      </w:pPr>
      <w:r>
        <w:rPr>
          <w:rFonts w:hint="eastAsia" w:ascii="宋体" w:hAnsi="宋体"/>
          <w:sz w:val="24"/>
        </w:rPr>
        <w:t>项目预算金额：</w:t>
      </w:r>
      <w:r>
        <w:rPr>
          <w:rFonts w:hint="eastAsia" w:ascii="宋体" w:hAnsi="宋体"/>
          <w:sz w:val="24"/>
          <w:lang w:val="en-US" w:eastAsia="zh-CN"/>
        </w:rPr>
        <w:t>肆万叁仟</w:t>
      </w:r>
      <w:r>
        <w:rPr>
          <w:rFonts w:hint="eastAsia" w:ascii="宋体" w:hAnsi="宋体"/>
          <w:sz w:val="24"/>
        </w:rPr>
        <w:t>元整（¥4</w:t>
      </w:r>
      <w:r>
        <w:rPr>
          <w:rFonts w:hint="eastAsia" w:ascii="宋体" w:hAnsi="宋体"/>
          <w:sz w:val="24"/>
          <w:lang w:val="en-US" w:eastAsia="zh-CN"/>
        </w:rPr>
        <w:t>3</w:t>
      </w:r>
      <w:r>
        <w:rPr>
          <w:rFonts w:hint="eastAsia" w:ascii="宋体" w:hAnsi="宋体"/>
          <w:sz w:val="24"/>
        </w:rPr>
        <w:t>,</w:t>
      </w:r>
      <w:r>
        <w:rPr>
          <w:rFonts w:ascii="宋体" w:hAnsi="宋体"/>
          <w:sz w:val="24"/>
        </w:rPr>
        <w:t>000</w:t>
      </w:r>
      <w:r>
        <w:rPr>
          <w:rFonts w:hint="eastAsia" w:ascii="宋体" w:hAnsi="宋体"/>
          <w:sz w:val="24"/>
        </w:rPr>
        <w:t>.00）元。</w:t>
      </w:r>
    </w:p>
    <w:p w14:paraId="2F95E3FC">
      <w:pPr>
        <w:numPr>
          <w:ilvl w:val="0"/>
          <w:numId w:val="1"/>
        </w:numPr>
        <w:spacing w:line="360" w:lineRule="auto"/>
        <w:ind w:firstLine="480"/>
        <w:jc w:val="left"/>
        <w:rPr>
          <w:rFonts w:ascii="宋体" w:hAnsi="宋体"/>
          <w:sz w:val="24"/>
        </w:rPr>
      </w:pPr>
      <w:r>
        <w:rPr>
          <w:rFonts w:hint="eastAsia" w:ascii="宋体" w:hAnsi="宋体"/>
          <w:sz w:val="24"/>
        </w:rPr>
        <w:t>报价要求：</w:t>
      </w:r>
    </w:p>
    <w:p w14:paraId="33734806">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（1）本项目预算控制金额及最高投标限价为人民币4</w:t>
      </w:r>
      <w:r>
        <w:rPr>
          <w:rFonts w:hint="eastAsia" w:ascii="宋体" w:hAnsi="宋体"/>
          <w:sz w:val="24"/>
          <w:lang w:val="en-US" w:eastAsia="zh-CN"/>
        </w:rPr>
        <w:t>3</w:t>
      </w:r>
      <w:r>
        <w:rPr>
          <w:rFonts w:ascii="宋体" w:hAnsi="宋体"/>
          <w:sz w:val="24"/>
        </w:rPr>
        <w:t>000.00</w:t>
      </w:r>
      <w:r>
        <w:rPr>
          <w:rFonts w:hint="eastAsia" w:ascii="宋体" w:hAnsi="宋体"/>
          <w:sz w:val="24"/>
        </w:rPr>
        <w:t>元。超出此预算控制金额或最高投标限价的作无效投标处理；</w:t>
      </w:r>
    </w:p>
    <w:p w14:paraId="71801C34">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14:paraId="4F1CD20D">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4D664178">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5E771281">
      <w:pPr>
        <w:numPr>
          <w:ilvl w:val="0"/>
          <w:numId w:val="1"/>
        </w:numPr>
        <w:spacing w:line="360" w:lineRule="auto"/>
        <w:ind w:firstLine="480" w:firstLineChars="200"/>
        <w:jc w:val="left"/>
        <w:rPr>
          <w:rFonts w:ascii="宋体" w:hAnsi="宋体"/>
          <w:sz w:val="24"/>
        </w:rPr>
      </w:pPr>
      <w:r>
        <w:rPr>
          <w:rFonts w:hint="eastAsia" w:ascii="宋体" w:hAnsi="宋体"/>
          <w:sz w:val="24"/>
        </w:rPr>
        <w:t>交货时间：自合同签订之日起10个工作日内完成供货及安装，具体以采购单位实际需求为准。。</w:t>
      </w:r>
    </w:p>
    <w:p w14:paraId="6EC93020">
      <w:pPr>
        <w:numPr>
          <w:ilvl w:val="0"/>
          <w:numId w:val="1"/>
        </w:numPr>
        <w:spacing w:line="360" w:lineRule="auto"/>
        <w:ind w:firstLine="480"/>
        <w:jc w:val="left"/>
        <w:rPr>
          <w:rFonts w:ascii="宋体" w:hAnsi="宋体"/>
          <w:sz w:val="24"/>
        </w:rPr>
      </w:pPr>
      <w:r>
        <w:rPr>
          <w:rFonts w:hint="eastAsia" w:ascii="宋体" w:hAnsi="宋体"/>
          <w:sz w:val="24"/>
        </w:rPr>
        <w:t>付款方式：</w:t>
      </w:r>
    </w:p>
    <w:p w14:paraId="0F2447B2">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）项目完成后支付100%合同款。</w:t>
      </w:r>
    </w:p>
    <w:p w14:paraId="672779C7">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14:paraId="201C6D9C">
      <w:pPr>
        <w:numPr>
          <w:ilvl w:val="0"/>
          <w:numId w:val="1"/>
        </w:numPr>
        <w:spacing w:line="360" w:lineRule="auto"/>
        <w:jc w:val="left"/>
        <w:rPr>
          <w:rFonts w:ascii="宋体" w:hAnsi="宋体"/>
          <w:sz w:val="24"/>
        </w:rPr>
      </w:pPr>
      <w:r>
        <w:rPr>
          <w:rFonts w:hint="eastAsia" w:ascii="宋体" w:hAnsi="宋体"/>
          <w:sz w:val="24"/>
        </w:rPr>
        <w:t>验收方式：</w:t>
      </w:r>
    </w:p>
    <w:p w14:paraId="1890F603">
      <w:pPr>
        <w:spacing w:line="360" w:lineRule="auto"/>
        <w:jc w:val="left"/>
        <w:rPr>
          <w:rFonts w:ascii="宋体" w:hAnsi="宋体"/>
          <w:sz w:val="24"/>
        </w:rPr>
      </w:pPr>
      <w:r>
        <w:rPr>
          <w:rFonts w:hint="eastAsia" w:ascii="宋体" w:hAnsi="宋体"/>
          <w:sz w:val="24"/>
        </w:rPr>
        <w:t>（1）提供的货物必须为全新、经检验合格的产品。</w:t>
      </w:r>
    </w:p>
    <w:p w14:paraId="56C60FF6">
      <w:pPr>
        <w:spacing w:line="360" w:lineRule="auto"/>
        <w:jc w:val="left"/>
        <w:rPr>
          <w:rFonts w:ascii="宋体" w:hAnsi="宋体"/>
          <w:sz w:val="24"/>
        </w:rPr>
      </w:pPr>
      <w:r>
        <w:rPr>
          <w:rFonts w:hint="eastAsia" w:ascii="宋体" w:hAnsi="宋体"/>
          <w:sz w:val="24"/>
        </w:rPr>
        <w:t>（2）投标人负责将货物安全无损运抵采购人指定地点,并承担设备的包装、运输、保险、装卸、安装调试、商检及计量检测、增值税等费用。</w:t>
      </w:r>
    </w:p>
    <w:p w14:paraId="0286A617">
      <w:pPr>
        <w:spacing w:line="360" w:lineRule="auto"/>
        <w:jc w:val="left"/>
        <w:rPr>
          <w:rFonts w:ascii="宋体" w:hAnsi="宋体"/>
          <w:sz w:val="24"/>
        </w:rPr>
      </w:pPr>
      <w:r>
        <w:rPr>
          <w:rFonts w:hint="eastAsia" w:ascii="宋体" w:hAnsi="宋体"/>
          <w:sz w:val="24"/>
        </w:rPr>
        <w:t>（3）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14:paraId="4FDD35A9">
      <w:pPr>
        <w:spacing w:line="360" w:lineRule="auto"/>
        <w:jc w:val="left"/>
        <w:rPr>
          <w:rFonts w:ascii="宋体" w:hAnsi="宋体"/>
          <w:sz w:val="24"/>
        </w:rPr>
      </w:pPr>
      <w:r>
        <w:rPr>
          <w:rFonts w:hint="eastAsia" w:ascii="宋体" w:hAnsi="宋体"/>
          <w:sz w:val="24"/>
        </w:rPr>
        <w:t>（4）当满足以下条件时，采购人才向中标人签发验收报告。</w:t>
      </w:r>
    </w:p>
    <w:p w14:paraId="554C5CAC">
      <w:pPr>
        <w:spacing w:line="360" w:lineRule="auto"/>
        <w:jc w:val="left"/>
        <w:rPr>
          <w:rFonts w:ascii="宋体" w:hAnsi="宋体"/>
          <w:sz w:val="24"/>
        </w:rPr>
      </w:pPr>
      <w:r>
        <w:rPr>
          <w:rFonts w:hint="eastAsia" w:ascii="宋体" w:hAnsi="宋体"/>
          <w:sz w:val="24"/>
        </w:rPr>
        <w:t>4.1货物符合招标文件技术规格书的要求，性能满足要求。</w:t>
      </w:r>
    </w:p>
    <w:p w14:paraId="3AC4D83F">
      <w:pPr>
        <w:spacing w:line="360" w:lineRule="auto"/>
        <w:jc w:val="left"/>
        <w:rPr>
          <w:rFonts w:ascii="宋体" w:hAnsi="宋体"/>
          <w:sz w:val="24"/>
        </w:rPr>
      </w:pPr>
      <w:r>
        <w:rPr>
          <w:rFonts w:hint="eastAsia" w:ascii="宋体" w:hAnsi="宋体"/>
          <w:sz w:val="24"/>
        </w:rPr>
        <w:t>4.2货物具备产品合格证。</w:t>
      </w:r>
    </w:p>
    <w:p w14:paraId="487864C7">
      <w:pPr>
        <w:spacing w:line="360" w:lineRule="auto"/>
        <w:jc w:val="left"/>
        <w:rPr>
          <w:rFonts w:hint="eastAsia" w:ascii="宋体" w:hAnsi="宋体"/>
          <w:sz w:val="24"/>
        </w:rPr>
      </w:pPr>
      <w:r>
        <w:rPr>
          <w:rFonts w:hint="eastAsia" w:ascii="宋体" w:hAnsi="宋体"/>
          <w:sz w:val="24"/>
        </w:rPr>
        <w:t>6.保修期：货物免费保修期1年，时间自最终验收合格并交付使用之日起计算。在保修期内，一旦发生质量问题，投标人保证在接到通知24小时内赶到现场进行修理或更换。保修期外，如产品发生故障，由供应商联系原厂家进行上门服务，维修或更换零配件费用由采购单位另行支付，费用标准以原厂家报价为准。</w:t>
      </w:r>
    </w:p>
    <w:p w14:paraId="06F937ED">
      <w:pPr>
        <w:spacing w:line="360" w:lineRule="auto"/>
        <w:jc w:val="left"/>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违约要求：</w:t>
      </w:r>
    </w:p>
    <w:p w14:paraId="3242C594">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0E67DE75">
      <w:pPr>
        <w:spacing w:line="360" w:lineRule="auto"/>
        <w:ind w:firstLine="480" w:firstLineChars="200"/>
        <w:jc w:val="left"/>
        <w:rPr>
          <w:rFonts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14:paraId="01777048">
      <w:pPr>
        <w:spacing w:line="360" w:lineRule="auto"/>
        <w:ind w:firstLine="480" w:firstLineChars="200"/>
        <w:jc w:val="left"/>
        <w:rPr>
          <w:rFonts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14:paraId="2423E344">
      <w:pPr>
        <w:spacing w:line="360" w:lineRule="auto"/>
        <w:ind w:firstLine="480" w:firstLineChars="200"/>
        <w:rPr>
          <w:rFonts w:hint="eastAsia"/>
          <w:szCs w:val="21"/>
        </w:rPr>
        <w:sectPr>
          <w:pgSz w:w="11906" w:h="16838"/>
          <w:pgMar w:top="1418" w:right="1474" w:bottom="1418" w:left="1474" w:header="851" w:footer="992" w:gutter="0"/>
          <w:cols w:space="425" w:num="1"/>
          <w:docGrid w:type="lines" w:linePitch="312" w:charSpace="0"/>
        </w:sectPr>
      </w:pPr>
      <w:r>
        <w:rPr>
          <w:rFonts w:hint="eastAsia" w:ascii="宋体" w:hAnsi="宋体"/>
          <w:sz w:val="24"/>
        </w:rPr>
        <w:t>（4）投标人逾期未交设备的，投标人向采购人每日偿付设备款千分之十的违约金。投标人超过交货期限30日仍未交货，采购人有权解除合同。</w:t>
      </w:r>
    </w:p>
    <w:p w14:paraId="38E41DA7">
      <w:pPr>
        <w:pStyle w:val="2"/>
      </w:pPr>
      <w:bookmarkStart w:id="9" w:name="_Toc61539110"/>
      <w:bookmarkStart w:id="10" w:name="_Toc61880306"/>
      <w:r>
        <w:rPr>
          <w:rFonts w:hint="eastAsia"/>
        </w:rPr>
        <w:t>第三章  投标人须知</w:t>
      </w:r>
      <w:bookmarkEnd w:id="9"/>
      <w:bookmarkEnd w:id="10"/>
    </w:p>
    <w:p w14:paraId="4F04929E">
      <w:pPr>
        <w:pStyle w:val="4"/>
        <w:ind w:firstLine="482"/>
      </w:pPr>
      <w:bookmarkStart w:id="11" w:name="_Toc55548492"/>
      <w:r>
        <w:t>一、说明</w:t>
      </w:r>
      <w:bookmarkEnd w:id="11"/>
    </w:p>
    <w:p w14:paraId="31367706">
      <w:pPr>
        <w:pStyle w:val="3"/>
        <w:spacing w:line="360" w:lineRule="auto"/>
        <w:ind w:firstLine="482"/>
      </w:pPr>
      <w:bookmarkStart w:id="12" w:name="_Toc18091"/>
      <w:bookmarkStart w:id="13" w:name="_Toc55548493"/>
      <w:r>
        <w:t>招标人及资金来源</w:t>
      </w:r>
      <w:bookmarkEnd w:id="12"/>
      <w:bookmarkEnd w:id="13"/>
    </w:p>
    <w:p w14:paraId="3787679F">
      <w:pPr>
        <w:spacing w:line="360" w:lineRule="auto"/>
        <w:ind w:firstLine="420" w:firstLineChars="200"/>
        <w:rPr>
          <w:rFonts w:asciiTheme="minorEastAsia" w:hAnsiTheme="minorEastAsia"/>
          <w:szCs w:val="21"/>
        </w:rPr>
      </w:pPr>
      <w:bookmarkStart w:id="14"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4"/>
    </w:p>
    <w:p w14:paraId="234442F0">
      <w:pPr>
        <w:pStyle w:val="3"/>
        <w:spacing w:line="360" w:lineRule="auto"/>
        <w:ind w:firstLine="482"/>
      </w:pPr>
      <w:bookmarkStart w:id="15" w:name="_Toc29370"/>
      <w:bookmarkStart w:id="16" w:name="_Toc55548494"/>
      <w:r>
        <w:t>合格的投标人</w:t>
      </w:r>
      <w:bookmarkEnd w:id="15"/>
      <w:bookmarkEnd w:id="16"/>
    </w:p>
    <w:p w14:paraId="5A8E12BB">
      <w:pPr>
        <w:spacing w:line="360" w:lineRule="auto"/>
        <w:ind w:firstLine="420" w:firstLineChars="200"/>
        <w:rPr>
          <w:rFonts w:asciiTheme="minorEastAsia" w:hAnsiTheme="minorEastAsia"/>
          <w:szCs w:val="21"/>
        </w:rPr>
      </w:pPr>
      <w:bookmarkStart w:id="17" w:name="_Ref179620057"/>
      <w:r>
        <w:rPr>
          <w:rFonts w:asciiTheme="minorEastAsia" w:hAnsiTheme="minorEastAsia"/>
          <w:szCs w:val="21"/>
        </w:rPr>
        <w:t>合格的投标人</w:t>
      </w:r>
      <w:bookmarkEnd w:id="17"/>
    </w:p>
    <w:p w14:paraId="463FE8BF">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6EA2AFAA">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77ABD3C9">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29AA69A9">
      <w:pPr>
        <w:pStyle w:val="3"/>
        <w:spacing w:line="360" w:lineRule="auto"/>
        <w:ind w:firstLine="482"/>
      </w:pPr>
      <w:bookmarkStart w:id="18" w:name="_Toc55548495"/>
      <w:bookmarkStart w:id="19" w:name="_Toc12412"/>
      <w:r>
        <w:t>合格的货物和服务</w:t>
      </w:r>
      <w:bookmarkEnd w:id="18"/>
      <w:bookmarkEnd w:id="19"/>
    </w:p>
    <w:p w14:paraId="129F2A51">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2DBA14FC">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5B2FF5D7">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00E9CCDA">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1C0A75ED">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3D25837E">
      <w:pPr>
        <w:pStyle w:val="3"/>
        <w:spacing w:line="360" w:lineRule="auto"/>
        <w:ind w:firstLine="482"/>
      </w:pPr>
      <w:bookmarkStart w:id="20" w:name="_Toc55548496"/>
      <w:bookmarkStart w:id="21" w:name="_Toc25686"/>
      <w:r>
        <w:t>投标费用</w:t>
      </w:r>
      <w:bookmarkEnd w:id="20"/>
      <w:bookmarkEnd w:id="21"/>
    </w:p>
    <w:p w14:paraId="703B9CF6">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0893EA32">
      <w:pPr>
        <w:pStyle w:val="3"/>
        <w:spacing w:line="360" w:lineRule="auto"/>
        <w:ind w:firstLine="482"/>
      </w:pPr>
      <w:bookmarkStart w:id="22" w:name="_Toc10390"/>
      <w:bookmarkStart w:id="23" w:name="_Toc55548497"/>
      <w:r>
        <w:t>踏勘现场</w:t>
      </w:r>
      <w:bookmarkEnd w:id="22"/>
      <w:bookmarkEnd w:id="23"/>
    </w:p>
    <w:p w14:paraId="3CFF8099">
      <w:pPr>
        <w:spacing w:line="360" w:lineRule="auto"/>
        <w:ind w:firstLine="420" w:firstLineChars="200"/>
        <w:rPr>
          <w:rFonts w:asciiTheme="minorEastAsia" w:hAnsiTheme="minorEastAsia"/>
          <w:szCs w:val="21"/>
        </w:rPr>
      </w:pPr>
      <w:bookmarkStart w:id="24"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将组织投标人对项目现场及周围环境进行踏勘，以便投标人获取须自己负责的有关编制投标文件和签署合同所需的所有资料。踏勘现场所发生的费用由投标人自己承担。</w:t>
      </w:r>
      <w:bookmarkEnd w:id="24"/>
    </w:p>
    <w:p w14:paraId="3804655B">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4F98EF45">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71E9CEF5">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5BDF5F9C">
      <w:pPr>
        <w:pStyle w:val="4"/>
        <w:ind w:firstLine="482"/>
      </w:pPr>
      <w:bookmarkStart w:id="25" w:name="_Toc1751"/>
      <w:bookmarkStart w:id="26" w:name="_Toc6043"/>
      <w:bookmarkStart w:id="27" w:name="_Toc55548498"/>
      <w:r>
        <w:t>二、招标文件</w:t>
      </w:r>
      <w:bookmarkEnd w:id="25"/>
      <w:bookmarkEnd w:id="26"/>
      <w:bookmarkEnd w:id="27"/>
    </w:p>
    <w:p w14:paraId="776EDB93">
      <w:pPr>
        <w:pStyle w:val="3"/>
        <w:spacing w:line="360" w:lineRule="auto"/>
        <w:ind w:firstLine="482"/>
      </w:pPr>
      <w:bookmarkStart w:id="28" w:name="_Toc55548499"/>
      <w:bookmarkStart w:id="29" w:name="_Toc19397"/>
      <w:r>
        <w:t>招标文件的构成</w:t>
      </w:r>
      <w:bookmarkEnd w:id="28"/>
      <w:bookmarkEnd w:id="29"/>
    </w:p>
    <w:p w14:paraId="1FA675C2">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19108E8E">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1E499C65">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4B590FAD">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投标文件格式</w:t>
      </w:r>
    </w:p>
    <w:p w14:paraId="2CD8DFFB">
      <w:pPr>
        <w:spacing w:line="360" w:lineRule="auto"/>
        <w:ind w:firstLine="420" w:firstLineChars="200"/>
        <w:rPr>
          <w:rFonts w:asciiTheme="minorEastAsia" w:hAnsiTheme="minorEastAsia"/>
          <w:szCs w:val="21"/>
        </w:rPr>
      </w:pPr>
      <w:r>
        <w:rPr>
          <w:rFonts w:asciiTheme="minorEastAsia" w:hAnsiTheme="minorEastAsia"/>
          <w:szCs w:val="21"/>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6993B9F4">
      <w:pPr>
        <w:pStyle w:val="3"/>
        <w:spacing w:line="360" w:lineRule="auto"/>
        <w:ind w:firstLine="482"/>
      </w:pPr>
      <w:bookmarkStart w:id="30" w:name="_Toc55548500"/>
      <w:bookmarkStart w:id="31" w:name="_Toc31711"/>
      <w:r>
        <w:t>招标文件的澄清</w:t>
      </w:r>
      <w:bookmarkEnd w:id="30"/>
      <w:bookmarkEnd w:id="31"/>
    </w:p>
    <w:p w14:paraId="7D5FA6E5">
      <w:pPr>
        <w:spacing w:line="360" w:lineRule="auto"/>
        <w:ind w:firstLine="420" w:firstLineChars="200"/>
        <w:rPr>
          <w:rFonts w:asciiTheme="minorEastAsia" w:hAnsiTheme="minorEastAsia"/>
          <w:szCs w:val="21"/>
        </w:rPr>
      </w:pPr>
      <w:r>
        <w:rPr>
          <w:rFonts w:asciiTheme="minorEastAsia" w:hAnsiTheme="minorEastAsia"/>
          <w:szCs w:val="21"/>
        </w:rPr>
        <w:t>任何要求对招标文件进行澄清的潜在投标人，均应以书面形式通知招标人。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对其在投标截止期五日以前收到的对招标文件的澄清要求均以书面形式予以答复，同时将书面答复方式发给每个购买招标文件的潜在投标人(答复中不包括问题的来源)。</w:t>
      </w:r>
    </w:p>
    <w:p w14:paraId="3EA76CAB">
      <w:pPr>
        <w:pStyle w:val="3"/>
        <w:spacing w:line="360" w:lineRule="auto"/>
        <w:ind w:firstLine="482"/>
      </w:pPr>
      <w:bookmarkStart w:id="32" w:name="_Toc55548501"/>
      <w:bookmarkStart w:id="33" w:name="_Ref179619612"/>
      <w:bookmarkStart w:id="34" w:name="_Toc21781"/>
      <w:r>
        <w:t>招标文件的修改</w:t>
      </w:r>
      <w:bookmarkEnd w:id="32"/>
      <w:bookmarkEnd w:id="33"/>
      <w:bookmarkEnd w:id="34"/>
    </w:p>
    <w:p w14:paraId="09FFEAC6">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在投标截止时间三日前，招标人可主动地或在解答潜在投标人提出的澄清问题时对招标文件进行修改。澄清或修改时间不足三日的，</w:t>
      </w:r>
      <w:r>
        <w:rPr>
          <w:rFonts w:hint="eastAsia" w:asciiTheme="minorEastAsia" w:hAnsiTheme="minorEastAsia"/>
          <w:szCs w:val="21"/>
        </w:rPr>
        <w:t>本中心</w:t>
      </w:r>
      <w:r>
        <w:rPr>
          <w:rFonts w:asciiTheme="minorEastAsia" w:hAnsiTheme="minorEastAsia"/>
          <w:szCs w:val="21"/>
        </w:rPr>
        <w:t>在征得已获取招标文件的供应商同意并书面确认后，可不改变投标截至时间。</w:t>
      </w:r>
    </w:p>
    <w:p w14:paraId="51C3E332">
      <w:pPr>
        <w:spacing w:line="360" w:lineRule="auto"/>
        <w:ind w:firstLine="420" w:firstLineChars="200"/>
        <w:rPr>
          <w:rFonts w:asciiTheme="minorEastAsia" w:hAnsiTheme="minorEastAsia"/>
          <w:szCs w:val="21"/>
        </w:rPr>
      </w:pPr>
      <w:bookmarkStart w:id="35" w:name="_Ref179619147"/>
      <w:r>
        <w:rPr>
          <w:rFonts w:asciiTheme="minorEastAsia" w:hAnsiTheme="minorEastAsia"/>
          <w:szCs w:val="21"/>
        </w:rPr>
        <w:t>招标文件的修改是招标文件的组成部分，招标文件的修改均在</w:t>
      </w:r>
      <w:r>
        <w:rPr>
          <w:rFonts w:hint="eastAsia" w:asciiTheme="minorEastAsia" w:hAnsiTheme="minorEastAsia"/>
          <w:kern w:val="0"/>
          <w:szCs w:val="21"/>
        </w:rPr>
        <w:t>(深圳市宝安区疾病预防控制中心官网)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5"/>
    </w:p>
    <w:p w14:paraId="7F3CB7A2">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为使投标人准备投标时有充分时间对招标文件的修改部分进行研究，招标人可适当推迟投标截止期。</w:t>
      </w:r>
    </w:p>
    <w:p w14:paraId="11D4584F">
      <w:pPr>
        <w:pStyle w:val="4"/>
        <w:ind w:firstLine="482"/>
      </w:pPr>
      <w:bookmarkStart w:id="36" w:name="_Toc55548502"/>
      <w:bookmarkStart w:id="37" w:name="_Toc6740"/>
      <w:bookmarkStart w:id="38" w:name="_Toc20164"/>
      <w:r>
        <w:t>三、投标文件的编制</w:t>
      </w:r>
      <w:bookmarkEnd w:id="36"/>
      <w:bookmarkEnd w:id="37"/>
      <w:bookmarkEnd w:id="38"/>
    </w:p>
    <w:p w14:paraId="6A2278E6">
      <w:pPr>
        <w:pStyle w:val="3"/>
        <w:spacing w:line="360" w:lineRule="auto"/>
        <w:ind w:firstLine="482"/>
      </w:pPr>
      <w:bookmarkStart w:id="39" w:name="_Toc55548503"/>
      <w:bookmarkStart w:id="40" w:name="_Toc28578"/>
      <w:r>
        <w:t>投标的语言</w:t>
      </w:r>
      <w:bookmarkEnd w:id="39"/>
      <w:bookmarkEnd w:id="40"/>
    </w:p>
    <w:p w14:paraId="11ACD2DD">
      <w:pPr>
        <w:spacing w:line="360" w:lineRule="auto"/>
        <w:ind w:firstLine="420" w:firstLineChars="200"/>
        <w:rPr>
          <w:rFonts w:asciiTheme="minorEastAsia" w:hAnsiTheme="minorEastAsia"/>
          <w:szCs w:val="21"/>
        </w:rPr>
      </w:pPr>
      <w:bookmarkStart w:id="41" w:name="_Ref179620571"/>
      <w:r>
        <w:rPr>
          <w:rFonts w:asciiTheme="minorEastAsia" w:hAnsiTheme="minorEastAsia"/>
          <w:szCs w:val="21"/>
        </w:rPr>
        <w:t>投标人提交的投标文件以及投标人与招标人就有关投标的所有来往函电均应使用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的翻译本，在解释投标文件时以翻译本为准。</w:t>
      </w:r>
      <w:bookmarkEnd w:id="41"/>
    </w:p>
    <w:p w14:paraId="2AE8796F">
      <w:pPr>
        <w:pStyle w:val="3"/>
        <w:spacing w:line="360" w:lineRule="auto"/>
        <w:ind w:firstLine="482"/>
      </w:pPr>
      <w:bookmarkStart w:id="42" w:name="_Toc55548504"/>
      <w:bookmarkStart w:id="43" w:name="_Toc31114"/>
      <w:r>
        <w:t>投标范围及投标文件中计量单位的使用</w:t>
      </w:r>
      <w:bookmarkEnd w:id="42"/>
      <w:bookmarkEnd w:id="43"/>
    </w:p>
    <w:p w14:paraId="7F41EDA4">
      <w:pPr>
        <w:spacing w:line="360" w:lineRule="auto"/>
        <w:ind w:firstLine="420" w:firstLineChars="200"/>
        <w:rPr>
          <w:rFonts w:asciiTheme="minorEastAsia" w:hAnsiTheme="minorEastAsia"/>
          <w:szCs w:val="21"/>
        </w:rPr>
      </w:pPr>
      <w:r>
        <w:rPr>
          <w:rFonts w:asciiTheme="minorEastAsia" w:hAnsiTheme="minorEastAsia"/>
          <w:szCs w:val="21"/>
        </w:rPr>
        <w:t>投标人可对招标文件中“用户需求书”中所述的所有货物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59E736F5">
      <w:pPr>
        <w:spacing w:line="360" w:lineRule="auto"/>
        <w:ind w:firstLine="420" w:firstLineChars="200"/>
        <w:rPr>
          <w:rFonts w:asciiTheme="minorEastAsia" w:hAnsiTheme="minorEastAsia"/>
          <w:szCs w:val="21"/>
        </w:rPr>
      </w:pPr>
      <w:r>
        <w:rPr>
          <w:rFonts w:asciiTheme="minorEastAsia" w:hAnsiTheme="minorEastAsia"/>
          <w:szCs w:val="21"/>
        </w:rPr>
        <w:t>投标文件中所使用的计量单位，除招标文件中有特殊要求外，应采用中华人民共和国法定计量单位。</w:t>
      </w:r>
    </w:p>
    <w:p w14:paraId="439A47C0">
      <w:pPr>
        <w:spacing w:line="360" w:lineRule="auto"/>
        <w:ind w:firstLine="420" w:firstLineChars="200"/>
        <w:rPr>
          <w:rFonts w:asciiTheme="minorEastAsia" w:hAnsiTheme="minorEastAsia"/>
          <w:szCs w:val="21"/>
        </w:rPr>
      </w:pPr>
      <w:r>
        <w:rPr>
          <w:rFonts w:asciiTheme="minorEastAsia" w:hAnsiTheme="minorEastAsia"/>
          <w:szCs w:val="21"/>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14:paraId="387F25D0">
      <w:pPr>
        <w:pStyle w:val="3"/>
        <w:spacing w:line="360" w:lineRule="auto"/>
        <w:ind w:firstLine="482"/>
      </w:pPr>
      <w:bookmarkStart w:id="44" w:name="_Toc4999"/>
      <w:bookmarkStart w:id="45" w:name="_Toc55548505"/>
      <w:r>
        <w:t>投标文件的构成</w:t>
      </w:r>
      <w:bookmarkEnd w:id="44"/>
      <w:bookmarkEnd w:id="45"/>
    </w:p>
    <w:p w14:paraId="3EEC42B1">
      <w:pPr>
        <w:spacing w:line="360" w:lineRule="auto"/>
        <w:ind w:firstLine="420" w:firstLineChars="200"/>
        <w:rPr>
          <w:rFonts w:asciiTheme="minorEastAsia" w:hAnsiTheme="minorEastAsia"/>
          <w:szCs w:val="21"/>
        </w:rPr>
      </w:pPr>
      <w:r>
        <w:rPr>
          <w:rFonts w:asciiTheme="minorEastAsia" w:hAnsiTheme="minorEastAsia"/>
          <w:szCs w:val="21"/>
        </w:rPr>
        <w:t>投标人应完整地按招标文件提供的投标文件格式制作投标文件。</w:t>
      </w:r>
    </w:p>
    <w:p w14:paraId="18671161">
      <w:pPr>
        <w:pStyle w:val="3"/>
        <w:spacing w:line="360" w:lineRule="auto"/>
        <w:ind w:firstLine="482"/>
      </w:pPr>
      <w:bookmarkStart w:id="46" w:name="_Toc55548506"/>
      <w:bookmarkStart w:id="47" w:name="_Toc24290"/>
      <w:r>
        <w:t>投标文件电子文档</w:t>
      </w:r>
      <w:bookmarkEnd w:id="46"/>
      <w:bookmarkEnd w:id="47"/>
    </w:p>
    <w:p w14:paraId="145B3DEE">
      <w:pPr>
        <w:spacing w:line="360" w:lineRule="auto"/>
        <w:ind w:firstLine="420" w:firstLineChars="200"/>
        <w:rPr>
          <w:rFonts w:asciiTheme="minorEastAsia" w:hAnsiTheme="minorEastAsia"/>
          <w:szCs w:val="21"/>
        </w:rPr>
      </w:pPr>
      <w:r>
        <w:rPr>
          <w:rFonts w:asciiTheme="minorEastAsia" w:hAnsiTheme="minorEastAsia"/>
          <w:szCs w:val="21"/>
          <w:highlight w:val="yellow"/>
        </w:rPr>
        <w:t>投标人在提交书面投标文件的同时，</w:t>
      </w:r>
      <w:r>
        <w:fldChar w:fldCharType="begin"/>
      </w:r>
      <w:r>
        <w:instrText xml:space="preserve"> HYPERLINK "mailto:应提交该投标文件的电子文档（格式为盖章版扫描件）于指定时间发送至568711397@qq.com" </w:instrText>
      </w:r>
      <w:r>
        <w:fldChar w:fldCharType="separate"/>
      </w:r>
      <w:r>
        <w:rPr>
          <w:rStyle w:val="16"/>
          <w:rFonts w:asciiTheme="minorEastAsia" w:hAnsiTheme="minorEastAsia"/>
          <w:szCs w:val="21"/>
          <w:highlight w:val="yellow"/>
        </w:rPr>
        <w:t>应提交该投标文件的电子文档于指定时间发送至</w:t>
      </w:r>
      <w:r>
        <w:rPr>
          <w:rStyle w:val="16"/>
          <w:rFonts w:hint="eastAsia" w:eastAsia="宋体" w:cs="Times New Roman" w:asciiTheme="minorEastAsia" w:hAnsiTheme="minorEastAsia"/>
          <w:szCs w:val="21"/>
          <w:highlight w:val="yellow"/>
        </w:rPr>
        <w:t>bacdcxxk@baoan.gov.cn</w:t>
      </w:r>
      <w:r>
        <w:rPr>
          <w:rStyle w:val="16"/>
          <w:rFonts w:hint="eastAsia" w:eastAsia="宋体" w:cs="Times New Roman" w:asciiTheme="minorEastAsia" w:hAnsiTheme="minorEastAsia"/>
          <w:szCs w:val="21"/>
          <w:highlight w:val="yellow"/>
        </w:rPr>
        <w:fldChar w:fldCharType="end"/>
      </w:r>
      <w:r>
        <w:rPr>
          <w:rFonts w:hint="eastAsia" w:asciiTheme="minorEastAsia" w:hAnsiTheme="minorEastAsia"/>
          <w:szCs w:val="21"/>
          <w:highlight w:val="yellow"/>
        </w:rPr>
        <w:t>邮箱</w:t>
      </w:r>
      <w:r>
        <w:rPr>
          <w:rFonts w:asciiTheme="minorEastAsia" w:hAnsiTheme="minorEastAsia"/>
          <w:szCs w:val="21"/>
          <w:highlight w:val="yellow"/>
        </w:rPr>
        <w:t>。</w:t>
      </w:r>
    </w:p>
    <w:p w14:paraId="2623EC98">
      <w:pPr>
        <w:spacing w:line="360" w:lineRule="auto"/>
        <w:ind w:firstLine="420" w:firstLineChars="200"/>
        <w:rPr>
          <w:rFonts w:asciiTheme="minorEastAsia" w:hAnsiTheme="minorEastAsia"/>
          <w:szCs w:val="21"/>
        </w:rPr>
      </w:pPr>
      <w:r>
        <w:rPr>
          <w:rFonts w:asciiTheme="minorEastAsia" w:hAnsiTheme="minorEastAsia"/>
          <w:szCs w:val="21"/>
        </w:rPr>
        <w:t>电子文档的格式要求：投标文件电子文档应统一</w:t>
      </w:r>
      <w:r>
        <w:rPr>
          <w:rFonts w:hint="eastAsia" w:asciiTheme="minorEastAsia" w:hAnsiTheme="minorEastAsia"/>
          <w:szCs w:val="21"/>
        </w:rPr>
        <w:t>为投标文件盖章后扫描件</w:t>
      </w:r>
      <w:r>
        <w:rPr>
          <w:rFonts w:asciiTheme="minorEastAsia" w:hAnsiTheme="minorEastAsia"/>
          <w:szCs w:val="21"/>
        </w:rPr>
        <w:t>。</w:t>
      </w:r>
    </w:p>
    <w:p w14:paraId="45E806E5">
      <w:pPr>
        <w:spacing w:line="360" w:lineRule="auto"/>
        <w:ind w:firstLine="420" w:firstLineChars="200"/>
        <w:rPr>
          <w:rFonts w:asciiTheme="minorEastAsia" w:hAnsiTheme="minorEastAsia"/>
          <w:szCs w:val="21"/>
        </w:rPr>
      </w:pPr>
      <w:r>
        <w:rPr>
          <w:rFonts w:asciiTheme="minorEastAsia" w:hAnsiTheme="minorEastAsia"/>
          <w:szCs w:val="21"/>
        </w:rPr>
        <w:t>投标人提交的书面投标文件的实质内容应与提交的电子文档的实质内容完全一致。如果评标委员会发现两者的实质内容不一致，将按不利于投标人的原则予以处置。因此产生的一切责任均由投标人承担。</w:t>
      </w:r>
    </w:p>
    <w:p w14:paraId="0DACE8CE">
      <w:pPr>
        <w:pStyle w:val="3"/>
        <w:spacing w:line="360" w:lineRule="auto"/>
        <w:ind w:firstLine="482"/>
      </w:pPr>
      <w:bookmarkStart w:id="48" w:name="_Toc55548507"/>
      <w:bookmarkStart w:id="49" w:name="_Toc12177"/>
      <w:r>
        <w:t>投标文件的编写</w:t>
      </w:r>
      <w:bookmarkEnd w:id="48"/>
      <w:bookmarkEnd w:id="49"/>
    </w:p>
    <w:p w14:paraId="56323769">
      <w:pPr>
        <w:spacing w:line="360" w:lineRule="auto"/>
        <w:ind w:firstLine="420" w:firstLineChars="200"/>
        <w:rPr>
          <w:rFonts w:asciiTheme="minorEastAsia" w:hAnsiTheme="minorEastAsia"/>
          <w:szCs w:val="21"/>
        </w:rPr>
      </w:pPr>
      <w:r>
        <w:rPr>
          <w:rFonts w:asciiTheme="minorEastAsia" w:hAnsiTheme="minorEastAsia"/>
          <w:szCs w:val="21"/>
        </w:rPr>
        <w:t>投标人应按招标文件的规定，及附件要求的内容和格式完整地填写和提供资料，并保证所提供的全部资料的真实性。</w:t>
      </w:r>
    </w:p>
    <w:p w14:paraId="46B0D6F5">
      <w:pPr>
        <w:pStyle w:val="3"/>
        <w:spacing w:line="360" w:lineRule="auto"/>
        <w:ind w:firstLine="482"/>
      </w:pPr>
      <w:bookmarkStart w:id="50" w:name="_Toc55548508"/>
      <w:bookmarkStart w:id="51" w:name="_Toc26930"/>
      <w:r>
        <w:t>投标报价</w:t>
      </w:r>
      <w:bookmarkEnd w:id="50"/>
      <w:bookmarkEnd w:id="51"/>
    </w:p>
    <w:p w14:paraId="0C9B5D62">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6BE628E3">
      <w:pPr>
        <w:spacing w:line="360" w:lineRule="auto"/>
        <w:ind w:firstLine="420" w:firstLineChars="200"/>
        <w:rPr>
          <w:rFonts w:asciiTheme="minorEastAsia" w:hAnsiTheme="minorEastAsia"/>
          <w:szCs w:val="21"/>
        </w:rPr>
      </w:pPr>
      <w:bookmarkStart w:id="52" w:name="_Ref179619251"/>
      <w:r>
        <w:rPr>
          <w:rFonts w:asciiTheme="minorEastAsia" w:hAnsiTheme="minorEastAsia"/>
          <w:szCs w:val="21"/>
        </w:rPr>
        <w:t>投标人应在投标分项报价表上标明投标货物及相关服务的单价(如适用)和总价，并由法定代表人或其授权代表签署。投标总价中不得包含招标文件要求以外的内容，否则，在评标时不予核减。</w:t>
      </w:r>
      <w:bookmarkEnd w:id="52"/>
    </w:p>
    <w:p w14:paraId="59D57023">
      <w:pPr>
        <w:spacing w:line="360" w:lineRule="auto"/>
        <w:ind w:firstLine="420" w:firstLineChars="200"/>
        <w:rPr>
          <w:rFonts w:asciiTheme="minorEastAsia" w:hAnsiTheme="minorEastAsia"/>
          <w:szCs w:val="21"/>
        </w:rPr>
      </w:pPr>
      <w:bookmarkStart w:id="53"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3"/>
    </w:p>
    <w:p w14:paraId="45900059">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0E1D5F5E">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1B57D206">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6CF80BC4">
      <w:pPr>
        <w:spacing w:line="360" w:lineRule="auto"/>
        <w:ind w:firstLine="420" w:firstLineChars="200"/>
        <w:rPr>
          <w:rFonts w:asciiTheme="minorEastAsia" w:hAnsiTheme="minorEastAsia"/>
          <w:szCs w:val="21"/>
        </w:rPr>
      </w:pPr>
      <w:bookmarkStart w:id="54" w:name="_Ref179620755"/>
      <w:r>
        <w:rPr>
          <w:rFonts w:asciiTheme="minorEastAsia" w:hAnsiTheme="minorEastAsia"/>
          <w:szCs w:val="21"/>
        </w:rPr>
        <w:t>其他伴随服务的费用(如有)。</w:t>
      </w:r>
      <w:bookmarkEnd w:id="54"/>
    </w:p>
    <w:p w14:paraId="525C2370">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投标人根据本须知的规定将投标价分成几部分，只是为了方便招标人对投标文件进行比较，并不限制招标人以上述任何条件订立合同的权力。 </w:t>
      </w:r>
    </w:p>
    <w:p w14:paraId="070003BC">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022459EA">
      <w:pPr>
        <w:pStyle w:val="3"/>
        <w:spacing w:line="360" w:lineRule="auto"/>
        <w:ind w:firstLine="482"/>
      </w:pPr>
      <w:bookmarkStart w:id="55" w:name="_Toc11635"/>
      <w:bookmarkStart w:id="56" w:name="_Toc55548509"/>
      <w:r>
        <w:t>证明投标人合格和资格的文件</w:t>
      </w:r>
      <w:bookmarkEnd w:id="55"/>
      <w:bookmarkEnd w:id="56"/>
      <w:r>
        <w:t xml:space="preserve"> </w:t>
      </w:r>
    </w:p>
    <w:p w14:paraId="2D12E1F0">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1807A2A9">
      <w:pPr>
        <w:spacing w:line="360" w:lineRule="auto"/>
        <w:ind w:firstLine="420" w:firstLineChars="200"/>
        <w:rPr>
          <w:rFonts w:asciiTheme="minorEastAsia" w:hAnsiTheme="minorEastAsia"/>
          <w:szCs w:val="21"/>
        </w:rPr>
      </w:pPr>
      <w:r>
        <w:rPr>
          <w:rFonts w:asciiTheme="minorEastAsia" w:hAnsiTheme="minorEastAsia"/>
          <w:szCs w:val="21"/>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2FCF63CA">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09AD9E82">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投标文件中注明其制造商身份；代理商参加投标时则须提交相应授权文件，授权文件包括制造商或上级代理商授权（上级代理商授权文件应可追溯至制造商授权文件，并有完整的证明资料）；招标文件对授权文件有特殊要求的，从其规定；</w:t>
      </w:r>
    </w:p>
    <w:p w14:paraId="0F4027D4">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2F0683BC">
      <w:pPr>
        <w:spacing w:line="360" w:lineRule="auto"/>
        <w:ind w:firstLine="420" w:firstLineChars="200"/>
        <w:rPr>
          <w:rFonts w:asciiTheme="minorEastAsia" w:hAnsiTheme="minorEastAsia"/>
          <w:szCs w:val="21"/>
        </w:rPr>
      </w:pPr>
      <w:r>
        <w:rPr>
          <w:rFonts w:asciiTheme="minorEastAsia" w:hAnsiTheme="minorEastAsia"/>
          <w:szCs w:val="21"/>
        </w:rPr>
        <w:t>证明投标人满足招标文件业绩要求的文件；</w:t>
      </w:r>
    </w:p>
    <w:p w14:paraId="0E51FB5A">
      <w:pPr>
        <w:spacing w:line="360" w:lineRule="auto"/>
        <w:ind w:firstLine="420" w:firstLineChars="200"/>
        <w:rPr>
          <w:rFonts w:asciiTheme="minorEastAsia" w:hAnsiTheme="minorEastAsia"/>
          <w:szCs w:val="21"/>
        </w:rPr>
      </w:pPr>
      <w:bookmarkStart w:id="57" w:name="_Ref179620846"/>
      <w:r>
        <w:rPr>
          <w:rFonts w:asciiTheme="minorEastAsia" w:hAnsiTheme="minorEastAsia"/>
          <w:szCs w:val="21"/>
        </w:rPr>
        <w:t>投标资料表要求的其它资格证明文件。</w:t>
      </w:r>
      <w:bookmarkEnd w:id="57"/>
    </w:p>
    <w:p w14:paraId="7A33CFD6">
      <w:pPr>
        <w:pStyle w:val="3"/>
        <w:spacing w:line="360" w:lineRule="auto"/>
        <w:ind w:firstLine="482"/>
      </w:pPr>
      <w:bookmarkStart w:id="58" w:name="_Toc28857"/>
      <w:bookmarkStart w:id="59" w:name="_Toc55548510"/>
      <w:r>
        <w:t>证明货物的合格性和符合招标文件规定的文件</w:t>
      </w:r>
      <w:bookmarkEnd w:id="58"/>
      <w:bookmarkEnd w:id="59"/>
    </w:p>
    <w:p w14:paraId="7B108F5F">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投标人应提交证明文件，证明其拟供的合同项下的货物和服务的合格性符合招标文件规定。该证明文件作为投标文件的一部分。</w:t>
      </w:r>
    </w:p>
    <w:p w14:paraId="42A91C1D">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19820C77">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2613B8C9">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货物从招标人验收后开始使用至招标文件规定的保质期内正常、连续地使用所必须的备件和专用工具清单，包括备件和专用工具的货源及现行价格；</w:t>
      </w:r>
    </w:p>
    <w:p w14:paraId="442DBCCE">
      <w:pPr>
        <w:spacing w:line="360" w:lineRule="auto"/>
        <w:ind w:firstLine="420" w:firstLineChars="200"/>
        <w:rPr>
          <w:rFonts w:asciiTheme="minorEastAsia" w:hAnsiTheme="minorEastAsia"/>
          <w:szCs w:val="21"/>
        </w:rPr>
      </w:pPr>
      <w:r>
        <w:rPr>
          <w:rFonts w:asciiTheme="minorEastAsia" w:hAnsiTheme="minorEastAsia"/>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02E926F">
      <w:pPr>
        <w:spacing w:line="360" w:lineRule="auto"/>
        <w:ind w:firstLine="420" w:firstLineChars="200"/>
        <w:rPr>
          <w:rFonts w:asciiTheme="minorEastAsia" w:hAnsiTheme="minorEastAsia"/>
          <w:szCs w:val="21"/>
        </w:rPr>
      </w:pPr>
      <w:r>
        <w:rPr>
          <w:rFonts w:asciiTheme="minorEastAsia" w:hAnsiTheme="minorEastAsia"/>
          <w:szCs w:val="21"/>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5253BF3">
      <w:pPr>
        <w:pStyle w:val="3"/>
        <w:spacing w:line="360" w:lineRule="auto"/>
        <w:ind w:firstLine="482"/>
      </w:pPr>
      <w:bookmarkStart w:id="60" w:name="_Toc1901"/>
      <w:bookmarkStart w:id="61" w:name="_Toc55548511"/>
      <w:r>
        <w:t>投标有效期</w:t>
      </w:r>
      <w:bookmarkEnd w:id="60"/>
      <w:bookmarkEnd w:id="61"/>
    </w:p>
    <w:p w14:paraId="2FA842E1">
      <w:pPr>
        <w:spacing w:line="360" w:lineRule="auto"/>
        <w:ind w:firstLine="420" w:firstLineChars="200"/>
        <w:rPr>
          <w:rFonts w:asciiTheme="minorEastAsia" w:hAnsiTheme="minorEastAsia"/>
          <w:szCs w:val="21"/>
        </w:rPr>
      </w:pPr>
      <w:bookmarkStart w:id="62" w:name="_Ref179620893"/>
      <w:r>
        <w:rPr>
          <w:rFonts w:asciiTheme="minorEastAsia" w:hAnsiTheme="minorEastAsia"/>
          <w:szCs w:val="21"/>
        </w:rPr>
        <w:t>投标有效期不足的投标将被视为非实质性响应，并予以拒绝。</w:t>
      </w:r>
      <w:bookmarkEnd w:id="62"/>
    </w:p>
    <w:p w14:paraId="0BDE098B">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23195359">
      <w:pPr>
        <w:pStyle w:val="3"/>
        <w:spacing w:line="360" w:lineRule="auto"/>
        <w:ind w:firstLine="482"/>
      </w:pPr>
      <w:bookmarkStart w:id="63" w:name="_Toc55548512"/>
      <w:bookmarkStart w:id="64" w:name="_Toc28446"/>
      <w:r>
        <w:t>投标文件的式样和签署</w:t>
      </w:r>
      <w:bookmarkEnd w:id="63"/>
      <w:bookmarkEnd w:id="64"/>
    </w:p>
    <w:p w14:paraId="1A14888E">
      <w:pPr>
        <w:spacing w:line="360" w:lineRule="auto"/>
        <w:ind w:firstLine="420" w:firstLineChars="200"/>
        <w:rPr>
          <w:rFonts w:asciiTheme="minorEastAsia" w:hAnsiTheme="minorEastAsia"/>
          <w:szCs w:val="21"/>
          <w:highlight w:val="yellow"/>
        </w:rPr>
      </w:pPr>
      <w:bookmarkStart w:id="65"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投标文件正本和</w:t>
      </w:r>
      <w:r>
        <w:rPr>
          <w:rFonts w:hint="eastAsia" w:asciiTheme="minorEastAsia" w:hAnsiTheme="minorEastAsia"/>
          <w:b/>
          <w:szCs w:val="21"/>
          <w:highlight w:val="yellow"/>
        </w:rPr>
        <w:t>两份</w:t>
      </w:r>
      <w:r>
        <w:rPr>
          <w:rFonts w:asciiTheme="minorEastAsia" w:hAnsiTheme="minorEastAsia"/>
          <w:szCs w:val="21"/>
          <w:highlight w:val="yellow"/>
        </w:rPr>
        <w:t>副本，每套投标文件须清楚地标明“正本”或“副本”。若副本与正本不符，以正本为准。</w:t>
      </w:r>
      <w:bookmarkEnd w:id="65"/>
    </w:p>
    <w:p w14:paraId="203C7AB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14:paraId="478225DE">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任何行间插字、涂改和增删，必须由投标文件签字人用姓或首字母在旁边签字或由投标单位加盖公章才有效。</w:t>
      </w:r>
    </w:p>
    <w:p w14:paraId="76BA778A">
      <w:pPr>
        <w:pStyle w:val="3"/>
        <w:spacing w:line="360" w:lineRule="auto"/>
        <w:ind w:firstLine="482"/>
      </w:pPr>
      <w:bookmarkStart w:id="66" w:name="_Toc26845"/>
      <w:bookmarkStart w:id="67" w:name="_Toc55548513"/>
      <w:bookmarkStart w:id="68" w:name="_Toc9436"/>
      <w:r>
        <w:t>四、投标文件的递交</w:t>
      </w:r>
      <w:bookmarkEnd w:id="66"/>
      <w:bookmarkEnd w:id="67"/>
      <w:bookmarkEnd w:id="68"/>
    </w:p>
    <w:p w14:paraId="3145064B">
      <w:pPr>
        <w:pStyle w:val="3"/>
        <w:spacing w:line="360" w:lineRule="auto"/>
        <w:ind w:firstLine="482"/>
      </w:pPr>
      <w:bookmarkStart w:id="69" w:name="_Toc6626"/>
      <w:bookmarkStart w:id="70" w:name="_Toc55548514"/>
      <w:r>
        <w:t>投标文件的密封和标记</w:t>
      </w:r>
      <w:bookmarkEnd w:id="69"/>
      <w:bookmarkEnd w:id="70"/>
    </w:p>
    <w:p w14:paraId="2EE8B38F">
      <w:pPr>
        <w:spacing w:line="360" w:lineRule="auto"/>
        <w:ind w:firstLine="420" w:firstLineChars="200"/>
        <w:rPr>
          <w:rFonts w:asciiTheme="minorEastAsia" w:hAnsiTheme="minorEastAsia"/>
          <w:szCs w:val="21"/>
          <w:highlight w:val="yellow"/>
        </w:rPr>
      </w:pPr>
      <w:bookmarkStart w:id="71" w:name="_Ref179620969"/>
      <w:r>
        <w:rPr>
          <w:rFonts w:asciiTheme="minorEastAsia" w:hAnsiTheme="minorEastAsia"/>
          <w:szCs w:val="21"/>
          <w:highlight w:val="yellow"/>
        </w:rPr>
        <w:t>投标人应将投标文件正本和所有的副本封装在一个信封中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1"/>
      <w:r>
        <w:rPr>
          <w:rFonts w:asciiTheme="minorEastAsia" w:hAnsiTheme="minorEastAsia"/>
          <w:szCs w:val="21"/>
          <w:highlight w:val="yellow"/>
        </w:rPr>
        <w:t xml:space="preserve"> </w:t>
      </w:r>
    </w:p>
    <w:p w14:paraId="585675B7">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61B0BE2A">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中指明的项目名称、包号（如果分包的话）、招标编号和“在</w:t>
      </w:r>
      <w:r>
        <w:rPr>
          <w:rFonts w:asciiTheme="minorEastAsia" w:hAnsiTheme="minorEastAsia"/>
          <w:i/>
          <w:szCs w:val="21"/>
          <w:highlight w:val="yellow"/>
          <w:u w:val="single"/>
        </w:rPr>
        <w:t>(开标日期、时间)</w:t>
      </w:r>
      <w:r>
        <w:rPr>
          <w:rFonts w:asciiTheme="minorEastAsia" w:hAnsiTheme="minorEastAsia"/>
          <w:szCs w:val="21"/>
          <w:highlight w:val="yellow"/>
        </w:rPr>
        <w:t>之前不得启封”的字样，并填入</w:t>
      </w:r>
      <w:r>
        <w:rPr>
          <w:rFonts w:hint="eastAsia" w:asciiTheme="minorEastAsia" w:hAnsiTheme="minorEastAsia"/>
          <w:b/>
          <w:szCs w:val="21"/>
          <w:highlight w:val="yellow"/>
        </w:rPr>
        <w:t>招标公告</w:t>
      </w:r>
      <w:r>
        <w:rPr>
          <w:rFonts w:asciiTheme="minorEastAsia" w:hAnsiTheme="minorEastAsia"/>
          <w:szCs w:val="21"/>
          <w:highlight w:val="yellow"/>
        </w:rPr>
        <w:t>中规定的开标日期和时间。</w:t>
      </w:r>
    </w:p>
    <w:p w14:paraId="20D4380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3CBCF552">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内层信封应写明投标人名称和地址，以便将迟交的投标文件能原封退回。</w:t>
      </w:r>
    </w:p>
    <w:p w14:paraId="080BD6AB">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对投标文件的误投或提前启封概不负责。</w:t>
      </w:r>
    </w:p>
    <w:p w14:paraId="5968FF57">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投标人同时参加几个包投标时必须按招标文件要求按包号分别制作投标文件，分别密封递交。</w:t>
      </w:r>
    </w:p>
    <w:p w14:paraId="30D2A2B7">
      <w:pPr>
        <w:pStyle w:val="3"/>
        <w:spacing w:line="360" w:lineRule="auto"/>
        <w:ind w:firstLine="482"/>
      </w:pPr>
      <w:bookmarkStart w:id="72" w:name="_Toc8701"/>
      <w:bookmarkStart w:id="73" w:name="_Toc55548515"/>
      <w:r>
        <w:t>投标样品</w:t>
      </w:r>
      <w:bookmarkEnd w:id="72"/>
      <w:bookmarkEnd w:id="73"/>
    </w:p>
    <w:p w14:paraId="065E3659">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58062B83">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为方便评标，投标人在提供样品时，应使用透明的外包装或尽量少用外包装，但必须在所提供的样品表面显著位置标注投标人的名称、包号、样品名称、招标文件规定的货物编号。</w:t>
      </w:r>
    </w:p>
    <w:p w14:paraId="6AAE22CB">
      <w:pPr>
        <w:spacing w:line="360" w:lineRule="auto"/>
        <w:ind w:firstLine="420" w:firstLineChars="200"/>
        <w:rPr>
          <w:rFonts w:asciiTheme="minorEastAsia" w:hAnsiTheme="minorEastAsia"/>
          <w:szCs w:val="21"/>
        </w:rPr>
      </w:pPr>
      <w:r>
        <w:rPr>
          <w:rFonts w:asciiTheme="minorEastAsia" w:hAnsiTheme="minorEastAsia"/>
          <w:szCs w:val="21"/>
        </w:rPr>
        <w:t>样品作为投标文件的一部分，除非另有说明，中标单位的样品不再退还，未中标单位须在中标公告发布后五个工作日内，前往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4F401A2C">
      <w:pPr>
        <w:pStyle w:val="3"/>
        <w:spacing w:line="360" w:lineRule="auto"/>
        <w:ind w:firstLine="482"/>
      </w:pPr>
      <w:bookmarkStart w:id="74" w:name="_Toc5724"/>
      <w:bookmarkStart w:id="75" w:name="_Toc55548516"/>
      <w:bookmarkStart w:id="76" w:name="_Ref179619638"/>
      <w:r>
        <w:t>投标截止期</w:t>
      </w:r>
      <w:bookmarkEnd w:id="74"/>
      <w:bookmarkEnd w:id="75"/>
      <w:bookmarkEnd w:id="76"/>
    </w:p>
    <w:p w14:paraId="10D242EB">
      <w:pPr>
        <w:spacing w:line="360" w:lineRule="auto"/>
        <w:ind w:firstLine="420" w:firstLineChars="200"/>
        <w:rPr>
          <w:rFonts w:asciiTheme="minorEastAsia" w:hAnsiTheme="minorEastAsia"/>
          <w:szCs w:val="21"/>
        </w:rPr>
      </w:pPr>
      <w:bookmarkStart w:id="77"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中规定的截止日期和时间将投标文件递交至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7"/>
    </w:p>
    <w:p w14:paraId="30D090F6">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可以通过修改招标文件自行决定酌情推迟投标截止期。在此情况下，招标人和投标人受投标截止期制约的所有权利和义务均应延长至新的截止期。 </w:t>
      </w:r>
    </w:p>
    <w:p w14:paraId="5F01FF06">
      <w:pPr>
        <w:pStyle w:val="3"/>
        <w:spacing w:line="360" w:lineRule="auto"/>
        <w:ind w:firstLine="482"/>
      </w:pPr>
      <w:bookmarkStart w:id="78" w:name="_Toc55548517"/>
      <w:bookmarkStart w:id="79" w:name="_Ref179619679"/>
      <w:bookmarkStart w:id="80" w:name="_Toc3231"/>
      <w:r>
        <w:t>迟交的投标文件</w:t>
      </w:r>
      <w:bookmarkEnd w:id="78"/>
      <w:bookmarkEnd w:id="79"/>
      <w:bookmarkEnd w:id="80"/>
    </w:p>
    <w:p w14:paraId="54F26FC7">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的截止期后收到的任何投标文件。</w:t>
      </w:r>
    </w:p>
    <w:p w14:paraId="774CC11D">
      <w:pPr>
        <w:pStyle w:val="3"/>
        <w:spacing w:line="360" w:lineRule="auto"/>
        <w:ind w:firstLine="482"/>
      </w:pPr>
      <w:bookmarkStart w:id="81" w:name="_Ref179619013"/>
      <w:bookmarkStart w:id="82" w:name="_Toc865"/>
      <w:bookmarkStart w:id="83" w:name="_Toc55548518"/>
      <w:r>
        <w:t>投标文件的修改与撤回</w:t>
      </w:r>
      <w:bookmarkEnd w:id="81"/>
      <w:bookmarkEnd w:id="82"/>
      <w:bookmarkEnd w:id="83"/>
    </w:p>
    <w:p w14:paraId="0817E485">
      <w:pPr>
        <w:spacing w:line="360" w:lineRule="auto"/>
        <w:ind w:firstLine="420" w:firstLineChars="200"/>
        <w:rPr>
          <w:rFonts w:asciiTheme="minorEastAsia" w:hAnsiTheme="minorEastAsia"/>
          <w:szCs w:val="21"/>
        </w:rPr>
      </w:pPr>
      <w:r>
        <w:rPr>
          <w:rFonts w:asciiTheme="minorEastAsia" w:hAnsiTheme="minorEastAsia"/>
          <w:szCs w:val="21"/>
        </w:rPr>
        <w:t>投标人在递交投标文件后，可以修改或撤回其投标，但投标人必须在规定的投标截止期之前将修改或撤回的书面通知递交到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1654E996">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33A495E3">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530BE2F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415F8CFD">
      <w:pPr>
        <w:pStyle w:val="3"/>
        <w:spacing w:line="360" w:lineRule="auto"/>
        <w:ind w:firstLine="482"/>
      </w:pPr>
      <w:bookmarkStart w:id="84" w:name="_Toc55548519"/>
      <w:bookmarkStart w:id="85" w:name="_Toc22375"/>
      <w:r>
        <w:t>投标文件的退还</w:t>
      </w:r>
      <w:bookmarkEnd w:id="84"/>
      <w:bookmarkEnd w:id="85"/>
    </w:p>
    <w:p w14:paraId="002C2F2A">
      <w:pPr>
        <w:spacing w:line="360" w:lineRule="auto"/>
        <w:ind w:firstLine="420" w:firstLineChars="200"/>
        <w:rPr>
          <w:rFonts w:asciiTheme="minorEastAsia" w:hAnsiTheme="minorEastAsia"/>
          <w:szCs w:val="21"/>
        </w:rPr>
      </w:pPr>
      <w:r>
        <w:rPr>
          <w:rFonts w:asciiTheme="minorEastAsia" w:hAnsiTheme="minorEastAsia"/>
          <w:szCs w:val="21"/>
        </w:rPr>
        <w:t>除非招标文件另有规定或说明，投标文件一律不予退还。</w:t>
      </w:r>
    </w:p>
    <w:p w14:paraId="162F5B8B">
      <w:pPr>
        <w:pStyle w:val="4"/>
        <w:ind w:firstLine="482"/>
      </w:pPr>
      <w:bookmarkStart w:id="86" w:name="_Toc9126"/>
      <w:bookmarkStart w:id="87" w:name="_Toc55548520"/>
      <w:bookmarkStart w:id="88" w:name="_Toc27271"/>
      <w:r>
        <w:t>五、开标与评标</w:t>
      </w:r>
      <w:bookmarkEnd w:id="86"/>
      <w:bookmarkEnd w:id="87"/>
      <w:bookmarkEnd w:id="88"/>
    </w:p>
    <w:p w14:paraId="6F0EF604">
      <w:pPr>
        <w:pStyle w:val="3"/>
        <w:spacing w:line="360" w:lineRule="auto"/>
        <w:ind w:firstLine="482"/>
      </w:pPr>
      <w:bookmarkStart w:id="89" w:name="_Toc21095"/>
      <w:bookmarkStart w:id="90" w:name="_Toc55548521"/>
      <w:r>
        <w:t>开标</w:t>
      </w:r>
      <w:bookmarkEnd w:id="89"/>
      <w:bookmarkEnd w:id="90"/>
    </w:p>
    <w:p w14:paraId="55DF3336">
      <w:pPr>
        <w:spacing w:line="360" w:lineRule="auto"/>
        <w:ind w:firstLine="420" w:firstLineChars="200"/>
        <w:rPr>
          <w:rFonts w:asciiTheme="minorEastAsia" w:hAnsiTheme="minorEastAsia"/>
          <w:szCs w:val="21"/>
        </w:rPr>
      </w:pPr>
      <w:bookmarkStart w:id="91"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中规定的日期、时间和地点组织公开开标。投标人代表均须按时参加开标会。参加开标的投标人代表应签名报到以证明其出席。</w:t>
      </w:r>
      <w:bookmarkEnd w:id="91"/>
    </w:p>
    <w:p w14:paraId="1A186C7A">
      <w:pPr>
        <w:spacing w:line="360" w:lineRule="auto"/>
        <w:ind w:firstLine="420" w:firstLineChars="200"/>
        <w:rPr>
          <w:rFonts w:asciiTheme="minorEastAsia" w:hAnsiTheme="minorEastAsia"/>
          <w:szCs w:val="21"/>
        </w:rPr>
      </w:pPr>
      <w:r>
        <w:rPr>
          <w:rFonts w:asciiTheme="minorEastAsia" w:hAnsiTheme="minorEastAsia"/>
          <w:szCs w:val="21"/>
        </w:rPr>
        <w:t>开标时，招标</w:t>
      </w:r>
      <w:r>
        <w:rPr>
          <w:rFonts w:hint="eastAsia" w:asciiTheme="minorEastAsia" w:hAnsiTheme="minorEastAsia"/>
          <w:szCs w:val="21"/>
        </w:rPr>
        <w:t>人</w:t>
      </w:r>
      <w:r>
        <w:rPr>
          <w:rFonts w:asciiTheme="minorEastAsia" w:hAnsiTheme="minorEastAsia"/>
          <w:szCs w:val="21"/>
        </w:rPr>
        <w:t>当众宣读投标人名称、修改和撤回投标的通知、投标价格、是否提交了投标保证金，以及招标</w:t>
      </w:r>
      <w:r>
        <w:rPr>
          <w:rFonts w:hint="eastAsia" w:asciiTheme="minorEastAsia" w:hAnsiTheme="minorEastAsia"/>
          <w:szCs w:val="21"/>
        </w:rPr>
        <w:t>人</w:t>
      </w:r>
      <w:r>
        <w:rPr>
          <w:rFonts w:asciiTheme="minorEastAsia" w:hAnsiTheme="minorEastAsia"/>
          <w:szCs w:val="21"/>
        </w:rPr>
        <w:t>认为合适的其他内容。除了按照本须知的规定原封退回迟到的投标之外，开标时将不得拒绝任何已购买招标文件的投标人的投标。</w:t>
      </w:r>
    </w:p>
    <w:p w14:paraId="5AE18406">
      <w:pPr>
        <w:pStyle w:val="3"/>
        <w:spacing w:line="360" w:lineRule="auto"/>
        <w:ind w:firstLine="482"/>
      </w:pPr>
      <w:bookmarkStart w:id="92" w:name="_Toc55548522"/>
      <w:bookmarkStart w:id="93" w:name="_Toc1622"/>
      <w:r>
        <w:t>资格核查</w:t>
      </w:r>
      <w:bookmarkEnd w:id="92"/>
      <w:bookmarkEnd w:id="93"/>
    </w:p>
    <w:p w14:paraId="1C9AF257">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就投标文件中的资格证明等内容对投标供应商进行资格核查，核查不合格的，认定其投标无效。核查合格的投标文件提交评标委员会进行评审。</w:t>
      </w:r>
    </w:p>
    <w:p w14:paraId="5D70CF71">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6DBA6969">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资格证明文件未提供或不符合招标文件要求的；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6CC2A1FF">
      <w:pPr>
        <w:pStyle w:val="3"/>
        <w:spacing w:line="360" w:lineRule="auto"/>
        <w:ind w:firstLine="482"/>
      </w:pPr>
      <w:bookmarkStart w:id="94" w:name="_Toc55548523"/>
      <w:bookmarkStart w:id="95" w:name="_Toc31201"/>
      <w:r>
        <w:t>评标委员会和评标方法</w:t>
      </w:r>
      <w:bookmarkEnd w:id="94"/>
      <w:bookmarkEnd w:id="95"/>
    </w:p>
    <w:p w14:paraId="75771317">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和有关技术、经济等方面的专家组成，成员人数为五人或五人以上单数。其中技术、经济等方面的专家不少于成员总数的三分之二。</w:t>
      </w:r>
    </w:p>
    <w:p w14:paraId="1147D4B1">
      <w:pPr>
        <w:spacing w:line="360" w:lineRule="auto"/>
        <w:ind w:firstLine="420" w:firstLineChars="200"/>
        <w:rPr>
          <w:rFonts w:asciiTheme="minorEastAsia" w:hAnsiTheme="minorEastAsia"/>
          <w:szCs w:val="21"/>
        </w:rPr>
      </w:pPr>
      <w:bookmarkStart w:id="96"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6"/>
    </w:p>
    <w:p w14:paraId="0BF3107C">
      <w:pPr>
        <w:spacing w:line="360" w:lineRule="auto"/>
        <w:ind w:firstLine="420" w:firstLineChars="200"/>
        <w:rPr>
          <w:rFonts w:asciiTheme="minorEastAsia" w:hAnsiTheme="minorEastAsia"/>
          <w:szCs w:val="21"/>
        </w:rPr>
      </w:pPr>
      <w:r>
        <w:rPr>
          <w:rFonts w:asciiTheme="minorEastAsia" w:hAnsiTheme="minorEastAsia"/>
          <w:szCs w:val="21"/>
        </w:rPr>
        <w:t>评标委员会对投标文件的评审内容，分为商务评议、技术评议和价格评议/综合评议。评审流程包括资格性检查、符合性检查、澄清问题、比较与评价、推荐中标候选人或确定中标人、编写评标报告等步骤。</w:t>
      </w:r>
    </w:p>
    <w:p w14:paraId="5A61B5BB">
      <w:pPr>
        <w:spacing w:line="360" w:lineRule="auto"/>
        <w:ind w:firstLine="420" w:firstLineChars="200"/>
        <w:rPr>
          <w:rFonts w:asciiTheme="minorEastAsia" w:hAnsiTheme="minorEastAsia"/>
          <w:szCs w:val="21"/>
        </w:rPr>
      </w:pPr>
      <w:bookmarkStart w:id="97" w:name="_Ref179619857"/>
      <w:r>
        <w:rPr>
          <w:rFonts w:asciiTheme="minorEastAsia" w:hAnsiTheme="minorEastAsia"/>
          <w:szCs w:val="21"/>
        </w:rPr>
        <w:t>在评标期间，评标委员会可要求投标人对其投标文件进行澄清，但不得寻求、提供或允许对投标价格等实质性内容做任何更改。有关澄清的要求和答复均应以书面形式提交。</w:t>
      </w:r>
      <w:bookmarkEnd w:id="97"/>
    </w:p>
    <w:p w14:paraId="20F42E82">
      <w:pPr>
        <w:spacing w:line="360" w:lineRule="auto"/>
        <w:ind w:firstLine="420" w:firstLineChars="200"/>
        <w:rPr>
          <w:rFonts w:asciiTheme="minorEastAsia" w:hAnsiTheme="minorEastAsia"/>
          <w:szCs w:val="21"/>
        </w:rPr>
      </w:pPr>
      <w:bookmarkStart w:id="98" w:name="_Toc16749"/>
      <w:bookmarkStart w:id="99" w:name="_Toc3712"/>
      <w:bookmarkStart w:id="100" w:name="_Toc27507"/>
      <w:bookmarkStart w:id="101" w:name="_Toc10952"/>
      <w:r>
        <w:rPr>
          <w:rFonts w:hint="eastAsia" w:asciiTheme="minorEastAsia" w:hAnsiTheme="minorEastAsia"/>
          <w:szCs w:val="21"/>
        </w:rPr>
        <w:t>不同投标人提供相同品牌产品</w:t>
      </w:r>
      <w:bookmarkEnd w:id="98"/>
      <w:bookmarkEnd w:id="99"/>
      <w:bookmarkEnd w:id="100"/>
      <w:bookmarkEnd w:id="101"/>
    </w:p>
    <w:p w14:paraId="74C09FAA">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97DC7B">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74A82E">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57708FBF">
      <w:pPr>
        <w:pStyle w:val="3"/>
        <w:spacing w:line="360" w:lineRule="auto"/>
        <w:ind w:firstLine="482"/>
      </w:pPr>
      <w:bookmarkStart w:id="102" w:name="_Toc55548524"/>
      <w:bookmarkStart w:id="103" w:name="_Toc21426"/>
      <w:r>
        <w:rPr>
          <w:rFonts w:hint="eastAsia"/>
        </w:rPr>
        <w:t>投标文件的初审</w:t>
      </w:r>
      <w:bookmarkEnd w:id="102"/>
      <w:bookmarkEnd w:id="103"/>
    </w:p>
    <w:p w14:paraId="565F4363">
      <w:pPr>
        <w:spacing w:line="360" w:lineRule="auto"/>
        <w:ind w:firstLine="420" w:firstLineChars="200"/>
        <w:rPr>
          <w:rFonts w:asciiTheme="minorEastAsia" w:hAnsiTheme="minorEastAsia"/>
          <w:szCs w:val="21"/>
        </w:rPr>
      </w:pPr>
      <w:r>
        <w:rPr>
          <w:rFonts w:asciiTheme="minorEastAsia" w:hAnsiTheme="minorEastAsia"/>
          <w:szCs w:val="21"/>
        </w:rPr>
        <w:t>评标委员会将审查投标文件是否完整、总体编排是否有序、文件签署是否合格等。</w:t>
      </w:r>
    </w:p>
    <w:p w14:paraId="2A6CB6BF">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投标文件中明细表内容不相符的，以开标一览表为准；若用文字表示的数值与用数字表示的数值不一致，以文字表示的数值为准。如果投标人不接受对其错误的更正，其投标将被拒绝。</w:t>
      </w:r>
    </w:p>
    <w:p w14:paraId="767AE1B7">
      <w:pPr>
        <w:spacing w:line="360" w:lineRule="auto"/>
        <w:ind w:firstLine="420" w:firstLineChars="200"/>
        <w:rPr>
          <w:rFonts w:asciiTheme="minorEastAsia" w:hAnsiTheme="minorEastAsia"/>
          <w:szCs w:val="21"/>
        </w:rPr>
      </w:pPr>
      <w:r>
        <w:rPr>
          <w:rFonts w:asciiTheme="minorEastAsia" w:hAnsiTheme="minorEastAsia"/>
          <w:szCs w:val="21"/>
        </w:rPr>
        <w:t>投标文件中的缺漏项将按以下方法更正：以所有投标报价中该项最高报价核算其缺漏项金额，缺漏项金额大于或等于其投标总价的1%时，视为重大投标漏项，该投标作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0EB6FFA9">
      <w:pPr>
        <w:spacing w:line="360" w:lineRule="auto"/>
        <w:ind w:firstLine="420" w:firstLineChars="200"/>
        <w:rPr>
          <w:rFonts w:asciiTheme="minorEastAsia" w:hAnsiTheme="minorEastAsia"/>
          <w:szCs w:val="21"/>
        </w:rPr>
      </w:pPr>
      <w:r>
        <w:rPr>
          <w:rFonts w:asciiTheme="minorEastAsia" w:hAnsiTheme="minorEastAsia"/>
          <w:szCs w:val="21"/>
        </w:rPr>
        <w:t>对于投标文件中不构成实质性偏差的不正规、不一致或不规则，评标委员会可以接受，但这种接受不能损害或影响任何投标人的相对排序。</w:t>
      </w:r>
    </w:p>
    <w:p w14:paraId="304FAD74">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14:paraId="03BE7DD1">
      <w:pPr>
        <w:spacing w:line="360" w:lineRule="auto"/>
        <w:ind w:firstLine="420" w:firstLineChars="200"/>
        <w:rPr>
          <w:rFonts w:asciiTheme="minorEastAsia" w:hAnsiTheme="minorEastAsia"/>
          <w:szCs w:val="21"/>
        </w:rPr>
      </w:pPr>
      <w:bookmarkStart w:id="104" w:name="_Ref179619330"/>
      <w:r>
        <w:rPr>
          <w:rFonts w:asciiTheme="minorEastAsia" w:hAnsiTheme="minorEastAsia"/>
          <w:szCs w:val="21"/>
        </w:rPr>
        <w:t>实质上没有响应招标文件要求的投标将被作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4"/>
    </w:p>
    <w:p w14:paraId="6AA742B6">
      <w:pPr>
        <w:spacing w:line="360" w:lineRule="auto"/>
        <w:ind w:firstLine="420" w:firstLineChars="200"/>
        <w:rPr>
          <w:rFonts w:asciiTheme="minorEastAsia" w:hAnsiTheme="minorEastAsia"/>
          <w:szCs w:val="21"/>
        </w:rPr>
      </w:pPr>
      <w:bookmarkStart w:id="105" w:name="_Ref179621189"/>
      <w:r>
        <w:rPr>
          <w:rFonts w:asciiTheme="minorEastAsia" w:hAnsiTheme="minorEastAsia"/>
          <w:szCs w:val="21"/>
        </w:rPr>
        <w:t>符合性检查</w:t>
      </w:r>
      <w:bookmarkEnd w:id="105"/>
    </w:p>
    <w:p w14:paraId="0D00C659">
      <w:pPr>
        <w:spacing w:line="360" w:lineRule="auto"/>
        <w:ind w:firstLine="422" w:firstLineChars="200"/>
        <w:rPr>
          <w:rFonts w:asciiTheme="minorEastAsia" w:hAnsiTheme="minorEastAsia"/>
          <w:b/>
          <w:szCs w:val="21"/>
        </w:rPr>
      </w:pPr>
      <w:bookmarkStart w:id="106" w:name="_Toc1347"/>
      <w:bookmarkStart w:id="107" w:name="_Toc32392"/>
      <w:bookmarkStart w:id="108" w:name="_Toc13273"/>
      <w:bookmarkStart w:id="109" w:name="_Toc385"/>
      <w:bookmarkStart w:id="110" w:name="_Toc25993"/>
      <w:bookmarkStart w:id="111" w:name="_Toc5963"/>
      <w:bookmarkStart w:id="112" w:name="_Toc2459"/>
      <w:r>
        <w:rPr>
          <w:rFonts w:asciiTheme="minorEastAsia" w:hAnsiTheme="minorEastAsia"/>
          <w:b/>
          <w:szCs w:val="21"/>
        </w:rPr>
        <w:t>1) 投标文件的有效性、完整性瑕疵</w:t>
      </w:r>
      <w:bookmarkEnd w:id="106"/>
      <w:bookmarkEnd w:id="107"/>
      <w:bookmarkEnd w:id="108"/>
      <w:bookmarkEnd w:id="109"/>
      <w:bookmarkEnd w:id="110"/>
      <w:bookmarkEnd w:id="111"/>
      <w:bookmarkEnd w:id="112"/>
    </w:p>
    <w:p w14:paraId="2182E545">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投标文件的数量、制作、密封、标记不符合要求；</w:t>
      </w:r>
      <w:r>
        <w:rPr>
          <w:rFonts w:hint="eastAsia" w:cs="宋体" w:asciiTheme="minorEastAsia" w:hAnsiTheme="minorEastAsia"/>
          <w:szCs w:val="21"/>
        </w:rPr>
        <w:t>②</w:t>
      </w:r>
      <w:r>
        <w:rPr>
          <w:rFonts w:asciiTheme="minorEastAsia" w:hAnsiTheme="minorEastAsia"/>
          <w:szCs w:val="21"/>
        </w:rPr>
        <w:t>投标文件无法定代表人或其授权代表签字，或签字人无法定代表人有效授权的；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签字盖章不符合招标文件要求的；</w:t>
      </w:r>
      <w:r>
        <w:rPr>
          <w:rFonts w:hint="eastAsia" w:cs="宋体" w:asciiTheme="minorEastAsia" w:hAnsiTheme="minorEastAsia"/>
          <w:szCs w:val="21"/>
        </w:rPr>
        <w:t>④</w:t>
      </w:r>
      <w:r>
        <w:rPr>
          <w:rFonts w:asciiTheme="minorEastAsia" w:hAnsiTheme="minorEastAsia"/>
          <w:szCs w:val="21"/>
        </w:rPr>
        <w:t>投标文件内容有严重缺漏项的；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投标文件的关键内容字迹模糊、无法辨认的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未按招标文件要求编制。</w:t>
      </w:r>
    </w:p>
    <w:p w14:paraId="7ABDDDED">
      <w:pPr>
        <w:spacing w:line="360" w:lineRule="auto"/>
        <w:ind w:firstLine="422" w:firstLineChars="200"/>
        <w:rPr>
          <w:rFonts w:asciiTheme="minorEastAsia" w:hAnsiTheme="minorEastAsia"/>
          <w:b/>
          <w:szCs w:val="21"/>
        </w:rPr>
      </w:pPr>
      <w:bookmarkStart w:id="113" w:name="_Toc30904"/>
      <w:bookmarkStart w:id="114" w:name="_Toc4787"/>
      <w:bookmarkStart w:id="115" w:name="_Toc6513"/>
      <w:bookmarkStart w:id="116" w:name="_Toc31066"/>
      <w:bookmarkStart w:id="117" w:name="_Toc29078"/>
      <w:bookmarkStart w:id="118" w:name="_Toc17493"/>
      <w:bookmarkStart w:id="119" w:name="_Toc24825"/>
      <w:r>
        <w:rPr>
          <w:rFonts w:asciiTheme="minorEastAsia" w:hAnsiTheme="minorEastAsia"/>
          <w:b/>
          <w:szCs w:val="21"/>
        </w:rPr>
        <w:t>2) 技术响应瑕疵</w:t>
      </w:r>
      <w:bookmarkEnd w:id="113"/>
      <w:bookmarkEnd w:id="114"/>
      <w:bookmarkEnd w:id="115"/>
      <w:bookmarkEnd w:id="116"/>
      <w:bookmarkEnd w:id="117"/>
      <w:bookmarkEnd w:id="118"/>
      <w:bookmarkEnd w:id="119"/>
    </w:p>
    <w:p w14:paraId="469C9986">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投标文件不满足招标文件中加注星号（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投标文件技术响应与事实不符或虚假投标的；</w:t>
      </w:r>
      <w:r>
        <w:rPr>
          <w:rFonts w:hint="eastAsia" w:cs="宋体" w:asciiTheme="minorEastAsia" w:hAnsiTheme="minorEastAsia"/>
          <w:szCs w:val="21"/>
        </w:rPr>
        <w:t>④</w:t>
      </w:r>
      <w:r>
        <w:rPr>
          <w:rFonts w:asciiTheme="minorEastAsia" w:hAnsiTheme="minorEastAsia"/>
          <w:szCs w:val="21"/>
        </w:rPr>
        <w:t>投标人复制招标文件的技术规格相关部分内容作为其投标文件的一部分的；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其他未实质性响应招标文件技术要求的。</w:t>
      </w:r>
    </w:p>
    <w:p w14:paraId="2F84BAC2">
      <w:pPr>
        <w:spacing w:line="360" w:lineRule="auto"/>
        <w:ind w:firstLine="422" w:firstLineChars="200"/>
        <w:rPr>
          <w:rFonts w:asciiTheme="minorEastAsia" w:hAnsiTheme="minorEastAsia"/>
          <w:b/>
          <w:szCs w:val="21"/>
        </w:rPr>
      </w:pPr>
      <w:bookmarkStart w:id="120" w:name="_Toc32692"/>
      <w:bookmarkStart w:id="121" w:name="_Toc27147"/>
      <w:bookmarkStart w:id="122" w:name="_Toc9317"/>
      <w:bookmarkStart w:id="123" w:name="_Toc6987"/>
      <w:bookmarkStart w:id="124" w:name="_Toc13742"/>
      <w:bookmarkStart w:id="125" w:name="_Toc19531"/>
      <w:bookmarkStart w:id="126" w:name="_Toc16856"/>
      <w:r>
        <w:rPr>
          <w:rFonts w:asciiTheme="minorEastAsia" w:hAnsiTheme="minorEastAsia"/>
          <w:b/>
          <w:szCs w:val="21"/>
        </w:rPr>
        <w:t>3) 商务响应瑕疵</w:t>
      </w:r>
      <w:bookmarkEnd w:id="120"/>
      <w:bookmarkEnd w:id="121"/>
      <w:bookmarkEnd w:id="122"/>
      <w:bookmarkEnd w:id="123"/>
      <w:bookmarkEnd w:id="124"/>
      <w:bookmarkEnd w:id="125"/>
      <w:bookmarkEnd w:id="126"/>
    </w:p>
    <w:p w14:paraId="48D4872F">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招标文件加注星号（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招标项目完成期未满足招标文件要求的；</w:t>
      </w:r>
      <w:r>
        <w:rPr>
          <w:rFonts w:hint="eastAsia" w:cs="宋体" w:asciiTheme="minorEastAsia" w:hAnsiTheme="minorEastAsia"/>
          <w:szCs w:val="21"/>
        </w:rPr>
        <w:t>③</w:t>
      </w:r>
      <w:r>
        <w:rPr>
          <w:rFonts w:asciiTheme="minorEastAsia" w:hAnsiTheme="minorEastAsia"/>
          <w:szCs w:val="21"/>
        </w:rPr>
        <w:t>投标文件载明的货物包装方式、检验标准和方法不符合招标文件要求的；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投标文件附有招标人不能接受的条件的；</w:t>
      </w:r>
      <w:r>
        <w:rPr>
          <w:rFonts w:hint="eastAsia" w:cs="宋体" w:asciiTheme="minorEastAsia" w:hAnsiTheme="minorEastAsia"/>
          <w:szCs w:val="21"/>
        </w:rPr>
        <w:t>⑥</w:t>
      </w:r>
      <w:r>
        <w:rPr>
          <w:rFonts w:hint="eastAsia" w:asciiTheme="minorEastAsia" w:hAnsiTheme="minorEastAsia"/>
          <w:szCs w:val="21"/>
        </w:rPr>
        <w:t>投标文件中附有招标人不能接受的条件；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其他未实质性响应招标文件商务要求的。</w:t>
      </w:r>
    </w:p>
    <w:p w14:paraId="526FD488">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69B0EDEA">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拒不按照要求对投标文件进行澄清、说明或者补正的；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4A5C7CA7">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2657A5AB">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投标报价超出预算控制金额上限，或超过招标文件规定的最高投标限价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7D267B46">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）法律法规及招标文件中规定的其它情形。</w:t>
      </w:r>
    </w:p>
    <w:p w14:paraId="672F18C5">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根据项目情况，评标委员会有权决定招标文件中“可能导致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593B03BB">
      <w:pPr>
        <w:pStyle w:val="3"/>
        <w:spacing w:line="360" w:lineRule="auto"/>
        <w:ind w:firstLine="482"/>
      </w:pPr>
      <w:bookmarkStart w:id="127" w:name="_Toc7255"/>
      <w:bookmarkStart w:id="128" w:name="_Toc55548525"/>
      <w:r>
        <w:rPr>
          <w:rFonts w:hint="eastAsia"/>
        </w:rPr>
        <w:t>评标方法和定标原则</w:t>
      </w:r>
      <w:bookmarkEnd w:id="127"/>
      <w:bookmarkEnd w:id="128"/>
    </w:p>
    <w:p w14:paraId="6CD238DB">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16160DB9">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招标文件实质性要求前提下，以报价最低的投标供应商作为中标候选人或中标人。完全满足招标文件的实质性要求，按照报价由低到高的顺序，依据招标文件中规定的数量或者比例推荐候选中标供应商。</w:t>
      </w:r>
    </w:p>
    <w:p w14:paraId="3D89A152">
      <w:pPr>
        <w:spacing w:line="360" w:lineRule="auto"/>
        <w:ind w:firstLine="420" w:firstLineChars="200"/>
        <w:rPr>
          <w:rFonts w:asciiTheme="minorEastAsia" w:hAnsiTheme="minorEastAsia"/>
          <w:szCs w:val="21"/>
        </w:rPr>
      </w:pPr>
      <w:r>
        <w:rPr>
          <w:rFonts w:asciiTheme="minorEastAsia" w:hAnsiTheme="minorEastAsia"/>
          <w:szCs w:val="21"/>
        </w:rPr>
        <w:t>中标人的投标应当符合招标文件规定的资质、技术要求和标准，但评标委员会无需对投标文件的技术部分进行价格折算。</w:t>
      </w:r>
    </w:p>
    <w:p w14:paraId="389A00D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9CDB9C2">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7FF0A1AF">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FEB842F">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2232724E">
      <w:pPr>
        <w:spacing w:line="360" w:lineRule="auto"/>
        <w:ind w:firstLine="420" w:firstLineChars="200"/>
        <w:rPr>
          <w:rFonts w:asciiTheme="minorEastAsia" w:hAnsiTheme="minorEastAsia"/>
          <w:szCs w:val="21"/>
        </w:rPr>
      </w:pPr>
      <w:r>
        <w:rPr>
          <w:rFonts w:asciiTheme="minorEastAsia" w:hAnsiTheme="minorEastAsia"/>
          <w:szCs w:val="21"/>
        </w:rPr>
        <w:t>（一）满足招标文件实质性要求；</w:t>
      </w:r>
    </w:p>
    <w:p w14:paraId="52007068">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639D4225">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3A18EDE9">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571B2529">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招标文件实质性要求前提下，按照招标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330BF9C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49982A19">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04B8A5A6">
      <w:pPr>
        <w:spacing w:line="360" w:lineRule="auto"/>
        <w:ind w:firstLine="420" w:firstLineChars="200"/>
        <w:rPr>
          <w:rFonts w:asciiTheme="minorEastAsia" w:hAnsiTheme="minorEastAsia"/>
          <w:szCs w:val="21"/>
        </w:rPr>
      </w:pPr>
      <w:bookmarkStart w:id="129"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招标文件。</w:t>
      </w:r>
      <w:bookmarkEnd w:id="129"/>
    </w:p>
    <w:p w14:paraId="78F17213">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6C01CF00">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3A5F8E15">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173E9A36">
      <w:pPr>
        <w:spacing w:line="360" w:lineRule="auto"/>
        <w:ind w:firstLine="420" w:firstLineChars="200"/>
        <w:rPr>
          <w:rFonts w:asciiTheme="minorEastAsia" w:hAnsiTheme="minorEastAsia"/>
          <w:szCs w:val="21"/>
        </w:rPr>
      </w:pPr>
      <w:r>
        <w:rPr>
          <w:rFonts w:asciiTheme="minorEastAsia" w:hAnsiTheme="minorEastAsia"/>
          <w:szCs w:val="21"/>
        </w:rPr>
        <w:t>价格分计算方法：满足招标文件要求且投标价格最低的投标报价为评标基准价，其价格分为满分。其他投标人的价格分统一按照下列公式计算：</w:t>
      </w:r>
    </w:p>
    <w:p w14:paraId="0221683B">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3453B7C6">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7E8DACC9">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53F708B7">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性价比法，是指除价格因素外，经对投标文件进行评审，计算出各评分因素的总分，除以投标报价，以商数最高的投标供应商作为中标候选供应商或中标供应商的评标方法。</w:t>
      </w:r>
    </w:p>
    <w:p w14:paraId="76544B8E">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A917F5B">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29.6</w:t>
      </w:r>
      <w:r>
        <w:rPr>
          <w:rFonts w:asciiTheme="minorEastAsia" w:hAnsiTheme="minorEastAsia"/>
          <w:szCs w:val="21"/>
        </w:rPr>
        <w:fldChar w:fldCharType="end"/>
      </w:r>
      <w:r>
        <w:rPr>
          <w:rFonts w:asciiTheme="minorEastAsia" w:hAnsiTheme="minorEastAsia"/>
          <w:szCs w:val="21"/>
        </w:rPr>
        <w:t>条规定，只对确定为实质上响应招标文件要求的投标进行下一步评定。</w:t>
      </w:r>
    </w:p>
    <w:p w14:paraId="18412166">
      <w:pPr>
        <w:spacing w:line="360" w:lineRule="auto"/>
        <w:ind w:firstLine="420" w:firstLineChars="200"/>
        <w:rPr>
          <w:rFonts w:asciiTheme="minorEastAsia" w:hAnsiTheme="minorEastAsia"/>
          <w:szCs w:val="21"/>
        </w:rPr>
      </w:pPr>
      <w:bookmarkStart w:id="130"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招标文件。</w:t>
      </w:r>
      <w:bookmarkEnd w:id="130"/>
    </w:p>
    <w:p w14:paraId="3123427A">
      <w:pPr>
        <w:spacing w:line="360" w:lineRule="auto"/>
        <w:ind w:firstLine="420" w:firstLineChars="200"/>
        <w:rPr>
          <w:rFonts w:asciiTheme="minorEastAsia" w:hAnsiTheme="minorEastAsia"/>
          <w:szCs w:val="21"/>
        </w:rPr>
      </w:pPr>
      <w:r>
        <w:rPr>
          <w:rFonts w:asciiTheme="minorEastAsia" w:hAnsiTheme="minorEastAsia"/>
          <w:szCs w:val="21"/>
        </w:rPr>
        <w:t>计算</w:t>
      </w:r>
    </w:p>
    <w:p w14:paraId="3F5BF606">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1E7BD64F">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39869F3B">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57B9BD66">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5665D98A">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4E0CC633">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77B31048">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7677631F">
      <w:pPr>
        <w:pStyle w:val="4"/>
        <w:ind w:firstLine="482"/>
      </w:pPr>
      <w:bookmarkStart w:id="131" w:name="_Toc31060"/>
      <w:bookmarkStart w:id="132" w:name="_Toc12447"/>
      <w:bookmarkStart w:id="133" w:name="_Toc55548528"/>
      <w:r>
        <w:t>六、授予合同</w:t>
      </w:r>
      <w:bookmarkEnd w:id="131"/>
      <w:bookmarkEnd w:id="132"/>
      <w:bookmarkEnd w:id="133"/>
    </w:p>
    <w:p w14:paraId="4F2D64AF">
      <w:pPr>
        <w:pStyle w:val="3"/>
        <w:spacing w:line="360" w:lineRule="auto"/>
        <w:ind w:firstLine="482"/>
      </w:pPr>
      <w:bookmarkStart w:id="134" w:name="_Toc4551"/>
      <w:bookmarkStart w:id="135" w:name="_Toc55548529"/>
      <w:r>
        <w:rPr>
          <w:rFonts w:hint="eastAsia"/>
        </w:rPr>
        <w:t>最终审查</w:t>
      </w:r>
      <w:bookmarkEnd w:id="134"/>
      <w:bookmarkEnd w:id="135"/>
    </w:p>
    <w:p w14:paraId="5F038BC9">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0375B975">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2A8528E6">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51FAA4DE">
      <w:pPr>
        <w:pStyle w:val="3"/>
        <w:spacing w:line="360" w:lineRule="auto"/>
        <w:ind w:firstLine="482"/>
      </w:pPr>
      <w:bookmarkStart w:id="136" w:name="_Toc55548530"/>
      <w:bookmarkStart w:id="137" w:name="_Toc9998"/>
      <w:r>
        <w:rPr>
          <w:rFonts w:hint="eastAsia"/>
        </w:rPr>
        <w:t>合同授予标准</w:t>
      </w:r>
      <w:bookmarkEnd w:id="136"/>
      <w:bookmarkEnd w:id="137"/>
    </w:p>
    <w:p w14:paraId="1C16ACC0">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评标委员会将把合同授予被确定为实质上响应招标文件的要求并有履行合同能力的最低评标价的投标人或综合评价得分最高的投标人或评标总商数最高的投标人。</w:t>
      </w:r>
    </w:p>
    <w:p w14:paraId="409CF9CA">
      <w:pPr>
        <w:pStyle w:val="3"/>
        <w:spacing w:line="360" w:lineRule="auto"/>
        <w:ind w:firstLine="482"/>
      </w:pPr>
      <w:bookmarkStart w:id="138" w:name="_Toc55548532"/>
      <w:bookmarkStart w:id="139" w:name="_Toc29853"/>
      <w:r>
        <w:rPr>
          <w:rFonts w:hint="eastAsia"/>
        </w:rPr>
        <w:t>中标结果公示</w:t>
      </w:r>
      <w:bookmarkEnd w:id="138"/>
      <w:bookmarkEnd w:id="139"/>
    </w:p>
    <w:p w14:paraId="660CC93B">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https://www.bawjxt.net/baqjbyfkzzx/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5DC1F72B">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1AB23D13">
      <w:pPr>
        <w:pStyle w:val="3"/>
        <w:spacing w:line="360" w:lineRule="auto"/>
        <w:ind w:firstLine="482"/>
      </w:pPr>
      <w:bookmarkStart w:id="140" w:name="_Toc5257"/>
      <w:bookmarkStart w:id="141" w:name="_Toc55548533"/>
      <w:bookmarkStart w:id="142" w:name="_Ref179619923"/>
      <w:r>
        <w:rPr>
          <w:rFonts w:hint="eastAsia"/>
        </w:rPr>
        <w:t>接受和拒绝任何或所有投标的权力</w:t>
      </w:r>
      <w:bookmarkEnd w:id="140"/>
      <w:bookmarkEnd w:id="141"/>
      <w:bookmarkEnd w:id="142"/>
    </w:p>
    <w:p w14:paraId="60BC212E">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51B8E0D8">
      <w:pPr>
        <w:pStyle w:val="3"/>
        <w:spacing w:line="360" w:lineRule="auto"/>
        <w:ind w:firstLine="482"/>
      </w:pPr>
      <w:bookmarkStart w:id="143" w:name="_Toc55548534"/>
      <w:bookmarkStart w:id="144" w:name="_Toc1842"/>
      <w:r>
        <w:rPr>
          <w:rFonts w:hint="eastAsia"/>
        </w:rPr>
        <w:t>中标通知书</w:t>
      </w:r>
      <w:bookmarkEnd w:id="143"/>
      <w:bookmarkEnd w:id="144"/>
    </w:p>
    <w:p w14:paraId="344FCA7D">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20174E07">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2EC28CCD">
      <w:pPr>
        <w:pStyle w:val="3"/>
        <w:spacing w:line="360" w:lineRule="auto"/>
        <w:ind w:firstLine="482"/>
      </w:pPr>
      <w:bookmarkStart w:id="145" w:name="_Toc55548535"/>
      <w:bookmarkStart w:id="146" w:name="_Ref179619520"/>
      <w:bookmarkStart w:id="147" w:name="_Toc11931"/>
      <w:r>
        <w:rPr>
          <w:rFonts w:hint="eastAsia"/>
        </w:rPr>
        <w:t>签订合同</w:t>
      </w:r>
      <w:bookmarkEnd w:id="145"/>
      <w:bookmarkEnd w:id="146"/>
      <w:bookmarkEnd w:id="147"/>
    </w:p>
    <w:p w14:paraId="1C4A9406">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《中标通知书》发出后10个工作日内，中标人应按照招标文件和中标人的投标文件订立书面合同。中标人不得与招标人再订立背离合同实质性内容的其他协议。</w:t>
      </w:r>
    </w:p>
    <w:p w14:paraId="2F39BD6B">
      <w:pPr>
        <w:spacing w:line="360" w:lineRule="auto"/>
        <w:ind w:firstLine="420" w:firstLineChars="200"/>
        <w:rPr>
          <w:rFonts w:asciiTheme="minorEastAsia" w:hAnsiTheme="minorEastAsia"/>
          <w:szCs w:val="21"/>
        </w:rPr>
      </w:pPr>
      <w:r>
        <w:rPr>
          <w:rFonts w:asciiTheme="minorEastAsia" w:hAnsiTheme="minorEastAsia"/>
          <w:szCs w:val="21"/>
        </w:rPr>
        <w:t>招标文件、中标人的投标文件及其澄清文件等，均为签订合同的依据。</w:t>
      </w:r>
    </w:p>
    <w:p w14:paraId="7F6AB098">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19FB6FC9">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6D4B065">
      <w:pPr>
        <w:pStyle w:val="2"/>
      </w:pPr>
      <w:bookmarkStart w:id="148" w:name="_Toc61880307"/>
      <w:bookmarkStart w:id="149" w:name="_Toc61539111"/>
      <w:r>
        <w:rPr>
          <w:rFonts w:hint="eastAsia"/>
        </w:rPr>
        <w:t>第四章  附件－投标文件格式</w:t>
      </w:r>
      <w:bookmarkEnd w:id="148"/>
      <w:bookmarkEnd w:id="149"/>
    </w:p>
    <w:p w14:paraId="744592AA">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28F76139">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14:paraId="5F1BEC47">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深圳市宝安区疾病预防控制中心（深圳市宝安区卫生监督所）</w:t>
      </w:r>
    </w:p>
    <w:p w14:paraId="1F65CF8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招标文件，经详细研究，我们决定参加该项目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2324EEB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1、我方愿以《开标一览表》中填写的投标总价并按照招标文件中的一切要求，承担上述项目的全部工作。</w:t>
      </w:r>
    </w:p>
    <w:p w14:paraId="5009749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2、我方提交的投标文件为：投标书正本一份，副本二份，电子档文件一份。</w:t>
      </w:r>
    </w:p>
    <w:p w14:paraId="02E7DB5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3、如果我们投标书被接受，我们将履行招标文件中规定的每一项要求，按期、按质、按量完成任务。</w:t>
      </w:r>
    </w:p>
    <w:p w14:paraId="722026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4、我们愿意提供招标文件中要求的所有资料，且所递交的投标文件在投标有效期（即90天）内有效，在此期间内我方的投标有可能中标，我方将受此约束。</w:t>
      </w:r>
    </w:p>
    <w:p w14:paraId="7F8EBC7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772EC46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7A0FEC2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7、我们同意招标文件之规定，遵守有关招标的各项规定。</w:t>
      </w:r>
    </w:p>
    <w:p w14:paraId="15E2DA54">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2DE17445">
      <w:pPr>
        <w:spacing w:line="360" w:lineRule="auto"/>
        <w:ind w:firstLine="420" w:firstLineChars="200"/>
        <w:rPr>
          <w:rFonts w:asciiTheme="minorEastAsia" w:hAnsiTheme="minorEastAsia"/>
          <w:color w:val="000000"/>
          <w:szCs w:val="21"/>
        </w:rPr>
      </w:pPr>
    </w:p>
    <w:p w14:paraId="36828BD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2A1E93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7F7790D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625379C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4E0DA85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29CF46A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4CB1208D">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074513C9">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14:paraId="53F3C9A8">
      <w:pPr>
        <w:spacing w:line="360"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14:paraId="058176CB">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3E52E402">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2108367F">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7706E2BF">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7CBBA6EA">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2B344CD8">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565F5A7E">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7B6701D2">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8200A0F">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14:paraId="18CBD689">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666DA4D">
      <w:pPr>
        <w:spacing w:line="360" w:lineRule="auto"/>
        <w:ind w:firstLine="420" w:firstLineChars="200"/>
        <w:rPr>
          <w:rFonts w:asciiTheme="minorEastAsia" w:hAnsiTheme="minorEastAsia"/>
          <w:szCs w:val="21"/>
        </w:rPr>
      </w:pPr>
      <w:r>
        <w:rPr>
          <w:rFonts w:hint="eastAsia" w:asciiTheme="minorEastAsia" w:hAnsiTheme="minorEastAsia"/>
          <w:szCs w:val="21"/>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F3DE775">
      <w:pPr>
        <w:spacing w:line="360"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491C952D">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71566430">
      <w:pPr>
        <w:adjustRightInd w:val="0"/>
        <w:snapToGrid w:val="0"/>
        <w:spacing w:line="360" w:lineRule="auto"/>
        <w:ind w:firstLine="422" w:firstLineChars="200"/>
        <w:rPr>
          <w:rFonts w:asciiTheme="minorEastAsia" w:hAnsiTheme="minorEastAsia"/>
          <w:b/>
          <w:snapToGrid w:val="0"/>
          <w:kern w:val="0"/>
          <w:szCs w:val="21"/>
        </w:rPr>
      </w:pPr>
    </w:p>
    <w:p w14:paraId="7E68EBD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14A6B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33AF6D03">
      <w:pPr>
        <w:spacing w:line="360"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79C8A6A6">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2"/>
    </w:p>
    <w:p w14:paraId="23388305">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14:paraId="5933E274">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14:paraId="64BA6E0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14:paraId="397DBD6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083043BE">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4054C1D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336E7692">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（三）在投标文件中未说明且未经采购人同意，将中标项目分包给他人，情节严重的；</w:t>
      </w:r>
    </w:p>
    <w:p w14:paraId="687A7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1AC11D13">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5626214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421B3728">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0E746C2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01966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5049AE03">
      <w:pPr>
        <w:spacing w:line="360" w:lineRule="auto"/>
        <w:ind w:firstLine="420" w:firstLineChars="200"/>
        <w:rPr>
          <w:rFonts w:asciiTheme="minorEastAsia" w:hAnsiTheme="minorEastAsia"/>
          <w:szCs w:val="21"/>
        </w:rPr>
      </w:pPr>
    </w:p>
    <w:p w14:paraId="09DF85B9">
      <w:pPr>
        <w:spacing w:line="360" w:lineRule="auto"/>
        <w:ind w:firstLine="420" w:firstLineChars="200"/>
        <w:rPr>
          <w:rFonts w:asciiTheme="minorEastAsia" w:hAnsiTheme="minorEastAsia"/>
          <w:szCs w:val="21"/>
        </w:rPr>
      </w:pPr>
    </w:p>
    <w:p w14:paraId="465A1B7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F39EB2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F00298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68261C7C">
      <w:pPr>
        <w:spacing w:line="360" w:lineRule="auto"/>
        <w:ind w:firstLine="420" w:firstLineChars="200"/>
        <w:rPr>
          <w:rFonts w:asciiTheme="minorEastAsia" w:hAnsiTheme="minorEastAsia"/>
          <w:szCs w:val="21"/>
        </w:rPr>
      </w:pPr>
    </w:p>
    <w:p w14:paraId="1D6160DE">
      <w:pPr>
        <w:spacing w:line="360" w:lineRule="auto"/>
        <w:ind w:firstLine="422" w:firstLineChars="200"/>
        <w:rPr>
          <w:rFonts w:asciiTheme="minorEastAsia" w:hAnsiTheme="minorEastAsia"/>
          <w:b/>
          <w:szCs w:val="21"/>
        </w:rPr>
      </w:pPr>
    </w:p>
    <w:p w14:paraId="18786E1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4" w:name="_Toc6706"/>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14:paraId="1674C976">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14:paraId="039200AE">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0635EA9D">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3E2A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31B04699">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0DE726C6">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48B2BCF5">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3A362D0F">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08849F9D">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5D6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2DE483EE">
            <w:pPr>
              <w:spacing w:line="360" w:lineRule="auto"/>
              <w:ind w:firstLine="420" w:firstLineChars="200"/>
              <w:rPr>
                <w:rFonts w:asciiTheme="minorEastAsia" w:hAnsiTheme="minorEastAsia"/>
                <w:szCs w:val="21"/>
              </w:rPr>
            </w:pPr>
          </w:p>
        </w:tc>
        <w:tc>
          <w:tcPr>
            <w:tcW w:w="2562" w:type="dxa"/>
          </w:tcPr>
          <w:p w14:paraId="4FBCAD33">
            <w:pPr>
              <w:spacing w:line="360" w:lineRule="auto"/>
              <w:ind w:firstLine="420" w:firstLineChars="200"/>
              <w:rPr>
                <w:rFonts w:asciiTheme="minorEastAsia" w:hAnsiTheme="minorEastAsia"/>
                <w:szCs w:val="21"/>
              </w:rPr>
            </w:pPr>
          </w:p>
          <w:p w14:paraId="714C88D4">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6F1565D3">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47DCA5B8">
            <w:pPr>
              <w:spacing w:line="360" w:lineRule="auto"/>
              <w:ind w:firstLine="420" w:firstLineChars="200"/>
              <w:rPr>
                <w:rFonts w:asciiTheme="minorEastAsia" w:hAnsiTheme="minorEastAsia"/>
                <w:szCs w:val="21"/>
              </w:rPr>
            </w:pPr>
          </w:p>
        </w:tc>
        <w:tc>
          <w:tcPr>
            <w:tcW w:w="1493" w:type="dxa"/>
          </w:tcPr>
          <w:p w14:paraId="3110ED68">
            <w:pPr>
              <w:spacing w:line="360" w:lineRule="auto"/>
              <w:ind w:firstLine="420" w:firstLineChars="200"/>
              <w:rPr>
                <w:rFonts w:asciiTheme="minorEastAsia" w:hAnsiTheme="minorEastAsia"/>
                <w:szCs w:val="21"/>
              </w:rPr>
            </w:pPr>
          </w:p>
        </w:tc>
      </w:tr>
    </w:tbl>
    <w:p w14:paraId="1610B8B7">
      <w:pPr>
        <w:spacing w:line="360" w:lineRule="auto"/>
        <w:ind w:firstLine="420" w:firstLineChars="200"/>
        <w:rPr>
          <w:rFonts w:asciiTheme="minorEastAsia" w:hAnsiTheme="minorEastAsia"/>
          <w:szCs w:val="21"/>
        </w:rPr>
      </w:pPr>
    </w:p>
    <w:p w14:paraId="77F2B810">
      <w:pPr>
        <w:spacing w:line="360" w:lineRule="auto"/>
        <w:ind w:firstLine="420" w:firstLineChars="200"/>
        <w:rPr>
          <w:rFonts w:asciiTheme="minorEastAsia" w:hAnsiTheme="minorEastAsia"/>
          <w:szCs w:val="21"/>
        </w:rPr>
      </w:pPr>
    </w:p>
    <w:p w14:paraId="4DC63C29">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4F1605A8">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64870AB0">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5D12C37D">
      <w:pPr>
        <w:spacing w:line="360" w:lineRule="auto"/>
        <w:ind w:firstLine="420" w:firstLineChars="200"/>
        <w:rPr>
          <w:rFonts w:asciiTheme="minorEastAsia" w:hAnsiTheme="minorEastAsia"/>
          <w:szCs w:val="21"/>
        </w:rPr>
      </w:pPr>
    </w:p>
    <w:p w14:paraId="4F48CA20">
      <w:pPr>
        <w:spacing w:line="360" w:lineRule="auto"/>
        <w:ind w:firstLine="420" w:firstLineChars="200"/>
        <w:rPr>
          <w:rFonts w:asciiTheme="minorEastAsia" w:hAnsiTheme="minorEastAsia"/>
          <w:szCs w:val="21"/>
        </w:rPr>
      </w:pPr>
    </w:p>
    <w:p w14:paraId="491BF9B6">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07DDA410">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、本招标文件中所称“交货期/服务期”指所有货物运抵现场安装调试完毕后交付用户验收和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6F053CDC">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、依据《评标委员会和评标方法暂行规定》第25条规定，“投标文件载明的招标项目完成期限超过招标文件规定的期限”的（即交货期或完工期超过招标文件要求期限），投标文件将作投标无效处理。</w:t>
      </w:r>
    </w:p>
    <w:p w14:paraId="0244423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14:paraId="7E78EEA7">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7378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0B9017B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61653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2DE22F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50AF74D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039C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7EECC36">
            <w:pPr>
              <w:spacing w:line="360" w:lineRule="auto"/>
              <w:ind w:firstLine="420" w:firstLineChars="200"/>
              <w:rPr>
                <w:rFonts w:asciiTheme="minorEastAsia" w:hAnsiTheme="minorEastAsia"/>
                <w:color w:val="000000"/>
                <w:szCs w:val="21"/>
              </w:rPr>
            </w:pPr>
          </w:p>
        </w:tc>
        <w:tc>
          <w:tcPr>
            <w:tcW w:w="2902" w:type="dxa"/>
            <w:vAlign w:val="center"/>
          </w:tcPr>
          <w:p w14:paraId="2F17AEC1">
            <w:pPr>
              <w:spacing w:line="360" w:lineRule="auto"/>
              <w:ind w:firstLine="420" w:firstLineChars="200"/>
              <w:rPr>
                <w:rFonts w:asciiTheme="minorEastAsia" w:hAnsiTheme="minorEastAsia"/>
                <w:color w:val="000000"/>
                <w:szCs w:val="21"/>
              </w:rPr>
            </w:pPr>
          </w:p>
        </w:tc>
        <w:tc>
          <w:tcPr>
            <w:tcW w:w="2357" w:type="dxa"/>
            <w:vAlign w:val="center"/>
          </w:tcPr>
          <w:p w14:paraId="53F0886B">
            <w:pPr>
              <w:spacing w:line="360" w:lineRule="auto"/>
              <w:ind w:firstLine="420" w:firstLineChars="200"/>
              <w:rPr>
                <w:rFonts w:asciiTheme="minorEastAsia" w:hAnsiTheme="minorEastAsia"/>
                <w:color w:val="000000"/>
                <w:szCs w:val="21"/>
              </w:rPr>
            </w:pPr>
          </w:p>
        </w:tc>
        <w:tc>
          <w:tcPr>
            <w:tcW w:w="3148" w:type="dxa"/>
            <w:vAlign w:val="center"/>
          </w:tcPr>
          <w:p w14:paraId="038FA1F9">
            <w:pPr>
              <w:spacing w:line="360" w:lineRule="auto"/>
              <w:ind w:firstLine="420" w:firstLineChars="200"/>
              <w:rPr>
                <w:rFonts w:asciiTheme="minorEastAsia" w:hAnsiTheme="minorEastAsia"/>
                <w:color w:val="000000"/>
                <w:szCs w:val="21"/>
              </w:rPr>
            </w:pPr>
          </w:p>
        </w:tc>
      </w:tr>
      <w:tr w14:paraId="784D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B1897EB">
            <w:pPr>
              <w:spacing w:line="360" w:lineRule="auto"/>
              <w:ind w:firstLine="420" w:firstLineChars="200"/>
              <w:rPr>
                <w:rFonts w:asciiTheme="minorEastAsia" w:hAnsiTheme="minorEastAsia"/>
                <w:color w:val="000000"/>
                <w:szCs w:val="21"/>
              </w:rPr>
            </w:pPr>
          </w:p>
        </w:tc>
        <w:tc>
          <w:tcPr>
            <w:tcW w:w="2902" w:type="dxa"/>
            <w:vAlign w:val="center"/>
          </w:tcPr>
          <w:p w14:paraId="7DC3FCE9">
            <w:pPr>
              <w:spacing w:line="360" w:lineRule="auto"/>
              <w:ind w:firstLine="420" w:firstLineChars="200"/>
              <w:rPr>
                <w:rFonts w:asciiTheme="minorEastAsia" w:hAnsiTheme="minorEastAsia"/>
                <w:color w:val="000000"/>
                <w:szCs w:val="21"/>
              </w:rPr>
            </w:pPr>
          </w:p>
        </w:tc>
        <w:tc>
          <w:tcPr>
            <w:tcW w:w="2357" w:type="dxa"/>
            <w:vAlign w:val="center"/>
          </w:tcPr>
          <w:p w14:paraId="204AA51D">
            <w:pPr>
              <w:spacing w:line="360" w:lineRule="auto"/>
              <w:ind w:firstLine="420" w:firstLineChars="200"/>
              <w:rPr>
                <w:rFonts w:asciiTheme="minorEastAsia" w:hAnsiTheme="minorEastAsia"/>
                <w:color w:val="000000"/>
                <w:szCs w:val="21"/>
              </w:rPr>
            </w:pPr>
          </w:p>
        </w:tc>
        <w:tc>
          <w:tcPr>
            <w:tcW w:w="3148" w:type="dxa"/>
            <w:vAlign w:val="center"/>
          </w:tcPr>
          <w:p w14:paraId="14C9672F">
            <w:pPr>
              <w:spacing w:line="360" w:lineRule="auto"/>
              <w:ind w:firstLine="420" w:firstLineChars="200"/>
              <w:rPr>
                <w:rFonts w:asciiTheme="minorEastAsia" w:hAnsiTheme="minorEastAsia"/>
                <w:color w:val="000000"/>
                <w:szCs w:val="21"/>
              </w:rPr>
            </w:pPr>
          </w:p>
        </w:tc>
      </w:tr>
      <w:tr w14:paraId="1C9E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AD3B3C9">
            <w:pPr>
              <w:spacing w:line="360" w:lineRule="auto"/>
              <w:ind w:firstLine="420" w:firstLineChars="200"/>
              <w:rPr>
                <w:rFonts w:asciiTheme="minorEastAsia" w:hAnsiTheme="minorEastAsia"/>
                <w:color w:val="000000"/>
                <w:szCs w:val="21"/>
              </w:rPr>
            </w:pPr>
          </w:p>
        </w:tc>
        <w:tc>
          <w:tcPr>
            <w:tcW w:w="2902" w:type="dxa"/>
            <w:vAlign w:val="center"/>
          </w:tcPr>
          <w:p w14:paraId="3EEF998C">
            <w:pPr>
              <w:spacing w:line="360" w:lineRule="auto"/>
              <w:ind w:firstLine="420" w:firstLineChars="200"/>
              <w:rPr>
                <w:rFonts w:asciiTheme="minorEastAsia" w:hAnsiTheme="minorEastAsia"/>
                <w:color w:val="000000"/>
                <w:szCs w:val="21"/>
              </w:rPr>
            </w:pPr>
          </w:p>
        </w:tc>
        <w:tc>
          <w:tcPr>
            <w:tcW w:w="2357" w:type="dxa"/>
            <w:vAlign w:val="center"/>
          </w:tcPr>
          <w:p w14:paraId="41804381">
            <w:pPr>
              <w:spacing w:line="360" w:lineRule="auto"/>
              <w:ind w:firstLine="420" w:firstLineChars="200"/>
              <w:rPr>
                <w:rFonts w:asciiTheme="minorEastAsia" w:hAnsiTheme="minorEastAsia"/>
                <w:color w:val="000000"/>
                <w:szCs w:val="21"/>
              </w:rPr>
            </w:pPr>
          </w:p>
        </w:tc>
        <w:tc>
          <w:tcPr>
            <w:tcW w:w="3148" w:type="dxa"/>
            <w:vAlign w:val="center"/>
          </w:tcPr>
          <w:p w14:paraId="0E177EC1">
            <w:pPr>
              <w:spacing w:line="360" w:lineRule="auto"/>
              <w:ind w:firstLine="420" w:firstLineChars="200"/>
              <w:rPr>
                <w:rFonts w:asciiTheme="minorEastAsia" w:hAnsiTheme="minorEastAsia"/>
                <w:color w:val="000000"/>
                <w:szCs w:val="21"/>
              </w:rPr>
            </w:pPr>
          </w:p>
        </w:tc>
      </w:tr>
      <w:tr w14:paraId="55B4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666CAC2">
            <w:pPr>
              <w:spacing w:line="360" w:lineRule="auto"/>
              <w:ind w:firstLine="420" w:firstLineChars="200"/>
              <w:rPr>
                <w:rFonts w:asciiTheme="minorEastAsia" w:hAnsiTheme="minorEastAsia"/>
                <w:color w:val="000000"/>
                <w:szCs w:val="21"/>
              </w:rPr>
            </w:pPr>
          </w:p>
        </w:tc>
        <w:tc>
          <w:tcPr>
            <w:tcW w:w="2902" w:type="dxa"/>
            <w:vAlign w:val="center"/>
          </w:tcPr>
          <w:p w14:paraId="0BBD1A4B">
            <w:pPr>
              <w:spacing w:line="360" w:lineRule="auto"/>
              <w:ind w:firstLine="420" w:firstLineChars="200"/>
              <w:rPr>
                <w:rFonts w:asciiTheme="minorEastAsia" w:hAnsiTheme="minorEastAsia"/>
                <w:color w:val="000000"/>
                <w:szCs w:val="21"/>
              </w:rPr>
            </w:pPr>
          </w:p>
        </w:tc>
        <w:tc>
          <w:tcPr>
            <w:tcW w:w="2357" w:type="dxa"/>
            <w:vAlign w:val="center"/>
          </w:tcPr>
          <w:p w14:paraId="1D4703FE">
            <w:pPr>
              <w:spacing w:line="360" w:lineRule="auto"/>
              <w:ind w:firstLine="420" w:firstLineChars="200"/>
              <w:rPr>
                <w:rFonts w:asciiTheme="minorEastAsia" w:hAnsiTheme="minorEastAsia"/>
                <w:color w:val="000000"/>
                <w:szCs w:val="21"/>
              </w:rPr>
            </w:pPr>
          </w:p>
        </w:tc>
        <w:tc>
          <w:tcPr>
            <w:tcW w:w="3148" w:type="dxa"/>
            <w:vAlign w:val="center"/>
          </w:tcPr>
          <w:p w14:paraId="185FB101">
            <w:pPr>
              <w:spacing w:line="360" w:lineRule="auto"/>
              <w:ind w:firstLine="420" w:firstLineChars="200"/>
              <w:rPr>
                <w:rFonts w:asciiTheme="minorEastAsia" w:hAnsiTheme="minorEastAsia"/>
                <w:color w:val="000000"/>
                <w:szCs w:val="21"/>
              </w:rPr>
            </w:pPr>
          </w:p>
        </w:tc>
      </w:tr>
      <w:tr w14:paraId="01B3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71B45CF">
            <w:pPr>
              <w:spacing w:line="360" w:lineRule="auto"/>
              <w:ind w:firstLine="420" w:firstLineChars="200"/>
              <w:rPr>
                <w:rFonts w:asciiTheme="minorEastAsia" w:hAnsiTheme="minorEastAsia"/>
                <w:color w:val="000000"/>
                <w:szCs w:val="21"/>
              </w:rPr>
            </w:pPr>
          </w:p>
        </w:tc>
        <w:tc>
          <w:tcPr>
            <w:tcW w:w="2902" w:type="dxa"/>
            <w:vAlign w:val="center"/>
          </w:tcPr>
          <w:p w14:paraId="5119BF7E">
            <w:pPr>
              <w:spacing w:line="360" w:lineRule="auto"/>
              <w:ind w:firstLine="420" w:firstLineChars="200"/>
              <w:rPr>
                <w:rFonts w:asciiTheme="minorEastAsia" w:hAnsiTheme="minorEastAsia"/>
                <w:color w:val="000000"/>
                <w:szCs w:val="21"/>
              </w:rPr>
            </w:pPr>
          </w:p>
        </w:tc>
        <w:tc>
          <w:tcPr>
            <w:tcW w:w="2357" w:type="dxa"/>
            <w:vAlign w:val="center"/>
          </w:tcPr>
          <w:p w14:paraId="68B31413">
            <w:pPr>
              <w:spacing w:line="360" w:lineRule="auto"/>
              <w:ind w:firstLine="420" w:firstLineChars="200"/>
              <w:rPr>
                <w:rFonts w:asciiTheme="minorEastAsia" w:hAnsiTheme="minorEastAsia"/>
                <w:color w:val="000000"/>
                <w:szCs w:val="21"/>
              </w:rPr>
            </w:pPr>
          </w:p>
        </w:tc>
        <w:tc>
          <w:tcPr>
            <w:tcW w:w="3148" w:type="dxa"/>
            <w:vAlign w:val="center"/>
          </w:tcPr>
          <w:p w14:paraId="4D8689C6">
            <w:pPr>
              <w:spacing w:line="360" w:lineRule="auto"/>
              <w:ind w:firstLine="420" w:firstLineChars="200"/>
              <w:rPr>
                <w:rFonts w:asciiTheme="minorEastAsia" w:hAnsiTheme="minorEastAsia"/>
                <w:color w:val="000000"/>
                <w:szCs w:val="21"/>
              </w:rPr>
            </w:pPr>
          </w:p>
        </w:tc>
      </w:tr>
      <w:tr w14:paraId="26B6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FDBBD0B">
            <w:pPr>
              <w:spacing w:line="360" w:lineRule="auto"/>
              <w:ind w:firstLine="420" w:firstLineChars="200"/>
              <w:rPr>
                <w:rFonts w:asciiTheme="minorEastAsia" w:hAnsiTheme="minorEastAsia"/>
                <w:color w:val="000000"/>
                <w:szCs w:val="21"/>
              </w:rPr>
            </w:pPr>
          </w:p>
        </w:tc>
        <w:tc>
          <w:tcPr>
            <w:tcW w:w="2902" w:type="dxa"/>
            <w:vAlign w:val="center"/>
          </w:tcPr>
          <w:p w14:paraId="646A061F">
            <w:pPr>
              <w:spacing w:line="360" w:lineRule="auto"/>
              <w:ind w:firstLine="420" w:firstLineChars="200"/>
              <w:rPr>
                <w:rFonts w:asciiTheme="minorEastAsia" w:hAnsiTheme="minorEastAsia"/>
                <w:color w:val="000000"/>
                <w:szCs w:val="21"/>
              </w:rPr>
            </w:pPr>
          </w:p>
        </w:tc>
        <w:tc>
          <w:tcPr>
            <w:tcW w:w="2357" w:type="dxa"/>
            <w:vAlign w:val="center"/>
          </w:tcPr>
          <w:p w14:paraId="03D220A0">
            <w:pPr>
              <w:spacing w:line="360" w:lineRule="auto"/>
              <w:ind w:firstLine="420" w:firstLineChars="200"/>
              <w:rPr>
                <w:rFonts w:asciiTheme="minorEastAsia" w:hAnsiTheme="minorEastAsia"/>
                <w:color w:val="000000"/>
                <w:szCs w:val="21"/>
              </w:rPr>
            </w:pPr>
          </w:p>
        </w:tc>
        <w:tc>
          <w:tcPr>
            <w:tcW w:w="3148" w:type="dxa"/>
            <w:vAlign w:val="center"/>
          </w:tcPr>
          <w:p w14:paraId="5F6101BE">
            <w:pPr>
              <w:spacing w:line="360" w:lineRule="auto"/>
              <w:ind w:firstLine="420" w:firstLineChars="200"/>
              <w:rPr>
                <w:rFonts w:asciiTheme="minorEastAsia" w:hAnsiTheme="minorEastAsia"/>
                <w:color w:val="000000"/>
                <w:szCs w:val="21"/>
              </w:rPr>
            </w:pPr>
          </w:p>
        </w:tc>
      </w:tr>
      <w:tr w14:paraId="54D3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56AC9E5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2C46E8EA">
            <w:pPr>
              <w:spacing w:line="360" w:lineRule="auto"/>
              <w:ind w:firstLine="420" w:firstLineChars="200"/>
              <w:rPr>
                <w:rFonts w:asciiTheme="minorEastAsia" w:hAnsiTheme="minorEastAsia"/>
                <w:color w:val="000000"/>
                <w:szCs w:val="21"/>
              </w:rPr>
            </w:pPr>
          </w:p>
        </w:tc>
      </w:tr>
    </w:tbl>
    <w:p w14:paraId="132D69F2">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6D91BA6C">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64F0B8A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03449783">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42B252FD">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0BA00823">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02543142">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4D5F6CAD">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2356E7AB">
      <w:pPr>
        <w:spacing w:line="360" w:lineRule="auto"/>
        <w:ind w:firstLine="420" w:firstLineChars="200"/>
      </w:pPr>
    </w:p>
    <w:p w14:paraId="0083C7DE">
      <w:pPr>
        <w:spacing w:line="360" w:lineRule="auto"/>
      </w:pPr>
    </w:p>
    <w:p w14:paraId="1215EF91">
      <w:pPr>
        <w:spacing w:line="360" w:lineRule="auto"/>
        <w:ind w:firstLine="420" w:firstLineChars="200"/>
      </w:pPr>
    </w:p>
    <w:p w14:paraId="47FA09E8">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8" w:name="_Toc32280"/>
    </w:p>
    <w:p w14:paraId="1C56B4D5">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14:paraId="56917416">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14:paraId="5018F6AB">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26B67C70">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有效日期与本公司投标文件中标注的投标有效期相同。</w:t>
      </w:r>
      <w:r>
        <w:rPr>
          <w:rFonts w:asciiTheme="minorEastAsia" w:hAnsiTheme="minorEastAsia"/>
          <w:szCs w:val="21"/>
        </w:rPr>
        <w:t xml:space="preserve">  </w:t>
      </w:r>
    </w:p>
    <w:p w14:paraId="19892F57">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6E8C8D7D">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368691D3">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53EB0DF8">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23A1DF7">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3137ABFD">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112DC3CF">
      <w:pPr>
        <w:spacing w:line="360" w:lineRule="auto"/>
        <w:ind w:firstLine="420" w:firstLineChars="200"/>
        <w:rPr>
          <w:rFonts w:asciiTheme="minorEastAsia" w:hAnsiTheme="minorEastAsia"/>
          <w:szCs w:val="21"/>
        </w:rPr>
      </w:pPr>
    </w:p>
    <w:p w14:paraId="73B36F96">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v:textbox>
              </v:rect>
            </w:pict>
          </mc:Fallback>
        </mc:AlternateContent>
      </w:r>
    </w:p>
    <w:p w14:paraId="5C02B3FD">
      <w:pPr>
        <w:spacing w:line="360" w:lineRule="auto"/>
        <w:ind w:firstLine="422" w:firstLineChars="200"/>
        <w:rPr>
          <w:rFonts w:asciiTheme="minorEastAsia" w:hAnsiTheme="minorEastAsia"/>
          <w:b/>
          <w:bCs/>
          <w:szCs w:val="21"/>
        </w:rPr>
      </w:pPr>
    </w:p>
    <w:p w14:paraId="6DEF020D">
      <w:pPr>
        <w:spacing w:line="360" w:lineRule="auto"/>
        <w:ind w:firstLine="422" w:firstLineChars="200"/>
        <w:rPr>
          <w:rFonts w:asciiTheme="minorEastAsia" w:hAnsiTheme="minorEastAsia"/>
          <w:b/>
          <w:bCs/>
          <w:szCs w:val="21"/>
        </w:rPr>
      </w:pPr>
    </w:p>
    <w:p w14:paraId="4D2EC033">
      <w:pPr>
        <w:spacing w:line="360" w:lineRule="auto"/>
        <w:ind w:firstLine="422" w:firstLineChars="200"/>
        <w:rPr>
          <w:rFonts w:asciiTheme="minorEastAsia" w:hAnsiTheme="minorEastAsia"/>
          <w:b/>
          <w:bCs/>
          <w:szCs w:val="21"/>
        </w:rPr>
      </w:pPr>
    </w:p>
    <w:p w14:paraId="2E95F3FB">
      <w:pPr>
        <w:spacing w:line="360" w:lineRule="auto"/>
        <w:ind w:firstLine="422" w:firstLineChars="200"/>
        <w:rPr>
          <w:rFonts w:asciiTheme="minorEastAsia" w:hAnsiTheme="minorEastAsia"/>
          <w:b/>
          <w:bCs/>
          <w:szCs w:val="21"/>
        </w:rPr>
      </w:pPr>
    </w:p>
    <w:p w14:paraId="26E3D189">
      <w:pPr>
        <w:spacing w:line="360" w:lineRule="auto"/>
        <w:ind w:firstLine="422" w:firstLineChars="200"/>
        <w:rPr>
          <w:rFonts w:asciiTheme="minorEastAsia" w:hAnsiTheme="minorEastAsia"/>
          <w:b/>
          <w:bCs/>
          <w:szCs w:val="21"/>
        </w:rPr>
      </w:pPr>
    </w:p>
    <w:p w14:paraId="45D54CCA">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77B59B36">
      <w:pPr>
        <w:spacing w:line="360" w:lineRule="auto"/>
        <w:ind w:firstLine="420" w:firstLineChars="200"/>
        <w:rPr>
          <w:rFonts w:asciiTheme="minorEastAsia" w:hAnsiTheme="minorEastAsia"/>
          <w:szCs w:val="21"/>
        </w:rPr>
      </w:pPr>
    </w:p>
    <w:p w14:paraId="1ADA0A58">
      <w:pPr>
        <w:spacing w:line="360" w:lineRule="auto"/>
        <w:ind w:firstLine="420" w:firstLineChars="200"/>
        <w:rPr>
          <w:rFonts w:asciiTheme="minorEastAsia" w:hAnsiTheme="minorEastAsia"/>
          <w:szCs w:val="21"/>
        </w:rPr>
      </w:pPr>
    </w:p>
    <w:p w14:paraId="711BB16F">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665FE8C5">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033C158B">
      <w:pPr>
        <w:ind w:firstLine="420" w:firstLineChars="200"/>
      </w:pPr>
    </w:p>
    <w:p w14:paraId="6B624079">
      <w:pPr>
        <w:adjustRightInd w:val="0"/>
        <w:snapToGrid w:val="0"/>
        <w:spacing w:line="360" w:lineRule="auto"/>
        <w:ind w:firstLine="422" w:firstLineChars="200"/>
        <w:rPr>
          <w:rFonts w:asciiTheme="minorEastAsia" w:hAnsiTheme="minorEastAsia"/>
          <w:b/>
          <w:snapToGrid w:val="0"/>
          <w:kern w:val="0"/>
          <w:szCs w:val="21"/>
        </w:rPr>
      </w:pPr>
    </w:p>
    <w:p w14:paraId="58F5097A">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305BD04A">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14:paraId="12479711">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14:paraId="3C5D0693">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深圳市宝安区疾病预防控制中心（深圳市宝安区卫生监督所）</w:t>
      </w:r>
      <w:r>
        <w:rPr>
          <w:rFonts w:hint="eastAsia" w:asciiTheme="minorEastAsia" w:hAnsiTheme="minorEastAsia"/>
          <w:b/>
          <w:bCs/>
          <w:szCs w:val="21"/>
        </w:rPr>
        <w:t>：</w:t>
      </w:r>
    </w:p>
    <w:p w14:paraId="24A9D1C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4B24B993">
      <w:pPr>
        <w:spacing w:line="360" w:lineRule="auto"/>
        <w:ind w:firstLine="420" w:firstLineChars="200"/>
        <w:rPr>
          <w:rFonts w:asciiTheme="minorEastAsia" w:hAnsiTheme="minorEastAsia"/>
          <w:szCs w:val="21"/>
        </w:rPr>
      </w:pPr>
    </w:p>
    <w:p w14:paraId="57FEFFB6">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1A45E93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615A7E43">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351F8C8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52E7691">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60DDA16B">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1CF85C57">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2B1DAC9F">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3C20D2E9">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3ED8D7AF">
      <w:pPr>
        <w:spacing w:line="360" w:lineRule="auto"/>
        <w:ind w:firstLine="420" w:firstLineChars="200"/>
        <w:rPr>
          <w:rFonts w:asciiTheme="minorEastAsia" w:hAnsiTheme="minorEastAsia"/>
          <w:szCs w:val="21"/>
        </w:rPr>
      </w:pPr>
    </w:p>
    <w:p w14:paraId="0E5BAC2D">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0E8AB3F4">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66842860">
      <w:pPr>
        <w:spacing w:line="360" w:lineRule="auto"/>
        <w:ind w:firstLine="420" w:firstLineChars="200"/>
        <w:rPr>
          <w:rFonts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v:textbox>
              </v:rect>
            </w:pict>
          </mc:Fallback>
        </mc:AlternateContent>
      </w:r>
      <w:bookmarkEnd w:id="163"/>
    </w:p>
    <w:p w14:paraId="2070441E">
      <w:pPr>
        <w:spacing w:line="360" w:lineRule="auto"/>
        <w:ind w:firstLine="420" w:firstLineChars="200"/>
        <w:rPr>
          <w:rFonts w:asciiTheme="minorEastAsia" w:hAnsiTheme="minorEastAsia"/>
          <w:szCs w:val="21"/>
        </w:rPr>
      </w:pPr>
    </w:p>
    <w:p w14:paraId="100AF954">
      <w:pPr>
        <w:spacing w:line="360" w:lineRule="auto"/>
        <w:ind w:firstLine="420" w:firstLineChars="200"/>
        <w:rPr>
          <w:rFonts w:asciiTheme="minorEastAsia" w:hAnsiTheme="minorEastAsia"/>
          <w:szCs w:val="21"/>
        </w:rPr>
      </w:pPr>
    </w:p>
    <w:p w14:paraId="4DC02F49">
      <w:pPr>
        <w:spacing w:line="360" w:lineRule="auto"/>
        <w:ind w:firstLine="420" w:firstLineChars="200"/>
        <w:rPr>
          <w:rFonts w:asciiTheme="minorEastAsia" w:hAnsiTheme="minorEastAsia"/>
          <w:szCs w:val="21"/>
        </w:rPr>
      </w:pPr>
    </w:p>
    <w:p w14:paraId="7CC73E33">
      <w:pPr>
        <w:spacing w:line="360" w:lineRule="auto"/>
        <w:ind w:firstLine="420" w:firstLineChars="200"/>
        <w:rPr>
          <w:rFonts w:asciiTheme="minorEastAsia" w:hAnsiTheme="minorEastAsia"/>
          <w:szCs w:val="21"/>
        </w:rPr>
      </w:pPr>
    </w:p>
    <w:p w14:paraId="4086A0BA">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67CD6EBB">
      <w:pPr>
        <w:spacing w:line="360" w:lineRule="auto"/>
        <w:ind w:firstLine="420" w:firstLineChars="200"/>
        <w:rPr>
          <w:rFonts w:asciiTheme="minorEastAsia" w:hAnsiTheme="minorEastAsia"/>
          <w:szCs w:val="21"/>
        </w:rPr>
      </w:pPr>
    </w:p>
    <w:p w14:paraId="4F2B5972">
      <w:pPr>
        <w:adjustRightInd w:val="0"/>
        <w:snapToGrid w:val="0"/>
        <w:spacing w:line="360" w:lineRule="auto"/>
        <w:ind w:firstLine="422" w:firstLineChars="200"/>
        <w:rPr>
          <w:rFonts w:asciiTheme="minorEastAsia" w:hAnsiTheme="minorEastAsia"/>
          <w:b/>
          <w:snapToGrid w:val="0"/>
          <w:kern w:val="0"/>
          <w:szCs w:val="21"/>
        </w:rPr>
      </w:pPr>
    </w:p>
    <w:p w14:paraId="47B7F5D3">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21BCEDD0">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14:paraId="7893B714">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14:paraId="7237C43A">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1917A30C">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3F53F11F">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6C96D26D">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（备注：该部分须与“技术保障措施”、“施工安全保障措施”、“商务需求”等部分承诺的内容相呼应，不得前后矛盾。）</w:t>
      </w:r>
    </w:p>
    <w:p w14:paraId="30FC17F5">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5" w:name="_Toc3861"/>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p>
    <w:p w14:paraId="5BFCE779">
      <w:pPr>
        <w:keepNext/>
        <w:keepLines/>
        <w:spacing w:before="160" w:after="170"/>
        <w:ind w:firstLine="602" w:firstLineChars="200"/>
        <w:jc w:val="center"/>
        <w:outlineLvl w:val="4"/>
        <w:rPr>
          <w:b/>
          <w:bCs/>
          <w:sz w:val="30"/>
          <w:szCs w:val="28"/>
        </w:rPr>
      </w:pPr>
      <w:bookmarkStart w:id="166" w:name="_Toc55548548"/>
      <w:r>
        <w:rPr>
          <w:rFonts w:hint="eastAsia"/>
          <w:b/>
          <w:bCs/>
          <w:sz w:val="30"/>
          <w:szCs w:val="28"/>
        </w:rPr>
        <w:t>售后服务方案</w:t>
      </w:r>
      <w:bookmarkEnd w:id="166"/>
    </w:p>
    <w:p w14:paraId="4DF3FA76">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37DF631B">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423AA29D">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4E70A860">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056CDBD6">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59924541">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50C9B137">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7" w:name="_Toc29995"/>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：中小企业声明函</w:t>
      </w:r>
      <w:bookmarkEnd w:id="167"/>
      <w:r>
        <w:rPr>
          <w:rFonts w:hint="eastAsia" w:asciiTheme="minorEastAsia" w:hAnsiTheme="minorEastAsia"/>
          <w:szCs w:val="21"/>
        </w:rPr>
        <w:t>（如有）</w:t>
      </w:r>
    </w:p>
    <w:p w14:paraId="45B7B09F">
      <w:pPr>
        <w:keepNext/>
        <w:keepLines/>
        <w:spacing w:before="160" w:after="170"/>
        <w:ind w:firstLine="602" w:firstLineChars="200"/>
        <w:jc w:val="center"/>
        <w:outlineLvl w:val="4"/>
        <w:rPr>
          <w:b/>
          <w:bCs/>
          <w:sz w:val="30"/>
          <w:szCs w:val="28"/>
        </w:rPr>
      </w:pPr>
      <w:bookmarkStart w:id="168" w:name="_Toc55548549"/>
      <w:r>
        <w:rPr>
          <w:rFonts w:hint="eastAsia"/>
          <w:b/>
          <w:bCs/>
          <w:sz w:val="30"/>
          <w:szCs w:val="28"/>
        </w:rPr>
        <w:t>中小企业声明函</w:t>
      </w:r>
      <w:bookmarkEnd w:id="168"/>
    </w:p>
    <w:p w14:paraId="112BE93C">
      <w:pPr>
        <w:spacing w:line="360" w:lineRule="auto"/>
        <w:ind w:firstLine="420" w:firstLineChars="200"/>
        <w:rPr>
          <w:rFonts w:asciiTheme="minorEastAsia" w:hAnsiTheme="minorEastAsia"/>
          <w:szCs w:val="21"/>
        </w:rPr>
      </w:pPr>
      <w:r>
        <w:rPr>
          <w:rFonts w:asciiTheme="minorEastAsia" w:hAnsiTheme="minorEastAsia"/>
          <w:szCs w:val="21"/>
        </w:rPr>
        <w:t>本公司郑重声明，根据《政府采购促进中小企业发展暂行办法》（财库[2011]181号）的规定，本公司为______（请填写：中型、小型、微型）企业。即，本公司同时满足以下条件：</w:t>
      </w:r>
    </w:p>
    <w:p w14:paraId="7133F6E9">
      <w:pPr>
        <w:spacing w:line="360" w:lineRule="auto"/>
        <w:ind w:firstLine="420" w:firstLineChars="200"/>
        <w:rPr>
          <w:rFonts w:asciiTheme="minorEastAsia" w:hAnsiTheme="minorEastAsia"/>
          <w:szCs w:val="21"/>
        </w:rPr>
      </w:pPr>
    </w:p>
    <w:p w14:paraId="6AECFD15">
      <w:pPr>
        <w:spacing w:line="360" w:lineRule="auto"/>
        <w:ind w:firstLine="420" w:firstLineChars="200"/>
        <w:rPr>
          <w:rFonts w:asciiTheme="minorEastAsia" w:hAnsiTheme="minorEastAsia"/>
          <w:szCs w:val="21"/>
        </w:rPr>
      </w:pPr>
      <w:r>
        <w:rPr>
          <w:rFonts w:asciiTheme="minorEastAsia" w:hAnsiTheme="minor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2290CEBD">
      <w:pPr>
        <w:spacing w:line="360" w:lineRule="auto"/>
        <w:ind w:firstLine="420" w:firstLineChars="200"/>
        <w:rPr>
          <w:rFonts w:asciiTheme="minorEastAsia" w:hAnsiTheme="minorEastAsia"/>
          <w:szCs w:val="21"/>
        </w:rPr>
      </w:pPr>
      <w:r>
        <w:rPr>
          <w:rFonts w:asciiTheme="minorEastAsia" w:hAnsiTheme="minor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95A7D3">
      <w:pPr>
        <w:spacing w:line="360" w:lineRule="auto"/>
        <w:ind w:firstLine="420" w:firstLineChars="200"/>
        <w:rPr>
          <w:rFonts w:asciiTheme="minorEastAsia" w:hAnsiTheme="minorEastAsia"/>
          <w:szCs w:val="21"/>
        </w:rPr>
      </w:pPr>
      <w:r>
        <w:rPr>
          <w:rFonts w:asciiTheme="minorEastAsia" w:hAnsiTheme="minorEastAsia"/>
          <w:szCs w:val="21"/>
        </w:rPr>
        <w:t>本公司对上述声明的真实性负责。如有虚假，将依法承担相应责任。</w:t>
      </w:r>
    </w:p>
    <w:p w14:paraId="51561B4E">
      <w:pPr>
        <w:spacing w:line="360" w:lineRule="auto"/>
        <w:ind w:firstLine="420" w:firstLineChars="200"/>
        <w:rPr>
          <w:rFonts w:asciiTheme="minorEastAsia" w:hAnsiTheme="minorEastAsia"/>
          <w:szCs w:val="21"/>
        </w:rPr>
      </w:pPr>
    </w:p>
    <w:p w14:paraId="77DD0576">
      <w:pPr>
        <w:spacing w:line="360" w:lineRule="auto"/>
        <w:ind w:firstLine="420" w:firstLineChars="200"/>
        <w:rPr>
          <w:rFonts w:asciiTheme="minorEastAsia" w:hAnsiTheme="minorEastAsia"/>
          <w:szCs w:val="21"/>
        </w:rPr>
      </w:pPr>
    </w:p>
    <w:p w14:paraId="03173C7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A1823D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C82BB4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5D34553C">
      <w:pPr>
        <w:spacing w:line="360" w:lineRule="auto"/>
        <w:ind w:firstLine="420" w:firstLineChars="200"/>
        <w:rPr>
          <w:rFonts w:asciiTheme="minorEastAsia" w:hAnsiTheme="minorEastAsia"/>
          <w:szCs w:val="21"/>
        </w:rPr>
      </w:pPr>
    </w:p>
    <w:p w14:paraId="7573F722">
      <w:pPr>
        <w:spacing w:line="360" w:lineRule="auto"/>
        <w:ind w:firstLine="420" w:firstLineChars="200"/>
        <w:rPr>
          <w:rFonts w:asciiTheme="minorEastAsia" w:hAnsiTheme="minorEastAsia"/>
          <w:szCs w:val="21"/>
        </w:rPr>
      </w:pPr>
      <w:r>
        <w:rPr>
          <w:rFonts w:hint="eastAsia" w:asciiTheme="minorEastAsia" w:hAnsiTheme="minorEastAsia"/>
          <w:szCs w:val="21"/>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14:paraId="4BF014BF">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9" w:name="_Toc21677"/>
      <w:bookmarkStart w:id="170" w:name="_Toc51682373"/>
      <w:bookmarkStart w:id="171" w:name="_Toc51086642"/>
      <w:bookmarkStart w:id="172" w:name="_Toc51255734"/>
      <w:bookmarkStart w:id="173" w:name="_Toc52129207"/>
      <w:r>
        <w:rPr>
          <w:rFonts w:hint="eastAsia" w:asciiTheme="minorEastAsia" w:hAnsiTheme="minorEastAsia"/>
          <w:szCs w:val="21"/>
        </w:rPr>
        <w:t>附件</w:t>
      </w:r>
      <w:r>
        <w:rPr>
          <w:rFonts w:asciiTheme="minorEastAsia" w:hAnsiTheme="minorEastAsia"/>
          <w:szCs w:val="21"/>
        </w:rPr>
        <w:t>11</w:t>
      </w:r>
      <w:r>
        <w:rPr>
          <w:rFonts w:hint="eastAsia" w:asciiTheme="minorEastAsia" w:hAnsiTheme="minorEastAsia"/>
          <w:szCs w:val="21"/>
        </w:rPr>
        <w:t>：监狱企业证明函</w:t>
      </w:r>
      <w:bookmarkEnd w:id="169"/>
      <w:bookmarkEnd w:id="170"/>
      <w:bookmarkEnd w:id="171"/>
      <w:bookmarkEnd w:id="172"/>
      <w:bookmarkEnd w:id="173"/>
      <w:r>
        <w:rPr>
          <w:rFonts w:hint="eastAsia" w:asciiTheme="minorEastAsia" w:hAnsiTheme="minorEastAsia"/>
          <w:szCs w:val="21"/>
        </w:rPr>
        <w:t>（如有）</w:t>
      </w:r>
    </w:p>
    <w:p w14:paraId="5F037324">
      <w:pPr>
        <w:keepNext/>
        <w:keepLines/>
        <w:spacing w:before="160" w:after="170"/>
        <w:ind w:firstLine="602" w:firstLineChars="200"/>
        <w:jc w:val="center"/>
        <w:outlineLvl w:val="4"/>
        <w:rPr>
          <w:b/>
          <w:bCs/>
          <w:sz w:val="30"/>
          <w:szCs w:val="28"/>
        </w:rPr>
      </w:pPr>
      <w:bookmarkStart w:id="174" w:name="_Toc55548550"/>
      <w:r>
        <w:rPr>
          <w:rFonts w:hint="eastAsia"/>
          <w:b/>
          <w:bCs/>
          <w:sz w:val="30"/>
          <w:szCs w:val="28"/>
        </w:rPr>
        <w:t>监狱企业证明函</w:t>
      </w:r>
      <w:bookmarkEnd w:id="174"/>
    </w:p>
    <w:p w14:paraId="7B52B0C7">
      <w:pPr>
        <w:spacing w:line="360" w:lineRule="auto"/>
        <w:ind w:firstLine="420" w:firstLineChars="200"/>
        <w:rPr>
          <w:rFonts w:asciiTheme="minorEastAsia" w:hAnsiTheme="minorEastAsia"/>
          <w:szCs w:val="21"/>
        </w:rPr>
      </w:pPr>
      <w:r>
        <w:rPr>
          <w:rFonts w:hint="eastAsia" w:asciiTheme="minorEastAsia" w:hAnsiTheme="minorEastAsia"/>
          <w:szCs w:val="21"/>
        </w:rPr>
        <w:t>根据《财政部 司法部关于政府采购支持监狱企业发展有关问题的通知》（财库[2014]68号）的规定，（填写供应商法定全称）为监狱企业。</w:t>
      </w:r>
    </w:p>
    <w:p w14:paraId="066D7352">
      <w:pPr>
        <w:spacing w:line="360" w:lineRule="auto"/>
        <w:ind w:firstLine="420" w:firstLineChars="200"/>
        <w:rPr>
          <w:rFonts w:asciiTheme="minorEastAsia" w:hAnsiTheme="minorEastAsia"/>
          <w:szCs w:val="21"/>
        </w:rPr>
      </w:pPr>
      <w:r>
        <w:rPr>
          <w:rFonts w:hint="eastAsia" w:asciiTheme="minorEastAsia" w:hAnsiTheme="minorEastAsia"/>
          <w:szCs w:val="21"/>
        </w:rPr>
        <w:t>特此证明。</w:t>
      </w:r>
    </w:p>
    <w:p w14:paraId="11DDB63F">
      <w:pPr>
        <w:spacing w:line="360" w:lineRule="auto"/>
        <w:ind w:firstLine="420" w:firstLineChars="200"/>
        <w:rPr>
          <w:rFonts w:asciiTheme="minorEastAsia" w:hAnsiTheme="minorEastAsia"/>
          <w:szCs w:val="21"/>
        </w:rPr>
      </w:pPr>
    </w:p>
    <w:p w14:paraId="6512AED6">
      <w:pPr>
        <w:spacing w:line="360" w:lineRule="auto"/>
        <w:ind w:firstLine="420" w:firstLineChars="200"/>
        <w:rPr>
          <w:rFonts w:asciiTheme="minorEastAsia" w:hAnsiTheme="minorEastAsia"/>
          <w:szCs w:val="21"/>
        </w:rPr>
      </w:pPr>
    </w:p>
    <w:p w14:paraId="2A3045BA">
      <w:pPr>
        <w:spacing w:line="360" w:lineRule="auto"/>
        <w:ind w:firstLine="420" w:firstLineChars="200"/>
        <w:rPr>
          <w:rFonts w:asciiTheme="minorEastAsia" w:hAnsiTheme="minorEastAsia"/>
          <w:b/>
          <w:bCs/>
          <w:szCs w:val="21"/>
        </w:rPr>
      </w:pPr>
      <w:r>
        <w:rPr>
          <w:rFonts w:hint="eastAsia" w:asciiTheme="minorEastAsia" w:hAnsiTheme="minorEastAsia"/>
          <w:szCs w:val="21"/>
        </w:rPr>
        <w:t>省级以上监狱管理局、戒毒管理局（含新疆生产建设兵团）（盖章）：</w:t>
      </w:r>
      <w:r>
        <w:rPr>
          <w:rFonts w:asciiTheme="minorEastAsia" w:hAnsiTheme="minorEastAsia"/>
          <w:b/>
          <w:bCs/>
          <w:szCs w:val="21"/>
        </w:rPr>
        <w:br w:type="page"/>
      </w:r>
    </w:p>
    <w:p w14:paraId="1DA921FA">
      <w:pPr>
        <w:spacing w:line="360" w:lineRule="auto"/>
        <w:ind w:firstLine="420" w:firstLineChars="200"/>
        <w:rPr>
          <w:rFonts w:asciiTheme="minorEastAsia" w:hAnsiTheme="minorEastAsia"/>
          <w:szCs w:val="21"/>
        </w:rPr>
      </w:pPr>
      <w:bookmarkStart w:id="175" w:name="_Toc51086643"/>
      <w:bookmarkStart w:id="176" w:name="_Toc51255735"/>
      <w:bookmarkStart w:id="177" w:name="_Toc51682374"/>
      <w:bookmarkStart w:id="178" w:name="_Toc52129208"/>
      <w:bookmarkStart w:id="179" w:name="_Toc18139"/>
      <w:r>
        <w:rPr>
          <w:rFonts w:hint="eastAsia" w:asciiTheme="minorEastAsia" w:hAnsiTheme="minorEastAsia"/>
          <w:szCs w:val="21"/>
        </w:rPr>
        <w:t>附件</w:t>
      </w:r>
      <w:r>
        <w:rPr>
          <w:rFonts w:asciiTheme="minorEastAsia" w:hAnsiTheme="minorEastAsia"/>
          <w:szCs w:val="21"/>
        </w:rPr>
        <w:t>12</w:t>
      </w:r>
      <w:r>
        <w:rPr>
          <w:rFonts w:hint="eastAsia" w:asciiTheme="minorEastAsia" w:hAnsiTheme="minorEastAsia"/>
          <w:szCs w:val="21"/>
        </w:rPr>
        <w:t>：残疾人福利性单位声明函</w:t>
      </w:r>
      <w:bookmarkEnd w:id="175"/>
      <w:bookmarkEnd w:id="176"/>
      <w:bookmarkEnd w:id="177"/>
      <w:bookmarkEnd w:id="178"/>
      <w:bookmarkEnd w:id="179"/>
      <w:r>
        <w:rPr>
          <w:rFonts w:hint="eastAsia" w:asciiTheme="minorEastAsia" w:hAnsiTheme="minorEastAsia"/>
          <w:szCs w:val="21"/>
        </w:rPr>
        <w:t>（如有）</w:t>
      </w:r>
    </w:p>
    <w:p w14:paraId="62A9B6DE">
      <w:pPr>
        <w:keepNext/>
        <w:keepLines/>
        <w:spacing w:before="160" w:after="170"/>
        <w:ind w:firstLine="602" w:firstLineChars="200"/>
        <w:jc w:val="center"/>
        <w:outlineLvl w:val="4"/>
        <w:rPr>
          <w:b/>
          <w:bCs/>
          <w:sz w:val="30"/>
          <w:szCs w:val="28"/>
        </w:rPr>
      </w:pPr>
      <w:bookmarkStart w:id="180" w:name="_Toc55548551"/>
      <w:r>
        <w:rPr>
          <w:rFonts w:hint="eastAsia"/>
          <w:b/>
          <w:bCs/>
          <w:sz w:val="30"/>
          <w:szCs w:val="28"/>
        </w:rPr>
        <w:t>残疾人福利性单位声明函</w:t>
      </w:r>
      <w:bookmarkEnd w:id="180"/>
    </w:p>
    <w:p w14:paraId="1B6B2D80">
      <w:pPr>
        <w:spacing w:line="360" w:lineRule="auto"/>
        <w:ind w:firstLine="420" w:firstLineChars="200"/>
        <w:rPr>
          <w:rFonts w:asciiTheme="minorEastAsia" w:hAnsiTheme="minorEastAsia"/>
          <w:szCs w:val="21"/>
        </w:rPr>
      </w:pPr>
      <w:r>
        <w:rPr>
          <w:rFonts w:hint="eastAsia" w:asciiTheme="minorEastAsia" w:hAnsiTheme="minor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171A73">
      <w:pPr>
        <w:spacing w:line="360" w:lineRule="auto"/>
        <w:ind w:firstLine="420" w:firstLineChars="200"/>
        <w:rPr>
          <w:rFonts w:asciiTheme="minorEastAsia" w:hAnsiTheme="minorEastAsia"/>
          <w:szCs w:val="21"/>
        </w:rPr>
      </w:pPr>
      <w:r>
        <w:rPr>
          <w:rFonts w:hint="eastAsia" w:asciiTheme="minorEastAsia" w:hAnsiTheme="minorEastAsia"/>
          <w:szCs w:val="21"/>
        </w:rPr>
        <w:t>本单位对上述声明的真实性负责。如有虚假，将依法承担相应责任。</w:t>
      </w:r>
    </w:p>
    <w:p w14:paraId="69A0D1FE">
      <w:pPr>
        <w:spacing w:line="360" w:lineRule="auto"/>
        <w:ind w:firstLine="420" w:firstLineChars="200"/>
        <w:rPr>
          <w:rFonts w:asciiTheme="minorEastAsia" w:hAnsiTheme="minorEastAsia"/>
          <w:szCs w:val="21"/>
        </w:rPr>
      </w:pPr>
    </w:p>
    <w:p w14:paraId="7D7E19FA">
      <w:pPr>
        <w:spacing w:line="360" w:lineRule="auto"/>
        <w:ind w:firstLine="420" w:firstLineChars="200"/>
        <w:rPr>
          <w:rFonts w:asciiTheme="minorEastAsia" w:hAnsiTheme="minorEastAsia"/>
          <w:szCs w:val="21"/>
        </w:rPr>
      </w:pPr>
    </w:p>
    <w:p w14:paraId="29D324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DD0D1F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19E9FDA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0DFABF3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47777A1B">
      <w:pPr>
        <w:spacing w:line="360" w:lineRule="auto"/>
        <w:ind w:firstLine="420" w:firstLineChars="200"/>
        <w:rPr>
          <w:rFonts w:asciiTheme="minorEastAsia" w:hAnsiTheme="minorEastAsia"/>
          <w:szCs w:val="21"/>
        </w:rPr>
      </w:pPr>
      <w:bookmarkStart w:id="181" w:name="_Toc1254"/>
      <w:r>
        <w:rPr>
          <w:rFonts w:hint="eastAsia" w:asciiTheme="minorEastAsia" w:hAnsiTheme="minorEastAsia"/>
          <w:szCs w:val="21"/>
        </w:rPr>
        <w:t>附件</w:t>
      </w:r>
      <w:r>
        <w:rPr>
          <w:rFonts w:asciiTheme="minorEastAsia" w:hAnsiTheme="minorEastAsia"/>
          <w:szCs w:val="21"/>
        </w:rPr>
        <w:t>13</w:t>
      </w:r>
      <w:r>
        <w:rPr>
          <w:rFonts w:hint="eastAsia" w:asciiTheme="minorEastAsia" w:hAnsiTheme="minorEastAsia"/>
          <w:szCs w:val="21"/>
        </w:rPr>
        <w:t>：投标人需要加以说明的其他内容</w:t>
      </w:r>
      <w:bookmarkEnd w:id="181"/>
      <w:r>
        <w:rPr>
          <w:rFonts w:hint="eastAsia" w:asciiTheme="minorEastAsia" w:hAnsiTheme="minorEastAsia"/>
          <w:szCs w:val="21"/>
        </w:rPr>
        <w:t>（如有）</w:t>
      </w:r>
    </w:p>
    <w:p w14:paraId="24749BB5">
      <w:pPr>
        <w:spacing w:line="360" w:lineRule="auto"/>
        <w:ind w:firstLine="420" w:firstLineChars="200"/>
        <w:rPr>
          <w:rFonts w:asciiTheme="minorEastAsia" w:hAnsiTheme="minorEastAsia"/>
          <w:szCs w:val="21"/>
        </w:rPr>
      </w:pPr>
    </w:p>
    <w:p w14:paraId="5E787199">
      <w:pPr>
        <w:spacing w:line="360" w:lineRule="auto"/>
        <w:ind w:firstLine="422" w:firstLineChars="200"/>
        <w:rPr>
          <w:rFonts w:asciiTheme="minorEastAsia" w:hAnsiTheme="minorEastAsia"/>
          <w:b/>
          <w:bCs/>
          <w:szCs w:val="21"/>
        </w:rPr>
      </w:pPr>
      <w:r>
        <w:rPr>
          <w:rFonts w:hint="eastAsia" w:asciiTheme="minorEastAsia" w:hAnsiTheme="minorEastAsia"/>
          <w:b/>
          <w:bCs/>
          <w:szCs w:val="21"/>
        </w:rPr>
        <w:t>投标人认为需要加以说明的其他内容</w:t>
      </w:r>
    </w:p>
    <w:p w14:paraId="7F0AC9DD">
      <w:pPr>
        <w:spacing w:line="360" w:lineRule="auto"/>
        <w:ind w:firstLine="420" w:firstLineChars="200"/>
        <w:rPr>
          <w:rFonts w:asciiTheme="minorEastAsia" w:hAnsiTheme="minorEastAsia"/>
          <w:szCs w:val="21"/>
        </w:rPr>
      </w:pPr>
      <w:r>
        <w:rPr>
          <w:rFonts w:hint="eastAsia" w:asciiTheme="minorEastAsia" w:hAnsiTheme="minorEastAsia"/>
          <w:szCs w:val="21"/>
        </w:rPr>
        <w:t>（格式自定）</w:t>
      </w:r>
    </w:p>
    <w:p w14:paraId="0FF90487">
      <w:pPr>
        <w:spacing w:line="360" w:lineRule="auto"/>
        <w:ind w:firstLine="420" w:firstLineChars="200"/>
      </w:pPr>
    </w:p>
    <w:p w14:paraId="2943998D">
      <w:pPr>
        <w:spacing w:line="360" w:lineRule="auto"/>
        <w:ind w:firstLine="420" w:firstLineChars="200"/>
      </w:pPr>
    </w:p>
    <w:p w14:paraId="672B4CEA">
      <w:pPr>
        <w:spacing w:line="360" w:lineRule="auto"/>
        <w:ind w:firstLine="420" w:firstLineChars="200"/>
      </w:pPr>
    </w:p>
    <w:p w14:paraId="27B7E374">
      <w:pPr>
        <w:spacing w:line="360" w:lineRule="auto"/>
        <w:ind w:firstLine="420" w:firstLineChars="200"/>
      </w:pPr>
    </w:p>
    <w:p w14:paraId="0C2DBAFC">
      <w:pPr>
        <w:spacing w:line="360" w:lineRule="auto"/>
        <w:ind w:firstLine="420" w:firstLineChars="200"/>
      </w:pPr>
    </w:p>
    <w:p w14:paraId="6766FA6B">
      <w:pPr>
        <w:spacing w:line="360" w:lineRule="auto"/>
        <w:ind w:firstLine="420" w:firstLineChars="200"/>
      </w:pPr>
    </w:p>
    <w:p w14:paraId="7F09228C">
      <w:pPr>
        <w:spacing w:line="360" w:lineRule="auto"/>
        <w:ind w:firstLine="420" w:firstLineChars="200"/>
      </w:pPr>
    </w:p>
    <w:p w14:paraId="29CC90A9">
      <w:pPr>
        <w:spacing w:line="360" w:lineRule="auto"/>
        <w:ind w:firstLine="420" w:firstLineChars="200"/>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72846A1A">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2F2864C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1D4D">
    <w:pPr>
      <w:pStyle w:val="10"/>
    </w:pPr>
  </w:p>
  <w:p w14:paraId="68410645">
    <w:pPr>
      <w:pStyle w:val="10"/>
      <w:jc w:val="right"/>
      <w:rPr>
        <w:sz w:val="21"/>
        <w:szCs w:val="21"/>
      </w:rPr>
    </w:pPr>
    <w:bookmarkStart w:id="182" w:name="_Hlk69568635"/>
    <w:bookmarkStart w:id="183" w:name="_Hlk69568634"/>
    <w:r>
      <w:rPr>
        <w:rFonts w:hint="eastAsia"/>
        <w:sz w:val="21"/>
        <w:szCs w:val="21"/>
      </w:rPr>
      <w:t>深圳市宝安区疾病预防控制中心招标文件</w:t>
    </w:r>
    <w:bookmarkEnd w:id="182"/>
    <w:bookmarkEnd w:id="18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pStyle w:val="31"/>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35"/>
    <w:rsid w:val="0000394F"/>
    <w:rsid w:val="00007A13"/>
    <w:rsid w:val="0001637F"/>
    <w:rsid w:val="00016D41"/>
    <w:rsid w:val="00020F66"/>
    <w:rsid w:val="000236B7"/>
    <w:rsid w:val="00026541"/>
    <w:rsid w:val="000272A3"/>
    <w:rsid w:val="0003138A"/>
    <w:rsid w:val="0004025C"/>
    <w:rsid w:val="00046F21"/>
    <w:rsid w:val="00050084"/>
    <w:rsid w:val="000620DD"/>
    <w:rsid w:val="000627B7"/>
    <w:rsid w:val="000778E6"/>
    <w:rsid w:val="00081A9E"/>
    <w:rsid w:val="00086C55"/>
    <w:rsid w:val="00092A23"/>
    <w:rsid w:val="000A013F"/>
    <w:rsid w:val="000A599B"/>
    <w:rsid w:val="000B2D75"/>
    <w:rsid w:val="000B3923"/>
    <w:rsid w:val="000C5140"/>
    <w:rsid w:val="000C52E9"/>
    <w:rsid w:val="000C561C"/>
    <w:rsid w:val="000C62B0"/>
    <w:rsid w:val="000C6CE9"/>
    <w:rsid w:val="000D08A9"/>
    <w:rsid w:val="000D2EB8"/>
    <w:rsid w:val="000D2FD9"/>
    <w:rsid w:val="000D476C"/>
    <w:rsid w:val="000E5888"/>
    <w:rsid w:val="000F0F3D"/>
    <w:rsid w:val="000F22EF"/>
    <w:rsid w:val="000F2D0A"/>
    <w:rsid w:val="00100950"/>
    <w:rsid w:val="001043DC"/>
    <w:rsid w:val="00111B38"/>
    <w:rsid w:val="00112A97"/>
    <w:rsid w:val="00113156"/>
    <w:rsid w:val="00124761"/>
    <w:rsid w:val="00125C6A"/>
    <w:rsid w:val="0012743D"/>
    <w:rsid w:val="00127C7B"/>
    <w:rsid w:val="00130814"/>
    <w:rsid w:val="0013335C"/>
    <w:rsid w:val="00136300"/>
    <w:rsid w:val="001465AC"/>
    <w:rsid w:val="00146F48"/>
    <w:rsid w:val="0015271F"/>
    <w:rsid w:val="00154141"/>
    <w:rsid w:val="001624BB"/>
    <w:rsid w:val="00162B15"/>
    <w:rsid w:val="001633ED"/>
    <w:rsid w:val="00165B6A"/>
    <w:rsid w:val="001678F7"/>
    <w:rsid w:val="00170E6B"/>
    <w:rsid w:val="00171970"/>
    <w:rsid w:val="0017442F"/>
    <w:rsid w:val="001750E4"/>
    <w:rsid w:val="00180C24"/>
    <w:rsid w:val="001813DD"/>
    <w:rsid w:val="00183CCF"/>
    <w:rsid w:val="00184BFC"/>
    <w:rsid w:val="00187BC0"/>
    <w:rsid w:val="001905F7"/>
    <w:rsid w:val="001938DE"/>
    <w:rsid w:val="0019395A"/>
    <w:rsid w:val="00196D20"/>
    <w:rsid w:val="001A4CC2"/>
    <w:rsid w:val="001A5C2B"/>
    <w:rsid w:val="001A7960"/>
    <w:rsid w:val="001B287A"/>
    <w:rsid w:val="001C421C"/>
    <w:rsid w:val="001D1989"/>
    <w:rsid w:val="001D283D"/>
    <w:rsid w:val="001D3BBB"/>
    <w:rsid w:val="001D5451"/>
    <w:rsid w:val="001E5120"/>
    <w:rsid w:val="001F5585"/>
    <w:rsid w:val="002023D7"/>
    <w:rsid w:val="002038D8"/>
    <w:rsid w:val="00204EC0"/>
    <w:rsid w:val="00205A0F"/>
    <w:rsid w:val="002143B9"/>
    <w:rsid w:val="00216775"/>
    <w:rsid w:val="00217F05"/>
    <w:rsid w:val="002243E9"/>
    <w:rsid w:val="0022497B"/>
    <w:rsid w:val="00227BE1"/>
    <w:rsid w:val="00227CFD"/>
    <w:rsid w:val="002350B3"/>
    <w:rsid w:val="00235B08"/>
    <w:rsid w:val="002429FB"/>
    <w:rsid w:val="00245BA9"/>
    <w:rsid w:val="002570EC"/>
    <w:rsid w:val="002577FC"/>
    <w:rsid w:val="002578ED"/>
    <w:rsid w:val="002607D8"/>
    <w:rsid w:val="00262959"/>
    <w:rsid w:val="00262E3B"/>
    <w:rsid w:val="00263B3A"/>
    <w:rsid w:val="00264146"/>
    <w:rsid w:val="00267B16"/>
    <w:rsid w:val="00270EE6"/>
    <w:rsid w:val="002732D3"/>
    <w:rsid w:val="00274ADF"/>
    <w:rsid w:val="00275639"/>
    <w:rsid w:val="002830A3"/>
    <w:rsid w:val="002844D3"/>
    <w:rsid w:val="002849C2"/>
    <w:rsid w:val="00287092"/>
    <w:rsid w:val="0029095D"/>
    <w:rsid w:val="00297795"/>
    <w:rsid w:val="002A4499"/>
    <w:rsid w:val="002A5BFA"/>
    <w:rsid w:val="002B1BEC"/>
    <w:rsid w:val="002B71B0"/>
    <w:rsid w:val="002C0C26"/>
    <w:rsid w:val="002D3543"/>
    <w:rsid w:val="002D5E47"/>
    <w:rsid w:val="002D70BB"/>
    <w:rsid w:val="002E5E70"/>
    <w:rsid w:val="002F46DB"/>
    <w:rsid w:val="00300139"/>
    <w:rsid w:val="003020A7"/>
    <w:rsid w:val="00306350"/>
    <w:rsid w:val="00314147"/>
    <w:rsid w:val="00314D97"/>
    <w:rsid w:val="003259E0"/>
    <w:rsid w:val="00327B91"/>
    <w:rsid w:val="00331BF3"/>
    <w:rsid w:val="00335D20"/>
    <w:rsid w:val="0033628A"/>
    <w:rsid w:val="00343516"/>
    <w:rsid w:val="0034487A"/>
    <w:rsid w:val="00347B67"/>
    <w:rsid w:val="003568C3"/>
    <w:rsid w:val="00357903"/>
    <w:rsid w:val="00360311"/>
    <w:rsid w:val="00362847"/>
    <w:rsid w:val="00370E38"/>
    <w:rsid w:val="003739E3"/>
    <w:rsid w:val="003765D8"/>
    <w:rsid w:val="00376712"/>
    <w:rsid w:val="00386497"/>
    <w:rsid w:val="00387FB4"/>
    <w:rsid w:val="00395BD5"/>
    <w:rsid w:val="003A2EF2"/>
    <w:rsid w:val="003B2B54"/>
    <w:rsid w:val="003B5F69"/>
    <w:rsid w:val="003D1BFD"/>
    <w:rsid w:val="003D1C8B"/>
    <w:rsid w:val="003D3A10"/>
    <w:rsid w:val="003D56EF"/>
    <w:rsid w:val="003E2496"/>
    <w:rsid w:val="003F3926"/>
    <w:rsid w:val="003F3E99"/>
    <w:rsid w:val="003F4A52"/>
    <w:rsid w:val="003F4C21"/>
    <w:rsid w:val="003F6BD9"/>
    <w:rsid w:val="003F7F46"/>
    <w:rsid w:val="00403476"/>
    <w:rsid w:val="0040568B"/>
    <w:rsid w:val="00405B4F"/>
    <w:rsid w:val="00416CB7"/>
    <w:rsid w:val="004224DA"/>
    <w:rsid w:val="00422C93"/>
    <w:rsid w:val="004247C2"/>
    <w:rsid w:val="0042484C"/>
    <w:rsid w:val="00425768"/>
    <w:rsid w:val="004434FC"/>
    <w:rsid w:val="00444B83"/>
    <w:rsid w:val="004478C6"/>
    <w:rsid w:val="00450E1D"/>
    <w:rsid w:val="004512C7"/>
    <w:rsid w:val="004537FB"/>
    <w:rsid w:val="0045391A"/>
    <w:rsid w:val="00457D84"/>
    <w:rsid w:val="00460BB8"/>
    <w:rsid w:val="00461FA3"/>
    <w:rsid w:val="00462785"/>
    <w:rsid w:val="00463FD1"/>
    <w:rsid w:val="00473B47"/>
    <w:rsid w:val="0048183C"/>
    <w:rsid w:val="00483481"/>
    <w:rsid w:val="00486D13"/>
    <w:rsid w:val="0049157B"/>
    <w:rsid w:val="00491DD6"/>
    <w:rsid w:val="00492D8F"/>
    <w:rsid w:val="00497DBD"/>
    <w:rsid w:val="004A0DAF"/>
    <w:rsid w:val="004A4B94"/>
    <w:rsid w:val="004B2A93"/>
    <w:rsid w:val="004B4E87"/>
    <w:rsid w:val="004B6E5B"/>
    <w:rsid w:val="004C08AC"/>
    <w:rsid w:val="004C0B66"/>
    <w:rsid w:val="004C0E91"/>
    <w:rsid w:val="004C1CBD"/>
    <w:rsid w:val="004C3F49"/>
    <w:rsid w:val="004D1B14"/>
    <w:rsid w:val="004D4DA5"/>
    <w:rsid w:val="004E308C"/>
    <w:rsid w:val="004E3BFD"/>
    <w:rsid w:val="004F3645"/>
    <w:rsid w:val="004F5762"/>
    <w:rsid w:val="00500D01"/>
    <w:rsid w:val="005137DA"/>
    <w:rsid w:val="005214AC"/>
    <w:rsid w:val="00521779"/>
    <w:rsid w:val="00536246"/>
    <w:rsid w:val="0054740D"/>
    <w:rsid w:val="00552059"/>
    <w:rsid w:val="00561C21"/>
    <w:rsid w:val="00561D31"/>
    <w:rsid w:val="005645E6"/>
    <w:rsid w:val="00564610"/>
    <w:rsid w:val="005846F2"/>
    <w:rsid w:val="00585A02"/>
    <w:rsid w:val="00586966"/>
    <w:rsid w:val="00591D1A"/>
    <w:rsid w:val="00592F00"/>
    <w:rsid w:val="005A1CC5"/>
    <w:rsid w:val="005B2452"/>
    <w:rsid w:val="005B4C1F"/>
    <w:rsid w:val="005B7C95"/>
    <w:rsid w:val="005C0612"/>
    <w:rsid w:val="005C0DB9"/>
    <w:rsid w:val="005C0FF6"/>
    <w:rsid w:val="005C18B9"/>
    <w:rsid w:val="005C1D45"/>
    <w:rsid w:val="005C21EE"/>
    <w:rsid w:val="005C376C"/>
    <w:rsid w:val="005D2B9C"/>
    <w:rsid w:val="005D2D8F"/>
    <w:rsid w:val="005D6EF3"/>
    <w:rsid w:val="005D7164"/>
    <w:rsid w:val="005D7190"/>
    <w:rsid w:val="005F3217"/>
    <w:rsid w:val="005F73F0"/>
    <w:rsid w:val="00602B4F"/>
    <w:rsid w:val="006058BB"/>
    <w:rsid w:val="00611947"/>
    <w:rsid w:val="00617363"/>
    <w:rsid w:val="00623981"/>
    <w:rsid w:val="006407B7"/>
    <w:rsid w:val="006557EE"/>
    <w:rsid w:val="006568AF"/>
    <w:rsid w:val="00660AF8"/>
    <w:rsid w:val="0066471D"/>
    <w:rsid w:val="00665979"/>
    <w:rsid w:val="00665C9C"/>
    <w:rsid w:val="006728BE"/>
    <w:rsid w:val="00674B5A"/>
    <w:rsid w:val="00684DAC"/>
    <w:rsid w:val="00685691"/>
    <w:rsid w:val="00690937"/>
    <w:rsid w:val="0069104B"/>
    <w:rsid w:val="006A2C16"/>
    <w:rsid w:val="006B2FC4"/>
    <w:rsid w:val="006B5CA7"/>
    <w:rsid w:val="006C2747"/>
    <w:rsid w:val="006D36F6"/>
    <w:rsid w:val="006D63F9"/>
    <w:rsid w:val="006D67E5"/>
    <w:rsid w:val="006D74CC"/>
    <w:rsid w:val="006E3571"/>
    <w:rsid w:val="006F34C6"/>
    <w:rsid w:val="006F41DA"/>
    <w:rsid w:val="007067D3"/>
    <w:rsid w:val="00715E57"/>
    <w:rsid w:val="00716A73"/>
    <w:rsid w:val="00721170"/>
    <w:rsid w:val="007231EE"/>
    <w:rsid w:val="0072335A"/>
    <w:rsid w:val="00724B87"/>
    <w:rsid w:val="007459E7"/>
    <w:rsid w:val="0075228A"/>
    <w:rsid w:val="007610CE"/>
    <w:rsid w:val="00761FC6"/>
    <w:rsid w:val="00762137"/>
    <w:rsid w:val="00767478"/>
    <w:rsid w:val="007674F3"/>
    <w:rsid w:val="0077138C"/>
    <w:rsid w:val="00772519"/>
    <w:rsid w:val="007754EA"/>
    <w:rsid w:val="007911A0"/>
    <w:rsid w:val="00792052"/>
    <w:rsid w:val="0079207E"/>
    <w:rsid w:val="00793E70"/>
    <w:rsid w:val="007A31B9"/>
    <w:rsid w:val="007A6077"/>
    <w:rsid w:val="007A7D9F"/>
    <w:rsid w:val="007B0B0E"/>
    <w:rsid w:val="007B1962"/>
    <w:rsid w:val="007B4661"/>
    <w:rsid w:val="007B4C65"/>
    <w:rsid w:val="007B71E6"/>
    <w:rsid w:val="007C65B3"/>
    <w:rsid w:val="007E04B5"/>
    <w:rsid w:val="007E14DB"/>
    <w:rsid w:val="007E21BE"/>
    <w:rsid w:val="007E2F5A"/>
    <w:rsid w:val="007E3C03"/>
    <w:rsid w:val="007E5008"/>
    <w:rsid w:val="007E639A"/>
    <w:rsid w:val="007E6A9D"/>
    <w:rsid w:val="007F0A72"/>
    <w:rsid w:val="007F11C6"/>
    <w:rsid w:val="00805C93"/>
    <w:rsid w:val="0080742D"/>
    <w:rsid w:val="00820766"/>
    <w:rsid w:val="0082380B"/>
    <w:rsid w:val="008251A1"/>
    <w:rsid w:val="008309A8"/>
    <w:rsid w:val="008427DA"/>
    <w:rsid w:val="008455C7"/>
    <w:rsid w:val="0085171D"/>
    <w:rsid w:val="00857094"/>
    <w:rsid w:val="00861A84"/>
    <w:rsid w:val="00865720"/>
    <w:rsid w:val="00870650"/>
    <w:rsid w:val="00871AB4"/>
    <w:rsid w:val="008737E6"/>
    <w:rsid w:val="0087626E"/>
    <w:rsid w:val="008807FE"/>
    <w:rsid w:val="0088252F"/>
    <w:rsid w:val="00886513"/>
    <w:rsid w:val="00887EC0"/>
    <w:rsid w:val="008A5E40"/>
    <w:rsid w:val="008A65A3"/>
    <w:rsid w:val="008A6A3B"/>
    <w:rsid w:val="008B1F31"/>
    <w:rsid w:val="008C0334"/>
    <w:rsid w:val="008C3446"/>
    <w:rsid w:val="008C7B89"/>
    <w:rsid w:val="008C7C25"/>
    <w:rsid w:val="008D19C5"/>
    <w:rsid w:val="008D5116"/>
    <w:rsid w:val="008E0FFC"/>
    <w:rsid w:val="008E756B"/>
    <w:rsid w:val="008F4FC5"/>
    <w:rsid w:val="009016ED"/>
    <w:rsid w:val="009023CA"/>
    <w:rsid w:val="00911F33"/>
    <w:rsid w:val="0091227D"/>
    <w:rsid w:val="00913747"/>
    <w:rsid w:val="00913757"/>
    <w:rsid w:val="00917B6A"/>
    <w:rsid w:val="009240C5"/>
    <w:rsid w:val="00930AE6"/>
    <w:rsid w:val="0093711D"/>
    <w:rsid w:val="009419C6"/>
    <w:rsid w:val="00945543"/>
    <w:rsid w:val="009462F5"/>
    <w:rsid w:val="00953BDB"/>
    <w:rsid w:val="009551C2"/>
    <w:rsid w:val="009577F3"/>
    <w:rsid w:val="00957AAC"/>
    <w:rsid w:val="00966013"/>
    <w:rsid w:val="009817D5"/>
    <w:rsid w:val="00983F17"/>
    <w:rsid w:val="00986C27"/>
    <w:rsid w:val="009940DA"/>
    <w:rsid w:val="009A14F1"/>
    <w:rsid w:val="009A14FC"/>
    <w:rsid w:val="009A2C14"/>
    <w:rsid w:val="009A2D94"/>
    <w:rsid w:val="009B027B"/>
    <w:rsid w:val="009B0B06"/>
    <w:rsid w:val="009B49A7"/>
    <w:rsid w:val="009B511A"/>
    <w:rsid w:val="009B6DBF"/>
    <w:rsid w:val="009B78E0"/>
    <w:rsid w:val="009C13FB"/>
    <w:rsid w:val="009D0140"/>
    <w:rsid w:val="009D1ED7"/>
    <w:rsid w:val="009D2EED"/>
    <w:rsid w:val="009D33E5"/>
    <w:rsid w:val="009E2191"/>
    <w:rsid w:val="009E489A"/>
    <w:rsid w:val="009E7AED"/>
    <w:rsid w:val="009F3DD5"/>
    <w:rsid w:val="009F44F1"/>
    <w:rsid w:val="009F51D2"/>
    <w:rsid w:val="009F55D5"/>
    <w:rsid w:val="009F6601"/>
    <w:rsid w:val="009F718C"/>
    <w:rsid w:val="00A027F7"/>
    <w:rsid w:val="00A074EF"/>
    <w:rsid w:val="00A10E96"/>
    <w:rsid w:val="00A142B0"/>
    <w:rsid w:val="00A14D8B"/>
    <w:rsid w:val="00A15814"/>
    <w:rsid w:val="00A162F6"/>
    <w:rsid w:val="00A239ED"/>
    <w:rsid w:val="00A24AE0"/>
    <w:rsid w:val="00A310B6"/>
    <w:rsid w:val="00A45F09"/>
    <w:rsid w:val="00A46D3B"/>
    <w:rsid w:val="00A51C85"/>
    <w:rsid w:val="00A60952"/>
    <w:rsid w:val="00A60D7F"/>
    <w:rsid w:val="00A60EC4"/>
    <w:rsid w:val="00A6357A"/>
    <w:rsid w:val="00A63D62"/>
    <w:rsid w:val="00A643B5"/>
    <w:rsid w:val="00A64B9D"/>
    <w:rsid w:val="00A6519A"/>
    <w:rsid w:val="00A83284"/>
    <w:rsid w:val="00A86F04"/>
    <w:rsid w:val="00AA3988"/>
    <w:rsid w:val="00AA45BA"/>
    <w:rsid w:val="00AA5B34"/>
    <w:rsid w:val="00AB5CB3"/>
    <w:rsid w:val="00AB5D1D"/>
    <w:rsid w:val="00AD2111"/>
    <w:rsid w:val="00AD21D5"/>
    <w:rsid w:val="00AD42B4"/>
    <w:rsid w:val="00AD50B7"/>
    <w:rsid w:val="00AD7E8D"/>
    <w:rsid w:val="00AE032D"/>
    <w:rsid w:val="00AE449B"/>
    <w:rsid w:val="00AE4581"/>
    <w:rsid w:val="00AF2E0D"/>
    <w:rsid w:val="00AF3EA3"/>
    <w:rsid w:val="00AF4405"/>
    <w:rsid w:val="00AF740C"/>
    <w:rsid w:val="00B00ACC"/>
    <w:rsid w:val="00B023F9"/>
    <w:rsid w:val="00B21338"/>
    <w:rsid w:val="00B21FB4"/>
    <w:rsid w:val="00B27035"/>
    <w:rsid w:val="00B30B35"/>
    <w:rsid w:val="00B4633F"/>
    <w:rsid w:val="00B50DB2"/>
    <w:rsid w:val="00B5284E"/>
    <w:rsid w:val="00B533AF"/>
    <w:rsid w:val="00B54A3F"/>
    <w:rsid w:val="00B56CB2"/>
    <w:rsid w:val="00B61C61"/>
    <w:rsid w:val="00B640C8"/>
    <w:rsid w:val="00B64FE8"/>
    <w:rsid w:val="00B7357C"/>
    <w:rsid w:val="00B736D6"/>
    <w:rsid w:val="00B73E65"/>
    <w:rsid w:val="00B741DD"/>
    <w:rsid w:val="00B76306"/>
    <w:rsid w:val="00B80124"/>
    <w:rsid w:val="00B90430"/>
    <w:rsid w:val="00B9124B"/>
    <w:rsid w:val="00B938C7"/>
    <w:rsid w:val="00B96CC4"/>
    <w:rsid w:val="00BA25AD"/>
    <w:rsid w:val="00BA28BD"/>
    <w:rsid w:val="00BA5D8C"/>
    <w:rsid w:val="00BC11D7"/>
    <w:rsid w:val="00BC2FED"/>
    <w:rsid w:val="00BC3264"/>
    <w:rsid w:val="00BC4182"/>
    <w:rsid w:val="00BC4AA0"/>
    <w:rsid w:val="00BC71EC"/>
    <w:rsid w:val="00BD0B8A"/>
    <w:rsid w:val="00BD351E"/>
    <w:rsid w:val="00BD46C4"/>
    <w:rsid w:val="00BE1D99"/>
    <w:rsid w:val="00BE23B9"/>
    <w:rsid w:val="00BE4657"/>
    <w:rsid w:val="00BF3ADD"/>
    <w:rsid w:val="00BF51A1"/>
    <w:rsid w:val="00BF6E77"/>
    <w:rsid w:val="00C00565"/>
    <w:rsid w:val="00C11BAF"/>
    <w:rsid w:val="00C21F05"/>
    <w:rsid w:val="00C2260F"/>
    <w:rsid w:val="00C24421"/>
    <w:rsid w:val="00C25B04"/>
    <w:rsid w:val="00C30332"/>
    <w:rsid w:val="00C349AB"/>
    <w:rsid w:val="00C37BAB"/>
    <w:rsid w:val="00C4123C"/>
    <w:rsid w:val="00C435EF"/>
    <w:rsid w:val="00C43A9E"/>
    <w:rsid w:val="00C445BC"/>
    <w:rsid w:val="00C452E0"/>
    <w:rsid w:val="00C45A07"/>
    <w:rsid w:val="00C53685"/>
    <w:rsid w:val="00C55B4E"/>
    <w:rsid w:val="00C60169"/>
    <w:rsid w:val="00C609F7"/>
    <w:rsid w:val="00C60C70"/>
    <w:rsid w:val="00C61144"/>
    <w:rsid w:val="00C63322"/>
    <w:rsid w:val="00C87668"/>
    <w:rsid w:val="00C9059A"/>
    <w:rsid w:val="00C92E18"/>
    <w:rsid w:val="00C96F99"/>
    <w:rsid w:val="00CA03D2"/>
    <w:rsid w:val="00CA64A0"/>
    <w:rsid w:val="00CB682E"/>
    <w:rsid w:val="00CB6EF7"/>
    <w:rsid w:val="00CC0B91"/>
    <w:rsid w:val="00CC2104"/>
    <w:rsid w:val="00CC5694"/>
    <w:rsid w:val="00CE1C0B"/>
    <w:rsid w:val="00CE3B76"/>
    <w:rsid w:val="00CE4007"/>
    <w:rsid w:val="00CF442C"/>
    <w:rsid w:val="00D00895"/>
    <w:rsid w:val="00D00C1D"/>
    <w:rsid w:val="00D019D3"/>
    <w:rsid w:val="00D05C96"/>
    <w:rsid w:val="00D07F61"/>
    <w:rsid w:val="00D128DB"/>
    <w:rsid w:val="00D17239"/>
    <w:rsid w:val="00D21978"/>
    <w:rsid w:val="00D21E3F"/>
    <w:rsid w:val="00D246A8"/>
    <w:rsid w:val="00D24885"/>
    <w:rsid w:val="00D265F4"/>
    <w:rsid w:val="00D407CB"/>
    <w:rsid w:val="00D4292D"/>
    <w:rsid w:val="00D42B1C"/>
    <w:rsid w:val="00D516E0"/>
    <w:rsid w:val="00D52471"/>
    <w:rsid w:val="00D53B1B"/>
    <w:rsid w:val="00D54E6C"/>
    <w:rsid w:val="00D55FA7"/>
    <w:rsid w:val="00D56956"/>
    <w:rsid w:val="00D57811"/>
    <w:rsid w:val="00D654B1"/>
    <w:rsid w:val="00D65753"/>
    <w:rsid w:val="00D914B0"/>
    <w:rsid w:val="00D92AC7"/>
    <w:rsid w:val="00D93093"/>
    <w:rsid w:val="00D942FA"/>
    <w:rsid w:val="00D964CA"/>
    <w:rsid w:val="00D9655A"/>
    <w:rsid w:val="00DA0306"/>
    <w:rsid w:val="00DA0A15"/>
    <w:rsid w:val="00DB7859"/>
    <w:rsid w:val="00DC161B"/>
    <w:rsid w:val="00DC21E6"/>
    <w:rsid w:val="00DC664D"/>
    <w:rsid w:val="00DD0AA7"/>
    <w:rsid w:val="00DD3270"/>
    <w:rsid w:val="00DD4C84"/>
    <w:rsid w:val="00DE39A2"/>
    <w:rsid w:val="00DE6373"/>
    <w:rsid w:val="00DF2ECA"/>
    <w:rsid w:val="00DF446C"/>
    <w:rsid w:val="00DF77E7"/>
    <w:rsid w:val="00E07FA0"/>
    <w:rsid w:val="00E17025"/>
    <w:rsid w:val="00E4039F"/>
    <w:rsid w:val="00E419E0"/>
    <w:rsid w:val="00E452D2"/>
    <w:rsid w:val="00E45C42"/>
    <w:rsid w:val="00E477F2"/>
    <w:rsid w:val="00E47A8D"/>
    <w:rsid w:val="00E55EFA"/>
    <w:rsid w:val="00E66D09"/>
    <w:rsid w:val="00E774D0"/>
    <w:rsid w:val="00E81975"/>
    <w:rsid w:val="00E81F69"/>
    <w:rsid w:val="00E83D09"/>
    <w:rsid w:val="00E85D49"/>
    <w:rsid w:val="00E8649E"/>
    <w:rsid w:val="00E91443"/>
    <w:rsid w:val="00E92A2D"/>
    <w:rsid w:val="00EA0AA3"/>
    <w:rsid w:val="00EA4E6D"/>
    <w:rsid w:val="00EB3315"/>
    <w:rsid w:val="00EB508D"/>
    <w:rsid w:val="00EC38B0"/>
    <w:rsid w:val="00EC43D8"/>
    <w:rsid w:val="00EE06C8"/>
    <w:rsid w:val="00EE0AD9"/>
    <w:rsid w:val="00EE15A4"/>
    <w:rsid w:val="00EE2F50"/>
    <w:rsid w:val="00EE4157"/>
    <w:rsid w:val="00EF77FA"/>
    <w:rsid w:val="00EF7E00"/>
    <w:rsid w:val="00F02352"/>
    <w:rsid w:val="00F03DAF"/>
    <w:rsid w:val="00F05A6D"/>
    <w:rsid w:val="00F10924"/>
    <w:rsid w:val="00F109D0"/>
    <w:rsid w:val="00F153E2"/>
    <w:rsid w:val="00F16D96"/>
    <w:rsid w:val="00F277EB"/>
    <w:rsid w:val="00F32963"/>
    <w:rsid w:val="00F4480E"/>
    <w:rsid w:val="00F53078"/>
    <w:rsid w:val="00F56248"/>
    <w:rsid w:val="00F56A6E"/>
    <w:rsid w:val="00F57194"/>
    <w:rsid w:val="00F63359"/>
    <w:rsid w:val="00F633E3"/>
    <w:rsid w:val="00F66168"/>
    <w:rsid w:val="00F67F01"/>
    <w:rsid w:val="00F703EE"/>
    <w:rsid w:val="00F71E09"/>
    <w:rsid w:val="00F7399A"/>
    <w:rsid w:val="00F74A11"/>
    <w:rsid w:val="00F835A4"/>
    <w:rsid w:val="00F842A9"/>
    <w:rsid w:val="00F914A2"/>
    <w:rsid w:val="00F91577"/>
    <w:rsid w:val="00F944AB"/>
    <w:rsid w:val="00F96D60"/>
    <w:rsid w:val="00FA22E9"/>
    <w:rsid w:val="00FA4902"/>
    <w:rsid w:val="00FB1917"/>
    <w:rsid w:val="00FB6E20"/>
    <w:rsid w:val="00FC097B"/>
    <w:rsid w:val="00FC2F51"/>
    <w:rsid w:val="00FD2E15"/>
    <w:rsid w:val="00FD3F8A"/>
    <w:rsid w:val="00FE2A05"/>
    <w:rsid w:val="00FE305B"/>
    <w:rsid w:val="00FE3D27"/>
    <w:rsid w:val="00FE4F9C"/>
    <w:rsid w:val="00FF48FD"/>
    <w:rsid w:val="00FF5757"/>
    <w:rsid w:val="04387860"/>
    <w:rsid w:val="04B95D27"/>
    <w:rsid w:val="050140F6"/>
    <w:rsid w:val="059B1E55"/>
    <w:rsid w:val="06C96E9C"/>
    <w:rsid w:val="0D2F096C"/>
    <w:rsid w:val="0EA224A6"/>
    <w:rsid w:val="0F9E6C88"/>
    <w:rsid w:val="120A5960"/>
    <w:rsid w:val="14092680"/>
    <w:rsid w:val="14184FB8"/>
    <w:rsid w:val="17B47985"/>
    <w:rsid w:val="1B1F4E7E"/>
    <w:rsid w:val="207F6610"/>
    <w:rsid w:val="223E3E3C"/>
    <w:rsid w:val="23B4085A"/>
    <w:rsid w:val="24930B4D"/>
    <w:rsid w:val="24BB5C18"/>
    <w:rsid w:val="2786250D"/>
    <w:rsid w:val="2A866380"/>
    <w:rsid w:val="2BA0172F"/>
    <w:rsid w:val="2BC25ADE"/>
    <w:rsid w:val="2BE9306B"/>
    <w:rsid w:val="2F292845"/>
    <w:rsid w:val="2F7E3ACA"/>
    <w:rsid w:val="316E7B6E"/>
    <w:rsid w:val="37201C5F"/>
    <w:rsid w:val="3A797F9F"/>
    <w:rsid w:val="3AAC3B1E"/>
    <w:rsid w:val="3EBE0387"/>
    <w:rsid w:val="3ECF5007"/>
    <w:rsid w:val="44182004"/>
    <w:rsid w:val="45012D7B"/>
    <w:rsid w:val="46565349"/>
    <w:rsid w:val="496164DE"/>
    <w:rsid w:val="4A4F27DB"/>
    <w:rsid w:val="4A912D42"/>
    <w:rsid w:val="4C656166"/>
    <w:rsid w:val="4FC275AB"/>
    <w:rsid w:val="52524C0A"/>
    <w:rsid w:val="538B4884"/>
    <w:rsid w:val="5B433C96"/>
    <w:rsid w:val="5E0771FD"/>
    <w:rsid w:val="633F11E7"/>
    <w:rsid w:val="65B44624"/>
    <w:rsid w:val="667E3DD4"/>
    <w:rsid w:val="67C14B3C"/>
    <w:rsid w:val="68FE2FAA"/>
    <w:rsid w:val="6D1C44D4"/>
    <w:rsid w:val="729D47C4"/>
    <w:rsid w:val="78A27DF6"/>
    <w:rsid w:val="7A1659FE"/>
    <w:rsid w:val="7A4D1FE3"/>
    <w:rsid w:val="7B2A7C2F"/>
    <w:rsid w:val="7F61566C"/>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100" w:after="90"/>
      <w:jc w:val="center"/>
      <w:outlineLvl w:val="0"/>
    </w:pPr>
    <w:rPr>
      <w:b/>
      <w:bCs/>
      <w:kern w:val="44"/>
      <w:sz w:val="36"/>
      <w:szCs w:val="44"/>
    </w:rPr>
  </w:style>
  <w:style w:type="paragraph" w:styleId="3">
    <w:name w:val="heading 4"/>
    <w:basedOn w:val="1"/>
    <w:next w:val="1"/>
    <w:link w:val="22"/>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4">
    <w:name w:val="heading 5"/>
    <w:basedOn w:val="1"/>
    <w:next w:val="1"/>
    <w:link w:val="24"/>
    <w:unhideWhenUsed/>
    <w:qFormat/>
    <w:uiPriority w:val="9"/>
    <w:pPr>
      <w:keepNext/>
      <w:keepLines/>
      <w:spacing w:before="160" w:after="170"/>
      <w:ind w:firstLine="200" w:firstLineChars="200"/>
      <w:outlineLvl w:val="4"/>
    </w:pPr>
    <w:rPr>
      <w:b/>
      <w:bCs/>
      <w:sz w:val="24"/>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
    <w:qFormat/>
    <w:uiPriority w:val="0"/>
    <w:pPr>
      <w:ind w:firstLine="420" w:firstLineChars="200"/>
    </w:pPr>
    <w:rPr>
      <w:rFonts w:ascii="Times New Roman" w:hAnsi="Times New Roman" w:eastAsia="宋体" w:cs="Times New Roman"/>
      <w:szCs w:val="24"/>
    </w:rPr>
  </w:style>
  <w:style w:type="paragraph" w:styleId="6">
    <w:name w:val="annotation text"/>
    <w:basedOn w:val="1"/>
    <w:semiHidden/>
    <w:unhideWhenUsed/>
    <w:qFormat/>
    <w:uiPriority w:val="99"/>
    <w:pPr>
      <w:jc w:val="left"/>
    </w:pPr>
  </w:style>
  <w:style w:type="paragraph" w:styleId="7">
    <w:name w:val="Plain Text"/>
    <w:basedOn w:val="1"/>
    <w:link w:val="30"/>
    <w:qFormat/>
    <w:uiPriority w:val="0"/>
    <w:rPr>
      <w:rFonts w:ascii="宋体" w:hAnsi="Courier New" w:eastAsia="宋体" w:cs="Times New Roman"/>
      <w:kern w:val="10"/>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正文缩进 字符"/>
    <w:link w:val="5"/>
    <w:qFormat/>
    <w:uiPriority w:val="0"/>
    <w:rPr>
      <w:rFonts w:ascii="Times New Roman" w:hAnsi="Times New Roman" w:eastAsia="宋体" w:cs="Times New Roman"/>
      <w:szCs w:val="24"/>
    </w:rPr>
  </w:style>
  <w:style w:type="table" w:customStyle="1" w:styleId="21">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4 字符"/>
    <w:basedOn w:val="15"/>
    <w:link w:val="3"/>
    <w:qFormat/>
    <w:uiPriority w:val="0"/>
    <w:rPr>
      <w:rFonts w:ascii="Cambria" w:hAnsi="Cambria" w:eastAsia="宋体" w:cs="Times New Roman"/>
      <w:b/>
      <w:bCs/>
      <w:sz w:val="24"/>
      <w:szCs w:val="28"/>
    </w:rPr>
  </w:style>
  <w:style w:type="character" w:customStyle="1" w:styleId="23">
    <w:name w:val="标题 1 字符"/>
    <w:basedOn w:val="15"/>
    <w:link w:val="2"/>
    <w:qFormat/>
    <w:uiPriority w:val="9"/>
    <w:rPr>
      <w:b/>
      <w:bCs/>
      <w:kern w:val="44"/>
      <w:sz w:val="36"/>
      <w:szCs w:val="44"/>
    </w:rPr>
  </w:style>
  <w:style w:type="character" w:customStyle="1" w:styleId="24">
    <w:name w:val="标题 5 字符"/>
    <w:basedOn w:val="15"/>
    <w:link w:val="4"/>
    <w:qFormat/>
    <w:uiPriority w:val="9"/>
    <w:rPr>
      <w:b/>
      <w:bCs/>
      <w:sz w:val="24"/>
      <w:szCs w:val="28"/>
    </w:rPr>
  </w:style>
  <w:style w:type="paragraph" w:customStyle="1" w:styleId="2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6">
    <w:name w:val="批注框文本 字符"/>
    <w:basedOn w:val="15"/>
    <w:link w:val="8"/>
    <w:semiHidden/>
    <w:qFormat/>
    <w:uiPriority w:val="99"/>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style>
  <w:style w:type="table" w:customStyle="1" w:styleId="28">
    <w:name w:val="网格型2"/>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纯文本 字符"/>
    <w:basedOn w:val="15"/>
    <w:semiHidden/>
    <w:qFormat/>
    <w:uiPriority w:val="99"/>
    <w:rPr>
      <w:rFonts w:hAnsi="Courier New" w:cs="Courier New" w:asciiTheme="minorEastAsia" w:eastAsiaTheme="minorEastAsia"/>
      <w:kern w:val="2"/>
      <w:sz w:val="21"/>
      <w:szCs w:val="22"/>
    </w:rPr>
  </w:style>
  <w:style w:type="character" w:customStyle="1" w:styleId="30">
    <w:name w:val="纯文本 字符1"/>
    <w:link w:val="7"/>
    <w:qFormat/>
    <w:uiPriority w:val="0"/>
    <w:rPr>
      <w:rFonts w:ascii="宋体" w:hAnsi="Courier New"/>
      <w:kern w:val="10"/>
      <w:sz w:val="21"/>
      <w:szCs w:val="21"/>
    </w:rPr>
  </w:style>
  <w:style w:type="paragraph" w:customStyle="1" w:styleId="31">
    <w:name w:val="标题 1_0"/>
    <w:basedOn w:val="1"/>
    <w:next w:val="1"/>
    <w:qFormat/>
    <w:uiPriority w:val="9"/>
    <w:pPr>
      <w:keepNext/>
      <w:keepLines/>
      <w:pageBreakBefore/>
      <w:widowControl/>
      <w:numPr>
        <w:ilvl w:val="0"/>
        <w:numId w:val="1"/>
      </w:numPr>
      <w:tabs>
        <w:tab w:val="clear" w:pos="312"/>
      </w:tabs>
      <w:spacing w:beforeLines="100" w:afterLines="200"/>
      <w:ind w:left="420"/>
      <w:jc w:val="left"/>
      <w:outlineLvl w:val="0"/>
    </w:pPr>
    <w:rPr>
      <w:rFonts w:ascii="宋体" w:hAnsi="宋体" w:eastAsia="黑体" w:cs="Times New Roman"/>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8488A-5280-470B-BDC7-A63BA4DF748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15919</Words>
  <Characters>16377</Characters>
  <Lines>125</Lines>
  <Paragraphs>35</Paragraphs>
  <TotalTime>0</TotalTime>
  <ScaleCrop>false</ScaleCrop>
  <LinksUpToDate>false</LinksUpToDate>
  <CharactersWithSpaces>16702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dcterms:modified xsi:type="dcterms:W3CDTF">2025-03-18T09:43:08Z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BA30AEB5F17E4C2CAC49D49789AA440C_13</vt:lpwstr>
  </property>
  <property fmtid="{D5CDD505-2E9C-101B-9397-08002B2CF9AE}" pid="4" name="KSOTemplateDocerSaveRecord">
    <vt:lpwstr>eyJoZGlkIjoiZDYxNzQwMWY4MzNlNjA1OTlmNzkxYjE4MGVmNTM1NDAiLCJ1c2VySWQiOiIyNjEwOTk1MTEifQ==</vt:lpwstr>
  </property>
</Properties>
</file>