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C443A8">
      <w:pPr>
        <w:spacing w:line="360" w:lineRule="auto"/>
        <w:ind w:firstLine="420" w:firstLineChars="200"/>
        <w:rPr>
          <w:rFonts w:hint="eastAsia" w:eastAsiaTheme="minorEastAsia"/>
          <w:lang w:eastAsia="zh-CN"/>
        </w:rPr>
      </w:pPr>
    </w:p>
    <w:p w14:paraId="3A6458A0">
      <w:pPr>
        <w:spacing w:line="360" w:lineRule="auto"/>
        <w:ind w:firstLine="420" w:firstLineChars="200"/>
      </w:pPr>
    </w:p>
    <w:p w14:paraId="36A8CEBD">
      <w:pPr>
        <w:spacing w:line="360" w:lineRule="auto"/>
        <w:ind w:firstLine="420" w:firstLineChars="200"/>
      </w:pPr>
    </w:p>
    <w:p w14:paraId="050FEF9F">
      <w:pPr>
        <w:spacing w:line="360" w:lineRule="auto"/>
        <w:ind w:firstLine="420" w:firstLineChars="200"/>
      </w:pPr>
    </w:p>
    <w:p w14:paraId="4F685AC3">
      <w:pPr>
        <w:jc w:val="center"/>
        <w:rPr>
          <w:b/>
          <w:sz w:val="44"/>
          <w:szCs w:val="44"/>
        </w:rPr>
      </w:pPr>
      <w:r>
        <w:rPr>
          <w:rFonts w:hint="eastAsia"/>
          <w:b/>
          <w:sz w:val="44"/>
          <w:szCs w:val="44"/>
        </w:rPr>
        <w:t>业务协作平台（OA）</w:t>
      </w:r>
      <w:r>
        <w:rPr>
          <w:b/>
          <w:sz w:val="44"/>
          <w:szCs w:val="44"/>
        </w:rPr>
        <w:t>202</w:t>
      </w:r>
      <w:r>
        <w:rPr>
          <w:rFonts w:hint="eastAsia"/>
          <w:b/>
          <w:sz w:val="44"/>
          <w:szCs w:val="44"/>
          <w:lang w:val="en-US" w:eastAsia="zh-CN"/>
        </w:rPr>
        <w:t>5年度</w:t>
      </w:r>
      <w:r>
        <w:rPr>
          <w:rFonts w:hint="eastAsia"/>
          <w:b/>
          <w:sz w:val="44"/>
          <w:szCs w:val="44"/>
        </w:rPr>
        <w:t>维护服务项目</w:t>
      </w:r>
    </w:p>
    <w:p w14:paraId="716EC6ED">
      <w:pPr>
        <w:jc w:val="center"/>
        <w:rPr>
          <w:b/>
          <w:sz w:val="30"/>
          <w:szCs w:val="30"/>
        </w:rPr>
      </w:pPr>
    </w:p>
    <w:p w14:paraId="41D25501">
      <w:pPr>
        <w:jc w:val="center"/>
        <w:rPr>
          <w:rFonts w:hint="default" w:eastAsiaTheme="minorEastAsia"/>
          <w:b/>
          <w:sz w:val="30"/>
          <w:szCs w:val="30"/>
          <w:lang w:val="en-US" w:eastAsia="zh-CN"/>
        </w:rPr>
      </w:pPr>
      <w:r>
        <w:rPr>
          <w:rFonts w:hint="eastAsia"/>
          <w:b/>
          <w:sz w:val="30"/>
          <w:szCs w:val="30"/>
        </w:rPr>
        <w:t>项目编号：</w:t>
      </w:r>
      <w:r>
        <w:rPr>
          <w:b/>
          <w:sz w:val="30"/>
          <w:szCs w:val="30"/>
        </w:rPr>
        <w:t xml:space="preserve"> BACDCCG202</w:t>
      </w:r>
      <w:r>
        <w:rPr>
          <w:rFonts w:hint="eastAsia"/>
          <w:b/>
          <w:sz w:val="30"/>
          <w:szCs w:val="30"/>
          <w:lang w:val="en-US" w:eastAsia="zh-CN"/>
        </w:rPr>
        <w:t>5</w:t>
      </w:r>
      <w:r>
        <w:rPr>
          <w:b/>
          <w:sz w:val="30"/>
          <w:szCs w:val="30"/>
        </w:rPr>
        <w:t>0</w:t>
      </w:r>
      <w:r>
        <w:rPr>
          <w:rFonts w:hint="eastAsia"/>
          <w:b/>
          <w:sz w:val="30"/>
          <w:szCs w:val="30"/>
          <w:lang w:val="en-US" w:eastAsia="zh-CN"/>
        </w:rPr>
        <w:t>01</w:t>
      </w:r>
    </w:p>
    <w:p w14:paraId="3D13D836">
      <w:pPr>
        <w:spacing w:line="360" w:lineRule="auto"/>
        <w:ind w:firstLine="420" w:firstLineChars="200"/>
      </w:pPr>
    </w:p>
    <w:p w14:paraId="3D5A6915">
      <w:pPr>
        <w:spacing w:line="360" w:lineRule="auto"/>
        <w:ind w:firstLine="420" w:firstLineChars="200"/>
      </w:pPr>
    </w:p>
    <w:p w14:paraId="507E1FD2">
      <w:pPr>
        <w:spacing w:line="360" w:lineRule="auto"/>
        <w:ind w:firstLine="420" w:firstLineChars="200"/>
      </w:pPr>
    </w:p>
    <w:p w14:paraId="1197A949">
      <w:pPr>
        <w:spacing w:line="360" w:lineRule="auto"/>
        <w:ind w:firstLine="420" w:firstLineChars="200"/>
      </w:pPr>
    </w:p>
    <w:p w14:paraId="024621E0">
      <w:pPr>
        <w:spacing w:line="360" w:lineRule="auto"/>
        <w:ind w:firstLine="420" w:firstLineChars="200"/>
      </w:pPr>
    </w:p>
    <w:p w14:paraId="578E455F">
      <w:pPr>
        <w:spacing w:line="360" w:lineRule="auto"/>
        <w:ind w:firstLine="420" w:firstLineChars="200"/>
      </w:pPr>
    </w:p>
    <w:p w14:paraId="080833CB">
      <w:pPr>
        <w:spacing w:line="360" w:lineRule="auto"/>
        <w:jc w:val="center"/>
        <w:rPr>
          <w:b/>
          <w:sz w:val="72"/>
          <w:szCs w:val="72"/>
        </w:rPr>
      </w:pPr>
      <w:r>
        <w:rPr>
          <w:rFonts w:hint="eastAsia"/>
          <w:b/>
          <w:sz w:val="72"/>
          <w:szCs w:val="72"/>
        </w:rPr>
        <w:t>招标文件</w:t>
      </w:r>
    </w:p>
    <w:p w14:paraId="3DB7BAE7">
      <w:pPr>
        <w:spacing w:line="360" w:lineRule="auto"/>
        <w:ind w:firstLine="420" w:firstLineChars="200"/>
      </w:pPr>
    </w:p>
    <w:p w14:paraId="4C8A06AF">
      <w:pPr>
        <w:spacing w:line="360" w:lineRule="auto"/>
        <w:ind w:firstLine="420" w:firstLineChars="200"/>
      </w:pPr>
    </w:p>
    <w:p w14:paraId="662F4E73">
      <w:pPr>
        <w:spacing w:line="360" w:lineRule="auto"/>
        <w:ind w:firstLine="420" w:firstLineChars="200"/>
      </w:pPr>
    </w:p>
    <w:p w14:paraId="3FE17AAD">
      <w:pPr>
        <w:spacing w:line="360" w:lineRule="auto"/>
        <w:ind w:firstLine="420" w:firstLineChars="200"/>
      </w:pPr>
    </w:p>
    <w:p w14:paraId="482C2413">
      <w:pPr>
        <w:spacing w:line="360" w:lineRule="auto"/>
        <w:ind w:firstLine="420" w:firstLineChars="200"/>
      </w:pPr>
    </w:p>
    <w:p w14:paraId="6070D5F3">
      <w:pPr>
        <w:spacing w:line="360" w:lineRule="auto"/>
      </w:pPr>
    </w:p>
    <w:p w14:paraId="63CCBE71">
      <w:pPr>
        <w:spacing w:line="360" w:lineRule="auto"/>
      </w:pPr>
    </w:p>
    <w:p w14:paraId="40B2D5DC">
      <w:pPr>
        <w:spacing w:line="360" w:lineRule="auto"/>
        <w:ind w:firstLine="420" w:firstLineChars="200"/>
      </w:pPr>
    </w:p>
    <w:p w14:paraId="2975D251">
      <w:pPr>
        <w:spacing w:line="360" w:lineRule="auto"/>
        <w:jc w:val="center"/>
        <w:rPr>
          <w:rFonts w:hint="eastAsia"/>
          <w:b/>
          <w:sz w:val="30"/>
          <w:szCs w:val="30"/>
        </w:rPr>
      </w:pPr>
      <w:r>
        <w:rPr>
          <w:rFonts w:hint="eastAsia"/>
          <w:b/>
          <w:sz w:val="30"/>
          <w:szCs w:val="30"/>
        </w:rPr>
        <w:t>深圳市宝安区疾病预防控制中心</w:t>
      </w:r>
    </w:p>
    <w:p w14:paraId="27C32679">
      <w:pPr>
        <w:spacing w:line="360" w:lineRule="auto"/>
        <w:jc w:val="center"/>
        <w:rPr>
          <w:rFonts w:hint="eastAsia" w:eastAsiaTheme="minorEastAsia"/>
          <w:b/>
          <w:sz w:val="30"/>
          <w:szCs w:val="30"/>
          <w:lang w:eastAsia="zh-CN"/>
        </w:rPr>
      </w:pPr>
      <w:r>
        <w:rPr>
          <w:rFonts w:hint="eastAsia"/>
          <w:b/>
          <w:sz w:val="30"/>
          <w:szCs w:val="30"/>
          <w:lang w:eastAsia="zh-CN"/>
        </w:rPr>
        <w:t>（</w:t>
      </w:r>
      <w:r>
        <w:rPr>
          <w:rFonts w:hint="eastAsia"/>
          <w:b/>
          <w:sz w:val="30"/>
          <w:szCs w:val="30"/>
          <w:lang w:val="en-US" w:eastAsia="zh-CN"/>
        </w:rPr>
        <w:t>深圳市宝安区卫生监督所</w:t>
      </w:r>
      <w:r>
        <w:rPr>
          <w:rFonts w:hint="eastAsia"/>
          <w:b/>
          <w:sz w:val="30"/>
          <w:szCs w:val="30"/>
          <w:lang w:eastAsia="zh-CN"/>
        </w:rPr>
        <w:t>）</w:t>
      </w:r>
    </w:p>
    <w:p w14:paraId="04A7C9BA">
      <w:pPr>
        <w:spacing w:line="360" w:lineRule="auto"/>
        <w:jc w:val="center"/>
        <w:rPr>
          <w:b/>
          <w:sz w:val="30"/>
          <w:szCs w:val="30"/>
        </w:rPr>
      </w:pPr>
      <w:r>
        <w:rPr>
          <w:rFonts w:hint="eastAsia"/>
          <w:b/>
          <w:sz w:val="30"/>
          <w:szCs w:val="30"/>
        </w:rPr>
        <w:t>二〇二</w:t>
      </w:r>
      <w:r>
        <w:rPr>
          <w:rFonts w:hint="eastAsia"/>
          <w:b/>
          <w:sz w:val="30"/>
          <w:szCs w:val="30"/>
          <w:lang w:val="en-US" w:eastAsia="zh-CN"/>
        </w:rPr>
        <w:t>五</w:t>
      </w:r>
      <w:r>
        <w:rPr>
          <w:rFonts w:hint="eastAsia"/>
          <w:b/>
          <w:sz w:val="30"/>
          <w:szCs w:val="30"/>
        </w:rPr>
        <w:t>年</w:t>
      </w:r>
      <w:r>
        <w:rPr>
          <w:rFonts w:hint="eastAsia"/>
          <w:b/>
          <w:sz w:val="30"/>
          <w:szCs w:val="30"/>
          <w:lang w:val="en-US" w:eastAsia="zh-CN"/>
        </w:rPr>
        <w:t>三</w:t>
      </w:r>
      <w:r>
        <w:rPr>
          <w:rFonts w:hint="eastAsia"/>
          <w:b/>
          <w:sz w:val="30"/>
          <w:szCs w:val="30"/>
        </w:rPr>
        <w:t>月</w:t>
      </w:r>
    </w:p>
    <w:p w14:paraId="33F288E9">
      <w:pPr>
        <w:spacing w:line="360" w:lineRule="auto"/>
        <w:ind w:firstLine="420" w:firstLineChars="200"/>
      </w:pPr>
    </w:p>
    <w:p w14:paraId="7A7B3027">
      <w:pPr>
        <w:spacing w:line="360" w:lineRule="auto"/>
        <w:ind w:firstLine="420" w:firstLineChars="200"/>
        <w:sectPr>
          <w:headerReference r:id="rId3" w:type="default"/>
          <w:footerReference r:id="rId4" w:type="default"/>
          <w:pgSz w:w="11906" w:h="16838"/>
          <w:pgMar w:top="1418" w:right="1474" w:bottom="1418" w:left="1474" w:header="851" w:footer="992" w:gutter="0"/>
          <w:cols w:space="425" w:num="1"/>
          <w:docGrid w:type="lines" w:linePitch="312" w:charSpace="0"/>
        </w:sectPr>
      </w:pPr>
    </w:p>
    <w:sdt>
      <w:sdtPr>
        <w:rPr>
          <w:rFonts w:asciiTheme="minorHAnsi" w:hAnsiTheme="minorHAnsi" w:eastAsiaTheme="minorEastAsia" w:cstheme="minorBidi"/>
          <w:b w:val="0"/>
          <w:bCs w:val="0"/>
          <w:color w:val="auto"/>
          <w:kern w:val="2"/>
          <w:sz w:val="21"/>
          <w:szCs w:val="22"/>
          <w:lang w:val="zh-CN"/>
        </w:rPr>
        <w:id w:val="31701681"/>
        <w:docPartObj>
          <w:docPartGallery w:val="Table of Contents"/>
          <w:docPartUnique/>
        </w:docPartObj>
      </w:sdtPr>
      <w:sdtEndPr>
        <w:rPr>
          <w:rFonts w:asciiTheme="minorHAnsi" w:hAnsiTheme="minorHAnsi" w:eastAsiaTheme="minorEastAsia" w:cstheme="minorBidi"/>
          <w:b w:val="0"/>
          <w:bCs w:val="0"/>
          <w:color w:val="auto"/>
          <w:kern w:val="2"/>
          <w:sz w:val="21"/>
          <w:szCs w:val="22"/>
          <w:lang w:val="en-US"/>
        </w:rPr>
      </w:sdtEndPr>
      <w:sdtContent>
        <w:p w14:paraId="62F33C61">
          <w:pPr>
            <w:pStyle w:val="25"/>
            <w:jc w:val="center"/>
            <w:rPr>
              <w:sz w:val="44"/>
              <w:szCs w:val="44"/>
            </w:rPr>
          </w:pPr>
          <w:r>
            <w:rPr>
              <w:sz w:val="44"/>
              <w:szCs w:val="44"/>
              <w:lang w:val="zh-CN"/>
            </w:rPr>
            <w:t>目</w:t>
          </w:r>
          <w:r>
            <w:rPr>
              <w:rFonts w:hint="eastAsia"/>
              <w:sz w:val="44"/>
              <w:szCs w:val="44"/>
              <w:lang w:val="zh-CN"/>
            </w:rPr>
            <w:t xml:space="preserve">  </w:t>
          </w:r>
          <w:r>
            <w:rPr>
              <w:sz w:val="44"/>
              <w:szCs w:val="44"/>
              <w:lang w:val="zh-CN"/>
            </w:rPr>
            <w:t>录</w:t>
          </w:r>
        </w:p>
        <w:p w14:paraId="28604AF4">
          <w:pPr>
            <w:pStyle w:val="11"/>
            <w:tabs>
              <w:tab w:val="right" w:leader="dot" w:pos="8948"/>
            </w:tabs>
          </w:pPr>
          <w:r>
            <w:fldChar w:fldCharType="begin"/>
          </w:r>
          <w:r>
            <w:instrText xml:space="preserve"> TOC \o "1-3" \h \z \u </w:instrText>
          </w:r>
          <w:r>
            <w:fldChar w:fldCharType="separate"/>
          </w:r>
          <w:r>
            <w:fldChar w:fldCharType="begin"/>
          </w:r>
          <w:r>
            <w:instrText xml:space="preserve"> HYPERLINK \l "_Toc69596218" </w:instrText>
          </w:r>
          <w:r>
            <w:fldChar w:fldCharType="separate"/>
          </w:r>
          <w:r>
            <w:rPr>
              <w:rStyle w:val="16"/>
            </w:rPr>
            <w:t xml:space="preserve">第一章  </w:t>
          </w:r>
          <w:r>
            <w:rPr>
              <w:rStyle w:val="16"/>
              <w:rFonts w:hint="eastAsia"/>
            </w:rPr>
            <w:t>招标</w:t>
          </w:r>
          <w:r>
            <w:rPr>
              <w:rStyle w:val="16"/>
            </w:rPr>
            <w:t>公告</w:t>
          </w:r>
          <w:r>
            <w:tab/>
          </w:r>
          <w:r>
            <w:fldChar w:fldCharType="begin"/>
          </w:r>
          <w:r>
            <w:instrText xml:space="preserve"> PAGEREF _Toc69596218 \h </w:instrText>
          </w:r>
          <w:r>
            <w:fldChar w:fldCharType="separate"/>
          </w:r>
          <w:r>
            <w:t>3</w:t>
          </w:r>
          <w:r>
            <w:fldChar w:fldCharType="end"/>
          </w:r>
          <w:r>
            <w:fldChar w:fldCharType="end"/>
          </w:r>
        </w:p>
        <w:p w14:paraId="112833D5">
          <w:pPr>
            <w:pStyle w:val="11"/>
            <w:tabs>
              <w:tab w:val="right" w:leader="dot" w:pos="8948"/>
            </w:tabs>
          </w:pPr>
          <w:r>
            <w:fldChar w:fldCharType="begin"/>
          </w:r>
          <w:r>
            <w:instrText xml:space="preserve"> HYPERLINK \l "_Toc69596219" </w:instrText>
          </w:r>
          <w:r>
            <w:fldChar w:fldCharType="separate"/>
          </w:r>
          <w:r>
            <w:rPr>
              <w:rStyle w:val="16"/>
            </w:rPr>
            <w:t>第二章  用户需求书</w:t>
          </w:r>
          <w:r>
            <w:tab/>
          </w:r>
          <w:r>
            <w:fldChar w:fldCharType="begin"/>
          </w:r>
          <w:r>
            <w:instrText xml:space="preserve"> PAGEREF _Toc69596219 \h </w:instrText>
          </w:r>
          <w:r>
            <w:fldChar w:fldCharType="separate"/>
          </w:r>
          <w:r>
            <w:t>5</w:t>
          </w:r>
          <w:r>
            <w:fldChar w:fldCharType="end"/>
          </w:r>
          <w:r>
            <w:fldChar w:fldCharType="end"/>
          </w:r>
        </w:p>
        <w:p w14:paraId="4E5926E7">
          <w:pPr>
            <w:pStyle w:val="11"/>
            <w:tabs>
              <w:tab w:val="right" w:leader="dot" w:pos="8948"/>
            </w:tabs>
          </w:pPr>
          <w:r>
            <w:fldChar w:fldCharType="begin"/>
          </w:r>
          <w:r>
            <w:instrText xml:space="preserve"> HYPERLINK \l "_Toc69596220" </w:instrText>
          </w:r>
          <w:r>
            <w:fldChar w:fldCharType="separate"/>
          </w:r>
          <w:r>
            <w:rPr>
              <w:rStyle w:val="16"/>
            </w:rPr>
            <w:t>第三章  投标人须知</w:t>
          </w:r>
          <w:r>
            <w:tab/>
          </w:r>
          <w:r>
            <w:fldChar w:fldCharType="begin"/>
          </w:r>
          <w:r>
            <w:instrText xml:space="preserve"> PAGEREF _Toc69596220 \h </w:instrText>
          </w:r>
          <w:r>
            <w:fldChar w:fldCharType="separate"/>
          </w:r>
          <w:r>
            <w:t>7</w:t>
          </w:r>
          <w:r>
            <w:fldChar w:fldCharType="end"/>
          </w:r>
          <w:r>
            <w:fldChar w:fldCharType="end"/>
          </w:r>
        </w:p>
        <w:p w14:paraId="4D36526B">
          <w:pPr>
            <w:pStyle w:val="11"/>
            <w:tabs>
              <w:tab w:val="right" w:leader="dot" w:pos="8948"/>
            </w:tabs>
          </w:pPr>
          <w:r>
            <w:fldChar w:fldCharType="begin"/>
          </w:r>
          <w:r>
            <w:instrText xml:space="preserve"> HYPERLINK \l "_Toc69596221" </w:instrText>
          </w:r>
          <w:r>
            <w:fldChar w:fldCharType="separate"/>
          </w:r>
          <w:r>
            <w:rPr>
              <w:rStyle w:val="16"/>
            </w:rPr>
            <w:t>第四章  附件－投标文件格式</w:t>
          </w:r>
          <w:r>
            <w:tab/>
          </w:r>
          <w:r>
            <w:fldChar w:fldCharType="begin"/>
          </w:r>
          <w:r>
            <w:instrText xml:space="preserve"> PAGEREF _Toc69596221 \h </w:instrText>
          </w:r>
          <w:r>
            <w:fldChar w:fldCharType="separate"/>
          </w:r>
          <w:r>
            <w:t>20</w:t>
          </w:r>
          <w:r>
            <w:fldChar w:fldCharType="end"/>
          </w:r>
          <w:r>
            <w:fldChar w:fldCharType="end"/>
          </w:r>
        </w:p>
        <w:p w14:paraId="3804BF4B">
          <w:r>
            <w:fldChar w:fldCharType="end"/>
          </w:r>
        </w:p>
      </w:sdtContent>
    </w:sdt>
    <w:p w14:paraId="292B73B8">
      <w:pPr>
        <w:spacing w:line="360" w:lineRule="auto"/>
      </w:pPr>
    </w:p>
    <w:p w14:paraId="03031AA9">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29227D71">
      <w:pPr>
        <w:pStyle w:val="2"/>
      </w:pPr>
      <w:bookmarkStart w:id="0" w:name="_Toc61539108"/>
      <w:bookmarkStart w:id="1" w:name="_Toc69596218"/>
      <w:r>
        <w:rPr>
          <w:rFonts w:hint="eastAsia"/>
        </w:rPr>
        <w:t xml:space="preserve">第一章  </w:t>
      </w:r>
      <w:bookmarkEnd w:id="0"/>
      <w:r>
        <w:rPr>
          <w:rFonts w:hint="eastAsia"/>
        </w:rPr>
        <w:t>招标公告</w:t>
      </w:r>
      <w:bookmarkEnd w:id="1"/>
    </w:p>
    <w:p w14:paraId="2B332CCC">
      <w:pPr>
        <w:spacing w:line="360" w:lineRule="auto"/>
        <w:ind w:firstLine="420" w:firstLineChars="200"/>
      </w:pPr>
      <w:bookmarkStart w:id="2" w:name="_Hlk69568487"/>
      <w:r>
        <w:rPr>
          <w:rFonts w:hint="eastAsia"/>
        </w:rPr>
        <w:t>深圳市宝安区疾病预防控制中心</w:t>
      </w:r>
      <w:bookmarkEnd w:id="2"/>
      <w:r>
        <w:rPr>
          <w:rFonts w:hint="eastAsia"/>
          <w:color w:val="000000" w:themeColor="text1"/>
          <w14:textFill>
            <w14:solidFill>
              <w14:schemeClr w14:val="tx1"/>
            </w14:solidFill>
          </w14:textFill>
        </w:rPr>
        <w:t>就业务协作平台（OA）</w:t>
      </w:r>
      <w:r>
        <w:rPr>
          <w:rFonts w:hint="eastAsia"/>
          <w:color w:val="000000" w:themeColor="text1"/>
          <w:lang w:val="en-US" w:eastAsia="zh-CN"/>
          <w14:textFill>
            <w14:solidFill>
              <w14:schemeClr w14:val="tx1"/>
            </w14:solidFill>
          </w14:textFill>
        </w:rPr>
        <w:t>2025年度</w:t>
      </w:r>
      <w:r>
        <w:rPr>
          <w:rFonts w:hint="eastAsia"/>
          <w:color w:val="000000" w:themeColor="text1"/>
          <w14:textFill>
            <w14:solidFill>
              <w14:schemeClr w14:val="tx1"/>
            </w14:solidFill>
          </w14:textFill>
        </w:rPr>
        <w:t>维护服务项目</w:t>
      </w:r>
      <w:r>
        <w:rPr>
          <w:rFonts w:hint="eastAsia"/>
        </w:rPr>
        <w:t>接受以下投标人提交密封投标文件。有关事项如下：</w:t>
      </w:r>
    </w:p>
    <w:p w14:paraId="654A694C">
      <w:pPr>
        <w:pStyle w:val="4"/>
        <w:ind w:firstLine="482"/>
      </w:pPr>
      <w:bookmarkStart w:id="3" w:name="_Hlk69568538"/>
      <w:r>
        <w:rPr>
          <w:rFonts w:hint="eastAsia"/>
        </w:rPr>
        <w:t>一、项目基本信息</w:t>
      </w:r>
    </w:p>
    <w:p w14:paraId="72B6649E">
      <w:pPr>
        <w:spacing w:line="360" w:lineRule="auto"/>
        <w:ind w:firstLine="420" w:firstLineChars="200"/>
        <w:rPr>
          <w:color w:val="000000" w:themeColor="text1"/>
          <w14:textFill>
            <w14:solidFill>
              <w14:schemeClr w14:val="tx1"/>
            </w14:solidFill>
          </w14:textFill>
        </w:rPr>
      </w:pPr>
      <w:r>
        <w:rPr>
          <w:rFonts w:hint="eastAsia"/>
        </w:rPr>
        <w:t>1、项</w:t>
      </w:r>
      <w:r>
        <w:rPr>
          <w:rFonts w:hint="eastAsia"/>
          <w:color w:val="000000" w:themeColor="text1"/>
          <w14:textFill>
            <w14:solidFill>
              <w14:schemeClr w14:val="tx1"/>
            </w14:solidFill>
          </w14:textFill>
        </w:rPr>
        <w:t>目名称：业务协作平台（OA）202</w:t>
      </w:r>
      <w:r>
        <w:rPr>
          <w:rFonts w:hint="eastAsia"/>
          <w:color w:val="000000" w:themeColor="text1"/>
          <w:lang w:val="en-US" w:eastAsia="zh-CN"/>
          <w14:textFill>
            <w14:solidFill>
              <w14:schemeClr w14:val="tx1"/>
            </w14:solidFill>
          </w14:textFill>
        </w:rPr>
        <w:t>5年度</w:t>
      </w:r>
      <w:r>
        <w:rPr>
          <w:rFonts w:hint="eastAsia"/>
          <w:color w:val="000000" w:themeColor="text1"/>
          <w14:textFill>
            <w14:solidFill>
              <w14:schemeClr w14:val="tx1"/>
            </w14:solidFill>
          </w14:textFill>
        </w:rPr>
        <w:t>维护服务项目</w:t>
      </w:r>
    </w:p>
    <w:p w14:paraId="5A3F03B3">
      <w:pPr>
        <w:spacing w:line="360" w:lineRule="auto"/>
        <w:ind w:firstLine="420" w:firstLineChars="200"/>
        <w:rPr>
          <w:rFonts w:hint="default" w:eastAsiaTheme="minorEastAsia"/>
          <w:lang w:val="en-US" w:eastAsia="zh-CN"/>
        </w:rPr>
      </w:pPr>
      <w:r>
        <w:rPr>
          <w:rFonts w:hint="eastAsia"/>
        </w:rPr>
        <w:t>2、</w:t>
      </w:r>
      <w:r>
        <w:t>项目编号： BACDCCG202</w:t>
      </w:r>
      <w:r>
        <w:rPr>
          <w:rFonts w:hint="eastAsia"/>
          <w:lang w:val="en-US" w:eastAsia="zh-CN"/>
        </w:rPr>
        <w:t>5</w:t>
      </w:r>
      <w:r>
        <w:t>0</w:t>
      </w:r>
      <w:r>
        <w:rPr>
          <w:rFonts w:hint="eastAsia"/>
          <w:lang w:val="en-US" w:eastAsia="zh-CN"/>
        </w:rPr>
        <w:t>01</w:t>
      </w:r>
    </w:p>
    <w:p w14:paraId="3E7DBF12">
      <w:pPr>
        <w:spacing w:line="360" w:lineRule="auto"/>
        <w:ind w:firstLine="420" w:firstLineChars="200"/>
      </w:pPr>
      <w:r>
        <w:rPr>
          <w:rFonts w:hint="eastAsia"/>
        </w:rPr>
        <w:t>3、项目类别：服务类</w:t>
      </w:r>
    </w:p>
    <w:p w14:paraId="7917F598">
      <w:pPr>
        <w:spacing w:line="360" w:lineRule="auto"/>
        <w:ind w:firstLine="420" w:firstLineChars="200"/>
      </w:pPr>
      <w:r>
        <w:t>4</w:t>
      </w:r>
      <w:r>
        <w:rPr>
          <w:rFonts w:hint="eastAsia"/>
        </w:rPr>
        <w:t>、</w:t>
      </w:r>
      <w:r>
        <w:t>采购单位：</w:t>
      </w:r>
      <w:r>
        <w:rPr>
          <w:rFonts w:hint="eastAsia"/>
        </w:rPr>
        <w:t>深圳市宝安区疾病预防控制中心</w:t>
      </w:r>
    </w:p>
    <w:p w14:paraId="2735C32E">
      <w:pPr>
        <w:spacing w:line="360" w:lineRule="auto"/>
        <w:ind w:firstLine="420" w:firstLineChars="200"/>
      </w:pPr>
      <w:r>
        <w:t>5</w:t>
      </w:r>
      <w:r>
        <w:rPr>
          <w:rFonts w:hint="eastAsia"/>
        </w:rPr>
        <w:t>、采购方式：公开招标</w:t>
      </w:r>
    </w:p>
    <w:p w14:paraId="548D7208">
      <w:pPr>
        <w:spacing w:line="360" w:lineRule="auto"/>
        <w:ind w:firstLine="422" w:firstLineChars="200"/>
        <w:rPr>
          <w:b/>
        </w:rPr>
      </w:pPr>
      <w:r>
        <w:rPr>
          <w:b/>
        </w:rPr>
        <w:t>6</w:t>
      </w:r>
      <w:r>
        <w:rPr>
          <w:rFonts w:hint="eastAsia"/>
          <w:b/>
        </w:rPr>
        <w:t>、评标方法：</w:t>
      </w:r>
      <w:r>
        <w:rPr>
          <w:rFonts w:hint="eastAsia"/>
          <w:b/>
          <w:lang w:val="en-US" w:eastAsia="zh-CN"/>
        </w:rPr>
        <w:t>最低评标价</w:t>
      </w:r>
      <w:r>
        <w:rPr>
          <w:rFonts w:hint="eastAsia"/>
          <w:b/>
        </w:rPr>
        <w:t>法</w:t>
      </w:r>
    </w:p>
    <w:bookmarkEnd w:id="3"/>
    <w:p w14:paraId="515C9132">
      <w:pPr>
        <w:pStyle w:val="4"/>
        <w:ind w:firstLine="482"/>
      </w:pPr>
      <w:r>
        <w:rPr>
          <w:rFonts w:hint="eastAsia"/>
        </w:rPr>
        <w:t>二、采购预算</w:t>
      </w:r>
    </w:p>
    <w:p w14:paraId="673B0168">
      <w:pPr>
        <w:spacing w:line="360" w:lineRule="auto"/>
        <w:ind w:firstLine="420" w:firstLineChars="200"/>
      </w:pPr>
      <w:r>
        <w:rPr>
          <w:rFonts w:hint="eastAsia"/>
        </w:rPr>
        <w:t>本项目采购预算金额为</w:t>
      </w:r>
      <w:r>
        <w:rPr>
          <w:rFonts w:hint="eastAsia"/>
          <w:lang w:val="en-US" w:eastAsia="zh-CN"/>
        </w:rPr>
        <w:t>53</w:t>
      </w:r>
      <w:r>
        <w:rPr>
          <w:rFonts w:hint="eastAsia"/>
        </w:rPr>
        <w:t>，</w:t>
      </w:r>
      <w:r>
        <w:rPr>
          <w:rFonts w:hint="eastAsia"/>
          <w:lang w:val="en-US" w:eastAsia="zh-CN"/>
        </w:rPr>
        <w:t>0</w:t>
      </w:r>
      <w:r>
        <w:t>00</w:t>
      </w:r>
      <w:r>
        <w:rPr>
          <w:rFonts w:hint="eastAsia"/>
        </w:rPr>
        <w:t>.00元整。</w:t>
      </w:r>
    </w:p>
    <w:p w14:paraId="5DB1CF3E">
      <w:pPr>
        <w:pStyle w:val="4"/>
        <w:ind w:firstLine="482"/>
      </w:pPr>
      <w:bookmarkStart w:id="4" w:name="_Hlk69568757"/>
      <w:r>
        <w:rPr>
          <w:rFonts w:hint="eastAsia"/>
        </w:rPr>
        <w:t>三、需落实的采购政策</w:t>
      </w:r>
    </w:p>
    <w:p w14:paraId="09685CE9">
      <w:pPr>
        <w:spacing w:line="360" w:lineRule="auto"/>
        <w:ind w:firstLine="420" w:firstLineChars="200"/>
      </w:pPr>
      <w:r>
        <w:rPr>
          <w:rFonts w:hint="eastAsia"/>
        </w:rPr>
        <w:t>按照相关规定执行，详见采购需求标准。</w:t>
      </w:r>
    </w:p>
    <w:p w14:paraId="03C112E4">
      <w:pPr>
        <w:pStyle w:val="4"/>
        <w:ind w:firstLine="482"/>
      </w:pPr>
      <w:r>
        <w:rPr>
          <w:rFonts w:hint="eastAsia"/>
        </w:rPr>
        <w:t>四、供应商资格要求</w:t>
      </w:r>
    </w:p>
    <w:p w14:paraId="79B92040">
      <w:pPr>
        <w:spacing w:line="360" w:lineRule="auto"/>
        <w:ind w:firstLine="420" w:firstLineChars="200"/>
      </w:pPr>
      <w:r>
        <w:rPr>
          <w:rFonts w:hint="eastAsia"/>
        </w:rPr>
        <w:t>1、</w:t>
      </w:r>
      <w:bookmarkStart w:id="5" w:name="_Hlk145674892"/>
      <w:r>
        <w:rPr>
          <w:rFonts w:hint="eastAsia"/>
        </w:rPr>
        <w:t>投标人</w:t>
      </w:r>
      <w:bookmarkEnd w:id="5"/>
      <w:r>
        <w:rPr>
          <w:rFonts w:hint="eastAsia"/>
        </w:rPr>
        <w:t>必须是在中华人民共和国境内注册的独立法人或其他组织</w:t>
      </w:r>
      <w:bookmarkStart w:id="6" w:name="_Hlk145674976"/>
      <w:r>
        <w:rPr>
          <w:rFonts w:hint="eastAsia"/>
        </w:rPr>
        <w:t>（提供营业执照复印件）；</w:t>
      </w:r>
      <w:bookmarkEnd w:id="6"/>
    </w:p>
    <w:p w14:paraId="5B2DC76C">
      <w:pPr>
        <w:spacing w:line="360" w:lineRule="auto"/>
        <w:ind w:firstLine="420" w:firstLineChars="200"/>
      </w:pPr>
      <w:r>
        <w:rPr>
          <w:rFonts w:hint="eastAsia"/>
        </w:rPr>
        <w:t>2、投标人参加本次政府采购活动前3年内在经营活动中没有重大违法记录（提供声明函）；</w:t>
      </w:r>
    </w:p>
    <w:p w14:paraId="06484DEF">
      <w:pPr>
        <w:spacing w:line="360" w:lineRule="auto"/>
        <w:ind w:firstLine="420" w:firstLineChars="200"/>
      </w:pPr>
      <w:r>
        <w:rPr>
          <w:rFonts w:hint="eastAsia"/>
        </w:rPr>
        <w:t>3、截至开标时间为止，未被深圳市各级政府采购主管部门行政处罚（指禁止参与政府采购活动且在有效期内）的投标人；</w:t>
      </w:r>
    </w:p>
    <w:p w14:paraId="1EE2792E">
      <w:pPr>
        <w:spacing w:line="360" w:lineRule="auto"/>
        <w:ind w:firstLine="420" w:firstLineChars="200"/>
      </w:pPr>
      <w:r>
        <w:rPr>
          <w:rFonts w:hint="eastAsia"/>
        </w:rPr>
        <w:t>4、通过“信用中国”网站（www.creditchina.gov.cn）和中国政府采购网（www.ccgp.gov.cn）查询信用记录（相关信息以中标通知书发出前的查询结果为准），被列入失信被执行人、重大税收违法案件当事人名单或政府采购严重违法失信行为记录名单的供应商，拒绝参与本项目的采购活动(现场网上查询)；</w:t>
      </w:r>
    </w:p>
    <w:p w14:paraId="714FABC1">
      <w:pPr>
        <w:spacing w:line="360" w:lineRule="auto"/>
        <w:ind w:firstLine="420" w:firstLineChars="200"/>
      </w:pPr>
      <w:r>
        <w:rPr>
          <w:rFonts w:hint="eastAsia"/>
        </w:rPr>
        <w:t>5、本项目不接受联合体投标。</w:t>
      </w:r>
    </w:p>
    <w:p w14:paraId="187D0759">
      <w:pPr>
        <w:pStyle w:val="4"/>
        <w:ind w:firstLine="482"/>
      </w:pPr>
      <w:r>
        <w:rPr>
          <w:rFonts w:hint="eastAsia"/>
        </w:rPr>
        <w:t>五、获取招标文件的时间、地点及方式</w:t>
      </w:r>
    </w:p>
    <w:bookmarkEnd w:id="4"/>
    <w:p w14:paraId="434AD16E">
      <w:pPr>
        <w:spacing w:line="360" w:lineRule="auto"/>
        <w:ind w:firstLine="420" w:firstLineChars="200"/>
        <w:rPr>
          <w:rFonts w:hint="eastAsia"/>
          <w:highlight w:val="yellow"/>
        </w:rPr>
      </w:pPr>
      <w:r>
        <w:rPr>
          <w:rFonts w:hint="eastAsia"/>
        </w:rPr>
        <w:t>1、获取招标文件时间：</w:t>
      </w:r>
      <w:r>
        <w:rPr>
          <w:rFonts w:hint="eastAsia"/>
          <w:highlight w:val="yellow"/>
        </w:rPr>
        <w:t>202</w:t>
      </w:r>
      <w:r>
        <w:rPr>
          <w:rFonts w:hint="eastAsia"/>
          <w:highlight w:val="yellow"/>
          <w:lang w:val="en-US" w:eastAsia="zh-CN"/>
        </w:rPr>
        <w:t>5</w:t>
      </w:r>
      <w:r>
        <w:rPr>
          <w:rFonts w:hint="eastAsia"/>
          <w:highlight w:val="yellow"/>
        </w:rPr>
        <w:t>年</w:t>
      </w:r>
      <w:r>
        <w:rPr>
          <w:highlight w:val="yellow"/>
        </w:rPr>
        <w:t>0</w:t>
      </w:r>
      <w:r>
        <w:rPr>
          <w:rFonts w:hint="eastAsia"/>
          <w:highlight w:val="yellow"/>
          <w:lang w:val="en-US" w:eastAsia="zh-CN"/>
        </w:rPr>
        <w:t>3</w:t>
      </w:r>
      <w:r>
        <w:rPr>
          <w:rFonts w:hint="eastAsia"/>
          <w:highlight w:val="yellow"/>
        </w:rPr>
        <w:t>月</w:t>
      </w:r>
      <w:r>
        <w:rPr>
          <w:rFonts w:hint="eastAsia"/>
          <w:highlight w:val="yellow"/>
          <w:lang w:val="en-US" w:eastAsia="zh-CN"/>
        </w:rPr>
        <w:t>18</w:t>
      </w:r>
      <w:r>
        <w:rPr>
          <w:rFonts w:hint="eastAsia"/>
          <w:highlight w:val="yellow"/>
        </w:rPr>
        <w:t>日起至202</w:t>
      </w:r>
      <w:r>
        <w:rPr>
          <w:rFonts w:hint="eastAsia"/>
          <w:highlight w:val="yellow"/>
          <w:lang w:val="en-US" w:eastAsia="zh-CN"/>
        </w:rPr>
        <w:t>5</w:t>
      </w:r>
      <w:r>
        <w:rPr>
          <w:rFonts w:hint="eastAsia"/>
          <w:highlight w:val="yellow"/>
        </w:rPr>
        <w:t>年</w:t>
      </w:r>
      <w:r>
        <w:rPr>
          <w:highlight w:val="yellow"/>
        </w:rPr>
        <w:t>0</w:t>
      </w:r>
      <w:r>
        <w:rPr>
          <w:rFonts w:hint="eastAsia"/>
          <w:highlight w:val="yellow"/>
          <w:lang w:val="en-US" w:eastAsia="zh-CN"/>
        </w:rPr>
        <w:t>3</w:t>
      </w:r>
      <w:r>
        <w:rPr>
          <w:rFonts w:hint="eastAsia"/>
          <w:highlight w:val="yellow"/>
        </w:rPr>
        <w:t>月</w:t>
      </w:r>
      <w:r>
        <w:rPr>
          <w:rFonts w:hint="default"/>
          <w:highlight w:val="yellow"/>
          <w:lang w:val="en-US"/>
        </w:rPr>
        <w:t>24</w:t>
      </w:r>
      <w:r>
        <w:rPr>
          <w:rFonts w:hint="eastAsia"/>
          <w:highlight w:val="yellow"/>
        </w:rPr>
        <w:t>日</w:t>
      </w:r>
    </w:p>
    <w:p w14:paraId="133E1003">
      <w:pPr>
        <w:spacing w:line="360" w:lineRule="auto"/>
        <w:ind w:firstLine="420" w:firstLineChars="200"/>
        <w:rPr>
          <w:rFonts w:hint="default" w:eastAsiaTheme="minorEastAsia"/>
          <w:lang w:val="en-US" w:eastAsia="zh-CN"/>
        </w:rPr>
      </w:pPr>
      <w:r>
        <w:rPr>
          <w:rFonts w:hint="eastAsia"/>
        </w:rPr>
        <w:t>2、获取招标文件地点：</w:t>
      </w:r>
      <w:r>
        <w:rPr>
          <w:rFonts w:hint="eastAsia"/>
          <w:lang w:val="en-US" w:eastAsia="zh-CN"/>
        </w:rPr>
        <w:t>线上下载</w:t>
      </w:r>
    </w:p>
    <w:p w14:paraId="2BD0B0C9">
      <w:pPr>
        <w:spacing w:line="360" w:lineRule="auto"/>
        <w:ind w:firstLine="420" w:firstLineChars="200"/>
      </w:pPr>
      <w:r>
        <w:rPr>
          <w:rFonts w:hint="eastAsia"/>
          <w:lang w:val="en-US" w:eastAsia="zh-CN"/>
        </w:rPr>
        <w:t>3</w:t>
      </w:r>
      <w:r>
        <w:rPr>
          <w:rFonts w:hint="eastAsia"/>
        </w:rPr>
        <w:t>、联系人：</w:t>
      </w:r>
      <w:r>
        <w:rPr>
          <w:rFonts w:hint="eastAsia"/>
          <w:lang w:val="en-US" w:eastAsia="zh-CN"/>
        </w:rPr>
        <w:t>姜</w:t>
      </w:r>
      <w:r>
        <w:rPr>
          <w:rFonts w:hint="eastAsia"/>
        </w:rPr>
        <w:t>工</w:t>
      </w:r>
    </w:p>
    <w:p w14:paraId="001ACD70">
      <w:pPr>
        <w:spacing w:line="360" w:lineRule="auto"/>
        <w:ind w:firstLine="420" w:firstLineChars="200"/>
        <w:rPr>
          <w:rFonts w:hint="eastAsia" w:eastAsiaTheme="minorEastAsia"/>
          <w:lang w:eastAsia="zh-CN"/>
        </w:rPr>
      </w:pPr>
      <w:r>
        <w:rPr>
          <w:rFonts w:hint="eastAsia"/>
        </w:rPr>
        <w:t>5、联系电话：</w:t>
      </w:r>
      <w:r>
        <w:t xml:space="preserve">0755- </w:t>
      </w:r>
      <w:r>
        <w:rPr>
          <w:rFonts w:hint="eastAsia"/>
          <w:lang w:eastAsia="zh-CN"/>
        </w:rPr>
        <w:t>27751586</w:t>
      </w:r>
    </w:p>
    <w:p w14:paraId="1F4800EE">
      <w:pPr>
        <w:pStyle w:val="4"/>
        <w:ind w:firstLine="482"/>
      </w:pPr>
      <w:r>
        <w:rPr>
          <w:rFonts w:hint="eastAsia"/>
        </w:rPr>
        <w:t>六、投标截止时间</w:t>
      </w:r>
    </w:p>
    <w:p w14:paraId="285869A1">
      <w:pPr>
        <w:spacing w:line="360" w:lineRule="auto"/>
        <w:ind w:firstLine="420" w:firstLineChars="200"/>
      </w:pPr>
      <w:r>
        <w:rPr>
          <w:rFonts w:hint="eastAsia"/>
        </w:rPr>
        <w:t>1、递交投标文件时间：</w:t>
      </w:r>
      <w:r>
        <w:rPr>
          <w:rFonts w:hint="eastAsia"/>
          <w:highlight w:val="yellow"/>
        </w:rPr>
        <w:t>202</w:t>
      </w:r>
      <w:r>
        <w:rPr>
          <w:rFonts w:hint="eastAsia"/>
          <w:highlight w:val="yellow"/>
          <w:lang w:val="en-US" w:eastAsia="zh-CN"/>
        </w:rPr>
        <w:t>5</w:t>
      </w:r>
      <w:r>
        <w:rPr>
          <w:rFonts w:hint="eastAsia"/>
          <w:highlight w:val="yellow"/>
        </w:rPr>
        <w:t>年</w:t>
      </w:r>
      <w:r>
        <w:rPr>
          <w:highlight w:val="yellow"/>
        </w:rPr>
        <w:t>0</w:t>
      </w:r>
      <w:r>
        <w:rPr>
          <w:rFonts w:hint="eastAsia"/>
          <w:highlight w:val="yellow"/>
          <w:lang w:val="en-US" w:eastAsia="zh-CN"/>
        </w:rPr>
        <w:t>3</w:t>
      </w:r>
      <w:r>
        <w:rPr>
          <w:rFonts w:hint="eastAsia"/>
          <w:highlight w:val="yellow"/>
        </w:rPr>
        <w:t>月</w:t>
      </w:r>
      <w:r>
        <w:rPr>
          <w:rFonts w:hint="default"/>
          <w:highlight w:val="yellow"/>
          <w:lang w:val="en-US" w:eastAsia="zh-CN"/>
        </w:rPr>
        <w:t>24</w:t>
      </w:r>
      <w:r>
        <w:rPr>
          <w:rFonts w:hint="eastAsia"/>
          <w:highlight w:val="yellow"/>
        </w:rPr>
        <w:t>日</w:t>
      </w:r>
      <w:r>
        <w:rPr>
          <w:rFonts w:hint="eastAsia"/>
        </w:rPr>
        <w:t>下午1</w:t>
      </w:r>
      <w:r>
        <w:rPr>
          <w:rFonts w:hint="eastAsia"/>
          <w:lang w:val="en-US" w:eastAsia="zh-CN"/>
        </w:rPr>
        <w:t>8</w:t>
      </w:r>
      <w:r>
        <w:rPr>
          <w:rFonts w:hint="eastAsia"/>
        </w:rPr>
        <w:t>：</w:t>
      </w:r>
      <w:r>
        <w:t>0</w:t>
      </w:r>
      <w:r>
        <w:rPr>
          <w:rFonts w:hint="eastAsia"/>
        </w:rPr>
        <w:t>0前（可快递，以签收时间为准）。</w:t>
      </w:r>
    </w:p>
    <w:p w14:paraId="62D90C12">
      <w:pPr>
        <w:spacing w:line="360" w:lineRule="auto"/>
        <w:ind w:firstLine="420" w:firstLineChars="200"/>
      </w:pPr>
      <w:r>
        <w:t>2</w:t>
      </w:r>
      <w:r>
        <w:rPr>
          <w:rFonts w:hint="eastAsia"/>
        </w:rPr>
        <w:t>、递交投标文件地点：深圳市宝安区海秀路3号（深圳市宝安区疾病预防控制中心）</w:t>
      </w:r>
      <w:r>
        <w:rPr>
          <w:rFonts w:hint="eastAsia"/>
          <w:lang w:val="en-US" w:eastAsia="zh-CN"/>
        </w:rPr>
        <w:t>525，</w:t>
      </w:r>
      <w:r>
        <w:rPr>
          <w:rFonts w:hint="eastAsia"/>
        </w:rPr>
        <w:t>如无法进入大楼可放置保安室。</w:t>
      </w:r>
    </w:p>
    <w:p w14:paraId="3BB0EC6D">
      <w:pPr>
        <w:pStyle w:val="4"/>
        <w:ind w:firstLine="482"/>
      </w:pPr>
      <w:r>
        <w:rPr>
          <w:rFonts w:hint="eastAsia"/>
        </w:rPr>
        <w:t>七、采购公告查询：</w:t>
      </w:r>
    </w:p>
    <w:p w14:paraId="0D6ADBEE">
      <w:pPr>
        <w:spacing w:line="360" w:lineRule="auto"/>
        <w:ind w:firstLine="420" w:firstLineChars="200"/>
      </w:pPr>
      <w:r>
        <w:rPr>
          <w:rFonts w:hint="eastAsia"/>
        </w:rPr>
        <w:t>https://www.bawjxt.net/baqjbyfkzzx/(深圳市宝安区疾病预防控制中心官网)</w:t>
      </w:r>
    </w:p>
    <w:p w14:paraId="5783F421">
      <w:pPr>
        <w:spacing w:line="360" w:lineRule="auto"/>
        <w:ind w:firstLine="420" w:firstLineChars="200"/>
      </w:pPr>
    </w:p>
    <w:p w14:paraId="7C397871">
      <w:pPr>
        <w:spacing w:line="360" w:lineRule="auto"/>
        <w:ind w:firstLine="420" w:firstLineChars="200"/>
      </w:pPr>
    </w:p>
    <w:p w14:paraId="4FBE17F7">
      <w:pPr>
        <w:spacing w:line="360" w:lineRule="auto"/>
        <w:ind w:firstLine="5460" w:firstLineChars="2600"/>
        <w:rPr>
          <w:rFonts w:hint="eastAsia"/>
        </w:rPr>
      </w:pPr>
      <w:r>
        <w:rPr>
          <w:rFonts w:hint="eastAsia"/>
        </w:rPr>
        <w:t>深圳市宝安区疾病预防控制中心</w:t>
      </w:r>
    </w:p>
    <w:p w14:paraId="43CE7AD1">
      <w:pPr>
        <w:spacing w:line="360" w:lineRule="auto"/>
        <w:ind w:firstLine="5460" w:firstLineChars="2600"/>
        <w:rPr>
          <w:rFonts w:hint="eastAsia" w:eastAsiaTheme="minorEastAsia"/>
          <w:lang w:eastAsia="zh-CN"/>
        </w:rPr>
      </w:pPr>
      <w:r>
        <w:rPr>
          <w:rFonts w:hint="eastAsia"/>
          <w:lang w:eastAsia="zh-CN"/>
        </w:rPr>
        <w:t>（</w:t>
      </w:r>
      <w:r>
        <w:rPr>
          <w:rFonts w:hint="eastAsia"/>
          <w:lang w:val="en-US" w:eastAsia="zh-CN"/>
        </w:rPr>
        <w:t>深圳市宝安区卫生监督所</w:t>
      </w:r>
      <w:r>
        <w:rPr>
          <w:rFonts w:hint="eastAsia"/>
          <w:lang w:eastAsia="zh-CN"/>
        </w:rPr>
        <w:t>）</w:t>
      </w:r>
    </w:p>
    <w:p w14:paraId="634A6FD4">
      <w:pPr>
        <w:spacing w:line="360" w:lineRule="auto"/>
        <w:ind w:firstLine="5880" w:firstLineChars="2800"/>
      </w:pPr>
      <w:r>
        <w:rPr>
          <w:rFonts w:hint="eastAsia"/>
        </w:rPr>
        <w:t>2</w:t>
      </w:r>
      <w:r>
        <w:t>02</w:t>
      </w:r>
      <w:r>
        <w:rPr>
          <w:rFonts w:hint="default"/>
          <w:lang w:val="en-US"/>
        </w:rPr>
        <w:t>5</w:t>
      </w:r>
      <w:r>
        <w:rPr>
          <w:rFonts w:hint="eastAsia"/>
        </w:rPr>
        <w:t>年</w:t>
      </w:r>
      <w:r>
        <w:t>0</w:t>
      </w:r>
      <w:r>
        <w:rPr>
          <w:rFonts w:hint="default"/>
          <w:lang w:val="en-US"/>
        </w:rPr>
        <w:t>3</w:t>
      </w:r>
      <w:r>
        <w:rPr>
          <w:rFonts w:hint="eastAsia"/>
        </w:rPr>
        <w:t>月</w:t>
      </w:r>
      <w:r>
        <w:rPr>
          <w:rFonts w:hint="default"/>
          <w:lang w:val="en-US"/>
        </w:rPr>
        <w:t>1</w:t>
      </w:r>
      <w:r>
        <w:rPr>
          <w:rFonts w:hint="eastAsia"/>
          <w:lang w:val="en-US" w:eastAsia="zh-CN"/>
        </w:rPr>
        <w:t>7</w:t>
      </w:r>
      <w:r>
        <w:rPr>
          <w:rFonts w:hint="eastAsia"/>
        </w:rPr>
        <w:t>日</w:t>
      </w:r>
    </w:p>
    <w:p w14:paraId="39B0F1EE">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543E101A">
      <w:pPr>
        <w:pStyle w:val="2"/>
      </w:pPr>
      <w:bookmarkStart w:id="7" w:name="_Toc69596219"/>
      <w:bookmarkStart w:id="8" w:name="_Toc61539109"/>
      <w:r>
        <w:rPr>
          <w:rFonts w:hint="eastAsia"/>
        </w:rPr>
        <w:t>第二章  用户需求书</w:t>
      </w:r>
      <w:bookmarkEnd w:id="7"/>
      <w:bookmarkEnd w:id="8"/>
    </w:p>
    <w:p w14:paraId="6BFC8AB6">
      <w:pPr>
        <w:pStyle w:val="4"/>
        <w:ind w:firstLine="482"/>
      </w:pPr>
      <w:r>
        <w:rPr>
          <w:rFonts w:hint="eastAsia"/>
        </w:rPr>
        <w:t>一、服务范围</w:t>
      </w:r>
    </w:p>
    <w:tbl>
      <w:tblPr>
        <w:tblStyle w:val="13"/>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701"/>
        <w:gridCol w:w="3481"/>
        <w:gridCol w:w="2127"/>
      </w:tblGrid>
      <w:tr w14:paraId="7EF2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3" w:type="dxa"/>
            <w:vAlign w:val="center"/>
          </w:tcPr>
          <w:p w14:paraId="52625D14">
            <w:pPr>
              <w:spacing w:line="276"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序号</w:t>
            </w:r>
          </w:p>
        </w:tc>
        <w:tc>
          <w:tcPr>
            <w:tcW w:w="1701" w:type="dxa"/>
            <w:vAlign w:val="center"/>
          </w:tcPr>
          <w:p w14:paraId="2299B6F0">
            <w:pPr>
              <w:spacing w:line="276"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系统名称</w:t>
            </w:r>
          </w:p>
        </w:tc>
        <w:tc>
          <w:tcPr>
            <w:tcW w:w="3481" w:type="dxa"/>
            <w:vAlign w:val="center"/>
          </w:tcPr>
          <w:p w14:paraId="7E0BD386">
            <w:pPr>
              <w:spacing w:line="276"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模块</w:t>
            </w:r>
          </w:p>
        </w:tc>
        <w:tc>
          <w:tcPr>
            <w:tcW w:w="2127" w:type="dxa"/>
            <w:vAlign w:val="center"/>
          </w:tcPr>
          <w:p w14:paraId="26BEC0AE">
            <w:pPr>
              <w:spacing w:line="276" w:lineRule="auto"/>
              <w:ind w:firstLine="525" w:firstLineChars="250"/>
              <w:rPr>
                <w:rFonts w:asciiTheme="minorEastAsia" w:hAnsiTheme="minorEastAsia" w:cstheme="minorEastAsia"/>
                <w:color w:val="000000"/>
                <w:szCs w:val="21"/>
              </w:rPr>
            </w:pPr>
            <w:r>
              <w:rPr>
                <w:rFonts w:hint="eastAsia" w:asciiTheme="minorEastAsia" w:hAnsiTheme="minorEastAsia" w:cstheme="minorEastAsia"/>
                <w:color w:val="000000"/>
                <w:szCs w:val="21"/>
              </w:rPr>
              <w:t>开发厂商</w:t>
            </w:r>
          </w:p>
        </w:tc>
      </w:tr>
      <w:tr w14:paraId="35B3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3" w:type="dxa"/>
            <w:vAlign w:val="center"/>
          </w:tcPr>
          <w:p w14:paraId="3B874431">
            <w:pPr>
              <w:spacing w:line="276"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1</w:t>
            </w:r>
          </w:p>
        </w:tc>
        <w:tc>
          <w:tcPr>
            <w:tcW w:w="1701" w:type="dxa"/>
            <w:vAlign w:val="center"/>
          </w:tcPr>
          <w:p w14:paraId="4F4FEE08">
            <w:pPr>
              <w:spacing w:line="276"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业务协作系统</w:t>
            </w:r>
          </w:p>
        </w:tc>
        <w:tc>
          <w:tcPr>
            <w:tcW w:w="3481" w:type="dxa"/>
            <w:vAlign w:val="center"/>
          </w:tcPr>
          <w:p w14:paraId="486B87C4">
            <w:pPr>
              <w:spacing w:line="276"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流程中心、业务中心、文化中心、个人中心、知识中心</w:t>
            </w:r>
          </w:p>
        </w:tc>
        <w:tc>
          <w:tcPr>
            <w:tcW w:w="2127" w:type="dxa"/>
            <w:vAlign w:val="center"/>
          </w:tcPr>
          <w:p w14:paraId="60444264">
            <w:pPr>
              <w:spacing w:line="276" w:lineRule="auto"/>
              <w:jc w:val="center"/>
              <w:rPr>
                <w:rFonts w:asciiTheme="minorEastAsia" w:hAnsiTheme="minorEastAsia" w:cstheme="minorEastAsia"/>
                <w:color w:val="000000"/>
                <w:szCs w:val="21"/>
              </w:rPr>
            </w:pPr>
          </w:p>
        </w:tc>
      </w:tr>
      <w:tr w14:paraId="13B51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3" w:type="dxa"/>
            <w:vAlign w:val="center"/>
          </w:tcPr>
          <w:p w14:paraId="52D1FEEA">
            <w:pPr>
              <w:spacing w:line="276"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2</w:t>
            </w:r>
          </w:p>
        </w:tc>
        <w:tc>
          <w:tcPr>
            <w:tcW w:w="1701" w:type="dxa"/>
            <w:vAlign w:val="center"/>
          </w:tcPr>
          <w:p w14:paraId="5D2D435A">
            <w:pPr>
              <w:spacing w:line="276"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移动办公APP</w:t>
            </w:r>
          </w:p>
        </w:tc>
        <w:tc>
          <w:tcPr>
            <w:tcW w:w="3481" w:type="dxa"/>
            <w:vAlign w:val="center"/>
          </w:tcPr>
          <w:p w14:paraId="2C7DC690">
            <w:pPr>
              <w:spacing w:line="276"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移动审批、移动查看</w:t>
            </w:r>
          </w:p>
        </w:tc>
        <w:tc>
          <w:tcPr>
            <w:tcW w:w="2127" w:type="dxa"/>
            <w:vAlign w:val="center"/>
          </w:tcPr>
          <w:p w14:paraId="7037473E">
            <w:pPr>
              <w:spacing w:line="276" w:lineRule="auto"/>
              <w:jc w:val="center"/>
              <w:rPr>
                <w:rFonts w:asciiTheme="minorEastAsia" w:hAnsiTheme="minorEastAsia" w:cstheme="minorEastAsia"/>
                <w:color w:val="000000"/>
                <w:szCs w:val="21"/>
              </w:rPr>
            </w:pPr>
          </w:p>
        </w:tc>
      </w:tr>
      <w:tr w14:paraId="7364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3" w:type="dxa"/>
            <w:vAlign w:val="center"/>
          </w:tcPr>
          <w:p w14:paraId="25B04B14">
            <w:pPr>
              <w:spacing w:line="276"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3</w:t>
            </w:r>
          </w:p>
        </w:tc>
        <w:tc>
          <w:tcPr>
            <w:tcW w:w="1701" w:type="dxa"/>
            <w:vAlign w:val="center"/>
          </w:tcPr>
          <w:p w14:paraId="773CF7A8">
            <w:pPr>
              <w:spacing w:line="276"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财务预算系统</w:t>
            </w:r>
          </w:p>
        </w:tc>
        <w:tc>
          <w:tcPr>
            <w:tcW w:w="3481" w:type="dxa"/>
            <w:vAlign w:val="center"/>
          </w:tcPr>
          <w:p w14:paraId="78F5ED7A">
            <w:pPr>
              <w:spacing w:line="276" w:lineRule="auto"/>
              <w:jc w:val="center"/>
              <w:rPr>
                <w:rFonts w:asciiTheme="minorEastAsia" w:hAnsiTheme="minorEastAsia" w:cstheme="minorEastAsia"/>
                <w:color w:val="000000"/>
                <w:szCs w:val="21"/>
              </w:rPr>
            </w:pPr>
            <w:r>
              <w:rPr>
                <w:rFonts w:hint="eastAsia" w:asciiTheme="minorEastAsia" w:hAnsiTheme="minorEastAsia" w:cstheme="minorEastAsia"/>
                <w:color w:val="000000"/>
                <w:szCs w:val="21"/>
              </w:rPr>
              <w:t>预算编制、预算执行、预算管控</w:t>
            </w:r>
          </w:p>
        </w:tc>
        <w:tc>
          <w:tcPr>
            <w:tcW w:w="2127" w:type="dxa"/>
            <w:vAlign w:val="center"/>
          </w:tcPr>
          <w:p w14:paraId="0DA44E7F">
            <w:pPr>
              <w:spacing w:line="276" w:lineRule="auto"/>
              <w:jc w:val="center"/>
              <w:rPr>
                <w:rFonts w:asciiTheme="minorEastAsia" w:hAnsiTheme="minorEastAsia" w:cstheme="minorEastAsia"/>
                <w:color w:val="000000"/>
                <w:szCs w:val="21"/>
              </w:rPr>
            </w:pPr>
          </w:p>
        </w:tc>
      </w:tr>
      <w:tr w14:paraId="787A5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3" w:type="dxa"/>
            <w:vAlign w:val="center"/>
          </w:tcPr>
          <w:p w14:paraId="6D0BB515">
            <w:pPr>
              <w:spacing w:line="276"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val="en-US" w:eastAsia="zh-CN"/>
              </w:rPr>
              <w:t>4</w:t>
            </w:r>
          </w:p>
        </w:tc>
        <w:tc>
          <w:tcPr>
            <w:tcW w:w="1701" w:type="dxa"/>
            <w:vAlign w:val="center"/>
          </w:tcPr>
          <w:p w14:paraId="752ED5F8">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人事管理</w:t>
            </w:r>
          </w:p>
        </w:tc>
        <w:tc>
          <w:tcPr>
            <w:tcW w:w="3481" w:type="dxa"/>
            <w:vAlign w:val="center"/>
          </w:tcPr>
          <w:p w14:paraId="20D3884D">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人事档案管理、工资条管理</w:t>
            </w:r>
          </w:p>
        </w:tc>
        <w:tc>
          <w:tcPr>
            <w:tcW w:w="2127" w:type="dxa"/>
            <w:vAlign w:val="center"/>
          </w:tcPr>
          <w:p w14:paraId="6E20B987">
            <w:pPr>
              <w:spacing w:line="276" w:lineRule="auto"/>
              <w:jc w:val="center"/>
              <w:rPr>
                <w:rFonts w:asciiTheme="minorEastAsia" w:hAnsiTheme="minorEastAsia" w:cstheme="minorEastAsia"/>
                <w:szCs w:val="21"/>
              </w:rPr>
            </w:pPr>
          </w:p>
        </w:tc>
      </w:tr>
      <w:tr w14:paraId="7676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3" w:type="dxa"/>
            <w:vAlign w:val="center"/>
          </w:tcPr>
          <w:p w14:paraId="09203605">
            <w:pPr>
              <w:spacing w:line="276" w:lineRule="auto"/>
              <w:jc w:val="center"/>
              <w:rPr>
                <w:rFonts w:hint="eastAsia" w:asciiTheme="minorEastAsia" w:hAnsiTheme="minorEastAsia" w:eastAsiaTheme="minorEastAsia" w:cstheme="minorEastAsia"/>
                <w:szCs w:val="21"/>
                <w:lang w:eastAsia="zh-CN"/>
              </w:rPr>
            </w:pPr>
            <w:r>
              <w:rPr>
                <w:rFonts w:hint="eastAsia" w:asciiTheme="minorEastAsia" w:hAnsiTheme="minorEastAsia" w:cstheme="minorEastAsia"/>
                <w:szCs w:val="21"/>
                <w:lang w:val="en-US" w:eastAsia="zh-CN"/>
              </w:rPr>
              <w:t>5</w:t>
            </w:r>
          </w:p>
        </w:tc>
        <w:tc>
          <w:tcPr>
            <w:tcW w:w="1701" w:type="dxa"/>
            <w:vAlign w:val="center"/>
          </w:tcPr>
          <w:p w14:paraId="33C50501">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固定资产</w:t>
            </w:r>
          </w:p>
        </w:tc>
        <w:tc>
          <w:tcPr>
            <w:tcW w:w="3481" w:type="dxa"/>
            <w:vAlign w:val="center"/>
          </w:tcPr>
          <w:p w14:paraId="285DD121">
            <w:pPr>
              <w:spacing w:line="276" w:lineRule="auto"/>
              <w:jc w:val="center"/>
              <w:rPr>
                <w:rFonts w:asciiTheme="minorEastAsia" w:hAnsiTheme="minorEastAsia" w:cstheme="minorEastAsia"/>
                <w:szCs w:val="21"/>
              </w:rPr>
            </w:pPr>
            <w:r>
              <w:rPr>
                <w:rFonts w:hint="eastAsia" w:asciiTheme="minorEastAsia" w:hAnsiTheme="minorEastAsia" w:cstheme="minorEastAsia"/>
                <w:szCs w:val="21"/>
              </w:rPr>
              <w:t>固定资产登记、调剂、报废</w:t>
            </w:r>
          </w:p>
        </w:tc>
        <w:tc>
          <w:tcPr>
            <w:tcW w:w="2127" w:type="dxa"/>
            <w:vAlign w:val="center"/>
          </w:tcPr>
          <w:p w14:paraId="322CA9B1">
            <w:pPr>
              <w:spacing w:line="276" w:lineRule="auto"/>
              <w:jc w:val="center"/>
              <w:rPr>
                <w:rFonts w:asciiTheme="minorEastAsia" w:hAnsiTheme="minorEastAsia" w:cstheme="minorEastAsia"/>
                <w:szCs w:val="21"/>
              </w:rPr>
            </w:pPr>
          </w:p>
        </w:tc>
      </w:tr>
    </w:tbl>
    <w:p w14:paraId="4602A16A">
      <w:pPr>
        <w:pStyle w:val="4"/>
        <w:ind w:firstLine="482"/>
        <w:rPr>
          <w:color w:val="000000" w:themeColor="text1"/>
          <w14:textFill>
            <w14:solidFill>
              <w14:schemeClr w14:val="tx1"/>
            </w14:solidFill>
          </w14:textFill>
        </w:rPr>
      </w:pPr>
      <w:r>
        <w:rPr>
          <w:rFonts w:hint="eastAsia"/>
          <w:color w:val="000000" w:themeColor="text1"/>
          <w14:textFill>
            <w14:solidFill>
              <w14:schemeClr w14:val="tx1"/>
            </w14:solidFill>
          </w14:textFill>
        </w:rPr>
        <w:t>二、服务</w:t>
      </w:r>
      <w:r>
        <w:rPr>
          <w:color w:val="000000" w:themeColor="text1"/>
          <w14:textFill>
            <w14:solidFill>
              <w14:schemeClr w14:val="tx1"/>
            </w14:solidFill>
          </w14:textFill>
        </w:rPr>
        <w:t>要求</w:t>
      </w:r>
    </w:p>
    <w:p w14:paraId="6DF72EDB">
      <w:pPr>
        <w:spacing w:line="360" w:lineRule="auto"/>
        <w:ind w:firstLine="482" w:firstLineChars="200"/>
        <w:rPr>
          <w:rFonts w:ascii="宋体" w:hAnsi="宋体" w:eastAsia="宋体"/>
          <w:bCs/>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1</w:t>
      </w:r>
      <w:r>
        <w:rPr>
          <w:rFonts w:hint="eastAsia" w:ascii="宋体" w:hAnsi="宋体" w:eastAsia="宋体"/>
          <w:b/>
          <w:color w:val="000000" w:themeColor="text1"/>
          <w:sz w:val="24"/>
          <w:szCs w:val="24"/>
          <w14:textFill>
            <w14:solidFill>
              <w14:schemeClr w14:val="tx1"/>
            </w14:solidFill>
          </w14:textFill>
        </w:rPr>
        <w:t>、服务期限：</w:t>
      </w:r>
      <w:r>
        <w:rPr>
          <w:rFonts w:hint="eastAsia" w:ascii="宋体" w:hAnsi="宋体" w:eastAsia="宋体"/>
          <w:bCs/>
          <w:color w:val="000000" w:themeColor="text1"/>
          <w:sz w:val="24"/>
          <w:szCs w:val="24"/>
          <w14:textFill>
            <w14:solidFill>
              <w14:schemeClr w14:val="tx1"/>
            </w14:solidFill>
          </w14:textFill>
        </w:rPr>
        <w:t>本项目合同期一年，本次项目合同期满后，采购单位可依据对中标供应商的考核情况以及《深圳经济特区政府采购条例》第三十八条的规定续签合同,长期服务政府采购合同履行期限最长不得超过三十六个月,特殊情况需要延长的,经主管部门批准可以适当延长,但是延长期限最长不得超过六个月。</w:t>
      </w:r>
    </w:p>
    <w:p w14:paraId="3ECD6F1C">
      <w:pPr>
        <w:spacing w:line="360" w:lineRule="auto"/>
        <w:ind w:firstLine="482" w:firstLineChars="200"/>
        <w:rPr>
          <w:rFonts w:ascii="宋体" w:hAnsi="宋体" w:eastAsia="宋体"/>
          <w:bCs/>
          <w:color w:val="000000" w:themeColor="text1"/>
          <w:sz w:val="24"/>
          <w:szCs w:val="24"/>
          <w14:textFill>
            <w14:solidFill>
              <w14:schemeClr w14:val="tx1"/>
            </w14:solidFill>
          </w14:textFill>
        </w:rPr>
      </w:pPr>
      <w:r>
        <w:rPr>
          <w:rFonts w:ascii="宋体" w:hAnsi="宋体" w:eastAsia="宋体"/>
          <w:b/>
          <w:bCs/>
          <w:color w:val="000000" w:themeColor="text1"/>
          <w:sz w:val="24"/>
          <w:szCs w:val="24"/>
          <w14:textFill>
            <w14:solidFill>
              <w14:schemeClr w14:val="tx1"/>
            </w14:solidFill>
          </w14:textFill>
        </w:rPr>
        <w:t>2</w:t>
      </w:r>
      <w:r>
        <w:rPr>
          <w:rFonts w:hint="eastAsia" w:ascii="宋体" w:hAnsi="宋体" w:eastAsia="宋体"/>
          <w:b/>
          <w:bCs/>
          <w:color w:val="000000" w:themeColor="text1"/>
          <w:sz w:val="24"/>
          <w:szCs w:val="24"/>
          <w14:textFill>
            <w14:solidFill>
              <w14:schemeClr w14:val="tx1"/>
            </w14:solidFill>
          </w14:textFill>
        </w:rPr>
        <w:t>、服务地点</w:t>
      </w:r>
      <w:r>
        <w:rPr>
          <w:rFonts w:hint="eastAsia" w:ascii="宋体" w:hAnsi="宋体" w:eastAsia="宋体"/>
          <w:bCs/>
          <w:color w:val="000000" w:themeColor="text1"/>
          <w:sz w:val="24"/>
          <w:szCs w:val="24"/>
          <w14:textFill>
            <w14:solidFill>
              <w14:schemeClr w14:val="tx1"/>
            </w14:solidFill>
          </w14:textFill>
        </w:rPr>
        <w:t>：行政区域为深圳市的采购单位指定地点。</w:t>
      </w:r>
    </w:p>
    <w:p w14:paraId="6A2C6035">
      <w:pPr>
        <w:spacing w:line="360" w:lineRule="auto"/>
        <w:ind w:firstLine="482" w:firstLineChars="200"/>
        <w:rPr>
          <w:rFonts w:ascii="宋体" w:hAnsi="宋体" w:eastAsia="宋体"/>
          <w:b/>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3</w:t>
      </w:r>
      <w:r>
        <w:rPr>
          <w:rFonts w:hint="eastAsia" w:ascii="宋体" w:hAnsi="宋体" w:eastAsia="宋体"/>
          <w:b/>
          <w:color w:val="000000" w:themeColor="text1"/>
          <w:sz w:val="24"/>
          <w:szCs w:val="24"/>
          <w14:textFill>
            <w14:solidFill>
              <w14:schemeClr w14:val="tx1"/>
            </w14:solidFill>
          </w14:textFill>
        </w:rPr>
        <w:t>、系统维护服务要求：</w:t>
      </w:r>
    </w:p>
    <w:p w14:paraId="4373C5B1">
      <w:pPr>
        <w:spacing w:line="360" w:lineRule="auto"/>
        <w:ind w:firstLine="482"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常规维护服务</w:t>
      </w:r>
    </w:p>
    <w:p w14:paraId="4B73FB7B">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1）协同办公管理系统的网页版、移动版；</w:t>
      </w:r>
    </w:p>
    <w:p w14:paraId="3B8371E7">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2）系统日常错误、产品BUG维护工作；</w:t>
      </w:r>
    </w:p>
    <w:p w14:paraId="3CB58B0D">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3）系统的技术环境匹配维护工作；</w:t>
      </w:r>
    </w:p>
    <w:p w14:paraId="1BA44D4A">
      <w:pPr>
        <w:spacing w:line="360" w:lineRule="auto"/>
        <w:ind w:firstLine="480" w:firstLineChars="200"/>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4）数据错误调整更改维护工作；</w:t>
      </w:r>
    </w:p>
    <w:p w14:paraId="771B2DFA">
      <w:pPr>
        <w:spacing w:line="360" w:lineRule="auto"/>
        <w:ind w:firstLine="480" w:firstLineChars="200"/>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5）单位日常业务整改、调整服务</w:t>
      </w:r>
      <w:r>
        <w:rPr>
          <w:rFonts w:hint="eastAsia" w:ascii="宋体" w:hAnsi="宋体" w:eastAsia="宋体"/>
          <w:color w:val="000000" w:themeColor="text1"/>
          <w:sz w:val="24"/>
          <w:szCs w:val="24"/>
          <w14:textFill>
            <w14:solidFill>
              <w14:schemeClr w14:val="tx1"/>
            </w14:solidFill>
          </w14:textFill>
        </w:rPr>
        <w:t>；</w:t>
      </w:r>
    </w:p>
    <w:p w14:paraId="771FC63D">
      <w:pPr>
        <w:spacing w:line="360" w:lineRule="auto"/>
        <w:ind w:firstLine="480" w:firstLineChars="200"/>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6）单位业务单据增加、修改，流程调整、增加等服务</w:t>
      </w:r>
      <w:r>
        <w:rPr>
          <w:rFonts w:hint="eastAsia" w:ascii="宋体" w:hAnsi="宋体" w:eastAsia="宋体"/>
          <w:color w:val="000000" w:themeColor="text1"/>
          <w:sz w:val="24"/>
          <w:szCs w:val="24"/>
          <w14:textFill>
            <w14:solidFill>
              <w14:schemeClr w14:val="tx1"/>
            </w14:solidFill>
          </w14:textFill>
        </w:rPr>
        <w:t>；</w:t>
      </w:r>
    </w:p>
    <w:p w14:paraId="7FE37201">
      <w:pPr>
        <w:spacing w:line="360" w:lineRule="auto"/>
        <w:ind w:firstLine="480" w:firstLineChars="200"/>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7）实施业务增加、模块功能增加调整服务</w:t>
      </w:r>
      <w:r>
        <w:rPr>
          <w:rFonts w:hint="eastAsia" w:ascii="宋体" w:hAnsi="宋体" w:eastAsia="宋体"/>
          <w:color w:val="000000" w:themeColor="text1"/>
          <w:sz w:val="24"/>
          <w:szCs w:val="24"/>
          <w14:textFill>
            <w14:solidFill>
              <w14:schemeClr w14:val="tx1"/>
            </w14:solidFill>
          </w14:textFill>
        </w:rPr>
        <w:t>；</w:t>
      </w:r>
    </w:p>
    <w:p w14:paraId="0B6A8FC0">
      <w:pPr>
        <w:spacing w:line="360" w:lineRule="auto"/>
        <w:ind w:firstLine="480" w:firstLineChars="200"/>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8）数据准确性及完整性服务</w:t>
      </w:r>
      <w:r>
        <w:rPr>
          <w:rFonts w:hint="eastAsia" w:ascii="宋体" w:hAnsi="宋体" w:eastAsia="宋体"/>
          <w:color w:val="000000" w:themeColor="text1"/>
          <w:sz w:val="24"/>
          <w:szCs w:val="24"/>
          <w14:textFill>
            <w14:solidFill>
              <w14:schemeClr w14:val="tx1"/>
            </w14:solidFill>
          </w14:textFill>
        </w:rPr>
        <w:t>；</w:t>
      </w:r>
    </w:p>
    <w:p w14:paraId="6D339F64">
      <w:pPr>
        <w:spacing w:line="360" w:lineRule="auto"/>
        <w:ind w:firstLine="480" w:firstLineChars="200"/>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9）对系统作安全自查以及对检查发现的问题做安全修复；</w:t>
      </w:r>
    </w:p>
    <w:p w14:paraId="3365AAB7">
      <w:pPr>
        <w:spacing w:line="360" w:lineRule="auto"/>
        <w:ind w:firstLine="480" w:firstLineChars="200"/>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10）协助单位完成维护系统环境的技术安全工作</w:t>
      </w:r>
      <w:r>
        <w:rPr>
          <w:rFonts w:hint="eastAsia" w:ascii="宋体" w:hAnsi="宋体" w:eastAsia="宋体"/>
          <w:color w:val="000000" w:themeColor="text1"/>
          <w:sz w:val="24"/>
          <w:szCs w:val="24"/>
          <w14:textFill>
            <w14:solidFill>
              <w14:schemeClr w14:val="tx1"/>
            </w14:solidFill>
          </w14:textFill>
        </w:rPr>
        <w:t>；</w:t>
      </w:r>
    </w:p>
    <w:p w14:paraId="09FB5109">
      <w:pPr>
        <w:spacing w:line="360" w:lineRule="auto"/>
        <w:ind w:firstLine="480" w:firstLineChars="200"/>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11）协助单位完成信息安全等保工作的技术漏洞维护、等保年度审计、年度安全演练相关工作</w:t>
      </w:r>
      <w:r>
        <w:rPr>
          <w:rFonts w:hint="eastAsia" w:ascii="宋体" w:hAnsi="宋体" w:eastAsia="宋体"/>
          <w:color w:val="000000" w:themeColor="text1"/>
          <w:sz w:val="24"/>
          <w:szCs w:val="24"/>
          <w14:textFill>
            <w14:solidFill>
              <w14:schemeClr w14:val="tx1"/>
            </w14:solidFill>
          </w14:textFill>
        </w:rPr>
        <w:t>；</w:t>
      </w:r>
    </w:p>
    <w:p w14:paraId="0935C203">
      <w:pPr>
        <w:spacing w:line="360" w:lineRule="auto"/>
        <w:ind w:firstLine="482"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专人协助单位项目实施维护</w:t>
      </w:r>
    </w:p>
    <w:p w14:paraId="6E60B46B">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1）单位日常业务整改、调整服务；</w:t>
      </w:r>
    </w:p>
    <w:p w14:paraId="0EF66A14">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2）单位业务单据增加、修改，流程调整、增加等服务；</w:t>
      </w:r>
    </w:p>
    <w:p w14:paraId="1E5048D3">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3）实施业务增加、模块功能增加调整服务；</w:t>
      </w:r>
    </w:p>
    <w:p w14:paraId="09068C0A">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4）数据准确性及完整性服务；</w:t>
      </w:r>
    </w:p>
    <w:p w14:paraId="5B3716C0">
      <w:pPr>
        <w:spacing w:line="360" w:lineRule="auto"/>
        <w:ind w:firstLine="482"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安全管理服务</w:t>
      </w:r>
    </w:p>
    <w:p w14:paraId="6B70A9A6">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1）对系统作安全自查以及对检查发现的问题做安全修复；</w:t>
      </w:r>
    </w:p>
    <w:p w14:paraId="5C2946B4">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2）协助单位完成维护系统环境的技术安全工作；</w:t>
      </w:r>
    </w:p>
    <w:p w14:paraId="368A5BE8">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3）协助单位完成信息安全等保工作的技术漏洞维护、等保年度审计、年度安全演练相关工作；</w:t>
      </w:r>
    </w:p>
    <w:p w14:paraId="74F49810">
      <w:pPr>
        <w:spacing w:line="360" w:lineRule="auto"/>
        <w:ind w:firstLine="482" w:firstLineChars="200"/>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产品迭代升级工作</w:t>
      </w:r>
    </w:p>
    <w:p w14:paraId="667A9446">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根据甲方的工作人员对系统提出的迭代功能升级需求，按照公司的产品升级迭代的标准给予升级迭代，一些个性需求给予开发实现。</w:t>
      </w:r>
    </w:p>
    <w:p w14:paraId="07972204">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4</w:t>
      </w:r>
      <w:r>
        <w:rPr>
          <w:rFonts w:hint="eastAsia" w:ascii="宋体" w:hAnsi="宋体" w:eastAsia="宋体"/>
          <w:b/>
          <w:color w:val="000000" w:themeColor="text1"/>
          <w:sz w:val="24"/>
          <w:szCs w:val="24"/>
          <w14:textFill>
            <w14:solidFill>
              <w14:schemeClr w14:val="tx1"/>
            </w14:solidFill>
          </w14:textFill>
        </w:rPr>
        <w:t>、</w:t>
      </w:r>
      <w:r>
        <w:rPr>
          <w:rFonts w:ascii="宋体" w:hAnsi="宋体" w:eastAsia="宋体"/>
          <w:b/>
          <w:color w:val="000000" w:themeColor="text1"/>
          <w:sz w:val="24"/>
          <w:szCs w:val="24"/>
          <w14:textFill>
            <w14:solidFill>
              <w14:schemeClr w14:val="tx1"/>
            </w14:solidFill>
          </w14:textFill>
        </w:rPr>
        <w:t>人员要求</w:t>
      </w:r>
      <w:r>
        <w:rPr>
          <w:rFonts w:hint="eastAsia" w:ascii="宋体" w:hAnsi="宋体" w:eastAsia="宋体"/>
          <w:b/>
          <w:color w:val="000000" w:themeColor="text1"/>
          <w:sz w:val="24"/>
          <w:szCs w:val="24"/>
          <w14:textFill>
            <w14:solidFill>
              <w14:schemeClr w14:val="tx1"/>
            </w14:solidFill>
          </w14:textFill>
        </w:rPr>
        <w:t>：</w:t>
      </w:r>
      <w:r>
        <w:rPr>
          <w:rFonts w:hint="eastAsia" w:ascii="宋体" w:hAnsi="宋体" w:eastAsia="宋体"/>
          <w:bCs/>
          <w:color w:val="000000" w:themeColor="text1"/>
          <w:sz w:val="24"/>
          <w:szCs w:val="24"/>
          <w14:textFill>
            <w14:solidFill>
              <w14:schemeClr w14:val="tx1"/>
            </w14:solidFill>
          </w14:textFill>
        </w:rPr>
        <w:t>具备</w:t>
      </w:r>
      <w:r>
        <w:rPr>
          <w:rFonts w:hint="eastAsia" w:ascii="宋体" w:hAnsi="宋体" w:eastAsia="宋体"/>
          <w:color w:val="000000" w:themeColor="text1"/>
          <w:sz w:val="24"/>
          <w:szCs w:val="24"/>
          <w14:textFill>
            <w14:solidFill>
              <w14:schemeClr w14:val="tx1"/>
            </w14:solidFill>
          </w14:textFill>
        </w:rPr>
        <w:t>2名熟悉系统运维的工程师，3</w:t>
      </w:r>
      <w:r>
        <w:rPr>
          <w:rFonts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14:textFill>
            <w14:solidFill>
              <w14:schemeClr w14:val="tx1"/>
            </w14:solidFill>
          </w14:textFill>
        </w:rPr>
        <w:t>分钟内响应。</w:t>
      </w:r>
      <w:r>
        <w:rPr>
          <w:rFonts w:ascii="宋体" w:hAnsi="宋体" w:eastAsia="宋体"/>
          <w:color w:val="000000" w:themeColor="text1"/>
          <w:sz w:val="24"/>
          <w:szCs w:val="24"/>
          <w14:textFill>
            <w14:solidFill>
              <w14:schemeClr w14:val="tx1"/>
            </w14:solidFill>
          </w14:textFill>
        </w:rPr>
        <w:t xml:space="preserve"> </w:t>
      </w:r>
    </w:p>
    <w:p w14:paraId="4C00AC19">
      <w:pPr>
        <w:spacing w:line="360" w:lineRule="auto"/>
        <w:ind w:firstLine="482" w:firstLineChars="200"/>
        <w:rPr>
          <w:rFonts w:ascii="宋体" w:hAnsi="宋体" w:eastAsia="宋体"/>
          <w:bCs/>
          <w:sz w:val="24"/>
          <w:szCs w:val="24"/>
        </w:rPr>
      </w:pPr>
      <w:r>
        <w:rPr>
          <w:rFonts w:ascii="宋体" w:hAnsi="宋体" w:eastAsia="宋体"/>
          <w:b/>
          <w:sz w:val="24"/>
          <w:szCs w:val="24"/>
        </w:rPr>
        <w:t>5</w:t>
      </w:r>
      <w:r>
        <w:rPr>
          <w:rFonts w:hint="eastAsia" w:ascii="宋体" w:hAnsi="宋体" w:eastAsia="宋体"/>
          <w:b/>
          <w:sz w:val="24"/>
          <w:szCs w:val="24"/>
        </w:rPr>
        <w:t>、设备要求：</w:t>
      </w:r>
      <w:r>
        <w:rPr>
          <w:rFonts w:hint="eastAsia" w:ascii="宋体" w:hAnsi="宋体" w:eastAsia="宋体"/>
          <w:bCs/>
          <w:sz w:val="24"/>
          <w:szCs w:val="24"/>
        </w:rPr>
        <w:t>投标人须具备基础办公设备能力。</w:t>
      </w:r>
    </w:p>
    <w:p w14:paraId="50D72135">
      <w:pPr>
        <w:spacing w:line="360" w:lineRule="auto"/>
        <w:ind w:firstLine="482" w:firstLineChars="200"/>
        <w:rPr>
          <w:rFonts w:ascii="宋体" w:hAnsi="宋体" w:eastAsia="宋体"/>
          <w:b/>
          <w:bCs/>
          <w:sz w:val="24"/>
          <w:szCs w:val="24"/>
        </w:rPr>
      </w:pPr>
      <w:r>
        <w:rPr>
          <w:rFonts w:ascii="宋体" w:hAnsi="宋体" w:eastAsia="宋体"/>
          <w:b/>
          <w:bCs/>
          <w:sz w:val="24"/>
          <w:szCs w:val="24"/>
        </w:rPr>
        <w:t>6</w:t>
      </w:r>
      <w:r>
        <w:rPr>
          <w:rFonts w:hint="eastAsia" w:ascii="宋体" w:hAnsi="宋体" w:eastAsia="宋体"/>
          <w:b/>
          <w:bCs/>
          <w:sz w:val="24"/>
          <w:szCs w:val="24"/>
        </w:rPr>
        <w:t>、付款方式：</w:t>
      </w:r>
      <w:r>
        <w:rPr>
          <w:rFonts w:hint="eastAsia" w:ascii="宋体" w:hAnsi="宋体" w:eastAsia="宋体" w:cs="宋体"/>
          <w:sz w:val="24"/>
          <w:szCs w:val="24"/>
        </w:rPr>
        <w:t>合同签订后支付5</w:t>
      </w:r>
      <w:r>
        <w:rPr>
          <w:rFonts w:ascii="宋体" w:hAnsi="宋体" w:eastAsia="宋体" w:cs="宋体"/>
          <w:sz w:val="24"/>
          <w:szCs w:val="24"/>
        </w:rPr>
        <w:t>0</w:t>
      </w:r>
      <w:r>
        <w:rPr>
          <w:rFonts w:hint="eastAsia" w:ascii="宋体" w:hAnsi="宋体" w:eastAsia="宋体" w:cs="宋体"/>
          <w:sz w:val="24"/>
          <w:szCs w:val="24"/>
        </w:rPr>
        <w:t>%，</w:t>
      </w:r>
      <w:r>
        <w:rPr>
          <w:rFonts w:ascii="宋体" w:hAnsi="宋体" w:eastAsia="宋体" w:cs="宋体"/>
          <w:sz w:val="24"/>
          <w:szCs w:val="24"/>
        </w:rPr>
        <w:t>服务</w:t>
      </w:r>
      <w:r>
        <w:rPr>
          <w:rFonts w:hint="eastAsia" w:ascii="宋体" w:hAnsi="宋体" w:eastAsia="宋体" w:cs="宋体"/>
          <w:sz w:val="24"/>
          <w:szCs w:val="24"/>
        </w:rPr>
        <w:t>完成后支付5</w:t>
      </w:r>
      <w:r>
        <w:rPr>
          <w:rFonts w:ascii="宋体" w:hAnsi="宋体" w:eastAsia="宋体" w:cs="宋体"/>
          <w:sz w:val="24"/>
          <w:szCs w:val="24"/>
        </w:rPr>
        <w:t>0</w:t>
      </w:r>
      <w:r>
        <w:rPr>
          <w:rFonts w:hint="eastAsia" w:ascii="宋体" w:hAnsi="宋体" w:eastAsia="宋体" w:cs="宋体"/>
          <w:sz w:val="24"/>
          <w:szCs w:val="24"/>
        </w:rPr>
        <w:t>%尾款，采购单位在收到中标人提供相应有效发票后1</w:t>
      </w:r>
      <w:r>
        <w:rPr>
          <w:rFonts w:ascii="宋体" w:hAnsi="宋体" w:eastAsia="宋体" w:cs="宋体"/>
          <w:sz w:val="24"/>
          <w:szCs w:val="24"/>
        </w:rPr>
        <w:t>5</w:t>
      </w:r>
      <w:r>
        <w:rPr>
          <w:rFonts w:hint="eastAsia" w:ascii="宋体" w:hAnsi="宋体" w:eastAsia="宋体" w:cs="宋体"/>
          <w:sz w:val="24"/>
          <w:szCs w:val="24"/>
        </w:rPr>
        <w:t>个工作日内支付。</w:t>
      </w:r>
    </w:p>
    <w:p w14:paraId="6821DE32">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ascii="宋体" w:hAnsi="宋体" w:eastAsia="宋体"/>
          <w:b/>
          <w:sz w:val="24"/>
          <w:szCs w:val="24"/>
        </w:rPr>
        <w:t>7</w:t>
      </w:r>
      <w:r>
        <w:rPr>
          <w:rFonts w:hint="eastAsia" w:ascii="宋体" w:hAnsi="宋体" w:eastAsia="宋体"/>
          <w:b/>
          <w:sz w:val="24"/>
          <w:szCs w:val="24"/>
        </w:rPr>
        <w:t>、验收方式</w:t>
      </w:r>
      <w:r>
        <w:rPr>
          <w:rFonts w:ascii="宋体" w:hAnsi="宋体" w:eastAsia="宋体"/>
          <w:b/>
          <w:sz w:val="24"/>
          <w:szCs w:val="24"/>
        </w:rPr>
        <w:t>：</w:t>
      </w:r>
      <w:r>
        <w:rPr>
          <w:rFonts w:hint="eastAsia" w:ascii="宋体" w:hAnsi="宋体" w:eastAsia="宋体"/>
          <w:bCs/>
          <w:sz w:val="24"/>
          <w:szCs w:val="24"/>
        </w:rPr>
        <w:t>按月提供工作内容汇总表，年度服</w:t>
      </w:r>
      <w:r>
        <w:rPr>
          <w:rFonts w:hint="eastAsia" w:ascii="宋体" w:hAnsi="宋体" w:eastAsia="宋体"/>
          <w:bCs/>
          <w:color w:val="000000" w:themeColor="text1"/>
          <w:sz w:val="24"/>
          <w:szCs w:val="24"/>
          <w14:textFill>
            <w14:solidFill>
              <w14:schemeClr w14:val="tx1"/>
            </w14:solidFill>
          </w14:textFill>
        </w:rPr>
        <w:t>务完成后，服务商向采购单位提交年度运行报告，以采购单位签收为准。</w:t>
      </w:r>
    </w:p>
    <w:p w14:paraId="76560C3D">
      <w:pPr>
        <w:spacing w:line="360" w:lineRule="auto"/>
        <w:ind w:firstLine="482" w:firstLineChars="200"/>
        <w:rPr>
          <w:rFonts w:ascii="宋体" w:hAnsi="宋体" w:eastAsia="宋体"/>
          <w:color w:val="000000" w:themeColor="text1"/>
          <w:sz w:val="24"/>
          <w:szCs w:val="24"/>
          <w14:textFill>
            <w14:solidFill>
              <w14:schemeClr w14:val="tx1"/>
            </w14:solidFill>
          </w14:textFill>
        </w:rPr>
      </w:pPr>
      <w:r>
        <w:rPr>
          <w:rFonts w:ascii="宋体" w:hAnsi="宋体" w:eastAsia="宋体"/>
          <w:b/>
          <w:color w:val="000000" w:themeColor="text1"/>
          <w:sz w:val="24"/>
          <w:szCs w:val="24"/>
          <w14:textFill>
            <w14:solidFill>
              <w14:schemeClr w14:val="tx1"/>
            </w14:solidFill>
          </w14:textFill>
        </w:rPr>
        <w:t>8</w:t>
      </w:r>
      <w:r>
        <w:rPr>
          <w:rFonts w:hint="eastAsia" w:ascii="宋体" w:hAnsi="宋体" w:eastAsia="宋体"/>
          <w:b/>
          <w:color w:val="000000" w:themeColor="text1"/>
          <w:sz w:val="24"/>
          <w:szCs w:val="24"/>
          <w14:textFill>
            <w14:solidFill>
              <w14:schemeClr w14:val="tx1"/>
            </w14:solidFill>
          </w14:textFill>
        </w:rPr>
        <w:t>、</w:t>
      </w:r>
      <w:r>
        <w:rPr>
          <w:rFonts w:ascii="宋体" w:hAnsi="宋体" w:eastAsia="宋体"/>
          <w:b/>
          <w:color w:val="000000" w:themeColor="text1"/>
          <w:sz w:val="24"/>
          <w:szCs w:val="24"/>
          <w14:textFill>
            <w14:solidFill>
              <w14:schemeClr w14:val="tx1"/>
            </w14:solidFill>
          </w14:textFill>
        </w:rPr>
        <w:t>违约情况：</w:t>
      </w:r>
      <w:r>
        <w:rPr>
          <w:rFonts w:hint="eastAsia" w:ascii="宋体" w:hAnsi="宋体" w:eastAsia="宋体"/>
          <w:color w:val="000000" w:themeColor="text1"/>
          <w:sz w:val="24"/>
          <w:szCs w:val="24"/>
          <w14:textFill>
            <w14:solidFill>
              <w14:schemeClr w14:val="tx1"/>
            </w14:solidFill>
          </w14:textFill>
        </w:rPr>
        <w:t>中标人未在约定期限内完成项目内容并提交成果的，按照2</w:t>
      </w:r>
      <w:r>
        <w:rPr>
          <w:rFonts w:ascii="宋体" w:hAnsi="宋体" w:eastAsia="宋体"/>
          <w:color w:val="000000" w:themeColor="text1"/>
          <w:sz w:val="24"/>
          <w:szCs w:val="24"/>
          <w14:textFill>
            <w14:solidFill>
              <w14:schemeClr w14:val="tx1"/>
            </w14:solidFill>
          </w14:textFill>
        </w:rPr>
        <w:t>00</w:t>
      </w:r>
      <w:r>
        <w:rPr>
          <w:rFonts w:hint="eastAsia" w:ascii="宋体" w:hAnsi="宋体" w:eastAsia="宋体"/>
          <w:color w:val="000000" w:themeColor="text1"/>
          <w:sz w:val="24"/>
          <w:szCs w:val="24"/>
          <w14:textFill>
            <w14:solidFill>
              <w14:schemeClr w14:val="tx1"/>
            </w14:solidFill>
          </w14:textFill>
        </w:rPr>
        <w:t>元每日的标准向采购人支付违约金。延迟超过3</w:t>
      </w:r>
      <w:r>
        <w:rPr>
          <w:rFonts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14:textFill>
            <w14:solidFill>
              <w14:schemeClr w14:val="tx1"/>
            </w14:solidFill>
          </w14:textFill>
        </w:rPr>
        <w:t>个</w:t>
      </w:r>
      <w:r>
        <w:rPr>
          <w:rFonts w:ascii="宋体" w:hAnsi="宋体" w:eastAsia="宋体"/>
          <w:color w:val="000000" w:themeColor="text1"/>
          <w:sz w:val="24"/>
          <w:szCs w:val="24"/>
          <w14:textFill>
            <w14:solidFill>
              <w14:schemeClr w14:val="tx1"/>
            </w14:solidFill>
          </w14:textFill>
        </w:rPr>
        <w:t>日历</w:t>
      </w:r>
      <w:r>
        <w:rPr>
          <w:rFonts w:hint="eastAsia" w:ascii="宋体" w:hAnsi="宋体" w:eastAsia="宋体"/>
          <w:color w:val="000000" w:themeColor="text1"/>
          <w:sz w:val="24"/>
          <w:szCs w:val="24"/>
          <w14:textFill>
            <w14:solidFill>
              <w14:schemeClr w14:val="tx1"/>
            </w14:solidFill>
          </w14:textFill>
        </w:rPr>
        <w:t>日的，采购人有权解除合同并根据《深圳经济特区政府采购条例》第五十七条第（二）款规定，由主管部门对中标人进行处罚。</w:t>
      </w:r>
    </w:p>
    <w:p w14:paraId="5E206576"/>
    <w:p w14:paraId="1BE14FE3"/>
    <w:p w14:paraId="2DC28026"/>
    <w:p w14:paraId="19BAECA0"/>
    <w:p w14:paraId="33148028">
      <w:pPr>
        <w:spacing w:line="360" w:lineRule="auto"/>
        <w:ind w:firstLine="420" w:firstLineChars="200"/>
        <w:rPr>
          <w:szCs w:val="21"/>
        </w:rPr>
        <w:sectPr>
          <w:pgSz w:w="11906" w:h="16838"/>
          <w:pgMar w:top="1418" w:right="1474" w:bottom="1418" w:left="1474" w:header="851" w:footer="992" w:gutter="0"/>
          <w:cols w:space="425" w:num="1"/>
          <w:docGrid w:type="lines" w:linePitch="312" w:charSpace="0"/>
        </w:sectPr>
      </w:pPr>
    </w:p>
    <w:p w14:paraId="348543B1">
      <w:pPr>
        <w:pStyle w:val="2"/>
      </w:pPr>
      <w:bookmarkStart w:id="9" w:name="_Toc61539110"/>
      <w:bookmarkStart w:id="10" w:name="_Toc61880306"/>
      <w:r>
        <w:rPr>
          <w:rFonts w:hint="eastAsia"/>
        </w:rPr>
        <w:t>第三章  投标人须知</w:t>
      </w:r>
      <w:bookmarkEnd w:id="9"/>
      <w:bookmarkEnd w:id="10"/>
    </w:p>
    <w:p w14:paraId="7782A9E0">
      <w:pPr>
        <w:pStyle w:val="4"/>
        <w:ind w:firstLine="482"/>
      </w:pPr>
      <w:bookmarkStart w:id="11" w:name="_Toc55548492"/>
      <w:r>
        <w:t>一、说明</w:t>
      </w:r>
      <w:bookmarkEnd w:id="11"/>
    </w:p>
    <w:p w14:paraId="6ABBE8A3">
      <w:pPr>
        <w:pStyle w:val="3"/>
        <w:spacing w:line="360" w:lineRule="auto"/>
        <w:ind w:firstLine="482"/>
      </w:pPr>
      <w:bookmarkStart w:id="12" w:name="_Toc18091"/>
      <w:bookmarkStart w:id="13" w:name="_Toc55548493"/>
      <w:r>
        <w:t>招标人及资金来源</w:t>
      </w:r>
      <w:bookmarkEnd w:id="12"/>
      <w:bookmarkEnd w:id="13"/>
    </w:p>
    <w:p w14:paraId="45D8B591">
      <w:pPr>
        <w:spacing w:line="360" w:lineRule="auto"/>
        <w:ind w:firstLine="420" w:firstLineChars="200"/>
        <w:rPr>
          <w:rFonts w:asciiTheme="minorEastAsia" w:hAnsiTheme="minorEastAsia"/>
          <w:szCs w:val="21"/>
        </w:rPr>
      </w:pPr>
      <w:bookmarkStart w:id="14" w:name="_Ref179620507"/>
      <w:r>
        <w:rPr>
          <w:rFonts w:asciiTheme="minorEastAsia" w:hAnsiTheme="minorEastAsia"/>
          <w:szCs w:val="21"/>
        </w:rPr>
        <w:t>招标人已拥有一笔资金/</w:t>
      </w:r>
      <w:r>
        <w:rPr>
          <w:rFonts w:hint="eastAsia" w:asciiTheme="minorEastAsia" w:hAnsiTheme="minorEastAsia"/>
          <w:szCs w:val="21"/>
        </w:rPr>
        <w:t>货</w:t>
      </w:r>
      <w:r>
        <w:rPr>
          <w:rFonts w:asciiTheme="minorEastAsia" w:hAnsiTheme="minorEastAsia"/>
          <w:szCs w:val="21"/>
        </w:rPr>
        <w:t>款。招标人计划将一部分资金/贷款用于支付本次招标后所签订合同项下的款项，资金来源</w:t>
      </w:r>
      <w:r>
        <w:rPr>
          <w:rFonts w:hint="eastAsia" w:asciiTheme="minorEastAsia" w:hAnsiTheme="minorEastAsia"/>
          <w:szCs w:val="21"/>
        </w:rPr>
        <w:t>为：</w:t>
      </w:r>
      <w:r>
        <w:rPr>
          <w:rFonts w:asciiTheme="minorEastAsia" w:hAnsiTheme="minorEastAsia"/>
          <w:szCs w:val="21"/>
        </w:rPr>
        <w:t>财政资金。</w:t>
      </w:r>
      <w:bookmarkEnd w:id="14"/>
    </w:p>
    <w:p w14:paraId="25BA5B49">
      <w:pPr>
        <w:pStyle w:val="3"/>
        <w:spacing w:line="360" w:lineRule="auto"/>
        <w:ind w:firstLine="482"/>
      </w:pPr>
      <w:bookmarkStart w:id="15" w:name="_Toc55548494"/>
      <w:bookmarkStart w:id="16" w:name="_Toc29370"/>
      <w:r>
        <w:t>合格的投标人</w:t>
      </w:r>
      <w:bookmarkEnd w:id="15"/>
      <w:bookmarkEnd w:id="16"/>
    </w:p>
    <w:p w14:paraId="794CD0AA">
      <w:pPr>
        <w:spacing w:line="360" w:lineRule="auto"/>
        <w:ind w:firstLine="420" w:firstLineChars="200"/>
        <w:rPr>
          <w:rFonts w:asciiTheme="minorEastAsia" w:hAnsiTheme="minorEastAsia"/>
          <w:szCs w:val="21"/>
        </w:rPr>
      </w:pPr>
      <w:bookmarkStart w:id="17" w:name="_Ref179620057"/>
      <w:r>
        <w:rPr>
          <w:rFonts w:asciiTheme="minorEastAsia" w:hAnsiTheme="minorEastAsia"/>
          <w:szCs w:val="21"/>
        </w:rPr>
        <w:t>合格的投标人</w:t>
      </w:r>
      <w:bookmarkEnd w:id="17"/>
    </w:p>
    <w:p w14:paraId="12EDFF19">
      <w:pPr>
        <w:spacing w:line="360" w:lineRule="auto"/>
        <w:ind w:firstLine="420" w:firstLineChars="200"/>
        <w:rPr>
          <w:rFonts w:asciiTheme="minorEastAsia" w:hAnsiTheme="minorEastAsia"/>
          <w:szCs w:val="21"/>
        </w:rPr>
      </w:pPr>
      <w:r>
        <w:rPr>
          <w:rFonts w:asciiTheme="minorEastAsia" w:hAnsiTheme="minorEastAsia"/>
          <w:szCs w:val="21"/>
        </w:rPr>
        <w:t>除非下文另有规定，凡是在中华人民共和国境内注册且为人民币流通区域内的供货人均可投标。</w:t>
      </w:r>
    </w:p>
    <w:p w14:paraId="4F6026F1">
      <w:pPr>
        <w:spacing w:line="360" w:lineRule="auto"/>
        <w:ind w:firstLine="420" w:firstLineChars="200"/>
        <w:rPr>
          <w:rFonts w:asciiTheme="minorEastAsia" w:hAnsiTheme="minorEastAsia"/>
          <w:szCs w:val="21"/>
        </w:rPr>
      </w:pPr>
      <w:r>
        <w:rPr>
          <w:rFonts w:asciiTheme="minorEastAsia" w:hAnsiTheme="minorEastAsia"/>
          <w:szCs w:val="21"/>
        </w:rPr>
        <w:t>只有在法律上和财务上独立、合法运作并独立于招标人的供货人才能参加投标。</w:t>
      </w:r>
    </w:p>
    <w:p w14:paraId="36C2C29E">
      <w:pPr>
        <w:spacing w:line="360" w:lineRule="auto"/>
        <w:ind w:firstLine="420" w:firstLineChars="200"/>
        <w:rPr>
          <w:rFonts w:asciiTheme="minorEastAsia" w:hAnsiTheme="minorEastAsia"/>
          <w:szCs w:val="21"/>
        </w:rPr>
      </w:pPr>
      <w:r>
        <w:rPr>
          <w:rFonts w:asciiTheme="minorEastAsia" w:hAnsiTheme="minorEastAsia"/>
          <w:szCs w:val="21"/>
        </w:rPr>
        <w:t>投标人不得直接或间接地与招标人为采购本次招标的货物进行设计、编制规范和其他文件所委托的咨询公司或其附属机构有任何关联。</w:t>
      </w:r>
    </w:p>
    <w:p w14:paraId="68B103C8">
      <w:pPr>
        <w:pStyle w:val="3"/>
        <w:spacing w:line="360" w:lineRule="auto"/>
        <w:ind w:firstLine="482"/>
      </w:pPr>
      <w:bookmarkStart w:id="18" w:name="_Toc55548495"/>
      <w:bookmarkStart w:id="19" w:name="_Toc12412"/>
      <w:r>
        <w:t>合格的货物和服务</w:t>
      </w:r>
      <w:bookmarkEnd w:id="18"/>
      <w:bookmarkEnd w:id="19"/>
    </w:p>
    <w:p w14:paraId="69EB0E6F">
      <w:pPr>
        <w:spacing w:line="360" w:lineRule="auto"/>
        <w:ind w:firstLine="420" w:firstLineChars="200"/>
        <w:rPr>
          <w:rFonts w:asciiTheme="minorEastAsia" w:hAnsiTheme="minorEastAsia"/>
          <w:szCs w:val="21"/>
        </w:rPr>
      </w:pPr>
      <w:r>
        <w:rPr>
          <w:rFonts w:asciiTheme="minorEastAsia" w:hAnsiTheme="minorEastAsia"/>
          <w:szCs w:val="21"/>
        </w:rPr>
        <w:t>必须是全新的货物，如安装或配置了软件的，须为正版软件。</w:t>
      </w:r>
    </w:p>
    <w:p w14:paraId="79959F0C">
      <w:pPr>
        <w:spacing w:line="360" w:lineRule="auto"/>
        <w:ind w:firstLine="420" w:firstLineChars="200"/>
        <w:rPr>
          <w:rFonts w:asciiTheme="minorEastAsia" w:hAnsiTheme="minorEastAsia"/>
          <w:szCs w:val="21"/>
        </w:rPr>
      </w:pPr>
      <w:r>
        <w:rPr>
          <w:rFonts w:asciiTheme="minorEastAsia" w:hAnsiTheme="minorEastAsia"/>
          <w:szCs w:val="21"/>
        </w:rPr>
        <w:t>产品及相关的服务必须符合中华人民共和国的设计和制造生产或行业标准。</w:t>
      </w:r>
    </w:p>
    <w:p w14:paraId="7C0390AF">
      <w:pPr>
        <w:spacing w:line="360" w:lineRule="auto"/>
        <w:ind w:firstLine="420" w:firstLineChars="200"/>
        <w:rPr>
          <w:rFonts w:asciiTheme="minorEastAsia" w:hAnsiTheme="minorEastAsia"/>
          <w:szCs w:val="21"/>
        </w:rPr>
      </w:pPr>
      <w:r>
        <w:rPr>
          <w:rFonts w:asciiTheme="minorEastAsia" w:hAnsiTheme="minorEastAsia"/>
          <w:szCs w:val="21"/>
        </w:rPr>
        <w:t>进口的货物必须是具有合法的进口手续和途径并通过了中华人民共和国商检部门检验。</w:t>
      </w:r>
    </w:p>
    <w:p w14:paraId="2FD27732">
      <w:pPr>
        <w:spacing w:line="360" w:lineRule="auto"/>
        <w:ind w:firstLine="420" w:firstLineChars="200"/>
        <w:rPr>
          <w:rFonts w:asciiTheme="minorEastAsia" w:hAnsiTheme="minorEastAsia"/>
          <w:szCs w:val="21"/>
        </w:rPr>
      </w:pPr>
      <w:r>
        <w:rPr>
          <w:rFonts w:asciiTheme="minorEastAsia" w:hAnsiTheme="minorEastAsia"/>
          <w:szCs w:val="21"/>
        </w:rPr>
        <w:t>投标人应保证，采购人在中华人民共和国使用该产品的任何一部分时，免受第三方提出的包括但不限于侵犯其专利权、商标权或工业设计权等知识产权和抵押权在内的担保物权的起诉。</w:t>
      </w:r>
    </w:p>
    <w:p w14:paraId="3833891D">
      <w:pPr>
        <w:spacing w:line="360" w:lineRule="auto"/>
        <w:ind w:firstLine="420" w:firstLineChars="200"/>
        <w:rPr>
          <w:rFonts w:asciiTheme="minorEastAsia" w:hAnsiTheme="minorEastAsia"/>
          <w:szCs w:val="21"/>
        </w:rPr>
      </w:pPr>
      <w:r>
        <w:rPr>
          <w:rFonts w:asciiTheme="minorEastAsia" w:hAnsiTheme="minorEastAsia"/>
          <w:szCs w:val="21"/>
        </w:rPr>
        <w:t>投标人应保证，其所提供的货物应具有行政主管部门颁发的资质证书或国家质量监督部门的产品《检验报告》。设备到货验收时，还必须提供设备的产品合格证、质量保证文件。若中标后，除非另有约定，必须按合同规定完成设备的安装，并达到验收标准。</w:t>
      </w:r>
    </w:p>
    <w:p w14:paraId="2C1FF01C">
      <w:pPr>
        <w:pStyle w:val="3"/>
        <w:spacing w:line="360" w:lineRule="auto"/>
        <w:ind w:firstLine="482"/>
      </w:pPr>
      <w:bookmarkStart w:id="20" w:name="_Toc25686"/>
      <w:bookmarkStart w:id="21" w:name="_Toc55548496"/>
      <w:r>
        <w:t>投标费用</w:t>
      </w:r>
      <w:bookmarkEnd w:id="20"/>
      <w:bookmarkEnd w:id="21"/>
    </w:p>
    <w:p w14:paraId="604B1C17">
      <w:pPr>
        <w:spacing w:line="360" w:lineRule="auto"/>
        <w:ind w:firstLine="420" w:firstLineChars="200"/>
        <w:rPr>
          <w:rFonts w:asciiTheme="minorEastAsia" w:hAnsiTheme="minorEastAsia"/>
          <w:szCs w:val="21"/>
        </w:rPr>
      </w:pPr>
      <w:r>
        <w:rPr>
          <w:rFonts w:asciiTheme="minorEastAsia" w:hAnsiTheme="minorEastAsia"/>
          <w:szCs w:val="21"/>
        </w:rPr>
        <w:t>投标人应承担所有与准备和参加投标有关的费用。不论投标的结果如何，招标人均无义务和责任承担这些费用。</w:t>
      </w:r>
    </w:p>
    <w:p w14:paraId="3C8187DB">
      <w:pPr>
        <w:pStyle w:val="3"/>
        <w:spacing w:line="360" w:lineRule="auto"/>
        <w:ind w:firstLine="482"/>
      </w:pPr>
      <w:bookmarkStart w:id="22" w:name="_Toc55548497"/>
      <w:bookmarkStart w:id="23" w:name="_Toc10390"/>
      <w:r>
        <w:t>踏勘现场</w:t>
      </w:r>
      <w:bookmarkEnd w:id="22"/>
      <w:bookmarkEnd w:id="23"/>
    </w:p>
    <w:p w14:paraId="5045ACCE">
      <w:pPr>
        <w:spacing w:line="360" w:lineRule="auto"/>
        <w:ind w:firstLine="420" w:firstLineChars="200"/>
        <w:rPr>
          <w:rFonts w:asciiTheme="minorEastAsia" w:hAnsiTheme="minorEastAsia"/>
          <w:szCs w:val="21"/>
        </w:rPr>
      </w:pPr>
      <w:bookmarkStart w:id="24" w:name="_Ref179620557"/>
      <w:r>
        <w:rPr>
          <w:rFonts w:asciiTheme="minorEastAsia" w:hAnsiTheme="minorEastAsia"/>
          <w:szCs w:val="21"/>
        </w:rPr>
        <w:t>如有必要，</w:t>
      </w:r>
      <w:r>
        <w:rPr>
          <w:rFonts w:hint="eastAsia" w:asciiTheme="minorEastAsia" w:hAnsiTheme="minorEastAsia"/>
          <w:szCs w:val="21"/>
        </w:rPr>
        <w:t>本中心</w:t>
      </w:r>
      <w:r>
        <w:rPr>
          <w:rFonts w:asciiTheme="minorEastAsia" w:hAnsiTheme="minorEastAsia"/>
          <w:szCs w:val="21"/>
        </w:rPr>
        <w:t>将组织投标人对项目现场及周围环境进行踏勘，以便投标人获取须自己负责的有关编制投标文件和签署合同所需的所有资料。踏勘现场所发生的费用由投标人自己承担。</w:t>
      </w:r>
      <w:bookmarkEnd w:id="24"/>
    </w:p>
    <w:p w14:paraId="1C034948">
      <w:pPr>
        <w:spacing w:line="360" w:lineRule="auto"/>
        <w:ind w:firstLine="420" w:firstLineChars="200"/>
        <w:rPr>
          <w:rFonts w:asciiTheme="minorEastAsia" w:hAnsiTheme="minorEastAsia"/>
          <w:szCs w:val="21"/>
        </w:rPr>
      </w:pPr>
      <w:r>
        <w:rPr>
          <w:rFonts w:asciiTheme="minorEastAsia" w:hAnsiTheme="minorEastAsia"/>
          <w:szCs w:val="21"/>
        </w:rPr>
        <w:t>招标人向投标人提供的有关现场的资料和数据，是招标人现有的能使投标人利用的资料。招标人对投标人由此而做出的推论、理解和结论概不负责。</w:t>
      </w:r>
    </w:p>
    <w:p w14:paraId="451F1EF4">
      <w:pPr>
        <w:spacing w:line="360" w:lineRule="auto"/>
        <w:ind w:firstLine="420" w:firstLineChars="200"/>
        <w:rPr>
          <w:rFonts w:asciiTheme="minorEastAsia" w:hAnsiTheme="minorEastAsia"/>
          <w:szCs w:val="21"/>
        </w:rPr>
      </w:pPr>
      <w:r>
        <w:rPr>
          <w:rFonts w:asciiTheme="minorEastAsia" w:hAnsiTheme="minorEastAsia"/>
          <w:szCs w:val="21"/>
        </w:rPr>
        <w:t>投标人及其人员经过招标人的允许，可为踏勘目的进入招标人的工程现场，但投标人及其人员不得因此使招标人及其人员承担有关的责任和蒙受损失。投标人并应对由此次踏勘现场而造成的死亡、人身伤害、财产损失、损害以及任何其它损失、损害和引起的费用和开支承担责任。</w:t>
      </w:r>
    </w:p>
    <w:p w14:paraId="55F361A3">
      <w:pPr>
        <w:spacing w:line="360" w:lineRule="auto"/>
        <w:ind w:firstLine="420" w:firstLineChars="200"/>
        <w:rPr>
          <w:rFonts w:asciiTheme="minorEastAsia" w:hAnsiTheme="minorEastAsia"/>
          <w:szCs w:val="21"/>
        </w:rPr>
      </w:pPr>
      <w:r>
        <w:rPr>
          <w:rFonts w:asciiTheme="minorEastAsia" w:hAnsiTheme="minorEastAsia"/>
          <w:szCs w:val="21"/>
        </w:rPr>
        <w:t>如果投标人认为需要再次进行现场踏勘，招标人将予以支持，费用自理。</w:t>
      </w:r>
    </w:p>
    <w:p w14:paraId="74F592BD">
      <w:pPr>
        <w:pStyle w:val="4"/>
        <w:ind w:firstLine="482"/>
      </w:pPr>
      <w:bookmarkStart w:id="25" w:name="_Toc1751"/>
      <w:bookmarkStart w:id="26" w:name="_Toc6043"/>
      <w:bookmarkStart w:id="27" w:name="_Toc55548498"/>
      <w:r>
        <w:t>二、招标文件</w:t>
      </w:r>
      <w:bookmarkEnd w:id="25"/>
      <w:bookmarkEnd w:id="26"/>
      <w:bookmarkEnd w:id="27"/>
    </w:p>
    <w:p w14:paraId="0C0B456A">
      <w:pPr>
        <w:pStyle w:val="3"/>
        <w:spacing w:line="360" w:lineRule="auto"/>
        <w:ind w:firstLine="482"/>
      </w:pPr>
      <w:bookmarkStart w:id="28" w:name="_Toc19397"/>
      <w:bookmarkStart w:id="29" w:name="_Toc55548499"/>
      <w:r>
        <w:t>招标文件的构成</w:t>
      </w:r>
      <w:bookmarkEnd w:id="28"/>
      <w:bookmarkEnd w:id="29"/>
    </w:p>
    <w:p w14:paraId="2772A496">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一</w:t>
      </w:r>
      <w:r>
        <w:rPr>
          <w:rFonts w:asciiTheme="minorEastAsia" w:hAnsiTheme="minorEastAsia"/>
          <w:szCs w:val="21"/>
        </w:rPr>
        <w:t xml:space="preserve">章 </w:t>
      </w:r>
      <w:r>
        <w:rPr>
          <w:rFonts w:hint="eastAsia" w:asciiTheme="minorEastAsia" w:hAnsiTheme="minorEastAsia"/>
          <w:szCs w:val="21"/>
        </w:rPr>
        <w:t>招标公告</w:t>
      </w:r>
    </w:p>
    <w:p w14:paraId="7420E75B">
      <w:pPr>
        <w:spacing w:line="360" w:lineRule="auto"/>
        <w:ind w:firstLine="420" w:firstLineChars="200"/>
        <w:rPr>
          <w:rFonts w:asciiTheme="minorEastAsia" w:hAnsiTheme="minorEastAsia"/>
          <w:szCs w:val="21"/>
        </w:rPr>
      </w:pPr>
      <w:r>
        <w:rPr>
          <w:rFonts w:asciiTheme="minorEastAsia" w:hAnsiTheme="minorEastAsia"/>
          <w:szCs w:val="21"/>
        </w:rPr>
        <w:t>第</w:t>
      </w:r>
      <w:r>
        <w:rPr>
          <w:rFonts w:hint="eastAsia" w:asciiTheme="minorEastAsia" w:hAnsiTheme="minorEastAsia"/>
          <w:szCs w:val="21"/>
        </w:rPr>
        <w:t>二</w:t>
      </w:r>
      <w:r>
        <w:rPr>
          <w:rFonts w:asciiTheme="minorEastAsia" w:hAnsiTheme="minorEastAsia"/>
          <w:szCs w:val="21"/>
        </w:rPr>
        <w:t>章 用户需求书</w:t>
      </w:r>
    </w:p>
    <w:p w14:paraId="2D58783C">
      <w:pPr>
        <w:spacing w:line="360" w:lineRule="auto"/>
        <w:ind w:firstLine="420" w:firstLineChars="200"/>
        <w:rPr>
          <w:rFonts w:asciiTheme="minorEastAsia" w:hAnsiTheme="minorEastAsia"/>
          <w:szCs w:val="21"/>
        </w:rPr>
      </w:pPr>
      <w:r>
        <w:rPr>
          <w:rFonts w:hint="eastAsia" w:asciiTheme="minorEastAsia" w:hAnsiTheme="minorEastAsia"/>
          <w:szCs w:val="21"/>
        </w:rPr>
        <w:t>第三章 投标人须知</w:t>
      </w:r>
    </w:p>
    <w:p w14:paraId="3609581C">
      <w:pPr>
        <w:spacing w:line="360" w:lineRule="auto"/>
        <w:ind w:firstLine="420" w:firstLineChars="200"/>
        <w:rPr>
          <w:rFonts w:asciiTheme="minorEastAsia" w:hAnsiTheme="minorEastAsia"/>
          <w:szCs w:val="21"/>
        </w:rPr>
      </w:pPr>
      <w:r>
        <w:rPr>
          <w:rFonts w:hint="eastAsia" w:asciiTheme="minorEastAsia" w:hAnsiTheme="minorEastAsia"/>
          <w:szCs w:val="21"/>
        </w:rPr>
        <w:t>第四章 附件-</w:t>
      </w:r>
      <w:r>
        <w:rPr>
          <w:rFonts w:asciiTheme="minorEastAsia" w:hAnsiTheme="minorEastAsia"/>
          <w:szCs w:val="21"/>
        </w:rPr>
        <w:t>投标文件格式</w:t>
      </w:r>
    </w:p>
    <w:p w14:paraId="1F85FA7F">
      <w:pPr>
        <w:spacing w:line="360" w:lineRule="auto"/>
        <w:ind w:firstLine="420" w:firstLineChars="200"/>
        <w:rPr>
          <w:rFonts w:asciiTheme="minorEastAsia" w:hAnsiTheme="minorEastAsia"/>
          <w:szCs w:val="21"/>
        </w:rPr>
      </w:pPr>
      <w:r>
        <w:rPr>
          <w:rFonts w:asciiTheme="minorEastAsia" w:hAnsiTheme="minorEastAsia"/>
          <w:szCs w:val="21"/>
        </w:rPr>
        <w:t>投标人应认真阅读招标文件中所有的事项、格式、条款和技术规格等。投标人没有按照招标文件要求提交全部资料，或者投标没有对招标文件在各方面都作出实质性响应是投标人的风险，并可能导致其投标被拒绝。</w:t>
      </w:r>
    </w:p>
    <w:p w14:paraId="71E7A92F">
      <w:pPr>
        <w:pStyle w:val="3"/>
        <w:spacing w:line="360" w:lineRule="auto"/>
        <w:ind w:firstLine="482"/>
      </w:pPr>
      <w:bookmarkStart w:id="30" w:name="_Toc55548500"/>
      <w:bookmarkStart w:id="31" w:name="_Toc31711"/>
      <w:r>
        <w:t>招标文件的澄清</w:t>
      </w:r>
      <w:bookmarkEnd w:id="30"/>
      <w:bookmarkEnd w:id="31"/>
    </w:p>
    <w:p w14:paraId="5F52621D">
      <w:pPr>
        <w:spacing w:line="360" w:lineRule="auto"/>
        <w:ind w:firstLine="420" w:firstLineChars="200"/>
        <w:rPr>
          <w:rFonts w:asciiTheme="minorEastAsia" w:hAnsiTheme="minorEastAsia"/>
          <w:szCs w:val="21"/>
        </w:rPr>
      </w:pPr>
      <w:r>
        <w:rPr>
          <w:rFonts w:asciiTheme="minorEastAsia" w:hAnsiTheme="minorEastAsia"/>
          <w:szCs w:val="21"/>
        </w:rPr>
        <w:t>任何要求对招标文件进行澄清的潜在投标人，均应以书面形式通知招标人。</w:t>
      </w:r>
      <w:r>
        <w:rPr>
          <w:rFonts w:hint="eastAsia" w:asciiTheme="minorEastAsia" w:hAnsiTheme="minorEastAsia"/>
          <w:szCs w:val="21"/>
        </w:rPr>
        <w:t>本中心</w:t>
      </w:r>
      <w:r>
        <w:rPr>
          <w:rFonts w:asciiTheme="minorEastAsia" w:hAnsiTheme="minorEastAsia"/>
          <w:szCs w:val="21"/>
        </w:rPr>
        <w:t>对其在投标截止期五日以前收到的对招标文件的澄清要求均以书面形式予以答复，同时将书面答复方式发给每个购买招标文件的潜在投标人(答复中不包括问题的来源)。</w:t>
      </w:r>
    </w:p>
    <w:p w14:paraId="768ADE0E">
      <w:pPr>
        <w:pStyle w:val="3"/>
        <w:spacing w:line="360" w:lineRule="auto"/>
        <w:ind w:firstLine="482"/>
      </w:pPr>
      <w:bookmarkStart w:id="32" w:name="_Toc21781"/>
      <w:bookmarkStart w:id="33" w:name="_Toc55548501"/>
      <w:bookmarkStart w:id="34" w:name="_Ref179619612"/>
      <w:r>
        <w:t>招标文件的修改</w:t>
      </w:r>
      <w:bookmarkEnd w:id="32"/>
      <w:bookmarkEnd w:id="33"/>
      <w:bookmarkEnd w:id="34"/>
    </w:p>
    <w:p w14:paraId="4875B207">
      <w:pPr>
        <w:spacing w:line="360" w:lineRule="auto"/>
        <w:ind w:firstLine="420" w:firstLineChars="200"/>
        <w:rPr>
          <w:rFonts w:asciiTheme="minorEastAsia" w:hAnsiTheme="minorEastAsia"/>
          <w:szCs w:val="21"/>
        </w:rPr>
      </w:pPr>
      <w:r>
        <w:rPr>
          <w:rFonts w:asciiTheme="minorEastAsia" w:hAnsiTheme="minorEastAsia"/>
          <w:szCs w:val="21"/>
        </w:rPr>
        <w:t>在投标截止时间三日前，招标人可主动地或在解答潜在投标人提出的澄清问题时对招标文件进行修改。澄清或修改时间不足三日的，</w:t>
      </w:r>
      <w:r>
        <w:rPr>
          <w:rFonts w:hint="eastAsia" w:asciiTheme="minorEastAsia" w:hAnsiTheme="minorEastAsia"/>
          <w:szCs w:val="21"/>
        </w:rPr>
        <w:t>本中心</w:t>
      </w:r>
      <w:r>
        <w:rPr>
          <w:rFonts w:asciiTheme="minorEastAsia" w:hAnsiTheme="minorEastAsia"/>
          <w:szCs w:val="21"/>
        </w:rPr>
        <w:t>在征得已获取招标文件的供应商同意并书面确认后，可不改变投标截至时间。</w:t>
      </w:r>
    </w:p>
    <w:p w14:paraId="663B8298">
      <w:pPr>
        <w:spacing w:line="360" w:lineRule="auto"/>
        <w:ind w:firstLine="420" w:firstLineChars="200"/>
        <w:rPr>
          <w:rFonts w:asciiTheme="minorEastAsia" w:hAnsiTheme="minorEastAsia"/>
          <w:szCs w:val="21"/>
        </w:rPr>
      </w:pPr>
      <w:bookmarkStart w:id="35" w:name="_Ref179619147"/>
      <w:r>
        <w:rPr>
          <w:rFonts w:asciiTheme="minorEastAsia" w:hAnsiTheme="minorEastAsia"/>
          <w:szCs w:val="21"/>
        </w:rPr>
        <w:t>招标文件的修改是招标文件的组成部分，招标文件的修改均在</w:t>
      </w:r>
      <w:r>
        <w:rPr>
          <w:rFonts w:hint="eastAsia" w:asciiTheme="minorEastAsia" w:hAnsiTheme="minorEastAsia"/>
          <w:kern w:val="0"/>
          <w:szCs w:val="21"/>
        </w:rPr>
        <w:t xml:space="preserve"> (深圳市宝安区疾病预防控制中心官网)</w:t>
      </w:r>
      <w:r>
        <w:rPr>
          <w:rFonts w:asciiTheme="minorEastAsia" w:hAnsiTheme="minorEastAsia"/>
          <w:szCs w:val="21"/>
        </w:rPr>
        <w:t>以网上公告形式发布，并对投标人具有约束力，招标期间，投标人有义务上网查看，公告一经上网发布，即视为送达。</w:t>
      </w:r>
      <w:bookmarkEnd w:id="35"/>
    </w:p>
    <w:p w14:paraId="140DE913">
      <w:pPr>
        <w:spacing w:line="360" w:lineRule="auto"/>
        <w:ind w:firstLine="420" w:firstLineChars="200"/>
        <w:rPr>
          <w:rFonts w:asciiTheme="minorEastAsia" w:hAnsiTheme="minorEastAsia"/>
          <w:szCs w:val="21"/>
        </w:rPr>
      </w:pPr>
      <w:r>
        <w:rPr>
          <w:rFonts w:asciiTheme="minorEastAsia" w:hAnsiTheme="minorEastAsia"/>
          <w:szCs w:val="21"/>
        </w:rPr>
        <w:t>为使投标人准备投标时有充分时间对招标文件的修改部分进行研究，招标人可适当推迟投标截止期。</w:t>
      </w:r>
    </w:p>
    <w:p w14:paraId="74B327EF">
      <w:pPr>
        <w:pStyle w:val="4"/>
        <w:ind w:firstLine="482"/>
      </w:pPr>
      <w:bookmarkStart w:id="36" w:name="_Toc6740"/>
      <w:bookmarkStart w:id="37" w:name="_Toc55548502"/>
      <w:bookmarkStart w:id="38" w:name="_Toc20164"/>
      <w:r>
        <w:t>三、投标文件的编制</w:t>
      </w:r>
      <w:bookmarkEnd w:id="36"/>
      <w:bookmarkEnd w:id="37"/>
      <w:bookmarkEnd w:id="38"/>
    </w:p>
    <w:p w14:paraId="180FF835">
      <w:pPr>
        <w:pStyle w:val="3"/>
        <w:spacing w:line="360" w:lineRule="auto"/>
        <w:ind w:firstLine="482"/>
      </w:pPr>
      <w:bookmarkStart w:id="39" w:name="_Toc28578"/>
      <w:bookmarkStart w:id="40" w:name="_Toc55548503"/>
      <w:r>
        <w:t>投标的语言</w:t>
      </w:r>
      <w:bookmarkEnd w:id="39"/>
      <w:bookmarkEnd w:id="40"/>
      <w:bookmarkStart w:id="184" w:name="_GoBack"/>
      <w:bookmarkEnd w:id="184"/>
    </w:p>
    <w:p w14:paraId="37B1D0D0">
      <w:pPr>
        <w:spacing w:line="360" w:lineRule="auto"/>
        <w:ind w:firstLine="420" w:firstLineChars="200"/>
        <w:rPr>
          <w:rFonts w:asciiTheme="minorEastAsia" w:hAnsiTheme="minorEastAsia"/>
          <w:szCs w:val="21"/>
        </w:rPr>
      </w:pPr>
      <w:bookmarkStart w:id="41" w:name="_Ref179620571"/>
      <w:r>
        <w:rPr>
          <w:rFonts w:asciiTheme="minorEastAsia" w:hAnsiTheme="minorEastAsia"/>
          <w:szCs w:val="21"/>
        </w:rPr>
        <w:t>投标人提交的投标文件以及投标人与招标人就有关投标的所有来往函电均应使用</w:t>
      </w:r>
      <w:r>
        <w:rPr>
          <w:rFonts w:hint="eastAsia" w:asciiTheme="minorEastAsia" w:hAnsiTheme="minorEastAsia"/>
          <w:b/>
          <w:szCs w:val="21"/>
        </w:rPr>
        <w:t>中文</w:t>
      </w:r>
      <w:r>
        <w:rPr>
          <w:rFonts w:asciiTheme="minorEastAsia" w:hAnsiTheme="minorEastAsia"/>
          <w:szCs w:val="21"/>
        </w:rPr>
        <w:t>书写。投标人提交的支持资料和已印刷的文献可以用另一种语言，但相应内容应附有</w:t>
      </w:r>
      <w:r>
        <w:rPr>
          <w:rFonts w:hint="eastAsia" w:asciiTheme="minorEastAsia" w:hAnsiTheme="minorEastAsia"/>
          <w:b/>
          <w:szCs w:val="21"/>
        </w:rPr>
        <w:t>中文</w:t>
      </w:r>
      <w:r>
        <w:rPr>
          <w:rFonts w:asciiTheme="minorEastAsia" w:hAnsiTheme="minorEastAsia"/>
          <w:szCs w:val="21"/>
        </w:rPr>
        <w:t>的翻译本，在解释投标文件时以翻译本为准。</w:t>
      </w:r>
      <w:bookmarkEnd w:id="41"/>
    </w:p>
    <w:p w14:paraId="3BA480F2">
      <w:pPr>
        <w:pStyle w:val="3"/>
        <w:spacing w:line="360" w:lineRule="auto"/>
        <w:ind w:firstLine="482"/>
      </w:pPr>
      <w:bookmarkStart w:id="42" w:name="_Toc55548504"/>
      <w:bookmarkStart w:id="43" w:name="_Toc31114"/>
      <w:r>
        <w:t>投标范围及投标文件中计量单位的使用</w:t>
      </w:r>
      <w:bookmarkEnd w:id="42"/>
      <w:bookmarkEnd w:id="43"/>
    </w:p>
    <w:p w14:paraId="30F3A566">
      <w:pPr>
        <w:spacing w:line="360" w:lineRule="auto"/>
        <w:ind w:firstLine="420" w:firstLineChars="200"/>
        <w:rPr>
          <w:rFonts w:asciiTheme="minorEastAsia" w:hAnsiTheme="minorEastAsia"/>
          <w:szCs w:val="21"/>
        </w:rPr>
      </w:pPr>
      <w:r>
        <w:rPr>
          <w:rFonts w:asciiTheme="minorEastAsia" w:hAnsiTheme="minorEastAsia"/>
          <w:szCs w:val="21"/>
        </w:rPr>
        <w:t>投标人可对招标文件中“用户需求书”中所述的所有货物</w:t>
      </w:r>
      <w:r>
        <w:rPr>
          <w:rFonts w:hint="eastAsia" w:asciiTheme="minorEastAsia" w:hAnsiTheme="minorEastAsia"/>
          <w:szCs w:val="21"/>
        </w:rPr>
        <w:t>或者</w:t>
      </w:r>
      <w:r>
        <w:rPr>
          <w:rFonts w:asciiTheme="minorEastAsia" w:hAnsiTheme="minorEastAsia"/>
          <w:szCs w:val="21"/>
        </w:rPr>
        <w:t>服务进行投标，也可以只对其中一包或几包货物进行投标，但不得将一包中的内容拆开投标。</w:t>
      </w:r>
    </w:p>
    <w:p w14:paraId="0E1CF999">
      <w:pPr>
        <w:spacing w:line="360" w:lineRule="auto"/>
        <w:ind w:firstLine="420" w:firstLineChars="200"/>
        <w:rPr>
          <w:rFonts w:asciiTheme="minorEastAsia" w:hAnsiTheme="minorEastAsia"/>
          <w:szCs w:val="21"/>
        </w:rPr>
      </w:pPr>
      <w:r>
        <w:rPr>
          <w:rFonts w:asciiTheme="minorEastAsia" w:hAnsiTheme="minorEastAsia"/>
          <w:szCs w:val="21"/>
        </w:rPr>
        <w:t>投标文件中所使用的计量单位，除招标文件中有特殊要求外，应采用中华人民共和国法定计量单位。</w:t>
      </w:r>
    </w:p>
    <w:p w14:paraId="08A01743">
      <w:pPr>
        <w:spacing w:line="360" w:lineRule="auto"/>
        <w:ind w:firstLine="420" w:firstLineChars="200"/>
        <w:rPr>
          <w:rFonts w:asciiTheme="minorEastAsia" w:hAnsiTheme="minorEastAsia"/>
          <w:szCs w:val="21"/>
        </w:rPr>
      </w:pPr>
      <w:r>
        <w:rPr>
          <w:rFonts w:asciiTheme="minorEastAsia" w:hAnsiTheme="minorEastAsia"/>
          <w:szCs w:val="21"/>
        </w:rPr>
        <w:t>除非另有说明，本招标文件中所称“日”均指日历日，投标文件中需以日历日对招标文件作出响应。评审时，对投标中出现的“工作日”按五个工作日折合七个日历日计算，且评标委员会可能会就有关日期作出对该投标人不利的折算或量化，投标人不得对此提出异议，否则其投标将被拒绝。</w:t>
      </w:r>
    </w:p>
    <w:p w14:paraId="00A90D0E">
      <w:pPr>
        <w:pStyle w:val="3"/>
        <w:spacing w:line="360" w:lineRule="auto"/>
        <w:ind w:firstLine="482"/>
      </w:pPr>
      <w:bookmarkStart w:id="44" w:name="_Toc4999"/>
      <w:bookmarkStart w:id="45" w:name="_Toc55548505"/>
      <w:r>
        <w:t>投标文件的构成</w:t>
      </w:r>
      <w:bookmarkEnd w:id="44"/>
      <w:bookmarkEnd w:id="45"/>
    </w:p>
    <w:p w14:paraId="70668FE6">
      <w:pPr>
        <w:spacing w:line="360" w:lineRule="auto"/>
        <w:ind w:firstLine="420" w:firstLineChars="200"/>
        <w:rPr>
          <w:rFonts w:asciiTheme="minorEastAsia" w:hAnsiTheme="minorEastAsia"/>
          <w:szCs w:val="21"/>
        </w:rPr>
      </w:pPr>
      <w:r>
        <w:rPr>
          <w:rFonts w:asciiTheme="minorEastAsia" w:hAnsiTheme="minorEastAsia"/>
          <w:szCs w:val="21"/>
        </w:rPr>
        <w:t>投标人应完整地按招标文件提供的投标文件格式制作投标文件。</w:t>
      </w:r>
    </w:p>
    <w:p w14:paraId="29AB6524">
      <w:pPr>
        <w:pStyle w:val="3"/>
        <w:spacing w:line="360" w:lineRule="auto"/>
        <w:ind w:firstLine="482"/>
      </w:pPr>
      <w:bookmarkStart w:id="46" w:name="_Toc55548506"/>
      <w:bookmarkStart w:id="47" w:name="_Toc24290"/>
      <w:r>
        <w:t>投标文件电子文档</w:t>
      </w:r>
      <w:bookmarkEnd w:id="46"/>
      <w:bookmarkEnd w:id="47"/>
    </w:p>
    <w:p w14:paraId="2F53DB63">
      <w:pPr>
        <w:spacing w:line="360" w:lineRule="auto"/>
        <w:ind w:firstLine="420" w:firstLineChars="200"/>
        <w:rPr>
          <w:rFonts w:asciiTheme="minorEastAsia" w:hAnsiTheme="minorEastAsia"/>
          <w:szCs w:val="21"/>
        </w:rPr>
      </w:pPr>
      <w:r>
        <w:rPr>
          <w:rFonts w:asciiTheme="minorEastAsia" w:hAnsiTheme="minorEastAsia"/>
          <w:szCs w:val="21"/>
          <w:highlight w:val="yellow"/>
        </w:rPr>
        <w:t>投标人在提交书面投标文件的同时，</w:t>
      </w:r>
      <w:r>
        <w:fldChar w:fldCharType="begin"/>
      </w:r>
      <w:r>
        <w:instrText xml:space="preserve"> HYPERLINK "mailto:应提交该投标文件的电子文档（格式为盖章版扫描件）于指定时间发送至568711397@qq.com" </w:instrText>
      </w:r>
      <w:r>
        <w:fldChar w:fldCharType="separate"/>
      </w:r>
      <w:r>
        <w:rPr>
          <w:rStyle w:val="16"/>
          <w:rFonts w:asciiTheme="minorEastAsia" w:hAnsiTheme="minorEastAsia"/>
          <w:szCs w:val="21"/>
          <w:highlight w:val="yellow"/>
        </w:rPr>
        <w:t>应提交该投标文件的电子文档于指定时间发送至</w:t>
      </w:r>
      <w:r>
        <w:rPr>
          <w:rStyle w:val="16"/>
          <w:rFonts w:hint="eastAsia" w:eastAsia="宋体" w:cs="Times New Roman" w:asciiTheme="minorEastAsia" w:hAnsiTheme="minorEastAsia"/>
          <w:szCs w:val="21"/>
          <w:highlight w:val="yellow"/>
          <w:lang w:val="en-US" w:eastAsia="zh-CN"/>
        </w:rPr>
        <w:t>bacdcxxk@baoan.gov.cn</w:t>
      </w:r>
      <w:r>
        <w:rPr>
          <w:rStyle w:val="16"/>
          <w:rFonts w:asciiTheme="minorEastAsia" w:hAnsiTheme="minorEastAsia"/>
          <w:szCs w:val="21"/>
          <w:highlight w:val="yellow"/>
        </w:rPr>
        <w:fldChar w:fldCharType="end"/>
      </w:r>
      <w:r>
        <w:rPr>
          <w:rFonts w:hint="eastAsia" w:asciiTheme="minorEastAsia" w:hAnsiTheme="minorEastAsia"/>
          <w:szCs w:val="21"/>
          <w:highlight w:val="yellow"/>
        </w:rPr>
        <w:t>邮箱</w:t>
      </w:r>
      <w:r>
        <w:rPr>
          <w:rFonts w:asciiTheme="minorEastAsia" w:hAnsiTheme="minorEastAsia"/>
          <w:szCs w:val="21"/>
          <w:highlight w:val="yellow"/>
        </w:rPr>
        <w:t>。</w:t>
      </w:r>
    </w:p>
    <w:p w14:paraId="3F143F7B">
      <w:pPr>
        <w:spacing w:line="360" w:lineRule="auto"/>
        <w:ind w:firstLine="420" w:firstLineChars="200"/>
        <w:rPr>
          <w:rFonts w:asciiTheme="minorEastAsia" w:hAnsiTheme="minorEastAsia"/>
          <w:szCs w:val="21"/>
        </w:rPr>
      </w:pPr>
      <w:r>
        <w:rPr>
          <w:rFonts w:asciiTheme="minorEastAsia" w:hAnsiTheme="minorEastAsia"/>
          <w:szCs w:val="21"/>
        </w:rPr>
        <w:t>电子文档的格式要求：投标文件电子文档应统一</w:t>
      </w:r>
      <w:r>
        <w:rPr>
          <w:rFonts w:hint="eastAsia" w:asciiTheme="minorEastAsia" w:hAnsiTheme="minorEastAsia"/>
          <w:szCs w:val="21"/>
        </w:rPr>
        <w:t>为投标文件盖章后扫描件</w:t>
      </w:r>
      <w:r>
        <w:rPr>
          <w:rFonts w:asciiTheme="minorEastAsia" w:hAnsiTheme="minorEastAsia"/>
          <w:szCs w:val="21"/>
        </w:rPr>
        <w:t>。</w:t>
      </w:r>
    </w:p>
    <w:p w14:paraId="06D41559">
      <w:pPr>
        <w:spacing w:line="360" w:lineRule="auto"/>
        <w:ind w:firstLine="420" w:firstLineChars="200"/>
        <w:rPr>
          <w:rFonts w:asciiTheme="minorEastAsia" w:hAnsiTheme="minorEastAsia"/>
          <w:szCs w:val="21"/>
        </w:rPr>
      </w:pPr>
      <w:r>
        <w:rPr>
          <w:rFonts w:asciiTheme="minorEastAsia" w:hAnsiTheme="minorEastAsia"/>
          <w:szCs w:val="21"/>
        </w:rPr>
        <w:t>投标人提交的书面投标文件的实质内容应与提交的电子文档的实质内容完全一致。如果评标委员会发现两者的实质内容不一致，将按不利于投标人的原则予以处置。因此产生的一切责任均由投标人承担。</w:t>
      </w:r>
    </w:p>
    <w:p w14:paraId="1143ABA3">
      <w:pPr>
        <w:pStyle w:val="3"/>
        <w:spacing w:line="360" w:lineRule="auto"/>
        <w:ind w:firstLine="482"/>
      </w:pPr>
      <w:bookmarkStart w:id="48" w:name="_Toc55548507"/>
      <w:bookmarkStart w:id="49" w:name="_Toc12177"/>
      <w:r>
        <w:t>投标文件的编写</w:t>
      </w:r>
      <w:bookmarkEnd w:id="48"/>
      <w:bookmarkEnd w:id="49"/>
    </w:p>
    <w:p w14:paraId="6C1C3772">
      <w:pPr>
        <w:spacing w:line="360" w:lineRule="auto"/>
        <w:ind w:firstLine="420" w:firstLineChars="200"/>
        <w:rPr>
          <w:rFonts w:asciiTheme="minorEastAsia" w:hAnsiTheme="minorEastAsia"/>
          <w:szCs w:val="21"/>
        </w:rPr>
      </w:pPr>
      <w:r>
        <w:rPr>
          <w:rFonts w:asciiTheme="minorEastAsia" w:hAnsiTheme="minorEastAsia"/>
          <w:szCs w:val="21"/>
        </w:rPr>
        <w:t>投标人应按招标文件的规定，及附件要求的内容和格式完整地填写和提供资料，并保证所提供的全部资料的真实性。</w:t>
      </w:r>
    </w:p>
    <w:p w14:paraId="11880934">
      <w:pPr>
        <w:pStyle w:val="3"/>
        <w:spacing w:line="360" w:lineRule="auto"/>
        <w:ind w:firstLine="482"/>
      </w:pPr>
      <w:bookmarkStart w:id="50" w:name="_Toc55548508"/>
      <w:bookmarkStart w:id="51" w:name="_Toc26930"/>
      <w:r>
        <w:t>投标报价</w:t>
      </w:r>
      <w:bookmarkEnd w:id="50"/>
      <w:bookmarkEnd w:id="51"/>
    </w:p>
    <w:p w14:paraId="2AD5BBE0">
      <w:pPr>
        <w:spacing w:line="360" w:lineRule="auto"/>
        <w:ind w:firstLine="420" w:firstLineChars="200"/>
        <w:rPr>
          <w:rFonts w:asciiTheme="minorEastAsia" w:hAnsiTheme="minorEastAsia"/>
          <w:szCs w:val="21"/>
        </w:rPr>
      </w:pPr>
      <w:r>
        <w:rPr>
          <w:rFonts w:asciiTheme="minorEastAsia" w:hAnsiTheme="minorEastAsia"/>
          <w:szCs w:val="21"/>
        </w:rPr>
        <w:t>所有投标均以人民币报价。投标人的投标报价应符合《中华人民共和国价格法》的有关规定。</w:t>
      </w:r>
    </w:p>
    <w:p w14:paraId="64954BC0">
      <w:pPr>
        <w:spacing w:line="360" w:lineRule="auto"/>
        <w:ind w:firstLine="420" w:firstLineChars="200"/>
        <w:rPr>
          <w:rFonts w:asciiTheme="minorEastAsia" w:hAnsiTheme="minorEastAsia"/>
          <w:szCs w:val="21"/>
        </w:rPr>
      </w:pPr>
      <w:bookmarkStart w:id="52" w:name="_Ref179619251"/>
      <w:r>
        <w:rPr>
          <w:rFonts w:asciiTheme="minorEastAsia" w:hAnsiTheme="minorEastAsia"/>
          <w:szCs w:val="21"/>
        </w:rPr>
        <w:t>投标人应在投标分项报价表上标明投标货物及相关服务的单价(如适用)和总价，并由法定代表人或其授权代表签署。投标总价中不得包含招标文件要求以外的内容，否则，在评标时不予核减。</w:t>
      </w:r>
      <w:bookmarkEnd w:id="52"/>
    </w:p>
    <w:p w14:paraId="4E87FA9D">
      <w:pPr>
        <w:spacing w:line="360" w:lineRule="auto"/>
        <w:ind w:firstLine="420" w:firstLineChars="200"/>
        <w:rPr>
          <w:rFonts w:asciiTheme="minorEastAsia" w:hAnsiTheme="minorEastAsia"/>
          <w:szCs w:val="21"/>
        </w:rPr>
      </w:pPr>
      <w:bookmarkStart w:id="53" w:name="_Ref179620595"/>
      <w:r>
        <w:rPr>
          <w:rFonts w:asciiTheme="minorEastAsia" w:hAnsiTheme="minorEastAsia"/>
          <w:szCs w:val="21"/>
        </w:rPr>
        <w:t>投标人的投标报价，应完整的包含所有采购内容，且不得以任何理由重复，每一项目只允许有一个报价，任何有选择的报价将不予接受。</w:t>
      </w:r>
      <w:bookmarkEnd w:id="53"/>
    </w:p>
    <w:p w14:paraId="51A62829">
      <w:pPr>
        <w:spacing w:line="360" w:lineRule="auto"/>
        <w:ind w:firstLine="420" w:firstLineChars="200"/>
        <w:rPr>
          <w:rFonts w:asciiTheme="minorEastAsia" w:hAnsiTheme="minorEastAsia"/>
          <w:szCs w:val="21"/>
        </w:rPr>
      </w:pPr>
      <w:r>
        <w:rPr>
          <w:rFonts w:asciiTheme="minorEastAsia" w:hAnsiTheme="minorEastAsia"/>
          <w:szCs w:val="21"/>
        </w:rPr>
        <w:t>投标分项报价上的价格应按下列方式填写：</w:t>
      </w:r>
    </w:p>
    <w:p w14:paraId="6E5F7F8A">
      <w:pPr>
        <w:spacing w:line="360" w:lineRule="auto"/>
        <w:ind w:firstLine="420" w:firstLineChars="200"/>
        <w:rPr>
          <w:rFonts w:asciiTheme="minorEastAsia" w:hAnsiTheme="minorEastAsia"/>
          <w:szCs w:val="21"/>
        </w:rPr>
      </w:pPr>
      <w:r>
        <w:rPr>
          <w:rFonts w:asciiTheme="minorEastAsia" w:hAnsiTheme="minorEastAsia"/>
          <w:szCs w:val="21"/>
        </w:rPr>
        <w:t>投标货物</w:t>
      </w:r>
      <w:r>
        <w:rPr>
          <w:rFonts w:hint="eastAsia" w:asciiTheme="minorEastAsia" w:hAnsiTheme="minorEastAsia"/>
          <w:szCs w:val="21"/>
        </w:rPr>
        <w:t>或</w:t>
      </w:r>
      <w:r>
        <w:rPr>
          <w:rFonts w:asciiTheme="minorEastAsia" w:hAnsiTheme="minorEastAsia"/>
          <w:szCs w:val="21"/>
        </w:rPr>
        <w:t>服务包括标准附件、备品备件、专用工具等的出厂价(包括已在中国国内的进口货物完税后的仓库交货价、展室交货价或货架交货价)，投标货物安装、调试、检验、技术服务和培训等费用；</w:t>
      </w:r>
    </w:p>
    <w:p w14:paraId="60ACB862">
      <w:pPr>
        <w:spacing w:line="360" w:lineRule="auto"/>
        <w:ind w:firstLine="420" w:firstLineChars="200"/>
        <w:rPr>
          <w:rFonts w:asciiTheme="minorEastAsia" w:hAnsiTheme="minorEastAsia"/>
          <w:szCs w:val="21"/>
        </w:rPr>
      </w:pPr>
      <w:r>
        <w:rPr>
          <w:rFonts w:asciiTheme="minorEastAsia" w:hAnsiTheme="minorEastAsia"/>
          <w:szCs w:val="21"/>
        </w:rPr>
        <w:t>货物运至最终目的地并安装调试完毕的运输费和保险费用和伴随货物交运的有关费用；</w:t>
      </w:r>
    </w:p>
    <w:p w14:paraId="5D2A6D21">
      <w:pPr>
        <w:spacing w:line="360" w:lineRule="auto"/>
        <w:ind w:firstLine="420" w:firstLineChars="200"/>
        <w:rPr>
          <w:rFonts w:asciiTheme="minorEastAsia" w:hAnsiTheme="minorEastAsia"/>
          <w:szCs w:val="21"/>
        </w:rPr>
      </w:pPr>
      <w:bookmarkStart w:id="54" w:name="_Ref179620755"/>
      <w:r>
        <w:rPr>
          <w:rFonts w:asciiTheme="minorEastAsia" w:hAnsiTheme="minorEastAsia"/>
          <w:szCs w:val="21"/>
        </w:rPr>
        <w:t>其他伴随服务的费用(如有)。</w:t>
      </w:r>
      <w:bookmarkEnd w:id="54"/>
    </w:p>
    <w:p w14:paraId="3FA9698C">
      <w:pPr>
        <w:spacing w:line="360" w:lineRule="auto"/>
        <w:ind w:firstLine="420" w:firstLineChars="200"/>
        <w:rPr>
          <w:rFonts w:asciiTheme="minorEastAsia" w:hAnsiTheme="minorEastAsia"/>
          <w:szCs w:val="21"/>
        </w:rPr>
      </w:pPr>
      <w:r>
        <w:rPr>
          <w:rFonts w:asciiTheme="minorEastAsia" w:hAnsiTheme="minorEastAsia"/>
          <w:szCs w:val="21"/>
        </w:rPr>
        <w:t xml:space="preserve">投标人根据本须知的规定将投标价分成几部分，只是为了方便招标人对投标文件进行比较，并不限制招标人以上述任何条件订立合同的权力。 </w:t>
      </w:r>
    </w:p>
    <w:p w14:paraId="6143028A">
      <w:pPr>
        <w:spacing w:line="360" w:lineRule="auto"/>
        <w:ind w:firstLine="420" w:firstLineChars="200"/>
        <w:rPr>
          <w:rFonts w:asciiTheme="minorEastAsia" w:hAnsiTheme="minorEastAsia"/>
          <w:szCs w:val="21"/>
        </w:rPr>
      </w:pPr>
      <w:r>
        <w:rPr>
          <w:rFonts w:asciiTheme="minorEastAsia" w:hAnsiTheme="minorEastAsia"/>
          <w:szCs w:val="21"/>
        </w:rPr>
        <w:t>投标人所报的投标价在合同执行过程中是固定不变的，不得以任何理由予以变更。任何包含价格调整要求的投标，被认为是非实质性响应投标而予以拒绝。</w:t>
      </w:r>
    </w:p>
    <w:p w14:paraId="62C54A70">
      <w:pPr>
        <w:pStyle w:val="3"/>
        <w:spacing w:line="360" w:lineRule="auto"/>
        <w:ind w:firstLine="482"/>
      </w:pPr>
      <w:bookmarkStart w:id="55" w:name="_Toc11635"/>
      <w:bookmarkStart w:id="56" w:name="_Toc55548509"/>
      <w:r>
        <w:t>证明投标人合格和资格的文件</w:t>
      </w:r>
      <w:bookmarkEnd w:id="55"/>
      <w:bookmarkEnd w:id="56"/>
      <w:r>
        <w:t xml:space="preserve"> </w:t>
      </w:r>
    </w:p>
    <w:p w14:paraId="45C59084">
      <w:pPr>
        <w:spacing w:line="360" w:lineRule="auto"/>
        <w:ind w:firstLine="420" w:firstLineChars="200"/>
        <w:rPr>
          <w:rFonts w:asciiTheme="minorEastAsia" w:hAnsiTheme="minorEastAsia"/>
          <w:szCs w:val="21"/>
        </w:rPr>
      </w:pPr>
      <w:r>
        <w:rPr>
          <w:rFonts w:asciiTheme="minorEastAsia" w:hAnsiTheme="minorEastAsia"/>
          <w:szCs w:val="21"/>
        </w:rPr>
        <w:t>投标人应提交证明其有资格参加投标和中标后有能力履行合同的文件。</w:t>
      </w:r>
    </w:p>
    <w:p w14:paraId="4745EC06">
      <w:pPr>
        <w:spacing w:line="360" w:lineRule="auto"/>
        <w:ind w:firstLine="420" w:firstLineChars="200"/>
        <w:rPr>
          <w:rFonts w:asciiTheme="minorEastAsia" w:hAnsiTheme="minorEastAsia"/>
          <w:szCs w:val="21"/>
        </w:rPr>
      </w:pPr>
      <w:r>
        <w:rPr>
          <w:rFonts w:asciiTheme="minorEastAsia" w:hAnsiTheme="minorEastAsia"/>
          <w:szCs w:val="21"/>
        </w:rPr>
        <w:t>招标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14:paraId="607C7460">
      <w:pPr>
        <w:spacing w:line="360" w:lineRule="auto"/>
        <w:ind w:firstLine="420" w:firstLineChars="200"/>
        <w:rPr>
          <w:rFonts w:asciiTheme="minorEastAsia" w:hAnsiTheme="minorEastAsia"/>
          <w:szCs w:val="21"/>
        </w:rPr>
      </w:pPr>
      <w:r>
        <w:rPr>
          <w:rFonts w:asciiTheme="minorEastAsia" w:hAnsiTheme="minorEastAsia"/>
          <w:szCs w:val="21"/>
        </w:rPr>
        <w:t xml:space="preserve">投标人提交的证明其中标后能履行合同的资格证明文件应包括下列文件： </w:t>
      </w:r>
    </w:p>
    <w:p w14:paraId="21896AAF">
      <w:pPr>
        <w:spacing w:line="360" w:lineRule="auto"/>
        <w:ind w:firstLine="420" w:firstLineChars="200"/>
        <w:rPr>
          <w:rFonts w:asciiTheme="minorEastAsia" w:hAnsiTheme="minorEastAsia"/>
          <w:szCs w:val="21"/>
        </w:rPr>
      </w:pPr>
      <w:r>
        <w:rPr>
          <w:rFonts w:asciiTheme="minorEastAsia" w:hAnsiTheme="minorEastAsia"/>
          <w:szCs w:val="21"/>
        </w:rPr>
        <w:t>证明投标人销售资格的证明文件：制造商参加投标时，需在投标文件中注明其制造商身份；代理商参加投标时则须提交相应授权文件，授权文件包括制造商或上级代理商授权（上级代理商授权文件应可追溯至制造商授权文件，并有完整的证明资料）；招标文件对授权文件有特殊要求的，从其规定；</w:t>
      </w:r>
    </w:p>
    <w:p w14:paraId="2FCE6CF4">
      <w:pPr>
        <w:spacing w:line="360" w:lineRule="auto"/>
        <w:ind w:firstLine="420" w:firstLineChars="200"/>
        <w:rPr>
          <w:rFonts w:asciiTheme="minorEastAsia" w:hAnsiTheme="minorEastAsia"/>
          <w:szCs w:val="21"/>
        </w:rPr>
      </w:pPr>
      <w:r>
        <w:rPr>
          <w:rFonts w:asciiTheme="minorEastAsia" w:hAnsiTheme="minorEastAsia"/>
          <w:szCs w:val="21"/>
        </w:rPr>
        <w:t xml:space="preserve">证明投标人已具备履行合同所需的财务、技术和生产能力的文件； </w:t>
      </w:r>
    </w:p>
    <w:p w14:paraId="1D369B05">
      <w:pPr>
        <w:spacing w:line="360" w:lineRule="auto"/>
        <w:ind w:firstLine="420" w:firstLineChars="200"/>
        <w:rPr>
          <w:rFonts w:asciiTheme="minorEastAsia" w:hAnsiTheme="minorEastAsia"/>
          <w:szCs w:val="21"/>
        </w:rPr>
      </w:pPr>
      <w:r>
        <w:rPr>
          <w:rFonts w:asciiTheme="minorEastAsia" w:hAnsiTheme="minorEastAsia"/>
          <w:szCs w:val="21"/>
        </w:rPr>
        <w:t>证明投标人满足招标文件业绩要求的文件；</w:t>
      </w:r>
    </w:p>
    <w:p w14:paraId="52E5C224">
      <w:pPr>
        <w:spacing w:line="360" w:lineRule="auto"/>
        <w:ind w:firstLine="420" w:firstLineChars="200"/>
        <w:rPr>
          <w:rFonts w:asciiTheme="minorEastAsia" w:hAnsiTheme="minorEastAsia"/>
          <w:szCs w:val="21"/>
        </w:rPr>
      </w:pPr>
      <w:bookmarkStart w:id="57" w:name="_Ref179620846"/>
      <w:r>
        <w:rPr>
          <w:rFonts w:asciiTheme="minorEastAsia" w:hAnsiTheme="minorEastAsia"/>
          <w:szCs w:val="21"/>
        </w:rPr>
        <w:t>投标资料表要求的其它资格证明文件。</w:t>
      </w:r>
      <w:bookmarkEnd w:id="57"/>
    </w:p>
    <w:p w14:paraId="5355C92D">
      <w:pPr>
        <w:pStyle w:val="3"/>
        <w:spacing w:line="360" w:lineRule="auto"/>
        <w:ind w:firstLine="482"/>
      </w:pPr>
      <w:bookmarkStart w:id="58" w:name="_Toc28857"/>
      <w:bookmarkStart w:id="59" w:name="_Toc55548510"/>
      <w:r>
        <w:t>证明货物的合格性和符合招标文件规定的文件</w:t>
      </w:r>
      <w:bookmarkEnd w:id="58"/>
      <w:bookmarkEnd w:id="59"/>
    </w:p>
    <w:p w14:paraId="1D13A4FB">
      <w:pPr>
        <w:spacing w:line="360" w:lineRule="auto"/>
        <w:ind w:firstLine="420" w:firstLineChars="200"/>
        <w:rPr>
          <w:rFonts w:asciiTheme="minorEastAsia" w:hAnsiTheme="minorEastAsia"/>
          <w:szCs w:val="21"/>
        </w:rPr>
      </w:pPr>
      <w:r>
        <w:rPr>
          <w:rFonts w:asciiTheme="minorEastAsia" w:hAnsiTheme="minorEastAsia"/>
          <w:szCs w:val="21"/>
        </w:rPr>
        <w:t>投标人应提交证明文件，证明其拟供的合同项下的货物和服务的合格性符合招标文件规定。该证明文件作为投标文件的一部分。</w:t>
      </w:r>
    </w:p>
    <w:p w14:paraId="15ACFEAA">
      <w:pPr>
        <w:spacing w:line="360" w:lineRule="auto"/>
        <w:ind w:firstLine="420" w:firstLineChars="200"/>
        <w:rPr>
          <w:rFonts w:asciiTheme="minorEastAsia" w:hAnsiTheme="minorEastAsia"/>
          <w:szCs w:val="21"/>
        </w:rPr>
      </w:pPr>
      <w:r>
        <w:rPr>
          <w:rFonts w:asciiTheme="minorEastAsia" w:hAnsiTheme="minorEastAsia"/>
          <w:szCs w:val="21"/>
        </w:rPr>
        <w:t>上述所述的证明文件，可以是文字资料、图纸和数据，它包括：</w:t>
      </w:r>
    </w:p>
    <w:p w14:paraId="28B26C31">
      <w:pPr>
        <w:spacing w:line="360" w:lineRule="auto"/>
        <w:ind w:firstLine="420" w:firstLineChars="200"/>
        <w:rPr>
          <w:rFonts w:asciiTheme="minorEastAsia" w:hAnsiTheme="minorEastAsia"/>
          <w:szCs w:val="21"/>
        </w:rPr>
      </w:pPr>
      <w:r>
        <w:rPr>
          <w:rFonts w:asciiTheme="minorEastAsia" w:hAnsiTheme="minorEastAsia"/>
          <w:szCs w:val="21"/>
        </w:rPr>
        <w:t>货物主要技术指标和性能的详细说明；</w:t>
      </w:r>
    </w:p>
    <w:p w14:paraId="5FED62A0">
      <w:pPr>
        <w:spacing w:line="360" w:lineRule="auto"/>
        <w:ind w:firstLine="420" w:firstLineChars="200"/>
        <w:rPr>
          <w:rFonts w:asciiTheme="minorEastAsia" w:hAnsiTheme="minorEastAsia"/>
          <w:szCs w:val="21"/>
        </w:rPr>
      </w:pPr>
      <w:r>
        <w:rPr>
          <w:rFonts w:asciiTheme="minorEastAsia" w:hAnsiTheme="minorEastAsia"/>
          <w:szCs w:val="21"/>
        </w:rPr>
        <w:t>货物从招标人验收后开始使用至招标文件规定的保质期内正常、连续地使用所必须的备件和专用工具清单，包括备件和专用工具的货源及现行价格；</w:t>
      </w:r>
    </w:p>
    <w:p w14:paraId="30ED7143">
      <w:pPr>
        <w:spacing w:line="360" w:lineRule="auto"/>
        <w:ind w:firstLine="420" w:firstLineChars="200"/>
        <w:rPr>
          <w:rFonts w:asciiTheme="minorEastAsia" w:hAnsiTheme="minorEastAsia"/>
          <w:szCs w:val="21"/>
        </w:rPr>
      </w:pPr>
      <w:r>
        <w:rPr>
          <w:rFonts w:asciiTheme="minorEastAsia" w:hAnsiTheme="minorEastAsia"/>
          <w:szCs w:val="21"/>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201EE8B7">
      <w:pPr>
        <w:spacing w:line="360" w:lineRule="auto"/>
        <w:ind w:firstLine="420" w:firstLineChars="200"/>
        <w:rPr>
          <w:rFonts w:asciiTheme="minorEastAsia" w:hAnsiTheme="minorEastAsia"/>
          <w:szCs w:val="21"/>
        </w:rPr>
      </w:pPr>
      <w:r>
        <w:rPr>
          <w:rFonts w:asciiTheme="minorEastAsia" w:hAnsiTheme="minorEastAsia"/>
          <w:szCs w:val="21"/>
        </w:rPr>
        <w:t>投标人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5CD271FF">
      <w:pPr>
        <w:pStyle w:val="3"/>
        <w:spacing w:line="360" w:lineRule="auto"/>
        <w:ind w:firstLine="482"/>
      </w:pPr>
      <w:bookmarkStart w:id="60" w:name="_Toc55548511"/>
      <w:bookmarkStart w:id="61" w:name="_Toc1901"/>
      <w:r>
        <w:t>投标有效期</w:t>
      </w:r>
      <w:bookmarkEnd w:id="60"/>
      <w:bookmarkEnd w:id="61"/>
    </w:p>
    <w:p w14:paraId="106C2259">
      <w:pPr>
        <w:spacing w:line="360" w:lineRule="auto"/>
        <w:ind w:firstLine="420" w:firstLineChars="200"/>
        <w:rPr>
          <w:rFonts w:asciiTheme="minorEastAsia" w:hAnsiTheme="minorEastAsia"/>
          <w:szCs w:val="21"/>
        </w:rPr>
      </w:pPr>
      <w:bookmarkStart w:id="62" w:name="_Ref179620893"/>
      <w:r>
        <w:rPr>
          <w:rFonts w:asciiTheme="minorEastAsia" w:hAnsiTheme="minorEastAsia"/>
          <w:szCs w:val="21"/>
        </w:rPr>
        <w:t>投标有效期不足的投标将被视为非实质性响应，并予以拒绝。</w:t>
      </w:r>
      <w:bookmarkEnd w:id="62"/>
    </w:p>
    <w:p w14:paraId="1F6E7A97">
      <w:pPr>
        <w:spacing w:line="360" w:lineRule="auto"/>
        <w:ind w:firstLine="420" w:firstLineChars="200"/>
        <w:rPr>
          <w:rFonts w:asciiTheme="minorEastAsia" w:hAnsiTheme="minorEastAsia"/>
          <w:szCs w:val="21"/>
        </w:rPr>
      </w:pPr>
      <w:r>
        <w:rPr>
          <w:rFonts w:asciiTheme="minorEastAsia" w:hAnsiTheme="minorEastAsia"/>
          <w:szCs w:val="21"/>
        </w:rPr>
        <w:t>特殊情况下，在原投标有效期截止之前，招标</w:t>
      </w:r>
      <w:r>
        <w:rPr>
          <w:rFonts w:hint="eastAsia" w:asciiTheme="minorEastAsia" w:hAnsiTheme="minorEastAsia"/>
          <w:szCs w:val="21"/>
        </w:rPr>
        <w:t>人</w:t>
      </w:r>
      <w:r>
        <w:rPr>
          <w:rFonts w:asciiTheme="minorEastAsia" w:hAnsiTheme="minorEastAsia"/>
          <w:szCs w:val="21"/>
        </w:rPr>
        <w:t>可要求投标人延长投标有效期。该要求与答复均应以书面形式提交。投标人可拒绝</w:t>
      </w:r>
      <w:r>
        <w:rPr>
          <w:rFonts w:hint="eastAsia" w:asciiTheme="minorEastAsia" w:hAnsiTheme="minorEastAsia"/>
          <w:szCs w:val="21"/>
        </w:rPr>
        <w:t>招标人</w:t>
      </w:r>
      <w:r>
        <w:rPr>
          <w:rFonts w:asciiTheme="minorEastAsia" w:hAnsiTheme="minorEastAsia"/>
          <w:szCs w:val="21"/>
        </w:rPr>
        <w:t>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14:paraId="6C61A68E">
      <w:pPr>
        <w:pStyle w:val="3"/>
        <w:spacing w:line="360" w:lineRule="auto"/>
        <w:ind w:firstLine="482"/>
      </w:pPr>
      <w:bookmarkStart w:id="63" w:name="_Toc28446"/>
      <w:bookmarkStart w:id="64" w:name="_Toc55548512"/>
      <w:r>
        <w:t>投标文件的式样和签署</w:t>
      </w:r>
      <w:bookmarkEnd w:id="63"/>
      <w:bookmarkEnd w:id="64"/>
    </w:p>
    <w:p w14:paraId="793F7C29">
      <w:pPr>
        <w:spacing w:line="360" w:lineRule="auto"/>
        <w:ind w:firstLine="420" w:firstLineChars="200"/>
        <w:rPr>
          <w:rFonts w:asciiTheme="minorEastAsia" w:hAnsiTheme="minorEastAsia"/>
          <w:szCs w:val="21"/>
          <w:highlight w:val="yellow"/>
        </w:rPr>
      </w:pPr>
      <w:bookmarkStart w:id="65" w:name="_Ref179620912"/>
      <w:r>
        <w:rPr>
          <w:rFonts w:asciiTheme="minorEastAsia" w:hAnsiTheme="minorEastAsia"/>
          <w:szCs w:val="21"/>
          <w:highlight w:val="yellow"/>
        </w:rPr>
        <w:t>投标人应准备</w:t>
      </w:r>
      <w:r>
        <w:rPr>
          <w:rFonts w:asciiTheme="minorEastAsia" w:hAnsiTheme="minorEastAsia"/>
          <w:b/>
          <w:szCs w:val="21"/>
          <w:highlight w:val="yellow"/>
        </w:rPr>
        <w:t>一份</w:t>
      </w:r>
      <w:r>
        <w:rPr>
          <w:rFonts w:asciiTheme="minorEastAsia" w:hAnsiTheme="minorEastAsia"/>
          <w:szCs w:val="21"/>
          <w:highlight w:val="yellow"/>
        </w:rPr>
        <w:t>投标文件正本和</w:t>
      </w:r>
      <w:r>
        <w:rPr>
          <w:rFonts w:hint="eastAsia" w:asciiTheme="minorEastAsia" w:hAnsiTheme="minorEastAsia"/>
          <w:b/>
          <w:szCs w:val="21"/>
          <w:highlight w:val="yellow"/>
        </w:rPr>
        <w:t>两份</w:t>
      </w:r>
      <w:r>
        <w:rPr>
          <w:rFonts w:asciiTheme="minorEastAsia" w:hAnsiTheme="minorEastAsia"/>
          <w:szCs w:val="21"/>
          <w:highlight w:val="yellow"/>
        </w:rPr>
        <w:t>副本，每套投标文件须清楚地标明“正本”或“副本”。若副本与正本不符，以正本为准。</w:t>
      </w:r>
      <w:bookmarkEnd w:id="65"/>
    </w:p>
    <w:p w14:paraId="138B245D">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投标文件的正本需打印或用不褪色墨水书写，并由法定代表人或经其正式授权的代表签字并加盖单位印章。授权代表须持有书面的《法定代表人授权书》，并将其附在投标文件中。投标文件的副本可采用正本的复印件。</w:t>
      </w:r>
    </w:p>
    <w:p w14:paraId="5BFEB3D0">
      <w:pPr>
        <w:spacing w:line="360" w:lineRule="auto"/>
        <w:ind w:firstLine="420" w:firstLineChars="200"/>
        <w:rPr>
          <w:rFonts w:asciiTheme="minorEastAsia" w:hAnsiTheme="minorEastAsia"/>
          <w:szCs w:val="21"/>
        </w:rPr>
      </w:pPr>
      <w:r>
        <w:rPr>
          <w:rFonts w:asciiTheme="minorEastAsia" w:hAnsiTheme="minorEastAsia"/>
          <w:szCs w:val="21"/>
          <w:highlight w:val="yellow"/>
        </w:rPr>
        <w:t>任何行间插字、涂改和增删，必须由投标文件签字人用姓或首字母在旁边签字或由投标单位加盖公章才有效。</w:t>
      </w:r>
    </w:p>
    <w:p w14:paraId="55451CF6">
      <w:pPr>
        <w:pStyle w:val="3"/>
        <w:spacing w:line="360" w:lineRule="auto"/>
        <w:ind w:firstLine="482"/>
      </w:pPr>
      <w:bookmarkStart w:id="66" w:name="_Toc55548513"/>
      <w:bookmarkStart w:id="67" w:name="_Toc9436"/>
      <w:bookmarkStart w:id="68" w:name="_Toc26845"/>
      <w:r>
        <w:t>四、投标文件的递交</w:t>
      </w:r>
      <w:bookmarkEnd w:id="66"/>
      <w:bookmarkEnd w:id="67"/>
      <w:bookmarkEnd w:id="68"/>
    </w:p>
    <w:p w14:paraId="5774E082">
      <w:pPr>
        <w:pStyle w:val="3"/>
        <w:spacing w:line="360" w:lineRule="auto"/>
        <w:ind w:firstLine="482"/>
      </w:pPr>
      <w:bookmarkStart w:id="69" w:name="_Toc6626"/>
      <w:bookmarkStart w:id="70" w:name="_Toc55548514"/>
      <w:r>
        <w:t>投标文件的密封和标记</w:t>
      </w:r>
      <w:bookmarkEnd w:id="69"/>
      <w:bookmarkEnd w:id="70"/>
    </w:p>
    <w:p w14:paraId="39D5BE95">
      <w:pPr>
        <w:spacing w:line="360" w:lineRule="auto"/>
        <w:ind w:firstLine="420" w:firstLineChars="200"/>
        <w:rPr>
          <w:rFonts w:asciiTheme="minorEastAsia" w:hAnsiTheme="minorEastAsia"/>
          <w:szCs w:val="21"/>
          <w:highlight w:val="yellow"/>
        </w:rPr>
      </w:pPr>
      <w:bookmarkStart w:id="71" w:name="_Ref179620969"/>
      <w:r>
        <w:rPr>
          <w:rFonts w:asciiTheme="minorEastAsia" w:hAnsiTheme="minorEastAsia"/>
          <w:szCs w:val="21"/>
          <w:highlight w:val="yellow"/>
        </w:rPr>
        <w:t>投标人应将投标文件正本和所有的副本封装在一个信封中</w:t>
      </w:r>
      <w:r>
        <w:rPr>
          <w:rFonts w:hint="eastAsia" w:asciiTheme="minorEastAsia" w:hAnsiTheme="minorEastAsia"/>
          <w:szCs w:val="21"/>
          <w:highlight w:val="yellow"/>
        </w:rPr>
        <w:t>，</w:t>
      </w:r>
      <w:r>
        <w:rPr>
          <w:rFonts w:asciiTheme="minorEastAsia" w:hAnsiTheme="minorEastAsia"/>
          <w:szCs w:val="21"/>
          <w:highlight w:val="yellow"/>
        </w:rPr>
        <w:t>信封均应：</w:t>
      </w:r>
      <w:bookmarkEnd w:id="71"/>
      <w:r>
        <w:rPr>
          <w:rFonts w:asciiTheme="minorEastAsia" w:hAnsiTheme="minorEastAsia"/>
          <w:szCs w:val="21"/>
          <w:highlight w:val="yellow"/>
        </w:rPr>
        <w:t xml:space="preserve"> </w:t>
      </w:r>
    </w:p>
    <w:p w14:paraId="57FD2E6C">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1) 清楚标明递交至</w:t>
      </w:r>
      <w:r>
        <w:rPr>
          <w:rFonts w:hint="eastAsia" w:asciiTheme="minorEastAsia" w:hAnsiTheme="minorEastAsia"/>
          <w:b/>
          <w:szCs w:val="21"/>
          <w:highlight w:val="yellow"/>
        </w:rPr>
        <w:t>招标公告</w:t>
      </w:r>
      <w:r>
        <w:rPr>
          <w:rFonts w:asciiTheme="minorEastAsia" w:hAnsiTheme="minorEastAsia"/>
          <w:szCs w:val="21"/>
          <w:highlight w:val="yellow"/>
        </w:rPr>
        <w:t>指明的地址。</w:t>
      </w:r>
    </w:p>
    <w:p w14:paraId="26EACC56">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2) 清楚标明</w:t>
      </w:r>
      <w:r>
        <w:rPr>
          <w:rFonts w:hint="eastAsia" w:asciiTheme="minorEastAsia" w:hAnsiTheme="minorEastAsia"/>
          <w:b/>
          <w:szCs w:val="21"/>
          <w:highlight w:val="yellow"/>
        </w:rPr>
        <w:t>招标公告</w:t>
      </w:r>
      <w:r>
        <w:rPr>
          <w:rFonts w:asciiTheme="minorEastAsia" w:hAnsiTheme="minorEastAsia"/>
          <w:szCs w:val="21"/>
          <w:highlight w:val="yellow"/>
        </w:rPr>
        <w:t>中指明的项目名称、包号（如果分包的话）、招标编号和“在</w:t>
      </w:r>
      <w:r>
        <w:rPr>
          <w:rFonts w:asciiTheme="minorEastAsia" w:hAnsiTheme="minorEastAsia"/>
          <w:i/>
          <w:szCs w:val="21"/>
          <w:highlight w:val="yellow"/>
          <w:u w:val="single"/>
        </w:rPr>
        <w:t>(开标日期、时间)</w:t>
      </w:r>
      <w:r>
        <w:rPr>
          <w:rFonts w:asciiTheme="minorEastAsia" w:hAnsiTheme="minorEastAsia"/>
          <w:szCs w:val="21"/>
          <w:highlight w:val="yellow"/>
        </w:rPr>
        <w:t>之前不得启封”的字样，并填入</w:t>
      </w:r>
      <w:r>
        <w:rPr>
          <w:rFonts w:hint="eastAsia" w:asciiTheme="minorEastAsia" w:hAnsiTheme="minorEastAsia"/>
          <w:b/>
          <w:szCs w:val="21"/>
          <w:highlight w:val="yellow"/>
        </w:rPr>
        <w:t>招标公告</w:t>
      </w:r>
      <w:r>
        <w:rPr>
          <w:rFonts w:asciiTheme="minorEastAsia" w:hAnsiTheme="minorEastAsia"/>
          <w:szCs w:val="21"/>
          <w:highlight w:val="yellow"/>
        </w:rPr>
        <w:t>中规定的开标日期和时间。</w:t>
      </w:r>
    </w:p>
    <w:p w14:paraId="18ADD6B0">
      <w:pPr>
        <w:spacing w:line="360" w:lineRule="auto"/>
        <w:ind w:firstLine="420" w:firstLineChars="200"/>
        <w:rPr>
          <w:rFonts w:asciiTheme="minorEastAsia" w:hAnsiTheme="minorEastAsia"/>
          <w:szCs w:val="21"/>
          <w:highlight w:val="yellow"/>
        </w:rPr>
      </w:pPr>
      <w:r>
        <w:rPr>
          <w:rFonts w:asciiTheme="minorEastAsia" w:hAnsiTheme="minorEastAsia"/>
          <w:szCs w:val="21"/>
          <w:highlight w:val="yellow"/>
        </w:rPr>
        <w:t>3) 清楚标明投标单位名称并在信封的封装处加盖投标人公章。</w:t>
      </w:r>
    </w:p>
    <w:p w14:paraId="6011D070">
      <w:pPr>
        <w:spacing w:line="360" w:lineRule="auto"/>
        <w:ind w:firstLine="420" w:firstLineChars="200"/>
        <w:rPr>
          <w:rFonts w:asciiTheme="minorEastAsia" w:hAnsiTheme="minorEastAsia"/>
          <w:szCs w:val="21"/>
        </w:rPr>
      </w:pPr>
      <w:r>
        <w:rPr>
          <w:rFonts w:asciiTheme="minorEastAsia" w:hAnsiTheme="minorEastAsia"/>
          <w:szCs w:val="21"/>
          <w:highlight w:val="yellow"/>
        </w:rPr>
        <w:t>内层信封应写明投标人名称和地址，以便将迟交的投标文件能原封退回。</w:t>
      </w:r>
    </w:p>
    <w:p w14:paraId="267642DD">
      <w:pPr>
        <w:spacing w:line="360" w:lineRule="auto"/>
        <w:ind w:firstLine="420" w:firstLineChars="200"/>
        <w:rPr>
          <w:rFonts w:asciiTheme="minorEastAsia" w:hAnsiTheme="minorEastAsia"/>
          <w:szCs w:val="21"/>
        </w:rPr>
      </w:pPr>
      <w:r>
        <w:rPr>
          <w:rFonts w:asciiTheme="minorEastAsia" w:hAnsiTheme="minorEastAsia"/>
          <w:szCs w:val="21"/>
        </w:rPr>
        <w:t>如果投标人未按本须知要求加写标记和密封，招标</w:t>
      </w:r>
      <w:r>
        <w:rPr>
          <w:rFonts w:hint="eastAsia" w:asciiTheme="minorEastAsia" w:hAnsiTheme="minorEastAsia"/>
          <w:szCs w:val="21"/>
        </w:rPr>
        <w:t>人</w:t>
      </w:r>
      <w:r>
        <w:rPr>
          <w:rFonts w:asciiTheme="minorEastAsia" w:hAnsiTheme="minorEastAsia"/>
          <w:szCs w:val="21"/>
        </w:rPr>
        <w:t>对投标文件的误投或提前启封概不负责。</w:t>
      </w:r>
    </w:p>
    <w:p w14:paraId="21EFDA86">
      <w:pPr>
        <w:spacing w:line="360" w:lineRule="auto"/>
        <w:ind w:firstLine="420" w:firstLineChars="200"/>
        <w:rPr>
          <w:rFonts w:asciiTheme="minorEastAsia" w:hAnsiTheme="minorEastAsia"/>
          <w:szCs w:val="21"/>
        </w:rPr>
      </w:pPr>
      <w:r>
        <w:rPr>
          <w:rFonts w:asciiTheme="minorEastAsia" w:hAnsiTheme="minorEastAsia"/>
          <w:szCs w:val="21"/>
        </w:rPr>
        <w:t>投标人同时参加几个包投标时必须按招标文件要求按包号分别制作投标文件，分别密封递交。</w:t>
      </w:r>
    </w:p>
    <w:p w14:paraId="099F100A">
      <w:pPr>
        <w:pStyle w:val="3"/>
        <w:spacing w:line="360" w:lineRule="auto"/>
        <w:ind w:firstLine="482"/>
      </w:pPr>
      <w:bookmarkStart w:id="72" w:name="_Toc55548515"/>
      <w:bookmarkStart w:id="73" w:name="_Toc8701"/>
      <w:r>
        <w:t>投标样品</w:t>
      </w:r>
      <w:bookmarkEnd w:id="72"/>
      <w:bookmarkEnd w:id="73"/>
    </w:p>
    <w:p w14:paraId="3636FC71">
      <w:pPr>
        <w:spacing w:line="360" w:lineRule="auto"/>
        <w:ind w:firstLine="420" w:firstLineChars="200"/>
        <w:rPr>
          <w:rFonts w:asciiTheme="minorEastAsia" w:hAnsiTheme="minorEastAsia"/>
          <w:szCs w:val="21"/>
        </w:rPr>
      </w:pPr>
      <w:r>
        <w:rPr>
          <w:rFonts w:asciiTheme="minorEastAsia" w:hAnsiTheme="minorEastAsia"/>
          <w:szCs w:val="21"/>
        </w:rPr>
        <w:t>如有必要，招标</w:t>
      </w:r>
      <w:r>
        <w:rPr>
          <w:rFonts w:hint="eastAsia" w:asciiTheme="minorEastAsia" w:hAnsiTheme="minorEastAsia"/>
          <w:szCs w:val="21"/>
        </w:rPr>
        <w:t>人</w:t>
      </w:r>
      <w:r>
        <w:rPr>
          <w:rFonts w:asciiTheme="minorEastAsia" w:hAnsiTheme="minorEastAsia"/>
          <w:szCs w:val="21"/>
        </w:rPr>
        <w:t>可以要求投标人提供能反映货物材质或关键部分的极少部分的尺寸、价值不大的样品，投标人在投标时应提交《样品清单》。</w:t>
      </w:r>
    </w:p>
    <w:p w14:paraId="767F465A">
      <w:pPr>
        <w:spacing w:line="360" w:lineRule="auto"/>
        <w:ind w:firstLine="420" w:firstLineChars="200"/>
        <w:rPr>
          <w:rFonts w:asciiTheme="minorEastAsia" w:hAnsiTheme="minorEastAsia"/>
          <w:szCs w:val="21"/>
        </w:rPr>
      </w:pPr>
      <w:r>
        <w:rPr>
          <w:rFonts w:asciiTheme="minorEastAsia" w:hAnsiTheme="minorEastAsia"/>
          <w:szCs w:val="21"/>
        </w:rPr>
        <w:t>为方便评标，投标人在提供样品时，应使用透明的外包装或尽量少用外包装，但必须在所提供的样品表面显著位置标注投标人的名称、包号、样品名称、招标文件规定的货物编号。</w:t>
      </w:r>
    </w:p>
    <w:p w14:paraId="0BBAD998">
      <w:pPr>
        <w:spacing w:line="360" w:lineRule="auto"/>
        <w:ind w:firstLine="420" w:firstLineChars="200"/>
        <w:rPr>
          <w:rFonts w:asciiTheme="minorEastAsia" w:hAnsiTheme="minorEastAsia"/>
          <w:szCs w:val="21"/>
        </w:rPr>
      </w:pPr>
      <w:r>
        <w:rPr>
          <w:rFonts w:asciiTheme="minorEastAsia" w:hAnsiTheme="minorEastAsia"/>
          <w:szCs w:val="21"/>
        </w:rPr>
        <w:t>样品作为投标文件的一部分，除非另有说明，中标单位的样品不再退还，未中标单位须在中标公告发布后五个工作日内，前往</w:t>
      </w:r>
      <w:r>
        <w:rPr>
          <w:rFonts w:hint="eastAsia" w:asciiTheme="minorEastAsia" w:hAnsiTheme="minorEastAsia"/>
          <w:szCs w:val="21"/>
        </w:rPr>
        <w:t>本中心</w:t>
      </w:r>
      <w:r>
        <w:rPr>
          <w:rFonts w:asciiTheme="minorEastAsia" w:hAnsiTheme="minorEastAsia"/>
          <w:szCs w:val="21"/>
        </w:rPr>
        <w:t>领取投标样品，逾期不领，</w:t>
      </w:r>
      <w:r>
        <w:rPr>
          <w:rFonts w:hint="eastAsia" w:asciiTheme="minorEastAsia" w:hAnsiTheme="minorEastAsia"/>
          <w:szCs w:val="21"/>
        </w:rPr>
        <w:t>本中心</w:t>
      </w:r>
      <w:r>
        <w:rPr>
          <w:rFonts w:asciiTheme="minorEastAsia" w:hAnsiTheme="minorEastAsia"/>
          <w:szCs w:val="21"/>
        </w:rPr>
        <w:t>将不承担样品的保管责任，由此引发的样品丢失、毁损，招标</w:t>
      </w:r>
      <w:r>
        <w:rPr>
          <w:rFonts w:hint="eastAsia" w:asciiTheme="minorEastAsia" w:hAnsiTheme="minorEastAsia"/>
          <w:szCs w:val="21"/>
        </w:rPr>
        <w:t>人</w:t>
      </w:r>
      <w:r>
        <w:rPr>
          <w:rFonts w:asciiTheme="minorEastAsia" w:hAnsiTheme="minorEastAsia"/>
          <w:szCs w:val="21"/>
        </w:rPr>
        <w:t>不予负责。</w:t>
      </w:r>
    </w:p>
    <w:p w14:paraId="1A3A491A">
      <w:pPr>
        <w:pStyle w:val="3"/>
        <w:spacing w:line="360" w:lineRule="auto"/>
        <w:ind w:firstLine="482"/>
      </w:pPr>
      <w:bookmarkStart w:id="74" w:name="_Toc55548516"/>
      <w:bookmarkStart w:id="75" w:name="_Ref179619638"/>
      <w:bookmarkStart w:id="76" w:name="_Toc5724"/>
      <w:r>
        <w:t>投标截止期</w:t>
      </w:r>
      <w:bookmarkEnd w:id="74"/>
      <w:bookmarkEnd w:id="75"/>
      <w:bookmarkEnd w:id="76"/>
    </w:p>
    <w:p w14:paraId="49133CB7">
      <w:pPr>
        <w:spacing w:line="360" w:lineRule="auto"/>
        <w:ind w:firstLine="420" w:firstLineChars="200"/>
        <w:rPr>
          <w:rFonts w:asciiTheme="minorEastAsia" w:hAnsiTheme="minorEastAsia"/>
          <w:szCs w:val="21"/>
        </w:rPr>
      </w:pPr>
      <w:bookmarkStart w:id="77" w:name="_Ref179621022"/>
      <w:r>
        <w:rPr>
          <w:rFonts w:asciiTheme="minorEastAsia" w:hAnsiTheme="minorEastAsia"/>
          <w:szCs w:val="21"/>
        </w:rPr>
        <w:t>投标人应在不迟于</w:t>
      </w:r>
      <w:r>
        <w:rPr>
          <w:rFonts w:hint="eastAsia" w:asciiTheme="minorEastAsia" w:hAnsiTheme="minorEastAsia"/>
          <w:b/>
          <w:szCs w:val="21"/>
        </w:rPr>
        <w:t>招标公告</w:t>
      </w:r>
      <w:r>
        <w:rPr>
          <w:rFonts w:asciiTheme="minorEastAsia" w:hAnsiTheme="minorEastAsia"/>
          <w:szCs w:val="21"/>
        </w:rPr>
        <w:t>中规定的截止日期和时间将投标文件递交至</w:t>
      </w:r>
      <w:r>
        <w:rPr>
          <w:rFonts w:hint="eastAsia" w:asciiTheme="minorEastAsia" w:hAnsiTheme="minorEastAsia"/>
          <w:szCs w:val="21"/>
        </w:rPr>
        <w:t>本中心</w:t>
      </w:r>
      <w:r>
        <w:rPr>
          <w:rFonts w:asciiTheme="minorEastAsia" w:hAnsiTheme="minorEastAsia"/>
          <w:szCs w:val="21"/>
        </w:rPr>
        <w:t>，递交地点应是</w:t>
      </w:r>
      <w:r>
        <w:rPr>
          <w:rFonts w:hint="eastAsia" w:asciiTheme="minorEastAsia" w:hAnsiTheme="minorEastAsia"/>
          <w:b/>
          <w:szCs w:val="21"/>
        </w:rPr>
        <w:t>招标公告</w:t>
      </w:r>
      <w:r>
        <w:rPr>
          <w:rFonts w:asciiTheme="minorEastAsia" w:hAnsiTheme="minorEastAsia"/>
          <w:szCs w:val="21"/>
        </w:rPr>
        <w:t>中指明的地址。</w:t>
      </w:r>
      <w:bookmarkEnd w:id="77"/>
    </w:p>
    <w:p w14:paraId="020D2342">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 xml:space="preserve">可以通过修改招标文件自行决定酌情推迟投标截止期。在此情况下，招标人和投标人受投标截止期制约的所有权利和义务均应延长至新的截止期。 </w:t>
      </w:r>
    </w:p>
    <w:p w14:paraId="4D0E483C">
      <w:pPr>
        <w:pStyle w:val="3"/>
        <w:spacing w:line="360" w:lineRule="auto"/>
        <w:ind w:firstLine="482"/>
      </w:pPr>
      <w:bookmarkStart w:id="78" w:name="_Ref179619679"/>
      <w:bookmarkStart w:id="79" w:name="_Toc3231"/>
      <w:bookmarkStart w:id="80" w:name="_Toc55548517"/>
      <w:r>
        <w:t>迟交的投标文件</w:t>
      </w:r>
      <w:bookmarkEnd w:id="78"/>
      <w:bookmarkEnd w:id="79"/>
      <w:bookmarkEnd w:id="80"/>
    </w:p>
    <w:p w14:paraId="37F5F48D">
      <w:pPr>
        <w:spacing w:line="360" w:lineRule="auto"/>
        <w:ind w:firstLine="420" w:firstLineChars="200"/>
        <w:rPr>
          <w:rFonts w:asciiTheme="minorEastAsia" w:hAnsiTheme="minorEastAsia"/>
          <w:szCs w:val="21"/>
        </w:rPr>
      </w:pPr>
      <w:r>
        <w:rPr>
          <w:rFonts w:hint="eastAsia" w:asciiTheme="minorEastAsia" w:hAnsiTheme="minorEastAsia"/>
          <w:szCs w:val="21"/>
        </w:rPr>
        <w:t>本中心</w:t>
      </w:r>
      <w:r>
        <w:rPr>
          <w:rFonts w:asciiTheme="minorEastAsia" w:hAnsiTheme="minorEastAsia"/>
          <w:szCs w:val="21"/>
        </w:rPr>
        <w:t>将拒绝并原封退回在</w:t>
      </w:r>
      <w:r>
        <w:rPr>
          <w:rFonts w:hint="eastAsia" w:asciiTheme="minorEastAsia" w:hAnsiTheme="minorEastAsia"/>
          <w:szCs w:val="21"/>
        </w:rPr>
        <w:t>招标公告</w:t>
      </w:r>
      <w:r>
        <w:rPr>
          <w:rFonts w:asciiTheme="minorEastAsia" w:hAnsiTheme="minorEastAsia"/>
          <w:szCs w:val="21"/>
        </w:rPr>
        <w:t>的截止期后收到的任何投标文件。</w:t>
      </w:r>
    </w:p>
    <w:p w14:paraId="71B38C07">
      <w:pPr>
        <w:pStyle w:val="3"/>
        <w:spacing w:line="360" w:lineRule="auto"/>
        <w:ind w:firstLine="482"/>
      </w:pPr>
      <w:bookmarkStart w:id="81" w:name="_Ref179619013"/>
      <w:bookmarkStart w:id="82" w:name="_Toc865"/>
      <w:bookmarkStart w:id="83" w:name="_Toc55548518"/>
      <w:r>
        <w:t>投标文件的修改与撤回</w:t>
      </w:r>
      <w:bookmarkEnd w:id="81"/>
      <w:bookmarkEnd w:id="82"/>
      <w:bookmarkEnd w:id="83"/>
    </w:p>
    <w:p w14:paraId="100FDB56">
      <w:pPr>
        <w:spacing w:line="360" w:lineRule="auto"/>
        <w:ind w:firstLine="420" w:firstLineChars="200"/>
        <w:rPr>
          <w:rFonts w:asciiTheme="minorEastAsia" w:hAnsiTheme="minorEastAsia"/>
          <w:szCs w:val="21"/>
        </w:rPr>
      </w:pPr>
      <w:r>
        <w:rPr>
          <w:rFonts w:asciiTheme="minorEastAsia" w:hAnsiTheme="minorEastAsia"/>
          <w:szCs w:val="21"/>
        </w:rPr>
        <w:t>投标人在递交投标文件后，可以修改或撤回其投标，但投标人必须在规定的投标截止期之前将修改或撤回的书面通知递交到</w:t>
      </w:r>
      <w:r>
        <w:rPr>
          <w:rFonts w:hint="eastAsia" w:asciiTheme="minorEastAsia" w:hAnsiTheme="minorEastAsia"/>
          <w:szCs w:val="21"/>
        </w:rPr>
        <w:t>本中心</w:t>
      </w:r>
      <w:r>
        <w:rPr>
          <w:rFonts w:asciiTheme="minorEastAsia" w:hAnsiTheme="minorEastAsia"/>
          <w:szCs w:val="21"/>
        </w:rPr>
        <w:t>。</w:t>
      </w:r>
    </w:p>
    <w:p w14:paraId="4B5E3035">
      <w:pPr>
        <w:spacing w:line="360" w:lineRule="auto"/>
        <w:ind w:firstLine="420" w:firstLineChars="200"/>
        <w:rPr>
          <w:rFonts w:asciiTheme="minorEastAsia" w:hAnsiTheme="minorEastAsia"/>
          <w:szCs w:val="21"/>
        </w:rPr>
      </w:pPr>
      <w:r>
        <w:rPr>
          <w:rFonts w:asciiTheme="minorEastAsia" w:hAnsiTheme="minorEastAsia"/>
          <w:szCs w:val="21"/>
        </w:rPr>
        <w:t>投标人的修改或撤回通知应按本须知规定编制、密封、标记和递交。</w:t>
      </w:r>
    </w:p>
    <w:p w14:paraId="776C4368">
      <w:pPr>
        <w:spacing w:line="360" w:lineRule="auto"/>
        <w:ind w:firstLine="420" w:firstLineChars="200"/>
        <w:rPr>
          <w:rFonts w:asciiTheme="minorEastAsia" w:hAnsiTheme="minorEastAsia"/>
          <w:szCs w:val="21"/>
        </w:rPr>
      </w:pPr>
      <w:r>
        <w:rPr>
          <w:rFonts w:asciiTheme="minorEastAsia" w:hAnsiTheme="minorEastAsia"/>
          <w:szCs w:val="21"/>
        </w:rPr>
        <w:t>在投标截止期之后，投标人不得对其投标做任何修改。</w:t>
      </w:r>
    </w:p>
    <w:p w14:paraId="0F62EB0A">
      <w:pPr>
        <w:spacing w:line="360" w:lineRule="auto"/>
        <w:ind w:firstLine="420" w:firstLineChars="200"/>
        <w:rPr>
          <w:rFonts w:asciiTheme="minorEastAsia" w:hAnsiTheme="minorEastAsia"/>
          <w:szCs w:val="21"/>
        </w:rPr>
      </w:pPr>
      <w:r>
        <w:rPr>
          <w:rFonts w:asciiTheme="minorEastAsia" w:hAnsiTheme="minorEastAsia"/>
          <w:szCs w:val="21"/>
        </w:rPr>
        <w:t>从投标截止期至投标人在投标书中确定的投标有效期期满的这段时间内，投标人不得撤回其投标，否则其投标保证金将按照本须知的规定被没收。</w:t>
      </w:r>
    </w:p>
    <w:p w14:paraId="60DF94A8">
      <w:pPr>
        <w:pStyle w:val="3"/>
        <w:spacing w:line="360" w:lineRule="auto"/>
        <w:ind w:firstLine="482"/>
      </w:pPr>
      <w:bookmarkStart w:id="84" w:name="_Toc55548519"/>
      <w:bookmarkStart w:id="85" w:name="_Toc22375"/>
      <w:r>
        <w:t>投标文件的退还</w:t>
      </w:r>
      <w:bookmarkEnd w:id="84"/>
      <w:bookmarkEnd w:id="85"/>
    </w:p>
    <w:p w14:paraId="7C56C971">
      <w:pPr>
        <w:spacing w:line="360" w:lineRule="auto"/>
        <w:ind w:firstLine="420" w:firstLineChars="200"/>
        <w:rPr>
          <w:rFonts w:asciiTheme="minorEastAsia" w:hAnsiTheme="minorEastAsia"/>
          <w:szCs w:val="21"/>
        </w:rPr>
      </w:pPr>
      <w:r>
        <w:rPr>
          <w:rFonts w:asciiTheme="minorEastAsia" w:hAnsiTheme="minorEastAsia"/>
          <w:szCs w:val="21"/>
        </w:rPr>
        <w:t>除非招标文件另有规定或说明，投标文件一律不予退还。</w:t>
      </w:r>
    </w:p>
    <w:p w14:paraId="287B0124">
      <w:pPr>
        <w:pStyle w:val="4"/>
        <w:ind w:firstLine="482"/>
      </w:pPr>
      <w:bookmarkStart w:id="86" w:name="_Toc9126"/>
      <w:bookmarkStart w:id="87" w:name="_Toc55548520"/>
      <w:bookmarkStart w:id="88" w:name="_Toc27271"/>
      <w:r>
        <w:t>五、开标与评标</w:t>
      </w:r>
      <w:bookmarkEnd w:id="86"/>
      <w:bookmarkEnd w:id="87"/>
      <w:bookmarkEnd w:id="88"/>
    </w:p>
    <w:p w14:paraId="11E79D1E">
      <w:pPr>
        <w:pStyle w:val="3"/>
        <w:spacing w:line="360" w:lineRule="auto"/>
        <w:ind w:firstLine="482"/>
      </w:pPr>
      <w:bookmarkStart w:id="89" w:name="_Toc21095"/>
      <w:bookmarkStart w:id="90" w:name="_Toc55548521"/>
      <w:r>
        <w:t>开标</w:t>
      </w:r>
      <w:bookmarkEnd w:id="89"/>
      <w:bookmarkEnd w:id="90"/>
    </w:p>
    <w:p w14:paraId="7D8355F8">
      <w:pPr>
        <w:spacing w:line="360" w:lineRule="auto"/>
        <w:ind w:firstLine="420" w:firstLineChars="200"/>
        <w:rPr>
          <w:rFonts w:asciiTheme="minorEastAsia" w:hAnsiTheme="minorEastAsia"/>
          <w:szCs w:val="21"/>
        </w:rPr>
      </w:pPr>
      <w:bookmarkStart w:id="91" w:name="_Ref179621054"/>
      <w:r>
        <w:rPr>
          <w:rFonts w:hint="eastAsia" w:asciiTheme="minorEastAsia" w:hAnsiTheme="minorEastAsia"/>
          <w:szCs w:val="21"/>
        </w:rPr>
        <w:t>本中心</w:t>
      </w:r>
      <w:r>
        <w:rPr>
          <w:rFonts w:asciiTheme="minorEastAsia" w:hAnsiTheme="minorEastAsia"/>
          <w:szCs w:val="21"/>
        </w:rPr>
        <w:t>在</w:t>
      </w:r>
      <w:r>
        <w:rPr>
          <w:rFonts w:hint="eastAsia" w:asciiTheme="minorEastAsia" w:hAnsiTheme="minorEastAsia"/>
          <w:b/>
          <w:szCs w:val="21"/>
        </w:rPr>
        <w:t>招标公告</w:t>
      </w:r>
      <w:r>
        <w:rPr>
          <w:rFonts w:asciiTheme="minorEastAsia" w:hAnsiTheme="minorEastAsia"/>
          <w:szCs w:val="21"/>
        </w:rPr>
        <w:t>中规定的日期、时间和地点组织公开开标。投标人代表均须按时参加开标会。参加开标的投标人代表应签名报到以证明其出席。</w:t>
      </w:r>
      <w:bookmarkEnd w:id="91"/>
    </w:p>
    <w:p w14:paraId="328615A3">
      <w:pPr>
        <w:spacing w:line="360" w:lineRule="auto"/>
        <w:ind w:firstLine="420" w:firstLineChars="200"/>
        <w:rPr>
          <w:rFonts w:asciiTheme="minorEastAsia" w:hAnsiTheme="minorEastAsia"/>
          <w:szCs w:val="21"/>
        </w:rPr>
      </w:pPr>
      <w:r>
        <w:rPr>
          <w:rFonts w:asciiTheme="minorEastAsia" w:hAnsiTheme="minorEastAsia"/>
          <w:szCs w:val="21"/>
        </w:rPr>
        <w:t>开标时，招标</w:t>
      </w:r>
      <w:r>
        <w:rPr>
          <w:rFonts w:hint="eastAsia" w:asciiTheme="minorEastAsia" w:hAnsiTheme="minorEastAsia"/>
          <w:szCs w:val="21"/>
        </w:rPr>
        <w:t>人</w:t>
      </w:r>
      <w:r>
        <w:rPr>
          <w:rFonts w:asciiTheme="minorEastAsia" w:hAnsiTheme="minorEastAsia"/>
          <w:szCs w:val="21"/>
        </w:rPr>
        <w:t>当众宣读投标人名称、修改和撤回投标的通知、投标价格、是否提交了投标保证金，以及招标</w:t>
      </w:r>
      <w:r>
        <w:rPr>
          <w:rFonts w:hint="eastAsia" w:asciiTheme="minorEastAsia" w:hAnsiTheme="minorEastAsia"/>
          <w:szCs w:val="21"/>
        </w:rPr>
        <w:t>人</w:t>
      </w:r>
      <w:r>
        <w:rPr>
          <w:rFonts w:asciiTheme="minorEastAsia" w:hAnsiTheme="minorEastAsia"/>
          <w:szCs w:val="21"/>
        </w:rPr>
        <w:t>认为合适的其他内容。除了按照本须知的规定原封退回迟到的投标之外，开标时将不得拒绝任何已购买招标文件的投标人的投标。</w:t>
      </w:r>
    </w:p>
    <w:p w14:paraId="5CF8E282">
      <w:pPr>
        <w:pStyle w:val="3"/>
        <w:spacing w:line="360" w:lineRule="auto"/>
        <w:ind w:firstLine="482"/>
      </w:pPr>
      <w:bookmarkStart w:id="92" w:name="_Toc55548522"/>
      <w:bookmarkStart w:id="93" w:name="_Toc1622"/>
      <w:r>
        <w:t>资格核查</w:t>
      </w:r>
      <w:bookmarkEnd w:id="92"/>
      <w:bookmarkEnd w:id="93"/>
    </w:p>
    <w:p w14:paraId="53167C54">
      <w:pPr>
        <w:spacing w:line="360" w:lineRule="auto"/>
        <w:ind w:firstLine="420" w:firstLineChars="200"/>
        <w:rPr>
          <w:rFonts w:asciiTheme="minorEastAsia" w:hAnsiTheme="minorEastAsia"/>
          <w:szCs w:val="21"/>
        </w:rPr>
      </w:pPr>
      <w:r>
        <w:rPr>
          <w:rFonts w:asciiTheme="minorEastAsia" w:hAnsiTheme="minorEastAsia"/>
          <w:szCs w:val="21"/>
        </w:rPr>
        <w:t>开标后，招标</w:t>
      </w:r>
      <w:r>
        <w:rPr>
          <w:rFonts w:hint="eastAsia" w:asciiTheme="minorEastAsia" w:hAnsiTheme="minorEastAsia"/>
          <w:szCs w:val="21"/>
        </w:rPr>
        <w:t>人</w:t>
      </w:r>
      <w:r>
        <w:rPr>
          <w:rFonts w:asciiTheme="minorEastAsia" w:hAnsiTheme="minorEastAsia"/>
          <w:szCs w:val="21"/>
        </w:rPr>
        <w:t>就投标文件中的资格证明等内容对投标供应商进行资格核查，核查不合格的，认定其投标无效。核查合格的投标文件提交评标委员会进行评审。</w:t>
      </w:r>
    </w:p>
    <w:p w14:paraId="20AC79F6">
      <w:pPr>
        <w:spacing w:line="360" w:lineRule="auto"/>
        <w:ind w:firstLine="422" w:firstLineChars="200"/>
        <w:rPr>
          <w:rFonts w:asciiTheme="minorEastAsia" w:hAnsiTheme="minorEastAsia"/>
          <w:b/>
          <w:szCs w:val="21"/>
        </w:rPr>
      </w:pPr>
      <w:r>
        <w:rPr>
          <w:rFonts w:asciiTheme="minorEastAsia" w:hAnsiTheme="minorEastAsia"/>
          <w:b/>
          <w:szCs w:val="21"/>
        </w:rPr>
        <w:t>1) 资格瑕疵</w:t>
      </w:r>
    </w:p>
    <w:p w14:paraId="13CF84DF">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资格证明文件未提供或不符合招标文件要求的；</w:t>
      </w:r>
      <w:r>
        <w:rPr>
          <w:rFonts w:hint="eastAsia" w:cs="宋体" w:asciiTheme="minorEastAsia" w:hAnsiTheme="minorEastAsia"/>
          <w:szCs w:val="21"/>
        </w:rPr>
        <w:t>②</w:t>
      </w:r>
      <w:r>
        <w:rPr>
          <w:rFonts w:asciiTheme="minorEastAsia" w:hAnsiTheme="minorEastAsia"/>
          <w:szCs w:val="21"/>
        </w:rPr>
        <w:t>投标人及其制造商与招标人有利害关系的。</w:t>
      </w:r>
    </w:p>
    <w:p w14:paraId="1B2922D3">
      <w:pPr>
        <w:pStyle w:val="3"/>
        <w:spacing w:line="360" w:lineRule="auto"/>
        <w:ind w:firstLine="482"/>
      </w:pPr>
      <w:bookmarkStart w:id="94" w:name="_Toc55548523"/>
      <w:bookmarkStart w:id="95" w:name="_Toc31201"/>
      <w:r>
        <w:t>评标委员会和评标方法</w:t>
      </w:r>
      <w:bookmarkEnd w:id="94"/>
      <w:bookmarkEnd w:id="95"/>
    </w:p>
    <w:p w14:paraId="1429BAE4">
      <w:pPr>
        <w:spacing w:line="360" w:lineRule="auto"/>
        <w:ind w:firstLine="420" w:firstLineChars="200"/>
        <w:rPr>
          <w:rFonts w:asciiTheme="minorEastAsia" w:hAnsiTheme="minorEastAsia"/>
          <w:szCs w:val="21"/>
        </w:rPr>
      </w:pPr>
      <w:r>
        <w:rPr>
          <w:rFonts w:asciiTheme="minorEastAsia" w:hAnsiTheme="minorEastAsia"/>
          <w:szCs w:val="21"/>
        </w:rPr>
        <w:t>评标委员会根据招标项目的特点进行组建，并负责评标工作。评标委员会由招标人代表和有关技术、经济等方面的专家组成，成员人数为五人或五人以上单数。其中技术、经济等方面的专家不少于成员总数的三分之二。</w:t>
      </w:r>
    </w:p>
    <w:p w14:paraId="1FF3862F">
      <w:pPr>
        <w:spacing w:line="360" w:lineRule="auto"/>
        <w:ind w:firstLine="420" w:firstLineChars="200"/>
        <w:rPr>
          <w:rFonts w:asciiTheme="minorEastAsia" w:hAnsiTheme="minorEastAsia"/>
          <w:szCs w:val="21"/>
        </w:rPr>
      </w:pPr>
      <w:bookmarkStart w:id="96" w:name="_Ref179621079"/>
      <w:r>
        <w:rPr>
          <w:rFonts w:asciiTheme="minorEastAsia" w:hAnsiTheme="minorEastAsia"/>
          <w:szCs w:val="21"/>
        </w:rPr>
        <w:t>依照有关规定，货物或服务招标采购的评标方法分为最低评标价法、综合评分法和性价比法三种基本方法。评标委员会将按照</w:t>
      </w:r>
      <w:r>
        <w:rPr>
          <w:rFonts w:hint="eastAsia" w:asciiTheme="minorEastAsia" w:hAnsiTheme="minorEastAsia"/>
          <w:b/>
          <w:szCs w:val="21"/>
        </w:rPr>
        <w:t>招标公告</w:t>
      </w:r>
      <w:r>
        <w:rPr>
          <w:rFonts w:asciiTheme="minorEastAsia" w:hAnsiTheme="minorEastAsia"/>
          <w:szCs w:val="21"/>
        </w:rPr>
        <w:t>中所确定的评标方法进行评审。</w:t>
      </w:r>
      <w:bookmarkEnd w:id="96"/>
    </w:p>
    <w:p w14:paraId="5C6F8C3E">
      <w:pPr>
        <w:spacing w:line="360" w:lineRule="auto"/>
        <w:ind w:firstLine="420" w:firstLineChars="200"/>
        <w:rPr>
          <w:rFonts w:asciiTheme="minorEastAsia" w:hAnsiTheme="minorEastAsia"/>
          <w:szCs w:val="21"/>
        </w:rPr>
      </w:pPr>
      <w:r>
        <w:rPr>
          <w:rFonts w:asciiTheme="minorEastAsia" w:hAnsiTheme="minorEastAsia"/>
          <w:szCs w:val="21"/>
        </w:rPr>
        <w:t>评标委员会对投标文件的评审内容，分为商务评议、技术评议和价格评议/综合评议。评审流程包括资格性检查、符合性检查、澄清问题、比较与评价、推荐中标候选人或确定中标人、编写评标报告等步骤。</w:t>
      </w:r>
    </w:p>
    <w:p w14:paraId="3E641831">
      <w:pPr>
        <w:spacing w:line="360" w:lineRule="auto"/>
        <w:ind w:firstLine="420" w:firstLineChars="200"/>
        <w:rPr>
          <w:rFonts w:asciiTheme="minorEastAsia" w:hAnsiTheme="minorEastAsia"/>
          <w:szCs w:val="21"/>
        </w:rPr>
      </w:pPr>
      <w:bookmarkStart w:id="97" w:name="_Ref179619857"/>
      <w:r>
        <w:rPr>
          <w:rFonts w:asciiTheme="minorEastAsia" w:hAnsiTheme="minorEastAsia"/>
          <w:szCs w:val="21"/>
        </w:rPr>
        <w:t>在评标期间，评标委员会可要求投标人对其投标文件进行澄清，但不得寻求、提供或允许对投标价格等实质性内容做任何更改。有关澄清的要求和答复均应以书面形式提交。</w:t>
      </w:r>
      <w:bookmarkEnd w:id="97"/>
    </w:p>
    <w:p w14:paraId="2100D855">
      <w:pPr>
        <w:spacing w:line="360" w:lineRule="auto"/>
        <w:ind w:firstLine="420" w:firstLineChars="200"/>
        <w:rPr>
          <w:rFonts w:asciiTheme="minorEastAsia" w:hAnsiTheme="minorEastAsia"/>
          <w:szCs w:val="21"/>
        </w:rPr>
      </w:pPr>
      <w:bookmarkStart w:id="98" w:name="_Toc27507"/>
      <w:bookmarkStart w:id="99" w:name="_Toc3712"/>
      <w:bookmarkStart w:id="100" w:name="_Toc10952"/>
      <w:bookmarkStart w:id="101" w:name="_Toc16749"/>
      <w:r>
        <w:rPr>
          <w:rFonts w:hint="eastAsia" w:asciiTheme="minorEastAsia" w:hAnsiTheme="minorEastAsia"/>
          <w:szCs w:val="21"/>
        </w:rPr>
        <w:t>不同投标人提供相同品牌产品</w:t>
      </w:r>
      <w:bookmarkEnd w:id="98"/>
      <w:bookmarkEnd w:id="99"/>
      <w:bookmarkEnd w:id="100"/>
      <w:bookmarkEnd w:id="101"/>
    </w:p>
    <w:p w14:paraId="38780820">
      <w:pPr>
        <w:spacing w:line="360" w:lineRule="auto"/>
        <w:ind w:firstLine="420" w:firstLineChars="200"/>
        <w:rPr>
          <w:rFonts w:asciiTheme="minorEastAsia" w:hAnsiTheme="minorEastAsia"/>
          <w:szCs w:val="21"/>
        </w:rPr>
      </w:pPr>
      <w:r>
        <w:rPr>
          <w:rFonts w:hint="eastAsia" w:asciiTheme="minorEastAsia" w:hAnsiTheme="minorEastAsia"/>
          <w:szCs w:val="21"/>
        </w:rPr>
        <w:t>采用最低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FDC85E5">
      <w:pPr>
        <w:spacing w:line="360" w:lineRule="auto"/>
        <w:ind w:firstLine="420" w:firstLineChars="200"/>
        <w:rPr>
          <w:rFonts w:asciiTheme="minorEastAsia" w:hAnsiTheme="minorEastAsia"/>
          <w:szCs w:val="21"/>
        </w:rPr>
      </w:pPr>
      <w:r>
        <w:rPr>
          <w:rFonts w:hint="eastAsia" w:asciiTheme="minorEastAsia" w:hAnsiTheme="minorEastAsia"/>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A098CF6">
      <w:pPr>
        <w:spacing w:line="360" w:lineRule="auto"/>
        <w:ind w:firstLine="420" w:firstLineChars="200"/>
        <w:rPr>
          <w:rFonts w:asciiTheme="minorEastAsia" w:hAnsiTheme="minorEastAsia"/>
          <w:szCs w:val="21"/>
        </w:rPr>
      </w:pPr>
      <w:r>
        <w:rPr>
          <w:rFonts w:hint="eastAsia" w:asciiTheme="minorEastAsia" w:hAnsiTheme="minorEastAsia"/>
          <w:szCs w:val="21"/>
        </w:rPr>
        <w:t>非单一产品采购项目，采购人应当根据采购项目技术构成、产品价格比重等合理确定核心产品，多家投标人提供的核心产品品牌完全相同的，按本条规定处理。</w:t>
      </w:r>
    </w:p>
    <w:p w14:paraId="5B71B36D">
      <w:pPr>
        <w:pStyle w:val="3"/>
        <w:spacing w:line="360" w:lineRule="auto"/>
        <w:ind w:firstLine="482"/>
      </w:pPr>
      <w:bookmarkStart w:id="102" w:name="_Toc55548524"/>
      <w:bookmarkStart w:id="103" w:name="_Toc21426"/>
      <w:r>
        <w:rPr>
          <w:rFonts w:hint="eastAsia"/>
        </w:rPr>
        <w:t>投标文件的初审</w:t>
      </w:r>
      <w:bookmarkEnd w:id="102"/>
      <w:bookmarkEnd w:id="103"/>
    </w:p>
    <w:p w14:paraId="33FD3264">
      <w:pPr>
        <w:spacing w:line="360" w:lineRule="auto"/>
        <w:ind w:firstLine="420" w:firstLineChars="200"/>
        <w:rPr>
          <w:rFonts w:asciiTheme="minorEastAsia" w:hAnsiTheme="minorEastAsia"/>
          <w:szCs w:val="21"/>
        </w:rPr>
      </w:pPr>
      <w:r>
        <w:rPr>
          <w:rFonts w:asciiTheme="minorEastAsia" w:hAnsiTheme="minorEastAsia"/>
          <w:szCs w:val="21"/>
        </w:rPr>
        <w:t>评标委员会将审查投标文件是否完整、总体编排是否有序、文件签署是否合格等。</w:t>
      </w:r>
    </w:p>
    <w:p w14:paraId="1382FF59">
      <w:pPr>
        <w:spacing w:line="360" w:lineRule="auto"/>
        <w:ind w:firstLine="420" w:firstLineChars="200"/>
        <w:rPr>
          <w:rFonts w:asciiTheme="minorEastAsia" w:hAnsiTheme="minorEastAsia"/>
          <w:szCs w:val="21"/>
        </w:rPr>
      </w:pPr>
      <w:r>
        <w:rPr>
          <w:rFonts w:asciiTheme="minorEastAsia" w:hAnsiTheme="minorEastAsia"/>
          <w:szCs w:val="21"/>
        </w:rPr>
        <w:t>算术错误将按以下方法更正：若开标一览表中单价和总价相矛盾，以投标单价为准修改总价；若开标一览表内容与投标文件中明细表内容不相符的，以开标一览表为准；若用文字表示的数值与用数字表示的数值不一致，以文字表示的数值为准。如果投标人不接受对其错误的更正，其投标将被拒绝。</w:t>
      </w:r>
    </w:p>
    <w:p w14:paraId="238AA4B8">
      <w:pPr>
        <w:spacing w:line="360" w:lineRule="auto"/>
        <w:ind w:firstLine="420" w:firstLineChars="200"/>
        <w:rPr>
          <w:rFonts w:asciiTheme="minorEastAsia" w:hAnsiTheme="minorEastAsia"/>
          <w:szCs w:val="21"/>
        </w:rPr>
      </w:pPr>
      <w:r>
        <w:rPr>
          <w:rFonts w:asciiTheme="minorEastAsia" w:hAnsiTheme="minorEastAsia"/>
          <w:szCs w:val="21"/>
        </w:rPr>
        <w:t>投标文件中的缺漏项将按以下方法更正：以所有投标报价中该项最高报价核算其缺漏项金额，缺漏项金额大于或等于其投标总价的1%时，视为重大投标漏项，该投标作</w:t>
      </w:r>
      <w:r>
        <w:rPr>
          <w:rFonts w:hint="eastAsia" w:asciiTheme="minorEastAsia" w:hAnsiTheme="minorEastAsia"/>
          <w:szCs w:val="21"/>
        </w:rPr>
        <w:t>投标无效</w:t>
      </w:r>
      <w:r>
        <w:rPr>
          <w:rFonts w:asciiTheme="minorEastAsia" w:hAnsiTheme="minorEastAsia"/>
          <w:szCs w:val="21"/>
        </w:rPr>
        <w:t>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更正，其投标将被拒绝。</w:t>
      </w:r>
    </w:p>
    <w:p w14:paraId="18DDE0D7">
      <w:pPr>
        <w:spacing w:line="360" w:lineRule="auto"/>
        <w:ind w:firstLine="420" w:firstLineChars="200"/>
        <w:rPr>
          <w:rFonts w:asciiTheme="minorEastAsia" w:hAnsiTheme="minorEastAsia"/>
          <w:szCs w:val="21"/>
        </w:rPr>
      </w:pPr>
      <w:r>
        <w:rPr>
          <w:rFonts w:asciiTheme="minorEastAsia" w:hAnsiTheme="minorEastAsia"/>
          <w:szCs w:val="21"/>
        </w:rPr>
        <w:t>对于投标文件中不构成实质性偏差的不正规、不一致或不规则，评标委员会可以接受，但这种接受不能损害或影响任何投标人的相对排序。</w:t>
      </w:r>
    </w:p>
    <w:p w14:paraId="13076236">
      <w:pPr>
        <w:spacing w:line="360" w:lineRule="auto"/>
        <w:ind w:firstLine="420" w:firstLineChars="200"/>
        <w:rPr>
          <w:rFonts w:asciiTheme="minorEastAsia" w:hAnsiTheme="minorEastAsia"/>
          <w:szCs w:val="21"/>
        </w:rPr>
      </w:pPr>
      <w:r>
        <w:rPr>
          <w:rFonts w:asciiTheme="minorEastAsia" w:hAnsiTheme="minorEastAsia"/>
          <w:szCs w:val="21"/>
        </w:rPr>
        <w:t>在详细评审之前，评标委员将会审查每份投标文件是否实质上响应了招标文件的要求。实质上响应的投标是与招标文件要求的关键条款、条件和规格相符，没有重大偏离的投标。例如关于投标保证金、投标人资格要求、关键技术指标要求、投标报价要求和评标标准等。评标委员会审查投标的响应性只根据投标文件本身的内容，而不寻求外部的证据。</w:t>
      </w:r>
    </w:p>
    <w:p w14:paraId="1D4F7DBF">
      <w:pPr>
        <w:spacing w:line="360" w:lineRule="auto"/>
        <w:ind w:firstLine="420" w:firstLineChars="200"/>
        <w:rPr>
          <w:rFonts w:asciiTheme="minorEastAsia" w:hAnsiTheme="minorEastAsia"/>
          <w:szCs w:val="21"/>
        </w:rPr>
      </w:pPr>
      <w:bookmarkStart w:id="104" w:name="_Ref179619330"/>
      <w:r>
        <w:rPr>
          <w:rFonts w:asciiTheme="minorEastAsia" w:hAnsiTheme="minorEastAsia"/>
          <w:szCs w:val="21"/>
        </w:rPr>
        <w:t>实质上没有响应招标文件要求的投标将被作</w:t>
      </w:r>
      <w:r>
        <w:rPr>
          <w:rFonts w:hint="eastAsia" w:asciiTheme="minorEastAsia" w:hAnsiTheme="minorEastAsia"/>
          <w:szCs w:val="21"/>
        </w:rPr>
        <w:t>投标无效</w:t>
      </w:r>
      <w:r>
        <w:rPr>
          <w:rFonts w:asciiTheme="minorEastAsia" w:hAnsiTheme="minorEastAsia"/>
          <w:szCs w:val="21"/>
        </w:rPr>
        <w:t>处理。投标人不得通过修正或撤销不合要求的偏离或保留从而使其投标成为实质上响应的投标。评标委员会评审中，发现下列情况之一的，其投标将作</w:t>
      </w:r>
      <w:r>
        <w:rPr>
          <w:rFonts w:hint="eastAsia" w:asciiTheme="minorEastAsia" w:hAnsiTheme="minorEastAsia"/>
          <w:szCs w:val="21"/>
        </w:rPr>
        <w:t>投标无效</w:t>
      </w:r>
      <w:r>
        <w:rPr>
          <w:rFonts w:asciiTheme="minorEastAsia" w:hAnsiTheme="minorEastAsia"/>
          <w:szCs w:val="21"/>
        </w:rPr>
        <w:t>处理：</w:t>
      </w:r>
      <w:bookmarkEnd w:id="104"/>
    </w:p>
    <w:p w14:paraId="0D97D0D9">
      <w:pPr>
        <w:spacing w:line="360" w:lineRule="auto"/>
        <w:ind w:firstLine="420" w:firstLineChars="200"/>
        <w:rPr>
          <w:rFonts w:asciiTheme="minorEastAsia" w:hAnsiTheme="minorEastAsia"/>
          <w:szCs w:val="21"/>
        </w:rPr>
      </w:pPr>
      <w:bookmarkStart w:id="105" w:name="_Ref179621189"/>
      <w:r>
        <w:rPr>
          <w:rFonts w:asciiTheme="minorEastAsia" w:hAnsiTheme="minorEastAsia"/>
          <w:szCs w:val="21"/>
        </w:rPr>
        <w:t>符合性检查</w:t>
      </w:r>
      <w:bookmarkEnd w:id="105"/>
    </w:p>
    <w:p w14:paraId="1433BAC0">
      <w:pPr>
        <w:spacing w:line="360" w:lineRule="auto"/>
        <w:ind w:firstLine="422" w:firstLineChars="200"/>
        <w:rPr>
          <w:rFonts w:asciiTheme="minorEastAsia" w:hAnsiTheme="minorEastAsia"/>
          <w:b/>
          <w:szCs w:val="21"/>
        </w:rPr>
      </w:pPr>
      <w:bookmarkStart w:id="106" w:name="_Toc13273"/>
      <w:bookmarkStart w:id="107" w:name="_Toc5963"/>
      <w:bookmarkStart w:id="108" w:name="_Toc32392"/>
      <w:bookmarkStart w:id="109" w:name="_Toc2459"/>
      <w:bookmarkStart w:id="110" w:name="_Toc385"/>
      <w:bookmarkStart w:id="111" w:name="_Toc1347"/>
      <w:bookmarkStart w:id="112" w:name="_Toc25993"/>
      <w:r>
        <w:rPr>
          <w:rFonts w:asciiTheme="minorEastAsia" w:hAnsiTheme="minorEastAsia"/>
          <w:b/>
          <w:szCs w:val="21"/>
        </w:rPr>
        <w:t>1) 投标文件的有效性、完整性瑕疵</w:t>
      </w:r>
      <w:bookmarkEnd w:id="106"/>
      <w:bookmarkEnd w:id="107"/>
      <w:bookmarkEnd w:id="108"/>
      <w:bookmarkEnd w:id="109"/>
      <w:bookmarkEnd w:id="110"/>
      <w:bookmarkEnd w:id="111"/>
      <w:bookmarkEnd w:id="112"/>
    </w:p>
    <w:p w14:paraId="1F9007C8">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投标文件的数量、制作、密封、标记不符合要求；</w:t>
      </w:r>
      <w:r>
        <w:rPr>
          <w:rFonts w:hint="eastAsia" w:cs="宋体" w:asciiTheme="minorEastAsia" w:hAnsiTheme="minorEastAsia"/>
          <w:szCs w:val="21"/>
        </w:rPr>
        <w:t>②</w:t>
      </w:r>
      <w:r>
        <w:rPr>
          <w:rFonts w:asciiTheme="minorEastAsia" w:hAnsiTheme="minorEastAsia"/>
          <w:szCs w:val="21"/>
        </w:rPr>
        <w:t>投标文件无法定代表人或其授权代表签字，或签字人无法定代表人有效授权的；</w:t>
      </w:r>
      <w:r>
        <w:rPr>
          <w:rFonts w:hint="eastAsia" w:cs="宋体" w:asciiTheme="minorEastAsia" w:hAnsiTheme="minorEastAsia"/>
          <w:szCs w:val="21"/>
        </w:rPr>
        <w:t>③</w:t>
      </w:r>
      <w:r>
        <w:rPr>
          <w:rFonts w:asciiTheme="minorEastAsia" w:hAnsiTheme="minorEastAsia"/>
          <w:szCs w:val="21"/>
        </w:rPr>
        <w:t>签字盖章不符合招标文件要求的；</w:t>
      </w:r>
      <w:r>
        <w:rPr>
          <w:rFonts w:hint="eastAsia" w:cs="宋体" w:asciiTheme="minorEastAsia" w:hAnsiTheme="minorEastAsia"/>
          <w:szCs w:val="21"/>
        </w:rPr>
        <w:t>④</w:t>
      </w:r>
      <w:r>
        <w:rPr>
          <w:rFonts w:asciiTheme="minorEastAsia" w:hAnsiTheme="minorEastAsia"/>
          <w:szCs w:val="21"/>
        </w:rPr>
        <w:t>投标文件内容有严重缺漏项的；</w:t>
      </w:r>
      <w:r>
        <w:rPr>
          <w:rFonts w:hint="eastAsia" w:cs="宋体" w:asciiTheme="minorEastAsia" w:hAnsiTheme="minorEastAsia"/>
          <w:szCs w:val="21"/>
        </w:rPr>
        <w:t>⑤</w:t>
      </w:r>
      <w:r>
        <w:rPr>
          <w:rFonts w:asciiTheme="minorEastAsia" w:hAnsiTheme="minorEastAsia"/>
          <w:szCs w:val="21"/>
        </w:rPr>
        <w:t>投标报价有严重缺漏项的；</w:t>
      </w:r>
      <w:r>
        <w:rPr>
          <w:rFonts w:hint="eastAsia" w:cs="宋体" w:asciiTheme="minorEastAsia" w:hAnsiTheme="minorEastAsia"/>
          <w:szCs w:val="21"/>
        </w:rPr>
        <w:t>⑥</w:t>
      </w:r>
      <w:r>
        <w:rPr>
          <w:rFonts w:asciiTheme="minorEastAsia" w:hAnsiTheme="minorEastAsia"/>
          <w:szCs w:val="21"/>
        </w:rPr>
        <w:t>投标文件的关键内容字迹模糊、无法辨认的</w:t>
      </w:r>
      <w:r>
        <w:rPr>
          <w:rFonts w:hint="eastAsia" w:asciiTheme="minorEastAsia" w:hAnsiTheme="minorEastAsia"/>
          <w:szCs w:val="21"/>
        </w:rPr>
        <w:t>；</w:t>
      </w:r>
      <w:r>
        <w:rPr>
          <w:rFonts w:hint="eastAsia" w:cs="宋体" w:asciiTheme="minorEastAsia" w:hAnsiTheme="minorEastAsia"/>
          <w:szCs w:val="21"/>
        </w:rPr>
        <w:t>⑦</w:t>
      </w:r>
      <w:r>
        <w:rPr>
          <w:rFonts w:hint="eastAsia" w:asciiTheme="minorEastAsia" w:hAnsiTheme="minorEastAsia"/>
          <w:szCs w:val="21"/>
        </w:rPr>
        <w:t>未按招标文件要求编制。</w:t>
      </w:r>
    </w:p>
    <w:p w14:paraId="738747B0">
      <w:pPr>
        <w:spacing w:line="360" w:lineRule="auto"/>
        <w:ind w:firstLine="422" w:firstLineChars="200"/>
        <w:rPr>
          <w:rFonts w:asciiTheme="minorEastAsia" w:hAnsiTheme="minorEastAsia"/>
          <w:b/>
          <w:szCs w:val="21"/>
        </w:rPr>
      </w:pPr>
      <w:bookmarkStart w:id="113" w:name="_Toc29078"/>
      <w:bookmarkStart w:id="114" w:name="_Toc17493"/>
      <w:bookmarkStart w:id="115" w:name="_Toc31066"/>
      <w:bookmarkStart w:id="116" w:name="_Toc6513"/>
      <w:bookmarkStart w:id="117" w:name="_Toc30904"/>
      <w:bookmarkStart w:id="118" w:name="_Toc24825"/>
      <w:bookmarkStart w:id="119" w:name="_Toc4787"/>
      <w:r>
        <w:rPr>
          <w:rFonts w:asciiTheme="minorEastAsia" w:hAnsiTheme="minorEastAsia"/>
          <w:b/>
          <w:szCs w:val="21"/>
        </w:rPr>
        <w:t>2) 技术响应瑕疵</w:t>
      </w:r>
      <w:bookmarkEnd w:id="113"/>
      <w:bookmarkEnd w:id="114"/>
      <w:bookmarkEnd w:id="115"/>
      <w:bookmarkEnd w:id="116"/>
      <w:bookmarkEnd w:id="117"/>
      <w:bookmarkEnd w:id="118"/>
      <w:bookmarkEnd w:id="119"/>
    </w:p>
    <w:p w14:paraId="27D62872">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投标文件不满足招标文件中加注星号（</w:t>
      </w:r>
      <w:r>
        <w:rPr>
          <w:rFonts w:hint="eastAsia" w:cs="宋体" w:asciiTheme="minorEastAsia" w:hAnsiTheme="minorEastAsia"/>
          <w:szCs w:val="21"/>
        </w:rPr>
        <w:t>※</w:t>
      </w:r>
      <w:r>
        <w:rPr>
          <w:rFonts w:asciiTheme="minorEastAsia" w:hAnsiTheme="minorEastAsia"/>
          <w:szCs w:val="21"/>
        </w:rPr>
        <w:t>）的主要参数要求或加注星号的主要参数无技术资料支持的；</w:t>
      </w:r>
      <w:r>
        <w:rPr>
          <w:rFonts w:hint="eastAsia" w:cs="宋体" w:asciiTheme="minorEastAsia" w:hAnsiTheme="minorEastAsia"/>
          <w:szCs w:val="21"/>
        </w:rPr>
        <w:t>②</w:t>
      </w:r>
      <w:r>
        <w:rPr>
          <w:rFonts w:asciiTheme="minorEastAsia" w:hAnsiTheme="minorEastAsia"/>
          <w:szCs w:val="21"/>
        </w:rPr>
        <w:t>一般参数超出允许偏离的最大范围或最高项数的；</w:t>
      </w:r>
      <w:r>
        <w:rPr>
          <w:rFonts w:hint="eastAsia" w:cs="宋体" w:asciiTheme="minorEastAsia" w:hAnsiTheme="minorEastAsia"/>
          <w:szCs w:val="21"/>
        </w:rPr>
        <w:t>③</w:t>
      </w:r>
      <w:r>
        <w:rPr>
          <w:rFonts w:asciiTheme="minorEastAsia" w:hAnsiTheme="minorEastAsia"/>
          <w:szCs w:val="21"/>
        </w:rPr>
        <w:t>投标文件技术响应与事实不符或虚假投标的；</w:t>
      </w:r>
      <w:r>
        <w:rPr>
          <w:rFonts w:hint="eastAsia" w:cs="宋体" w:asciiTheme="minorEastAsia" w:hAnsiTheme="minorEastAsia"/>
          <w:szCs w:val="21"/>
        </w:rPr>
        <w:t>④</w:t>
      </w:r>
      <w:r>
        <w:rPr>
          <w:rFonts w:asciiTheme="minorEastAsia" w:hAnsiTheme="minorEastAsia"/>
          <w:szCs w:val="21"/>
        </w:rPr>
        <w:t>投标人复制招标文件的技术规格相关部分内容作为其投标文件的一部分的；</w:t>
      </w:r>
      <w:r>
        <w:rPr>
          <w:rFonts w:hint="eastAsia" w:cs="宋体" w:asciiTheme="minorEastAsia" w:hAnsiTheme="minorEastAsia"/>
          <w:szCs w:val="21"/>
        </w:rPr>
        <w:t>⑤</w:t>
      </w:r>
      <w:r>
        <w:rPr>
          <w:rFonts w:asciiTheme="minorEastAsia" w:hAnsiTheme="minorEastAsia"/>
          <w:szCs w:val="21"/>
        </w:rPr>
        <w:t>《技术规格偏离表》填写不明或不实的；</w:t>
      </w:r>
      <w:r>
        <w:rPr>
          <w:rFonts w:hint="eastAsia" w:cs="宋体" w:asciiTheme="minorEastAsia" w:hAnsiTheme="minorEastAsia"/>
          <w:szCs w:val="21"/>
        </w:rPr>
        <w:t>⑥</w:t>
      </w:r>
      <w:r>
        <w:rPr>
          <w:rFonts w:asciiTheme="minorEastAsia" w:hAnsiTheme="minorEastAsia"/>
          <w:szCs w:val="21"/>
        </w:rPr>
        <w:t>将一个包中的内容拆开投标的；</w:t>
      </w:r>
      <w:r>
        <w:rPr>
          <w:rFonts w:hint="eastAsia" w:cs="宋体" w:asciiTheme="minorEastAsia" w:hAnsiTheme="minorEastAsia"/>
          <w:szCs w:val="21"/>
        </w:rPr>
        <w:t>⑦</w:t>
      </w:r>
      <w:r>
        <w:rPr>
          <w:rFonts w:asciiTheme="minorEastAsia" w:hAnsiTheme="minorEastAsia"/>
          <w:szCs w:val="21"/>
        </w:rPr>
        <w:t>投标人对同一货物或服务投标时，同时提供两套或两套以上的投标方案的；</w:t>
      </w:r>
      <w:r>
        <w:rPr>
          <w:rFonts w:hint="eastAsia" w:cs="宋体" w:asciiTheme="minorEastAsia" w:hAnsiTheme="minorEastAsia"/>
          <w:szCs w:val="21"/>
        </w:rPr>
        <w:t>⑧</w:t>
      </w:r>
      <w:r>
        <w:rPr>
          <w:rFonts w:asciiTheme="minorEastAsia" w:hAnsiTheme="minorEastAsia"/>
          <w:szCs w:val="21"/>
        </w:rPr>
        <w:t>明显不符合技术规格、技术标准要求的；</w:t>
      </w:r>
      <w:r>
        <w:rPr>
          <w:rFonts w:hint="eastAsia" w:cs="宋体" w:asciiTheme="minorEastAsia" w:hAnsiTheme="minorEastAsia"/>
          <w:szCs w:val="21"/>
        </w:rPr>
        <w:t>⑨</w:t>
      </w:r>
      <w:r>
        <w:rPr>
          <w:rFonts w:asciiTheme="minorEastAsia" w:hAnsiTheme="minorEastAsia"/>
          <w:szCs w:val="21"/>
        </w:rPr>
        <w:t>其他未实质性响应招标文件技术要求的。</w:t>
      </w:r>
    </w:p>
    <w:p w14:paraId="5DDA5A7B">
      <w:pPr>
        <w:spacing w:line="360" w:lineRule="auto"/>
        <w:ind w:firstLine="422" w:firstLineChars="200"/>
        <w:rPr>
          <w:rFonts w:asciiTheme="minorEastAsia" w:hAnsiTheme="minorEastAsia"/>
          <w:b/>
          <w:szCs w:val="21"/>
        </w:rPr>
      </w:pPr>
      <w:bookmarkStart w:id="120" w:name="_Toc32692"/>
      <w:bookmarkStart w:id="121" w:name="_Toc27147"/>
      <w:bookmarkStart w:id="122" w:name="_Toc19531"/>
      <w:bookmarkStart w:id="123" w:name="_Toc9317"/>
      <w:bookmarkStart w:id="124" w:name="_Toc6987"/>
      <w:bookmarkStart w:id="125" w:name="_Toc13742"/>
      <w:bookmarkStart w:id="126" w:name="_Toc16856"/>
      <w:r>
        <w:rPr>
          <w:rFonts w:asciiTheme="minorEastAsia" w:hAnsiTheme="minorEastAsia"/>
          <w:b/>
          <w:szCs w:val="21"/>
        </w:rPr>
        <w:t>3) 商务响应瑕疵</w:t>
      </w:r>
      <w:bookmarkEnd w:id="120"/>
      <w:bookmarkEnd w:id="121"/>
      <w:bookmarkEnd w:id="122"/>
      <w:bookmarkEnd w:id="123"/>
      <w:bookmarkEnd w:id="124"/>
      <w:bookmarkEnd w:id="125"/>
      <w:bookmarkEnd w:id="126"/>
    </w:p>
    <w:p w14:paraId="1CCDFBF3">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招标文件加注星号（</w:t>
      </w:r>
      <w:r>
        <w:rPr>
          <w:rFonts w:hint="eastAsia" w:cs="宋体" w:asciiTheme="minorEastAsia" w:hAnsiTheme="minorEastAsia"/>
          <w:szCs w:val="21"/>
        </w:rPr>
        <w:t>※</w:t>
      </w:r>
      <w:r>
        <w:rPr>
          <w:rFonts w:asciiTheme="minorEastAsia" w:hAnsiTheme="minorEastAsia"/>
          <w:szCs w:val="21"/>
        </w:rPr>
        <w:t>）的商务要求负偏离的；</w:t>
      </w:r>
      <w:r>
        <w:rPr>
          <w:rFonts w:hint="eastAsia" w:cs="宋体" w:asciiTheme="minorEastAsia" w:hAnsiTheme="minorEastAsia"/>
          <w:szCs w:val="21"/>
        </w:rPr>
        <w:t>②</w:t>
      </w:r>
      <w:r>
        <w:rPr>
          <w:rFonts w:asciiTheme="minorEastAsia" w:hAnsiTheme="minorEastAsia"/>
          <w:szCs w:val="21"/>
        </w:rPr>
        <w:t>招标项目完成期未满足招标文件要求的；</w:t>
      </w:r>
      <w:r>
        <w:rPr>
          <w:rFonts w:hint="eastAsia" w:cs="宋体" w:asciiTheme="minorEastAsia" w:hAnsiTheme="minorEastAsia"/>
          <w:szCs w:val="21"/>
        </w:rPr>
        <w:t>③</w:t>
      </w:r>
      <w:r>
        <w:rPr>
          <w:rFonts w:asciiTheme="minorEastAsia" w:hAnsiTheme="minorEastAsia"/>
          <w:szCs w:val="21"/>
        </w:rPr>
        <w:t>投标文件载明的货物包装方式、检验标准和方法不符合招标文件要求的；</w:t>
      </w:r>
      <w:r>
        <w:rPr>
          <w:rFonts w:hint="eastAsia" w:cs="宋体" w:asciiTheme="minorEastAsia" w:hAnsiTheme="minorEastAsia"/>
          <w:szCs w:val="21"/>
        </w:rPr>
        <w:t>④</w:t>
      </w:r>
      <w:r>
        <w:rPr>
          <w:rFonts w:asciiTheme="minorEastAsia" w:hAnsiTheme="minorEastAsia"/>
          <w:szCs w:val="21"/>
        </w:rPr>
        <w:t>《商务条款偏离表》填写不明或不实的；</w:t>
      </w:r>
      <w:r>
        <w:rPr>
          <w:rFonts w:hint="eastAsia" w:cs="宋体" w:asciiTheme="minorEastAsia" w:hAnsiTheme="minorEastAsia"/>
          <w:szCs w:val="21"/>
        </w:rPr>
        <w:t>⑤</w:t>
      </w:r>
      <w:r>
        <w:rPr>
          <w:rFonts w:asciiTheme="minorEastAsia" w:hAnsiTheme="minorEastAsia"/>
          <w:szCs w:val="21"/>
        </w:rPr>
        <w:t>投标文件附有招标人不能接受的条件的；</w:t>
      </w:r>
      <w:r>
        <w:rPr>
          <w:rFonts w:hint="eastAsia" w:cs="宋体" w:asciiTheme="minorEastAsia" w:hAnsiTheme="minorEastAsia"/>
          <w:szCs w:val="21"/>
        </w:rPr>
        <w:t>⑥</w:t>
      </w:r>
      <w:r>
        <w:rPr>
          <w:rFonts w:hint="eastAsia" w:asciiTheme="minorEastAsia" w:hAnsiTheme="minorEastAsia"/>
          <w:szCs w:val="21"/>
        </w:rPr>
        <w:t>投标文件中附有招标人不能接受的条件；</w:t>
      </w:r>
      <w:r>
        <w:rPr>
          <w:rFonts w:hint="eastAsia" w:cs="宋体" w:asciiTheme="minorEastAsia" w:hAnsiTheme="minorEastAsia"/>
          <w:szCs w:val="21"/>
        </w:rPr>
        <w:t>⑦</w:t>
      </w:r>
      <w:r>
        <w:rPr>
          <w:rFonts w:asciiTheme="minorEastAsia" w:hAnsiTheme="minorEastAsia"/>
          <w:szCs w:val="21"/>
        </w:rPr>
        <w:t>其他未实质性响应招标文件商务要求的。</w:t>
      </w:r>
    </w:p>
    <w:p w14:paraId="254755E5">
      <w:pPr>
        <w:spacing w:line="360" w:lineRule="auto"/>
        <w:ind w:firstLine="422" w:firstLineChars="200"/>
        <w:rPr>
          <w:rFonts w:asciiTheme="minorEastAsia" w:hAnsiTheme="minorEastAsia"/>
          <w:b/>
          <w:szCs w:val="21"/>
        </w:rPr>
      </w:pPr>
      <w:r>
        <w:rPr>
          <w:rFonts w:asciiTheme="minorEastAsia" w:hAnsiTheme="minorEastAsia"/>
          <w:b/>
          <w:szCs w:val="21"/>
        </w:rPr>
        <w:t>4）违规行为</w:t>
      </w:r>
    </w:p>
    <w:p w14:paraId="3CB70A02">
      <w:pPr>
        <w:spacing w:line="360" w:lineRule="auto"/>
        <w:ind w:firstLine="420" w:firstLineChars="200"/>
        <w:rPr>
          <w:rFonts w:asciiTheme="minorEastAsia" w:hAnsiTheme="minorEastAsia"/>
          <w:szCs w:val="21"/>
        </w:rPr>
      </w:pPr>
      <w:r>
        <w:rPr>
          <w:rFonts w:asciiTheme="minorEastAsia" w:hAnsiTheme="minorEastAsia"/>
          <w:szCs w:val="21"/>
        </w:rPr>
        <w:t>包括但不限于：</w:t>
      </w:r>
      <w:r>
        <w:rPr>
          <w:rFonts w:hint="eastAsia" w:cs="宋体" w:asciiTheme="minorEastAsia" w:hAnsiTheme="minorEastAsia"/>
          <w:szCs w:val="21"/>
        </w:rPr>
        <w:t>①</w:t>
      </w:r>
      <w:r>
        <w:rPr>
          <w:rFonts w:asciiTheme="minorEastAsia" w:hAnsiTheme="minorEastAsia"/>
          <w:szCs w:val="21"/>
        </w:rPr>
        <w:t>以他人的名义投标、串通投标、以行贿手段谋取中标或者以其他弄虚作假方式投标的；</w:t>
      </w:r>
      <w:r>
        <w:rPr>
          <w:rFonts w:hint="eastAsia" w:cs="宋体" w:asciiTheme="minorEastAsia" w:hAnsiTheme="minorEastAsia"/>
          <w:szCs w:val="21"/>
        </w:rPr>
        <w:t>②</w:t>
      </w:r>
      <w:r>
        <w:rPr>
          <w:rFonts w:asciiTheme="minorEastAsia" w:hAnsiTheme="minorEastAsia"/>
          <w:szCs w:val="21"/>
        </w:rPr>
        <w:t>拒不按照要求对投标文件进行澄清、说明或者补正的；</w:t>
      </w:r>
      <w:r>
        <w:rPr>
          <w:rFonts w:hint="eastAsia" w:cs="宋体" w:asciiTheme="minorEastAsia" w:hAnsiTheme="minorEastAsia"/>
          <w:szCs w:val="21"/>
        </w:rPr>
        <w:t>③</w:t>
      </w:r>
      <w:r>
        <w:rPr>
          <w:rFonts w:asciiTheme="minorEastAsia" w:hAnsiTheme="minorEastAsia"/>
          <w:szCs w:val="21"/>
        </w:rPr>
        <w:t>扰乱开标、评标秩序，干扰招标工作正常进行的。</w:t>
      </w:r>
    </w:p>
    <w:p w14:paraId="5507C412">
      <w:pPr>
        <w:spacing w:line="360" w:lineRule="auto"/>
        <w:ind w:firstLine="422" w:firstLineChars="200"/>
        <w:rPr>
          <w:rFonts w:asciiTheme="minorEastAsia" w:hAnsiTheme="minorEastAsia"/>
          <w:b/>
          <w:szCs w:val="21"/>
        </w:rPr>
      </w:pPr>
      <w:r>
        <w:rPr>
          <w:rFonts w:hint="eastAsia" w:asciiTheme="minorEastAsia" w:hAnsiTheme="minorEastAsia"/>
          <w:b/>
          <w:szCs w:val="21"/>
        </w:rPr>
        <w:t>投标报价</w:t>
      </w:r>
    </w:p>
    <w:p w14:paraId="25F9BC1C">
      <w:pPr>
        <w:spacing w:line="360" w:lineRule="auto"/>
        <w:ind w:firstLine="420" w:firstLineChars="200"/>
        <w:rPr>
          <w:rFonts w:asciiTheme="minorEastAsia" w:hAnsiTheme="minorEastAsia"/>
          <w:szCs w:val="21"/>
        </w:rPr>
      </w:pPr>
      <w:r>
        <w:rPr>
          <w:rFonts w:hint="eastAsia" w:asciiTheme="minorEastAsia" w:hAnsiTheme="minorEastAsia"/>
          <w:bCs/>
          <w:szCs w:val="21"/>
        </w:rPr>
        <w:t>包括但不限于：</w:t>
      </w:r>
      <w:r>
        <w:rPr>
          <w:rFonts w:hint="eastAsia" w:cs="宋体" w:asciiTheme="minorEastAsia" w:hAnsiTheme="minorEastAsia"/>
          <w:szCs w:val="21"/>
        </w:rPr>
        <w:t>①</w:t>
      </w:r>
      <w:r>
        <w:rPr>
          <w:rFonts w:hint="eastAsia" w:asciiTheme="minorEastAsia" w:hAnsiTheme="minorEastAsia"/>
          <w:szCs w:val="21"/>
        </w:rPr>
        <w:t>投标报价超出预算控制金额上限，或超过招标文件规定的最高投标限价</w:t>
      </w:r>
      <w:r>
        <w:rPr>
          <w:rFonts w:hint="eastAsia" w:cs="宋体" w:asciiTheme="minorEastAsia" w:hAnsiTheme="minorEastAsia"/>
          <w:szCs w:val="21"/>
        </w:rPr>
        <w:t>②</w:t>
      </w:r>
      <w:r>
        <w:rPr>
          <w:rFonts w:hint="eastAsia" w:asciiTheme="minorEastAsia" w:hAnsiTheme="minorEastAsia"/>
          <w:szCs w:val="21"/>
        </w:rPr>
        <w:t>选择性报价或可变动报价</w:t>
      </w:r>
      <w:r>
        <w:rPr>
          <w:rFonts w:hint="eastAsia" w:cs="宋体" w:asciiTheme="minorEastAsia" w:hAnsiTheme="minorEastAsia"/>
          <w:szCs w:val="21"/>
        </w:rPr>
        <w:t>③</w:t>
      </w:r>
      <w:r>
        <w:rPr>
          <w:rFonts w:asciiTheme="minorEastAsia" w:hAnsiTheme="minorEastAsia"/>
          <w:szCs w:val="21"/>
        </w:rPr>
        <w:t>投标人低于成本报价竞标的</w:t>
      </w:r>
    </w:p>
    <w:p w14:paraId="78B24247">
      <w:pPr>
        <w:spacing w:line="360" w:lineRule="auto"/>
        <w:ind w:firstLine="422" w:firstLineChars="200"/>
        <w:rPr>
          <w:rFonts w:asciiTheme="minorEastAsia" w:hAnsiTheme="minorEastAsia"/>
          <w:b/>
          <w:bCs/>
          <w:szCs w:val="21"/>
        </w:rPr>
      </w:pPr>
      <w:r>
        <w:rPr>
          <w:rFonts w:hint="eastAsia" w:asciiTheme="minorEastAsia" w:hAnsiTheme="minorEastAsia"/>
          <w:b/>
          <w:bCs/>
          <w:szCs w:val="21"/>
        </w:rPr>
        <w:t>6</w:t>
      </w:r>
      <w:r>
        <w:rPr>
          <w:rFonts w:asciiTheme="minorEastAsia" w:hAnsiTheme="minorEastAsia"/>
          <w:b/>
          <w:bCs/>
          <w:szCs w:val="21"/>
        </w:rPr>
        <w:t>）法律法规及招标文件中规定的其它情形。</w:t>
      </w:r>
    </w:p>
    <w:p w14:paraId="69A5A244">
      <w:pPr>
        <w:spacing w:line="360" w:lineRule="auto"/>
        <w:ind w:firstLine="420" w:firstLineChars="200"/>
        <w:rPr>
          <w:rFonts w:asciiTheme="minorEastAsia" w:hAnsiTheme="minorEastAsia"/>
          <w:szCs w:val="21"/>
        </w:rPr>
      </w:pPr>
      <w:r>
        <w:rPr>
          <w:rFonts w:asciiTheme="minorEastAsia" w:hAnsiTheme="minorEastAsia"/>
          <w:szCs w:val="21"/>
        </w:rPr>
        <w:t>根据项目情况，评标委员会有权决定招标文件中“可能导致</w:t>
      </w:r>
      <w:r>
        <w:rPr>
          <w:rFonts w:hint="eastAsia" w:asciiTheme="minorEastAsia" w:hAnsiTheme="minorEastAsia"/>
          <w:szCs w:val="21"/>
        </w:rPr>
        <w:t>投标无效</w:t>
      </w:r>
      <w:r>
        <w:rPr>
          <w:rFonts w:asciiTheme="minorEastAsia" w:hAnsiTheme="minorEastAsia"/>
          <w:szCs w:val="21"/>
        </w:rPr>
        <w:t>”或“可能导致其投标被拒绝”等具体条款是否实施“</w:t>
      </w:r>
      <w:r>
        <w:rPr>
          <w:rFonts w:hint="eastAsia" w:asciiTheme="minorEastAsia" w:hAnsiTheme="minorEastAsia"/>
          <w:szCs w:val="21"/>
        </w:rPr>
        <w:t>投标无效</w:t>
      </w:r>
      <w:r>
        <w:rPr>
          <w:rFonts w:asciiTheme="minorEastAsia" w:hAnsiTheme="minorEastAsia"/>
          <w:szCs w:val="21"/>
        </w:rPr>
        <w:t>”或“投标被拒绝”，但对同一条款的裁决应适用于每个投标人。</w:t>
      </w:r>
    </w:p>
    <w:p w14:paraId="124EE9F1">
      <w:pPr>
        <w:pStyle w:val="3"/>
        <w:spacing w:line="360" w:lineRule="auto"/>
        <w:ind w:firstLine="482"/>
      </w:pPr>
      <w:bookmarkStart w:id="127" w:name="_Toc7255"/>
      <w:bookmarkStart w:id="128" w:name="_Toc55548525"/>
      <w:r>
        <w:rPr>
          <w:rFonts w:hint="eastAsia"/>
        </w:rPr>
        <w:t>评标方法和定标原则</w:t>
      </w:r>
      <w:bookmarkEnd w:id="127"/>
      <w:bookmarkEnd w:id="128"/>
    </w:p>
    <w:p w14:paraId="787170DA">
      <w:pPr>
        <w:spacing w:line="360" w:lineRule="auto"/>
        <w:ind w:firstLine="420" w:firstLineChars="200"/>
        <w:rPr>
          <w:rFonts w:asciiTheme="minorEastAsia" w:hAnsiTheme="minorEastAsia"/>
          <w:szCs w:val="21"/>
        </w:rPr>
      </w:pPr>
      <w:r>
        <w:rPr>
          <w:rFonts w:asciiTheme="minorEastAsia" w:hAnsiTheme="minorEastAsia"/>
          <w:szCs w:val="21"/>
        </w:rPr>
        <w:t>最低评标价法</w:t>
      </w:r>
    </w:p>
    <w:p w14:paraId="33036524">
      <w:pPr>
        <w:spacing w:line="360" w:lineRule="auto"/>
        <w:ind w:firstLine="420" w:firstLineChars="200"/>
        <w:rPr>
          <w:rFonts w:asciiTheme="minorEastAsia" w:hAnsiTheme="minorEastAsia"/>
          <w:szCs w:val="21"/>
        </w:rPr>
      </w:pPr>
      <w:r>
        <w:rPr>
          <w:rFonts w:asciiTheme="minorEastAsia" w:hAnsiTheme="minorEastAsia"/>
          <w:szCs w:val="21"/>
        </w:rPr>
        <w:t>最低评标价法，是指以价格因素确定中标候选人的评标方法，即在满足招标文件实质性要求前提下，以报价最低的投标供应商作为中标候选人或中标人。完全满足招标文件的实质性要求，按照报价由低到高的顺序，依据招标文件中规定的数量或者比例推荐候选中标供应商。</w:t>
      </w:r>
    </w:p>
    <w:p w14:paraId="244BD8FE">
      <w:pPr>
        <w:spacing w:line="360" w:lineRule="auto"/>
        <w:ind w:firstLine="420" w:firstLineChars="200"/>
        <w:rPr>
          <w:rFonts w:asciiTheme="minorEastAsia" w:hAnsiTheme="minorEastAsia"/>
          <w:szCs w:val="21"/>
        </w:rPr>
      </w:pPr>
      <w:r>
        <w:rPr>
          <w:rFonts w:asciiTheme="minorEastAsia" w:hAnsiTheme="minorEastAsia"/>
          <w:szCs w:val="21"/>
        </w:rPr>
        <w:t>中标人的投标应当符合招标文件规定的资质、技术要求和标准，但评标委员会无需对投标文件的技术部分进行价格折算。</w:t>
      </w:r>
    </w:p>
    <w:p w14:paraId="0CD0439F">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2CBED8D8">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评标委员会同时将参照本须知规定，只对确定为实质上响应招标文件要求的投标进行下一步评定。</w:t>
      </w:r>
    </w:p>
    <w:p w14:paraId="3091A525">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5E794BA4">
      <w:pPr>
        <w:spacing w:line="360" w:lineRule="auto"/>
        <w:ind w:firstLine="420" w:firstLineChars="200"/>
        <w:rPr>
          <w:rFonts w:asciiTheme="minorEastAsia" w:hAnsiTheme="minorEastAsia"/>
          <w:szCs w:val="21"/>
        </w:rPr>
      </w:pPr>
      <w:r>
        <w:rPr>
          <w:rFonts w:asciiTheme="minorEastAsia" w:hAnsiTheme="minorEastAsia"/>
          <w:szCs w:val="21"/>
        </w:rPr>
        <w:t>通过资格性检查和符合性审查且报价不超过预算控制金额并同时具备以下条件的投标人应当确定为中标候选供应商或中标供应商：</w:t>
      </w:r>
    </w:p>
    <w:p w14:paraId="6E57AC31">
      <w:pPr>
        <w:spacing w:line="360" w:lineRule="auto"/>
        <w:ind w:firstLine="420" w:firstLineChars="200"/>
        <w:rPr>
          <w:rFonts w:asciiTheme="minorEastAsia" w:hAnsiTheme="minorEastAsia"/>
          <w:szCs w:val="21"/>
        </w:rPr>
      </w:pPr>
      <w:r>
        <w:rPr>
          <w:rFonts w:asciiTheme="minorEastAsia" w:hAnsiTheme="minorEastAsia"/>
          <w:szCs w:val="21"/>
        </w:rPr>
        <w:t>（一）满足招标文件实质性要求；</w:t>
      </w:r>
    </w:p>
    <w:p w14:paraId="3475B6EF">
      <w:pPr>
        <w:spacing w:line="360" w:lineRule="auto"/>
        <w:ind w:firstLine="420" w:firstLineChars="200"/>
        <w:rPr>
          <w:rFonts w:asciiTheme="minorEastAsia" w:hAnsiTheme="minorEastAsia"/>
          <w:szCs w:val="21"/>
        </w:rPr>
      </w:pPr>
      <w:r>
        <w:rPr>
          <w:rFonts w:asciiTheme="minorEastAsia" w:hAnsiTheme="minorEastAsia"/>
          <w:szCs w:val="21"/>
        </w:rPr>
        <w:t>（二）投标的价格最低。</w:t>
      </w:r>
    </w:p>
    <w:p w14:paraId="22F7AE4A">
      <w:pPr>
        <w:spacing w:line="360" w:lineRule="auto"/>
        <w:ind w:firstLine="420" w:firstLineChars="200"/>
        <w:rPr>
          <w:rFonts w:asciiTheme="minorEastAsia" w:hAnsiTheme="minorEastAsia"/>
          <w:szCs w:val="21"/>
        </w:rPr>
      </w:pPr>
      <w:r>
        <w:rPr>
          <w:rFonts w:asciiTheme="minorEastAsia" w:hAnsiTheme="minorEastAsia"/>
          <w:szCs w:val="21"/>
        </w:rPr>
        <w:t>按投标报价由低到高顺序排列。投标报价相同的，按技术指标优劣顺序排列。评标委员会认为，排在前面的供应商的最低投标报价或者某些分项报价明显不合理或者低于成本，有可能影响商品质量和不能诚信履约的，评标委员会应当要求其在规定的期限内提供书面文件予以解释说明，并提交相关证明材料；否则，评标委员会可以取消该投标供应商的中标资格，按顺序由排在后面的供应商递补，以此类推。</w:t>
      </w:r>
    </w:p>
    <w:p w14:paraId="12E620F5">
      <w:pPr>
        <w:spacing w:line="360" w:lineRule="auto"/>
        <w:ind w:firstLine="420" w:firstLineChars="200"/>
        <w:rPr>
          <w:rFonts w:asciiTheme="minorEastAsia" w:hAnsiTheme="minorEastAsia"/>
          <w:szCs w:val="21"/>
        </w:rPr>
      </w:pPr>
      <w:r>
        <w:rPr>
          <w:rFonts w:asciiTheme="minorEastAsia" w:hAnsiTheme="minorEastAsia"/>
          <w:szCs w:val="21"/>
        </w:rPr>
        <w:t>综合评分法</w:t>
      </w:r>
    </w:p>
    <w:p w14:paraId="218B02D7">
      <w:pPr>
        <w:spacing w:line="360" w:lineRule="auto"/>
        <w:ind w:firstLine="420" w:firstLineChars="200"/>
        <w:rPr>
          <w:rFonts w:asciiTheme="minorEastAsia" w:hAnsiTheme="minorEastAsia"/>
          <w:szCs w:val="21"/>
        </w:rPr>
      </w:pPr>
      <w:r>
        <w:rPr>
          <w:rFonts w:asciiTheme="minorEastAsia" w:hAnsiTheme="minorEastAsia"/>
          <w:szCs w:val="21"/>
        </w:rPr>
        <w:t>综合评分法是指在最大限度满足招标文件实质性要求前提下，按照招标文件规定的各项评价因素进行量化打分，每个投标供应商的总得分应以全体评委评分加权汇总后的算术平均值确定，以评标总得分最高的投标供应商作为中标候选供应商或中标供应商的评标方法。除另有规定外，评标委员会在评标报告中，按照“N+2”的数量推荐中标候选供应商，其中N为需要的中标供应商数量。当有效供应商少于“N+2”时，全部推荐。</w:t>
      </w:r>
    </w:p>
    <w:p w14:paraId="6CF8AF8B">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1B73659A">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评标委员会同时将参照本须知规定，只对确定为实质上响应招标文件要求的投标进行下一步评定。</w:t>
      </w:r>
    </w:p>
    <w:p w14:paraId="350D9365">
      <w:pPr>
        <w:spacing w:line="360" w:lineRule="auto"/>
        <w:ind w:firstLine="420" w:firstLineChars="200"/>
        <w:rPr>
          <w:rFonts w:asciiTheme="minorEastAsia" w:hAnsiTheme="minorEastAsia"/>
          <w:szCs w:val="21"/>
        </w:rPr>
      </w:pPr>
      <w:bookmarkStart w:id="129" w:name="_Ref179621304"/>
      <w:r>
        <w:rPr>
          <w:rFonts w:asciiTheme="minorEastAsia" w:hAnsiTheme="minorEastAsia"/>
          <w:szCs w:val="21"/>
        </w:rPr>
        <w:t>综合评审：评标委员会按照下述公式对每个通过资格性检查和符合性检查且报价不超过预算控制金额的投标供应商进行评审、打分，然后汇总每个投标供应商每项评分因素的得分。综合评分的各项因素主要包括技术、价格和商务等内容，根据招标项目要求的不同，本项目的评分因素和权重分值见招标文件。</w:t>
      </w:r>
      <w:bookmarkEnd w:id="129"/>
    </w:p>
    <w:p w14:paraId="64DC6A59">
      <w:pPr>
        <w:spacing w:line="360" w:lineRule="auto"/>
        <w:ind w:firstLine="420" w:firstLineChars="200"/>
        <w:rPr>
          <w:rFonts w:asciiTheme="minorEastAsia" w:hAnsiTheme="minorEastAsia"/>
          <w:szCs w:val="21"/>
        </w:rPr>
      </w:pPr>
      <w:r>
        <w:rPr>
          <w:rFonts w:asciiTheme="minorEastAsia" w:hAnsiTheme="minorEastAsia"/>
          <w:szCs w:val="21"/>
        </w:rPr>
        <w:t>评标总得分＝（A1×J+A2×S+…An×X）；</w:t>
      </w:r>
    </w:p>
    <w:p w14:paraId="76E8BE4E">
      <w:pPr>
        <w:spacing w:line="360" w:lineRule="auto"/>
        <w:ind w:firstLine="420" w:firstLineChars="200"/>
        <w:rPr>
          <w:rFonts w:asciiTheme="minorEastAsia" w:hAnsiTheme="minorEastAsia"/>
          <w:szCs w:val="21"/>
        </w:rPr>
      </w:pPr>
      <w:r>
        <w:rPr>
          <w:rFonts w:asciiTheme="minorEastAsia" w:hAnsiTheme="minorEastAsia"/>
          <w:szCs w:val="21"/>
        </w:rPr>
        <w:t>J、S、……X分别为各项评分因素，各因素满分均为100分；</w:t>
      </w:r>
    </w:p>
    <w:p w14:paraId="59D9BEB4">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1175EFB6">
      <w:pPr>
        <w:spacing w:line="360" w:lineRule="auto"/>
        <w:ind w:firstLine="420" w:firstLineChars="200"/>
        <w:rPr>
          <w:rFonts w:asciiTheme="minorEastAsia" w:hAnsiTheme="minorEastAsia"/>
          <w:szCs w:val="21"/>
        </w:rPr>
      </w:pPr>
      <w:r>
        <w:rPr>
          <w:rFonts w:asciiTheme="minorEastAsia" w:hAnsiTheme="minorEastAsia"/>
          <w:szCs w:val="21"/>
        </w:rPr>
        <w:t>价格分计算方法：满足招标文件要求且投标价格最低的投标报价为评标基准价，其价格分为满分。其他投标人的价格分统一按照下列公式计算：</w:t>
      </w:r>
    </w:p>
    <w:p w14:paraId="7479D74E">
      <w:pPr>
        <w:spacing w:line="360" w:lineRule="auto"/>
        <w:ind w:firstLine="420" w:firstLineChars="200"/>
        <w:rPr>
          <w:rFonts w:asciiTheme="minorEastAsia" w:hAnsiTheme="minorEastAsia"/>
          <w:szCs w:val="21"/>
        </w:rPr>
      </w:pPr>
      <w:r>
        <w:rPr>
          <w:rFonts w:asciiTheme="minorEastAsia" w:hAnsiTheme="minorEastAsia"/>
          <w:szCs w:val="21"/>
        </w:rPr>
        <w:t>投标报价得分=(评标基准价／投标报价)×价格权重×100</w:t>
      </w:r>
    </w:p>
    <w:p w14:paraId="0145C267">
      <w:pPr>
        <w:spacing w:line="360" w:lineRule="auto"/>
        <w:ind w:firstLine="420" w:firstLineChars="200"/>
        <w:rPr>
          <w:rFonts w:asciiTheme="minorEastAsia" w:hAnsiTheme="minorEastAsia"/>
          <w:szCs w:val="21"/>
        </w:rPr>
      </w:pPr>
      <w:r>
        <w:rPr>
          <w:rFonts w:asciiTheme="minorEastAsia" w:hAnsiTheme="minorEastAsia"/>
          <w:szCs w:val="21"/>
        </w:rPr>
        <w:t>定标原则：按评审后得分由高到低顺序排序。得分最高的投标供应商作为中标候选供应商或中标供应商。得分相同的，按投标报价由低到高排列。得分且投标报价相同的，按技术指标优劣顺序排列。</w:t>
      </w:r>
    </w:p>
    <w:p w14:paraId="6C3F8EA8">
      <w:pPr>
        <w:spacing w:line="360" w:lineRule="auto"/>
        <w:ind w:firstLine="420" w:firstLineChars="200"/>
        <w:rPr>
          <w:rFonts w:asciiTheme="minorEastAsia" w:hAnsiTheme="minorEastAsia"/>
          <w:szCs w:val="21"/>
        </w:rPr>
      </w:pPr>
      <w:r>
        <w:rPr>
          <w:rFonts w:asciiTheme="minorEastAsia" w:hAnsiTheme="minorEastAsia"/>
          <w:szCs w:val="21"/>
        </w:rPr>
        <w:t>性价比法</w:t>
      </w:r>
    </w:p>
    <w:p w14:paraId="5D50A76F">
      <w:pPr>
        <w:spacing w:line="360" w:lineRule="auto"/>
        <w:ind w:firstLine="420" w:firstLineChars="200"/>
        <w:rPr>
          <w:rFonts w:asciiTheme="minorEastAsia" w:hAnsiTheme="minorEastAsia"/>
          <w:szCs w:val="21"/>
        </w:rPr>
      </w:pPr>
      <w:r>
        <w:rPr>
          <w:rFonts w:asciiTheme="minorEastAsia" w:hAnsiTheme="minorEastAsia"/>
          <w:szCs w:val="21"/>
        </w:rPr>
        <w:t>性价比法，是指除价格因素外，经对投标文件进行评审，计算出各评分因素的总分，除以投标报价，以商数最高的投标供应商作为中标候选供应商或中标供应商的评标方法。</w:t>
      </w:r>
    </w:p>
    <w:p w14:paraId="7A3441FC">
      <w:pPr>
        <w:spacing w:line="360" w:lineRule="auto"/>
        <w:ind w:firstLine="420" w:firstLineChars="200"/>
        <w:rPr>
          <w:rFonts w:asciiTheme="minorEastAsia" w:hAnsiTheme="minorEastAsia"/>
          <w:szCs w:val="21"/>
        </w:rPr>
      </w:pPr>
      <w:r>
        <w:rPr>
          <w:rFonts w:asciiTheme="minorEastAsia" w:hAnsiTheme="minorEastAsia"/>
          <w:szCs w:val="21"/>
        </w:rPr>
        <w:t>评标委员会将依据委托招标金额作为授予合同价格的上限。</w:t>
      </w:r>
    </w:p>
    <w:p w14:paraId="41D459A2">
      <w:pPr>
        <w:spacing w:line="360" w:lineRule="auto"/>
        <w:ind w:firstLine="420" w:firstLineChars="200"/>
        <w:rPr>
          <w:rFonts w:asciiTheme="minorEastAsia" w:hAnsiTheme="minorEastAsia"/>
          <w:szCs w:val="21"/>
        </w:rPr>
      </w:pPr>
      <w:r>
        <w:rPr>
          <w:rFonts w:asciiTheme="minorEastAsia" w:hAnsiTheme="minorEastAsia"/>
          <w:szCs w:val="21"/>
        </w:rPr>
        <w:t>评标委员会同时将参照本须知第</w:t>
      </w:r>
      <w:r>
        <w:rPr>
          <w:rFonts w:asciiTheme="minorEastAsia" w:hAnsiTheme="minorEastAsia"/>
          <w:szCs w:val="21"/>
        </w:rPr>
        <w:fldChar w:fldCharType="begin"/>
      </w:r>
      <w:r>
        <w:rPr>
          <w:rFonts w:asciiTheme="minorEastAsia" w:hAnsiTheme="minorEastAsia"/>
          <w:szCs w:val="21"/>
        </w:rPr>
        <w:instrText xml:space="preserve"> REF _Ref179619330 \r \h  \* MERGEFORMAT </w:instrText>
      </w:r>
      <w:r>
        <w:rPr>
          <w:rFonts w:asciiTheme="minorEastAsia" w:hAnsiTheme="minorEastAsia"/>
          <w:szCs w:val="21"/>
        </w:rPr>
        <w:fldChar w:fldCharType="separate"/>
      </w:r>
      <w:r>
        <w:rPr>
          <w:rFonts w:asciiTheme="minorEastAsia" w:hAnsiTheme="minorEastAsia"/>
          <w:b/>
          <w:szCs w:val="21"/>
        </w:rPr>
        <w:t>29.6</w:t>
      </w:r>
      <w:r>
        <w:rPr>
          <w:rFonts w:asciiTheme="minorEastAsia" w:hAnsiTheme="minorEastAsia"/>
          <w:szCs w:val="21"/>
        </w:rPr>
        <w:fldChar w:fldCharType="end"/>
      </w:r>
      <w:r>
        <w:rPr>
          <w:rFonts w:asciiTheme="minorEastAsia" w:hAnsiTheme="minorEastAsia"/>
          <w:szCs w:val="21"/>
        </w:rPr>
        <w:t>条规定，只对确定为实质上响应招标文件要求的投标进行下一步评定。</w:t>
      </w:r>
    </w:p>
    <w:p w14:paraId="0A7F63B6">
      <w:pPr>
        <w:spacing w:line="360" w:lineRule="auto"/>
        <w:ind w:firstLine="420" w:firstLineChars="200"/>
        <w:rPr>
          <w:rFonts w:asciiTheme="minorEastAsia" w:hAnsiTheme="minorEastAsia"/>
          <w:szCs w:val="21"/>
        </w:rPr>
      </w:pPr>
      <w:bookmarkStart w:id="130" w:name="_Ref179621588"/>
      <w:r>
        <w:rPr>
          <w:rFonts w:asciiTheme="minorEastAsia" w:hAnsiTheme="minorEastAsia"/>
          <w:szCs w:val="21"/>
        </w:rPr>
        <w:t>综合评审：评标委员会对每个通过资格性检查和符合性检查且报价不超过预算控制金额的投标供应商进行评审、打分。综合评分的各项因素主要包括技术和商务等内容，根据招标项目要求的不同，本项目的评分因素和权重分值见招标文件。</w:t>
      </w:r>
      <w:bookmarkEnd w:id="130"/>
    </w:p>
    <w:p w14:paraId="5420F803">
      <w:pPr>
        <w:spacing w:line="360" w:lineRule="auto"/>
        <w:ind w:firstLine="420" w:firstLineChars="200"/>
        <w:rPr>
          <w:rFonts w:asciiTheme="minorEastAsia" w:hAnsiTheme="minorEastAsia"/>
          <w:szCs w:val="21"/>
        </w:rPr>
      </w:pPr>
      <w:r>
        <w:rPr>
          <w:rFonts w:asciiTheme="minorEastAsia" w:hAnsiTheme="minorEastAsia"/>
          <w:szCs w:val="21"/>
        </w:rPr>
        <w:t>计算</w:t>
      </w:r>
    </w:p>
    <w:p w14:paraId="0FD75C17">
      <w:pPr>
        <w:spacing w:line="360" w:lineRule="auto"/>
        <w:ind w:firstLine="420" w:firstLineChars="200"/>
        <w:rPr>
          <w:rFonts w:asciiTheme="minorEastAsia" w:hAnsiTheme="minorEastAsia"/>
          <w:szCs w:val="21"/>
        </w:rPr>
      </w:pPr>
      <w:r>
        <w:rPr>
          <w:rFonts w:asciiTheme="minorEastAsia" w:hAnsiTheme="minorEastAsia"/>
          <w:szCs w:val="21"/>
        </w:rPr>
        <w:t>评标总得分=Bi/Ni</w:t>
      </w:r>
    </w:p>
    <w:p w14:paraId="53F49F64">
      <w:pPr>
        <w:spacing w:line="360" w:lineRule="auto"/>
        <w:ind w:firstLine="420" w:firstLineChars="200"/>
        <w:rPr>
          <w:rFonts w:asciiTheme="minorEastAsia" w:hAnsiTheme="minorEastAsia"/>
          <w:szCs w:val="21"/>
        </w:rPr>
      </w:pPr>
      <w:r>
        <w:rPr>
          <w:rFonts w:asciiTheme="minorEastAsia" w:hAnsiTheme="minorEastAsia"/>
          <w:szCs w:val="21"/>
        </w:rPr>
        <w:t>Ni——为投标供应商的投标报价；</w:t>
      </w:r>
    </w:p>
    <w:p w14:paraId="6A93B2A4">
      <w:pPr>
        <w:spacing w:line="360" w:lineRule="auto"/>
        <w:ind w:firstLine="420" w:firstLineChars="200"/>
        <w:rPr>
          <w:rFonts w:asciiTheme="minorEastAsia" w:hAnsiTheme="minorEastAsia"/>
          <w:szCs w:val="21"/>
        </w:rPr>
      </w:pPr>
      <w:r>
        <w:rPr>
          <w:rFonts w:asciiTheme="minorEastAsia" w:hAnsiTheme="minorEastAsia"/>
          <w:szCs w:val="21"/>
        </w:rPr>
        <w:t>Bi——为投标供应商的综合得分，其中Bi＝（A1×J+A2×C+…+An×F）；</w:t>
      </w:r>
    </w:p>
    <w:p w14:paraId="3F392C53">
      <w:pPr>
        <w:spacing w:line="360" w:lineRule="auto"/>
        <w:ind w:firstLine="420" w:firstLineChars="200"/>
        <w:rPr>
          <w:rFonts w:asciiTheme="minorEastAsia" w:hAnsiTheme="minorEastAsia"/>
          <w:szCs w:val="21"/>
        </w:rPr>
      </w:pPr>
      <w:r>
        <w:rPr>
          <w:rFonts w:asciiTheme="minorEastAsia" w:hAnsiTheme="minorEastAsia"/>
          <w:szCs w:val="21"/>
        </w:rPr>
        <w:t>J、C、……F分别为各项评分因素（技术、信誉、业绩、服务等因素），投标报价除外；各因素满分均为100分；</w:t>
      </w:r>
    </w:p>
    <w:p w14:paraId="0F663177">
      <w:pPr>
        <w:spacing w:line="360" w:lineRule="auto"/>
        <w:ind w:firstLine="420" w:firstLineChars="200"/>
        <w:rPr>
          <w:rFonts w:asciiTheme="minorEastAsia" w:hAnsiTheme="minorEastAsia"/>
          <w:szCs w:val="21"/>
        </w:rPr>
      </w:pPr>
      <w:r>
        <w:rPr>
          <w:rFonts w:asciiTheme="minorEastAsia" w:hAnsiTheme="minorEastAsia"/>
          <w:szCs w:val="21"/>
        </w:rPr>
        <w:t>A1 、A2、A3、...An分别是各项评分因素所占的权重（A1＋A2＋A3＋…＋An＝1）；</w:t>
      </w:r>
    </w:p>
    <w:p w14:paraId="5E845661">
      <w:pPr>
        <w:spacing w:line="360" w:lineRule="auto"/>
        <w:ind w:firstLine="420" w:firstLineChars="200"/>
        <w:rPr>
          <w:rFonts w:asciiTheme="minorEastAsia" w:hAnsiTheme="minorEastAsia"/>
          <w:szCs w:val="21"/>
        </w:rPr>
      </w:pPr>
      <w:r>
        <w:rPr>
          <w:rFonts w:asciiTheme="minorEastAsia" w:hAnsiTheme="minorEastAsia"/>
          <w:szCs w:val="21"/>
        </w:rPr>
        <w:t>定标原则</w:t>
      </w:r>
    </w:p>
    <w:p w14:paraId="15F2B144">
      <w:pPr>
        <w:spacing w:line="360" w:lineRule="auto"/>
        <w:ind w:firstLine="420" w:firstLineChars="200"/>
        <w:rPr>
          <w:rFonts w:asciiTheme="minorEastAsia" w:hAnsiTheme="minorEastAsia"/>
          <w:szCs w:val="21"/>
        </w:rPr>
      </w:pPr>
      <w:r>
        <w:rPr>
          <w:rFonts w:asciiTheme="minorEastAsia" w:hAnsiTheme="minorEastAsia"/>
          <w:szCs w:val="21"/>
        </w:rPr>
        <w:t>按商数得分由高到低顺序排列，以商数最高的投标供应商作为中标侯选供应商或中标供应商。商数得分相同的，按投标报价由低到高顺序排列。商数得分且投标报价相同的，按技术指标优劣顺序排列。</w:t>
      </w:r>
    </w:p>
    <w:p w14:paraId="1A873201">
      <w:pPr>
        <w:pStyle w:val="4"/>
        <w:ind w:firstLine="482"/>
      </w:pPr>
      <w:bookmarkStart w:id="131" w:name="_Toc12447"/>
      <w:bookmarkStart w:id="132" w:name="_Toc31060"/>
      <w:bookmarkStart w:id="133" w:name="_Toc55548528"/>
      <w:r>
        <w:t>六、授予合同</w:t>
      </w:r>
      <w:bookmarkEnd w:id="131"/>
      <w:bookmarkEnd w:id="132"/>
      <w:bookmarkEnd w:id="133"/>
    </w:p>
    <w:p w14:paraId="4F9621F6">
      <w:pPr>
        <w:pStyle w:val="3"/>
        <w:spacing w:line="360" w:lineRule="auto"/>
        <w:ind w:firstLine="482"/>
      </w:pPr>
      <w:bookmarkStart w:id="134" w:name="_Toc55548529"/>
      <w:bookmarkStart w:id="135" w:name="_Toc4551"/>
      <w:r>
        <w:rPr>
          <w:rFonts w:hint="eastAsia"/>
        </w:rPr>
        <w:t>最终审查</w:t>
      </w:r>
      <w:bookmarkEnd w:id="134"/>
      <w:bookmarkEnd w:id="135"/>
    </w:p>
    <w:p w14:paraId="4DA1ACCA">
      <w:pPr>
        <w:spacing w:line="360" w:lineRule="auto"/>
        <w:ind w:firstLine="420" w:firstLineChars="200"/>
        <w:rPr>
          <w:rFonts w:asciiTheme="minorEastAsia" w:hAnsiTheme="minorEastAsia"/>
          <w:szCs w:val="21"/>
        </w:rPr>
      </w:pPr>
      <w:r>
        <w:rPr>
          <w:rFonts w:asciiTheme="minorEastAsia" w:hAnsiTheme="minorEastAsia"/>
          <w:szCs w:val="21"/>
        </w:rPr>
        <w:t>评标委员会将根据本须知列出的标准审查第一中标候选人是否有能力圆满地履行合同。</w:t>
      </w:r>
    </w:p>
    <w:p w14:paraId="4E6E93BA">
      <w:pPr>
        <w:spacing w:line="360" w:lineRule="auto"/>
        <w:ind w:firstLine="420" w:firstLineChars="200"/>
        <w:rPr>
          <w:rFonts w:asciiTheme="minorEastAsia" w:hAnsiTheme="minorEastAsia"/>
          <w:szCs w:val="21"/>
        </w:rPr>
      </w:pPr>
      <w:r>
        <w:rPr>
          <w:rFonts w:asciiTheme="minorEastAsia" w:hAnsiTheme="minorEastAsia"/>
          <w:szCs w:val="21"/>
        </w:rPr>
        <w:t>授标决定时还将考虑投标人的财务、技术和生产能力在招标期间是否有实质性变化。其基础是审查投标人按照本须知规定提交的资格证明文件和评标委员会认为必要的、合适的其它资料。</w:t>
      </w:r>
    </w:p>
    <w:p w14:paraId="03263851">
      <w:pPr>
        <w:spacing w:line="360" w:lineRule="auto"/>
        <w:ind w:firstLine="420" w:firstLineChars="200"/>
        <w:rPr>
          <w:rFonts w:asciiTheme="minorEastAsia" w:hAnsiTheme="minorEastAsia"/>
          <w:szCs w:val="21"/>
        </w:rPr>
      </w:pPr>
      <w:r>
        <w:rPr>
          <w:rFonts w:asciiTheme="minorEastAsia" w:hAnsiTheme="minorEastAsia"/>
          <w:szCs w:val="21"/>
        </w:rPr>
        <w:t>如果审查通过，评标委员会将把合同授予该投标人；如果审查没有通过，评标委员会将拒绝其投标，并对下一个中标候选人能否令人满意地履行合同作类似的审查。</w:t>
      </w:r>
    </w:p>
    <w:p w14:paraId="6C4B248F">
      <w:pPr>
        <w:pStyle w:val="3"/>
        <w:spacing w:line="360" w:lineRule="auto"/>
        <w:ind w:firstLine="482"/>
      </w:pPr>
      <w:bookmarkStart w:id="136" w:name="_Toc55548530"/>
      <w:bookmarkStart w:id="137" w:name="_Toc9998"/>
      <w:r>
        <w:rPr>
          <w:rFonts w:hint="eastAsia"/>
        </w:rPr>
        <w:t>合同授予标准</w:t>
      </w:r>
      <w:bookmarkEnd w:id="136"/>
      <w:bookmarkEnd w:id="137"/>
    </w:p>
    <w:p w14:paraId="19C67771">
      <w:pPr>
        <w:spacing w:line="360" w:lineRule="auto"/>
        <w:ind w:firstLine="420" w:firstLineChars="200"/>
        <w:rPr>
          <w:rFonts w:asciiTheme="minorEastAsia" w:hAnsiTheme="minorEastAsia"/>
          <w:szCs w:val="21"/>
        </w:rPr>
      </w:pPr>
      <w:r>
        <w:rPr>
          <w:rFonts w:asciiTheme="minorEastAsia" w:hAnsiTheme="minorEastAsia"/>
          <w:szCs w:val="21"/>
        </w:rPr>
        <w:t>评标委员会将把合同授予被确定为实质上响应招标文件的要求并有履行合同能力的最低评标价的投标人或综合评价得分最高的投标人或评标总商数最高的投标人。</w:t>
      </w:r>
    </w:p>
    <w:p w14:paraId="6DE0ED69">
      <w:pPr>
        <w:pStyle w:val="3"/>
        <w:spacing w:line="360" w:lineRule="auto"/>
        <w:ind w:firstLine="482"/>
      </w:pPr>
      <w:bookmarkStart w:id="138" w:name="_Toc29853"/>
      <w:bookmarkStart w:id="139" w:name="_Toc55548532"/>
      <w:r>
        <w:rPr>
          <w:rFonts w:hint="eastAsia"/>
        </w:rPr>
        <w:t>中标结果公示</w:t>
      </w:r>
      <w:bookmarkEnd w:id="138"/>
      <w:bookmarkEnd w:id="139"/>
    </w:p>
    <w:p w14:paraId="6900BA4C">
      <w:pPr>
        <w:spacing w:line="360" w:lineRule="auto"/>
        <w:ind w:firstLine="420" w:firstLineChars="200"/>
        <w:rPr>
          <w:rFonts w:asciiTheme="minorEastAsia" w:hAnsiTheme="minorEastAsia"/>
          <w:szCs w:val="21"/>
        </w:rPr>
      </w:pPr>
      <w:r>
        <w:rPr>
          <w:rFonts w:asciiTheme="minorEastAsia" w:hAnsiTheme="minorEastAsia"/>
          <w:szCs w:val="21"/>
        </w:rPr>
        <w:t>为体现“公开、公平、公正”的原则，评标结束后，将在</w:t>
      </w:r>
      <w:r>
        <w:rPr>
          <w:rFonts w:hint="eastAsia" w:asciiTheme="minorEastAsia" w:hAnsiTheme="minorEastAsia"/>
          <w:szCs w:val="21"/>
        </w:rPr>
        <w:t>https://www.bawjxt.net/baqjbyfkzzx/ (深圳市宝安区疾病预防控制中心官网)</w:t>
      </w:r>
      <w:r>
        <w:rPr>
          <w:rFonts w:asciiTheme="minorEastAsia" w:hAnsiTheme="minorEastAsia"/>
          <w:szCs w:val="21"/>
        </w:rPr>
        <w:t>进行中标结果公示，公示期为三日。投标人如对评标结果有异议，应于公示期内以书面形式提出。若在公示期内未提出异议，则视为无异议或放弃异议权。</w:t>
      </w:r>
    </w:p>
    <w:p w14:paraId="5BF7D7D7">
      <w:pPr>
        <w:spacing w:line="360" w:lineRule="auto"/>
        <w:ind w:firstLine="420" w:firstLineChars="200"/>
        <w:rPr>
          <w:rFonts w:asciiTheme="minorEastAsia" w:hAnsiTheme="minorEastAsia"/>
          <w:szCs w:val="21"/>
        </w:rPr>
      </w:pPr>
      <w:r>
        <w:rPr>
          <w:rFonts w:asciiTheme="minorEastAsia" w:hAnsiTheme="minorEastAsia"/>
          <w:szCs w:val="21"/>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14:paraId="4E2031F7">
      <w:pPr>
        <w:pStyle w:val="3"/>
        <w:spacing w:line="360" w:lineRule="auto"/>
        <w:ind w:firstLine="482"/>
      </w:pPr>
      <w:bookmarkStart w:id="140" w:name="_Ref179619923"/>
      <w:bookmarkStart w:id="141" w:name="_Toc55548533"/>
      <w:bookmarkStart w:id="142" w:name="_Toc5257"/>
      <w:r>
        <w:rPr>
          <w:rFonts w:hint="eastAsia"/>
        </w:rPr>
        <w:t>接受和拒绝任何或所有投标的权力</w:t>
      </w:r>
      <w:bookmarkEnd w:id="140"/>
      <w:bookmarkEnd w:id="141"/>
      <w:bookmarkEnd w:id="142"/>
    </w:p>
    <w:p w14:paraId="4429A8EC">
      <w:pPr>
        <w:spacing w:line="360" w:lineRule="auto"/>
        <w:ind w:firstLine="420" w:firstLineChars="200"/>
        <w:rPr>
          <w:rFonts w:asciiTheme="minorEastAsia" w:hAnsiTheme="minorEastAsia"/>
          <w:szCs w:val="21"/>
        </w:rPr>
      </w:pPr>
      <w:r>
        <w:rPr>
          <w:rFonts w:asciiTheme="minorEastAsia" w:hAnsiTheme="minorEastAsia"/>
          <w:szCs w:val="21"/>
        </w:rPr>
        <w:t>在特殊情况下，招标人保留在授标之前拒绝任何投标以及宣布招标程序无效或拒绝所有投标的权力，且对受影响的投标人不承担任何责任，也无义务向受影响的投标人解释采取这一行动的理由。</w:t>
      </w:r>
    </w:p>
    <w:p w14:paraId="0D42378F">
      <w:pPr>
        <w:pStyle w:val="3"/>
        <w:spacing w:line="360" w:lineRule="auto"/>
        <w:ind w:firstLine="482"/>
      </w:pPr>
      <w:bookmarkStart w:id="143" w:name="_Toc55548534"/>
      <w:bookmarkStart w:id="144" w:name="_Toc1842"/>
      <w:r>
        <w:rPr>
          <w:rFonts w:hint="eastAsia"/>
        </w:rPr>
        <w:t>中标通知书</w:t>
      </w:r>
      <w:bookmarkEnd w:id="143"/>
      <w:bookmarkEnd w:id="144"/>
    </w:p>
    <w:p w14:paraId="405A29EA">
      <w:pPr>
        <w:spacing w:line="360" w:lineRule="auto"/>
        <w:ind w:firstLine="420" w:firstLineChars="200"/>
        <w:rPr>
          <w:rFonts w:asciiTheme="minorEastAsia" w:hAnsiTheme="minorEastAsia"/>
          <w:szCs w:val="21"/>
        </w:rPr>
      </w:pPr>
      <w:r>
        <w:rPr>
          <w:rFonts w:asciiTheme="minorEastAsia" w:hAnsiTheme="minorEastAsia"/>
          <w:szCs w:val="21"/>
        </w:rPr>
        <w:t>中标人确定后，</w:t>
      </w:r>
      <w:r>
        <w:rPr>
          <w:rFonts w:hint="eastAsia" w:asciiTheme="minorEastAsia" w:hAnsiTheme="minorEastAsia"/>
          <w:szCs w:val="21"/>
        </w:rPr>
        <w:t>本中心</w:t>
      </w:r>
      <w:r>
        <w:rPr>
          <w:rFonts w:asciiTheme="minorEastAsia" w:hAnsiTheme="minorEastAsia"/>
          <w:szCs w:val="21"/>
        </w:rPr>
        <w:t>将向中标人发出《中标通知书》。</w:t>
      </w:r>
    </w:p>
    <w:p w14:paraId="5E06BBFD">
      <w:pPr>
        <w:spacing w:line="360" w:lineRule="auto"/>
        <w:ind w:firstLine="420" w:firstLineChars="200"/>
        <w:rPr>
          <w:rFonts w:asciiTheme="minorEastAsia" w:hAnsiTheme="minorEastAsia"/>
          <w:szCs w:val="21"/>
        </w:rPr>
      </w:pPr>
      <w:r>
        <w:rPr>
          <w:rFonts w:asciiTheme="minorEastAsia" w:hAnsiTheme="minorEastAsia"/>
          <w:szCs w:val="21"/>
        </w:rPr>
        <w:t>《中标通知书》是合同的一个组成部分。</w:t>
      </w:r>
    </w:p>
    <w:p w14:paraId="4366CBC6">
      <w:pPr>
        <w:pStyle w:val="3"/>
        <w:spacing w:line="360" w:lineRule="auto"/>
        <w:ind w:firstLine="482"/>
      </w:pPr>
      <w:bookmarkStart w:id="145" w:name="_Toc11931"/>
      <w:bookmarkStart w:id="146" w:name="_Toc55548535"/>
      <w:bookmarkStart w:id="147" w:name="_Ref179619520"/>
      <w:r>
        <w:rPr>
          <w:rFonts w:hint="eastAsia"/>
        </w:rPr>
        <w:t>签订合同</w:t>
      </w:r>
      <w:bookmarkEnd w:id="145"/>
      <w:bookmarkEnd w:id="146"/>
      <w:bookmarkEnd w:id="147"/>
    </w:p>
    <w:p w14:paraId="59A4563A">
      <w:pPr>
        <w:spacing w:line="360" w:lineRule="auto"/>
        <w:ind w:firstLine="420" w:firstLineChars="200"/>
        <w:rPr>
          <w:rFonts w:asciiTheme="minorEastAsia" w:hAnsiTheme="minorEastAsia"/>
          <w:szCs w:val="21"/>
        </w:rPr>
      </w:pPr>
      <w:r>
        <w:rPr>
          <w:rFonts w:asciiTheme="minorEastAsia" w:hAnsiTheme="minorEastAsia"/>
          <w:szCs w:val="21"/>
        </w:rPr>
        <w:t>《中标通知书》发出后10个工作日内，中标人应按照招标文件和中标人的投标文件订立书面合同。中标人不得与招标人再订立背离合同实质性内容的其他协议。</w:t>
      </w:r>
    </w:p>
    <w:p w14:paraId="108CCD1C">
      <w:pPr>
        <w:spacing w:line="360" w:lineRule="auto"/>
        <w:ind w:firstLine="420" w:firstLineChars="200"/>
        <w:rPr>
          <w:rFonts w:asciiTheme="minorEastAsia" w:hAnsiTheme="minorEastAsia"/>
          <w:szCs w:val="21"/>
        </w:rPr>
      </w:pPr>
      <w:r>
        <w:rPr>
          <w:rFonts w:asciiTheme="minorEastAsia" w:hAnsiTheme="minorEastAsia"/>
          <w:szCs w:val="21"/>
        </w:rPr>
        <w:t>招标文件、中标人的投标文件及其澄清文件等，均为签订合同的依据。</w:t>
      </w:r>
    </w:p>
    <w:p w14:paraId="04A55D14">
      <w:pPr>
        <w:spacing w:line="360" w:lineRule="auto"/>
        <w:ind w:firstLine="420" w:firstLineChars="200"/>
        <w:rPr>
          <w:rFonts w:asciiTheme="minorEastAsia" w:hAnsiTheme="minorEastAsia"/>
          <w:szCs w:val="21"/>
        </w:rPr>
      </w:pPr>
      <w:r>
        <w:rPr>
          <w:rFonts w:asciiTheme="minorEastAsia" w:hAnsiTheme="minorEastAsia"/>
          <w:szCs w:val="21"/>
        </w:rPr>
        <w:t>合同签订后5个工作日内，中标人须将合同副本(合同复印件加盖中标人公章，原件核验)送</w:t>
      </w:r>
      <w:r>
        <w:rPr>
          <w:rFonts w:hint="eastAsia" w:asciiTheme="minorEastAsia" w:hAnsiTheme="minorEastAsia"/>
          <w:szCs w:val="21"/>
        </w:rPr>
        <w:t>本中心</w:t>
      </w:r>
      <w:r>
        <w:rPr>
          <w:rFonts w:asciiTheme="minorEastAsia" w:hAnsiTheme="minorEastAsia"/>
          <w:szCs w:val="21"/>
        </w:rPr>
        <w:t>存档备案。</w:t>
      </w:r>
    </w:p>
    <w:p w14:paraId="56F07AB1">
      <w:pPr>
        <w:spacing w:line="360" w:lineRule="auto"/>
        <w:ind w:firstLine="420" w:firstLineChars="200"/>
        <w:sectPr>
          <w:pgSz w:w="11906" w:h="16838"/>
          <w:pgMar w:top="1418" w:right="1474" w:bottom="1418" w:left="1474" w:header="851" w:footer="992" w:gutter="0"/>
          <w:cols w:space="425" w:num="1"/>
          <w:docGrid w:type="lines" w:linePitch="312" w:charSpace="0"/>
        </w:sectPr>
      </w:pPr>
    </w:p>
    <w:p w14:paraId="629FBB81">
      <w:pPr>
        <w:pStyle w:val="2"/>
      </w:pPr>
      <w:bookmarkStart w:id="148" w:name="_Toc61539111"/>
      <w:bookmarkStart w:id="149" w:name="_Toc61880307"/>
      <w:r>
        <w:rPr>
          <w:rFonts w:hint="eastAsia"/>
        </w:rPr>
        <w:t>第四章  附件－投标文件格式</w:t>
      </w:r>
      <w:bookmarkEnd w:id="148"/>
      <w:bookmarkEnd w:id="149"/>
    </w:p>
    <w:p w14:paraId="24E93096">
      <w:pPr>
        <w:spacing w:line="360" w:lineRule="auto"/>
        <w:ind w:firstLine="420" w:firstLineChars="200"/>
        <w:rPr>
          <w:rFonts w:asciiTheme="minorEastAsia" w:hAnsiTheme="minorEastAsia"/>
          <w:szCs w:val="21"/>
        </w:rPr>
      </w:pPr>
      <w:r>
        <w:rPr>
          <w:rFonts w:hint="eastAsia" w:asciiTheme="minorEastAsia" w:hAnsiTheme="minorEastAsia"/>
          <w:szCs w:val="21"/>
        </w:rPr>
        <w:t>附件1：投标函格式</w:t>
      </w:r>
    </w:p>
    <w:p w14:paraId="20F9B379">
      <w:pPr>
        <w:keepNext/>
        <w:keepLines/>
        <w:spacing w:before="160" w:after="170"/>
        <w:ind w:firstLine="602" w:firstLineChars="200"/>
        <w:jc w:val="center"/>
        <w:outlineLvl w:val="4"/>
        <w:rPr>
          <w:b/>
          <w:bCs/>
          <w:sz w:val="30"/>
          <w:szCs w:val="28"/>
        </w:rPr>
      </w:pPr>
      <w:bookmarkStart w:id="150" w:name="_Toc55548538"/>
      <w:r>
        <w:rPr>
          <w:rFonts w:hint="eastAsia"/>
          <w:b/>
          <w:bCs/>
          <w:sz w:val="30"/>
          <w:szCs w:val="28"/>
        </w:rPr>
        <w:t>投标函</w:t>
      </w:r>
      <w:bookmarkEnd w:id="150"/>
    </w:p>
    <w:p w14:paraId="2666FFA7">
      <w:pPr>
        <w:spacing w:line="360" w:lineRule="auto"/>
        <w:ind w:firstLine="420" w:firstLineChars="200"/>
        <w:rPr>
          <w:rFonts w:hint="eastAsia" w:asciiTheme="minorEastAsia" w:hAnsiTheme="minorEastAsia" w:eastAsiaTheme="minorEastAsia"/>
          <w:color w:val="000000"/>
          <w:szCs w:val="21"/>
          <w:u w:val="single"/>
          <w:lang w:eastAsia="zh-CN"/>
        </w:rPr>
      </w:pPr>
      <w:r>
        <w:rPr>
          <w:rFonts w:hint="eastAsia" w:asciiTheme="minorEastAsia" w:hAnsiTheme="minorEastAsia"/>
          <w:color w:val="000000"/>
          <w:szCs w:val="21"/>
        </w:rPr>
        <w:t>致：</w:t>
      </w:r>
      <w:r>
        <w:rPr>
          <w:rFonts w:hint="eastAsia" w:asciiTheme="minorEastAsia" w:hAnsiTheme="minorEastAsia"/>
          <w:szCs w:val="21"/>
          <w:u w:val="single"/>
        </w:rPr>
        <w:t>深圳市宝安区疾病预防控制中心</w:t>
      </w:r>
      <w:r>
        <w:rPr>
          <w:rFonts w:hint="eastAsia" w:asciiTheme="minorEastAsia" w:hAnsiTheme="minorEastAsia"/>
          <w:szCs w:val="21"/>
          <w:u w:val="single"/>
          <w:lang w:eastAsia="zh-CN"/>
        </w:rPr>
        <w:t>（</w:t>
      </w:r>
      <w:r>
        <w:rPr>
          <w:rFonts w:hint="eastAsia" w:asciiTheme="minorEastAsia" w:hAnsiTheme="minorEastAsia"/>
          <w:szCs w:val="21"/>
          <w:u w:val="single"/>
          <w:lang w:val="en-US" w:eastAsia="zh-CN"/>
        </w:rPr>
        <w:t>深圳市宝安区卫生监督所</w:t>
      </w:r>
      <w:r>
        <w:rPr>
          <w:rFonts w:hint="eastAsia" w:asciiTheme="minorEastAsia" w:hAnsiTheme="minorEastAsia"/>
          <w:szCs w:val="21"/>
          <w:u w:val="single"/>
          <w:lang w:eastAsia="zh-CN"/>
        </w:rPr>
        <w:t>）</w:t>
      </w:r>
    </w:p>
    <w:p w14:paraId="586A633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我们收到你们组织的</w:t>
      </w:r>
      <w:r>
        <w:rPr>
          <w:rFonts w:hint="eastAsia" w:asciiTheme="minorEastAsia" w:hAnsiTheme="minorEastAsia"/>
          <w:color w:val="000000"/>
          <w:szCs w:val="21"/>
          <w:u w:val="single"/>
        </w:rPr>
        <w:t xml:space="preserve"> （项目名称） </w:t>
      </w:r>
      <w:r>
        <w:rPr>
          <w:rFonts w:hint="eastAsia" w:asciiTheme="minorEastAsia" w:hAnsiTheme="minorEastAsia"/>
          <w:color w:val="000000"/>
          <w:szCs w:val="21"/>
        </w:rPr>
        <w:t xml:space="preserve">招标文件，经详细研究，我们决定参加该项目 </w:t>
      </w:r>
      <w:r>
        <w:rPr>
          <w:rFonts w:hint="eastAsia" w:asciiTheme="minorEastAsia" w:hAnsiTheme="minorEastAsia"/>
          <w:color w:val="000000"/>
          <w:szCs w:val="21"/>
          <w:u w:val="single"/>
        </w:rPr>
        <w:t xml:space="preserve">（项目编号） </w:t>
      </w:r>
      <w:r>
        <w:rPr>
          <w:rFonts w:hint="eastAsia" w:asciiTheme="minorEastAsia" w:hAnsiTheme="minorEastAsia"/>
          <w:color w:val="000000"/>
          <w:szCs w:val="21"/>
        </w:rPr>
        <w:t xml:space="preserve"> 招标的有关活动，并投标。为此，我方谨郑重声明以下诸点，并对之负法律责任。</w:t>
      </w:r>
    </w:p>
    <w:p w14:paraId="046CFBA4">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1、我方愿以《开标一览表》中填写的投标总价并按照招标文件中的一切要求，承担上述项目的全部工作。</w:t>
      </w:r>
    </w:p>
    <w:p w14:paraId="63FE8111">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2、我方提交的投标文件为：投标书正本一份，副本二份，电子档文件一份。</w:t>
      </w:r>
    </w:p>
    <w:p w14:paraId="35AA55BF">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3、如果我们投标书被接受，我们将履行招标文件中规定的每一项要求，按期、按质、按量完成任务。</w:t>
      </w:r>
    </w:p>
    <w:p w14:paraId="62A861C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4、我们愿意提供招标文件中要求的所有资料，且所递交的投标文件在投标有效期（即90天）内有效，在此期间内我方的投标有可能中标，我方将受此约束。</w:t>
      </w:r>
    </w:p>
    <w:p w14:paraId="70BC87AD">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5、我们理解，最低报价不是中标的唯一条件。我们认为你们有选择或拒绝任何投标者中标的权利。</w:t>
      </w:r>
    </w:p>
    <w:p w14:paraId="0BADFD60">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6、我方愿按《中华人民共和国合同法》履行自己的全部责任。</w:t>
      </w:r>
    </w:p>
    <w:p w14:paraId="2CDDF35D">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7、我们同意招标文件之规定，遵守有关招标的各项规定。</w:t>
      </w:r>
    </w:p>
    <w:p w14:paraId="59CE060F">
      <w:pPr>
        <w:spacing w:line="360" w:lineRule="auto"/>
        <w:ind w:firstLine="420" w:firstLineChars="200"/>
        <w:rPr>
          <w:rFonts w:asciiTheme="minorEastAsia" w:hAnsiTheme="minorEastAsia"/>
          <w:color w:val="000000"/>
          <w:szCs w:val="21"/>
        </w:rPr>
      </w:pPr>
      <w:r>
        <w:rPr>
          <w:rFonts w:asciiTheme="minorEastAsia" w:hAnsiTheme="minorEastAsia"/>
          <w:color w:val="000000"/>
          <w:szCs w:val="21"/>
        </w:rPr>
        <w:t>8</w:t>
      </w:r>
      <w:r>
        <w:rPr>
          <w:rFonts w:hint="eastAsia" w:asciiTheme="minorEastAsia" w:hAnsiTheme="minorEastAsia"/>
          <w:color w:val="000000"/>
          <w:szCs w:val="21"/>
        </w:rPr>
        <w:t>、所有有关本标书的函电，请按下列地址联系：</w:t>
      </w:r>
    </w:p>
    <w:p w14:paraId="4FCB4E08">
      <w:pPr>
        <w:spacing w:line="360" w:lineRule="auto"/>
        <w:ind w:firstLine="420" w:firstLineChars="200"/>
        <w:rPr>
          <w:rFonts w:asciiTheme="minorEastAsia" w:hAnsiTheme="minorEastAsia"/>
          <w:color w:val="000000"/>
          <w:szCs w:val="21"/>
        </w:rPr>
      </w:pPr>
    </w:p>
    <w:p w14:paraId="457D67EA">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单    位： （盖章）</w:t>
      </w:r>
    </w:p>
    <w:p w14:paraId="7708622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授权代表或法人代表： （签字）</w:t>
      </w:r>
    </w:p>
    <w:p w14:paraId="17A9A24C">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地    址： </w:t>
      </w:r>
    </w:p>
    <w:p w14:paraId="61C3FF78">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 xml:space="preserve">电    话：     </w:t>
      </w:r>
    </w:p>
    <w:p w14:paraId="372C91D6">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传    真：</w:t>
      </w:r>
    </w:p>
    <w:p w14:paraId="43E38028">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邮    编：</w:t>
      </w:r>
    </w:p>
    <w:p w14:paraId="09B847F7">
      <w:pPr>
        <w:spacing w:line="360" w:lineRule="auto"/>
        <w:ind w:firstLine="420" w:firstLineChars="200"/>
        <w:rPr>
          <w:rFonts w:asciiTheme="minorEastAsia" w:hAnsiTheme="minorEastAsia"/>
          <w:szCs w:val="21"/>
        </w:rPr>
      </w:pPr>
      <w:r>
        <w:rPr>
          <w:rFonts w:asciiTheme="minorEastAsia" w:hAnsiTheme="minorEastAsia"/>
          <w:szCs w:val="21"/>
        </w:rPr>
        <w:br w:type="page"/>
      </w:r>
      <w:r>
        <w:rPr>
          <w:rFonts w:hint="eastAsia" w:asciiTheme="minorEastAsia" w:hAnsiTheme="minorEastAsia"/>
          <w:szCs w:val="21"/>
        </w:rPr>
        <w:t>附件2：政府采购投标及履约承诺函</w:t>
      </w:r>
    </w:p>
    <w:p w14:paraId="7DAD8281">
      <w:pPr>
        <w:keepNext/>
        <w:keepLines/>
        <w:spacing w:before="160" w:after="170"/>
        <w:ind w:firstLine="602" w:firstLineChars="200"/>
        <w:jc w:val="center"/>
        <w:outlineLvl w:val="4"/>
        <w:rPr>
          <w:b/>
          <w:bCs/>
          <w:sz w:val="30"/>
          <w:szCs w:val="28"/>
        </w:rPr>
      </w:pPr>
      <w:bookmarkStart w:id="151" w:name="_Toc55548539"/>
      <w:bookmarkStart w:id="152" w:name="_Toc30545"/>
      <w:r>
        <w:rPr>
          <w:rFonts w:hint="eastAsia"/>
          <w:b/>
          <w:bCs/>
          <w:sz w:val="30"/>
          <w:szCs w:val="28"/>
        </w:rPr>
        <w:t>政府采购投标及履约承诺函</w:t>
      </w:r>
      <w:bookmarkEnd w:id="151"/>
    </w:p>
    <w:p w14:paraId="04747C6A">
      <w:pPr>
        <w:spacing w:line="360" w:lineRule="auto"/>
        <w:ind w:firstLine="420" w:firstLineChars="200"/>
        <w:rPr>
          <w:rFonts w:asciiTheme="minorEastAsia" w:hAnsiTheme="minorEastAsia"/>
          <w:szCs w:val="21"/>
        </w:rPr>
      </w:pPr>
      <w:r>
        <w:rPr>
          <w:rFonts w:hint="eastAsia" w:asciiTheme="minorEastAsia" w:hAnsiTheme="minorEastAsia"/>
          <w:szCs w:val="21"/>
        </w:rPr>
        <w:t>致：深圳市宝安区疾病预防控制中心</w:t>
      </w:r>
    </w:p>
    <w:p w14:paraId="03D59134">
      <w:pPr>
        <w:spacing w:line="360" w:lineRule="auto"/>
        <w:ind w:right="-815" w:firstLine="420" w:firstLineChars="200"/>
        <w:rPr>
          <w:rFonts w:asciiTheme="minorEastAsia" w:hAnsiTheme="minorEastAsia"/>
          <w:szCs w:val="21"/>
        </w:rPr>
      </w:pPr>
      <w:r>
        <w:rPr>
          <w:rFonts w:hint="eastAsia" w:asciiTheme="minorEastAsia" w:hAnsiTheme="minorEastAsia"/>
          <w:szCs w:val="21"/>
        </w:rPr>
        <w:t>我公司承诺：</w:t>
      </w:r>
    </w:p>
    <w:p w14:paraId="33302F30">
      <w:pPr>
        <w:spacing w:line="360" w:lineRule="auto"/>
        <w:ind w:firstLine="420" w:firstLineChars="200"/>
        <w:rPr>
          <w:rFonts w:asciiTheme="minorEastAsia" w:hAnsiTheme="minorEastAsia"/>
          <w:szCs w:val="21"/>
        </w:rPr>
      </w:pPr>
      <w:r>
        <w:rPr>
          <w:rFonts w:hint="eastAsia" w:asciiTheme="minorEastAsia" w:hAnsiTheme="minorEastAsia"/>
          <w:szCs w:val="21"/>
        </w:rPr>
        <w:t>1.我公司本招标项目所提供的货物或服务未侵犯知识产权。</w:t>
      </w:r>
    </w:p>
    <w:p w14:paraId="5A8F2039">
      <w:pPr>
        <w:spacing w:line="360" w:lineRule="auto"/>
        <w:ind w:firstLine="420" w:firstLineChars="200"/>
        <w:rPr>
          <w:rFonts w:asciiTheme="minorEastAsia" w:hAnsiTheme="minorEastAsia"/>
          <w:szCs w:val="21"/>
        </w:rPr>
      </w:pPr>
      <w:r>
        <w:rPr>
          <w:rFonts w:hint="eastAsia" w:asciiTheme="minorEastAsia" w:hAnsiTheme="minorEastAsia"/>
          <w:szCs w:val="21"/>
        </w:rPr>
        <w:t>2.我公司近三年内(成立不足三年的从成立之日起算)无行贿犯罪记录。</w:t>
      </w:r>
    </w:p>
    <w:p w14:paraId="3FD4181A">
      <w:pPr>
        <w:spacing w:line="360" w:lineRule="auto"/>
        <w:ind w:firstLine="420" w:firstLineChars="200"/>
        <w:rPr>
          <w:rFonts w:asciiTheme="minorEastAsia" w:hAnsiTheme="minorEastAsia"/>
          <w:szCs w:val="21"/>
        </w:rPr>
      </w:pPr>
      <w:r>
        <w:rPr>
          <w:rFonts w:hint="eastAsia" w:asciiTheme="minorEastAsia" w:hAnsiTheme="minorEastAsia"/>
          <w:szCs w:val="21"/>
        </w:rPr>
        <w:t>3.我公司参与本项目政府采购活动时不存在被有关部门禁止参与政府采购活动且在有效期内的情况。</w:t>
      </w:r>
    </w:p>
    <w:p w14:paraId="46AD7EC7">
      <w:pPr>
        <w:spacing w:line="360" w:lineRule="auto"/>
        <w:ind w:firstLine="420" w:firstLineChars="200"/>
        <w:rPr>
          <w:rFonts w:asciiTheme="minorEastAsia" w:hAnsiTheme="minorEastAsia"/>
          <w:szCs w:val="21"/>
        </w:rPr>
      </w:pPr>
      <w:r>
        <w:rPr>
          <w:rFonts w:hint="eastAsia" w:asciiTheme="minorEastAsia" w:hAnsiTheme="minorEastAsia"/>
          <w:szCs w:val="21"/>
        </w:rPr>
        <w:t>4.我公司具备《中华人民共和国政府采购法》第二十二条第一款规定的资质。</w:t>
      </w:r>
    </w:p>
    <w:p w14:paraId="08E57043">
      <w:pPr>
        <w:spacing w:line="360" w:lineRule="auto"/>
        <w:ind w:firstLine="420" w:firstLineChars="200"/>
        <w:rPr>
          <w:rFonts w:asciiTheme="minorEastAsia" w:hAnsiTheme="minorEastAsia"/>
          <w:szCs w:val="21"/>
        </w:rPr>
      </w:pPr>
      <w:r>
        <w:rPr>
          <w:rFonts w:hint="eastAsia" w:asciiTheme="minorEastAsia" w:hAnsiTheme="minorEastAsia"/>
          <w:szCs w:val="21"/>
        </w:rPr>
        <w:t>5.我公司与其他投标供应商不存在单位负责人为同一人或者存在直接控股、管理关系，未对本次采购项目提供整体设计、规范编制或者项目管理、监理、检测等服务。</w:t>
      </w:r>
    </w:p>
    <w:p w14:paraId="65107741">
      <w:pPr>
        <w:spacing w:line="360" w:lineRule="auto"/>
        <w:ind w:firstLine="420" w:firstLineChars="200"/>
        <w:rPr>
          <w:rFonts w:asciiTheme="minorEastAsia" w:hAnsiTheme="minorEastAsia"/>
          <w:szCs w:val="21"/>
        </w:rPr>
      </w:pPr>
      <w:r>
        <w:rPr>
          <w:rFonts w:hint="eastAsia" w:asciiTheme="minorEastAsia" w:hAnsiTheme="minorEastAsia"/>
          <w:szCs w:val="21"/>
        </w:rPr>
        <w:t>6.我公司未被列入失信被执行人、重大税收违法案件当事人名单、政府采购严重违法失信行为记录名单。</w:t>
      </w:r>
    </w:p>
    <w:p w14:paraId="43BBEC4D">
      <w:pPr>
        <w:spacing w:line="360" w:lineRule="auto"/>
        <w:ind w:firstLine="420" w:firstLineChars="200"/>
        <w:rPr>
          <w:rFonts w:asciiTheme="minorEastAsia" w:hAnsiTheme="minorEastAsia"/>
          <w:szCs w:val="21"/>
        </w:rPr>
      </w:pPr>
      <w:r>
        <w:rPr>
          <w:rFonts w:hint="eastAsia" w:asciiTheme="minorEastAsia" w:hAnsiTheme="minorEastAsia"/>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1B653133">
      <w:pPr>
        <w:spacing w:line="360" w:lineRule="auto"/>
        <w:ind w:firstLine="420" w:firstLineChars="200"/>
        <w:rPr>
          <w:rFonts w:asciiTheme="minorEastAsia" w:hAnsiTheme="minorEastAsia"/>
          <w:szCs w:val="21"/>
        </w:rPr>
      </w:pPr>
      <w:r>
        <w:rPr>
          <w:rFonts w:hint="eastAsia" w:asciiTheme="minorEastAsia" w:hAnsiTheme="minorEastAsia"/>
          <w:szCs w:val="21"/>
        </w:rPr>
        <w:t>8.我公司如果中标，做到守信，不偷工减料，依照本项目招标文件需求内容、签署的采购合同及本公司在投标中所作的一切承诺履约。项目验收达到全部指标合格，力争优良。</w:t>
      </w:r>
    </w:p>
    <w:p w14:paraId="141D223C">
      <w:pPr>
        <w:spacing w:line="360" w:lineRule="auto"/>
        <w:ind w:firstLine="420" w:firstLineChars="200"/>
        <w:rPr>
          <w:rFonts w:asciiTheme="minorEastAsia" w:hAnsiTheme="minorEastAsia"/>
          <w:szCs w:val="21"/>
        </w:rPr>
      </w:pPr>
      <w:r>
        <w:rPr>
          <w:rFonts w:hint="eastAsia" w:asciiTheme="minorEastAsia" w:hAnsiTheme="minorEastAsia"/>
          <w:szCs w:val="21"/>
        </w:rPr>
        <w:t>9.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3CB70DD2">
      <w:pPr>
        <w:spacing w:line="360" w:lineRule="auto"/>
        <w:ind w:firstLine="420" w:firstLineChars="200"/>
        <w:rPr>
          <w:rFonts w:asciiTheme="minorEastAsia" w:hAnsiTheme="minorEastAsia"/>
          <w:szCs w:val="21"/>
        </w:rPr>
      </w:pPr>
      <w:r>
        <w:rPr>
          <w:rFonts w:hint="eastAsia" w:asciiTheme="minorEastAsia" w:hAnsiTheme="minorEastAsia"/>
          <w:szCs w:val="21"/>
        </w:rPr>
        <w:t>10.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559A09B4">
      <w:pPr>
        <w:spacing w:line="360" w:lineRule="auto"/>
        <w:ind w:firstLine="420" w:firstLineChars="200"/>
        <w:rPr>
          <w:rFonts w:asciiTheme="minorEastAsia" w:hAnsiTheme="minorEastAsia"/>
          <w:szCs w:val="21"/>
        </w:rPr>
      </w:pPr>
      <w:r>
        <w:rPr>
          <w:rFonts w:hint="eastAsia" w:asciiTheme="minorEastAsia" w:hAnsiTheme="minorEastAsia"/>
          <w:szCs w:val="21"/>
        </w:rPr>
        <w:t>11.我公司承诺本项目非联合体投标，不非法转包、分包。</w:t>
      </w:r>
    </w:p>
    <w:p w14:paraId="1173251F">
      <w:pPr>
        <w:spacing w:line="360" w:lineRule="auto"/>
        <w:ind w:firstLine="420" w:firstLineChars="200"/>
        <w:rPr>
          <w:rFonts w:asciiTheme="minorEastAsia" w:hAnsiTheme="minorEastAsia"/>
          <w:szCs w:val="21"/>
        </w:rPr>
      </w:pPr>
      <w:r>
        <w:rPr>
          <w:rFonts w:hint="eastAsia" w:asciiTheme="minorEastAsia" w:hAnsiTheme="minorEastAsia"/>
          <w:szCs w:val="21"/>
        </w:rPr>
        <w:t>以上承诺，如有违反，愿依照国家相关法律处理，并承担由此给采购人带来的损失。</w:t>
      </w:r>
    </w:p>
    <w:p w14:paraId="0963CADD">
      <w:pPr>
        <w:adjustRightInd w:val="0"/>
        <w:snapToGrid w:val="0"/>
        <w:spacing w:line="360" w:lineRule="auto"/>
        <w:ind w:firstLine="422" w:firstLineChars="200"/>
        <w:rPr>
          <w:rFonts w:asciiTheme="minorEastAsia" w:hAnsiTheme="minorEastAsia"/>
          <w:b/>
          <w:snapToGrid w:val="0"/>
          <w:kern w:val="0"/>
          <w:szCs w:val="21"/>
        </w:rPr>
      </w:pPr>
    </w:p>
    <w:p w14:paraId="546A4764">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0C41AFA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4EFB8755">
      <w:pPr>
        <w:spacing w:line="360" w:lineRule="auto"/>
        <w:ind w:firstLine="420" w:firstLineChars="200"/>
        <w:rPr>
          <w:rFonts w:asciiTheme="minorEastAsia" w:hAnsiTheme="minorEastAsia"/>
          <w:color w:val="000000"/>
          <w:szCs w:val="21"/>
        </w:rPr>
        <w:sectPr>
          <w:pgSz w:w="11906" w:h="16838"/>
          <w:pgMar w:top="1440" w:right="1080" w:bottom="1440" w:left="1080" w:header="851" w:footer="992" w:gutter="0"/>
          <w:cols w:space="720" w:num="1"/>
          <w:titlePg/>
          <w:docGrid w:type="lines" w:linePitch="312" w:charSpace="0"/>
        </w:sectPr>
      </w:pPr>
      <w:r>
        <w:rPr>
          <w:rFonts w:hint="eastAsia" w:asciiTheme="minorEastAsia" w:hAnsiTheme="minorEastAsia"/>
          <w:color w:val="000000"/>
          <w:szCs w:val="21"/>
        </w:rPr>
        <w:t>日期：</w:t>
      </w:r>
    </w:p>
    <w:p w14:paraId="2283AB89">
      <w:pPr>
        <w:spacing w:line="360" w:lineRule="auto"/>
        <w:ind w:firstLine="420" w:firstLineChars="200"/>
        <w:rPr>
          <w:rFonts w:asciiTheme="minorEastAsia" w:hAnsiTheme="minorEastAsia"/>
          <w:szCs w:val="21"/>
        </w:rPr>
      </w:pPr>
      <w:r>
        <w:rPr>
          <w:rFonts w:hint="eastAsia" w:asciiTheme="minorEastAsia" w:hAnsiTheme="minorEastAsia"/>
          <w:szCs w:val="21"/>
        </w:rPr>
        <w:t>附件3：诚信承诺函格式</w:t>
      </w:r>
      <w:bookmarkEnd w:id="152"/>
    </w:p>
    <w:p w14:paraId="30587093">
      <w:pPr>
        <w:keepNext/>
        <w:keepLines/>
        <w:spacing w:before="160" w:after="170"/>
        <w:ind w:firstLine="602" w:firstLineChars="200"/>
        <w:jc w:val="center"/>
        <w:outlineLvl w:val="4"/>
        <w:rPr>
          <w:b/>
          <w:bCs/>
          <w:snapToGrid w:val="0"/>
          <w:sz w:val="30"/>
          <w:szCs w:val="28"/>
        </w:rPr>
      </w:pPr>
      <w:bookmarkStart w:id="153" w:name="_Toc55548540"/>
      <w:r>
        <w:rPr>
          <w:rFonts w:hint="eastAsia"/>
          <w:b/>
          <w:bCs/>
          <w:snapToGrid w:val="0"/>
          <w:sz w:val="30"/>
          <w:szCs w:val="28"/>
        </w:rPr>
        <w:t>诚信承诺函</w:t>
      </w:r>
      <w:bookmarkEnd w:id="153"/>
    </w:p>
    <w:p w14:paraId="4BE38E05">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深圳市宝安区疾病预防控制中心：</w:t>
      </w:r>
    </w:p>
    <w:p w14:paraId="73CC2EC1">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根据《深圳市政府采购供应商诚信管理暂行办法》相关规定，在参与政府采购活动中不存在出现诚信相关问题且在相关主管部门处理措施实施期限内，如若投标文件与事实情况不符，我司自愿承担“隐瞒真实情况，提供虚假资料”以及其他一切不利的法律后果。</w:t>
      </w:r>
    </w:p>
    <w:p w14:paraId="7B2A9340">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我公司承诺，在参加政府采购活动中没有出现下列行为之一：</w:t>
      </w:r>
    </w:p>
    <w:p w14:paraId="2B60093E">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（一）投标截止后，无正当理由撤销其投标行为，导致项目无法正常开评标的；</w:t>
      </w:r>
    </w:p>
    <w:p w14:paraId="1E4F6744">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（二）未按《采购条例》规定签订、履行采购合同，严重影响采购人日常工作的；</w:t>
      </w:r>
    </w:p>
    <w:p w14:paraId="67396A13">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（三）在投标文件中未说明且未经采购人同意，将中标项目分包给他人，情节严重的；</w:t>
      </w:r>
    </w:p>
    <w:p w14:paraId="20A75AF5">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（四）严重违反合同约定，擅自降低货物质量等次和售后服务，货物、工程或者服务存在严重质量问题的；</w:t>
      </w:r>
    </w:p>
    <w:p w14:paraId="4F592CBD">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（五）严重违反合同约定，未能完成全部货物、服务或工程项目，中途停止配送或者变相增加费用的；</w:t>
      </w:r>
    </w:p>
    <w:p w14:paraId="2B16304B">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（六）捏造事实、提供虚假材料进行质疑的；</w:t>
      </w:r>
    </w:p>
    <w:p w14:paraId="0D477ABA">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（七）假冒他人名义质疑的；</w:t>
      </w:r>
    </w:p>
    <w:p w14:paraId="0A3BDE02">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（八）无正当理由拒不配合进行质疑调查的。</w:t>
      </w:r>
    </w:p>
    <w:p w14:paraId="35C09B30">
      <w:pPr>
        <w:spacing w:line="360" w:lineRule="auto"/>
        <w:ind w:firstLine="420" w:firstLineChars="200"/>
        <w:rPr>
          <w:rFonts w:cs="Courier New" w:asciiTheme="minorEastAsia" w:hAnsiTheme="minorEastAsia"/>
          <w:snapToGrid w:val="0"/>
          <w:szCs w:val="21"/>
        </w:rPr>
      </w:pPr>
      <w:r>
        <w:rPr>
          <w:rFonts w:hint="eastAsia" w:cs="Courier New" w:asciiTheme="minorEastAsia" w:hAnsiTheme="minorEastAsia"/>
          <w:snapToGrid w:val="0"/>
          <w:szCs w:val="21"/>
        </w:rPr>
        <w:t>特此承诺。</w:t>
      </w:r>
    </w:p>
    <w:p w14:paraId="390E5D93">
      <w:pPr>
        <w:spacing w:line="360" w:lineRule="auto"/>
        <w:ind w:firstLine="420" w:firstLineChars="200"/>
        <w:rPr>
          <w:rFonts w:asciiTheme="minorEastAsia" w:hAnsiTheme="minorEastAsia"/>
          <w:szCs w:val="21"/>
        </w:rPr>
      </w:pPr>
    </w:p>
    <w:p w14:paraId="7728A1C5">
      <w:pPr>
        <w:spacing w:line="360" w:lineRule="auto"/>
        <w:ind w:firstLine="420" w:firstLineChars="200"/>
        <w:rPr>
          <w:rFonts w:asciiTheme="minorEastAsia" w:hAnsiTheme="minorEastAsia"/>
          <w:szCs w:val="21"/>
        </w:rPr>
      </w:pPr>
    </w:p>
    <w:p w14:paraId="6CD30CCF">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779F3FF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336677D8">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7D107674">
      <w:pPr>
        <w:spacing w:line="360" w:lineRule="auto"/>
        <w:ind w:firstLine="420" w:firstLineChars="200"/>
        <w:rPr>
          <w:rFonts w:asciiTheme="minorEastAsia" w:hAnsiTheme="minorEastAsia"/>
          <w:szCs w:val="21"/>
        </w:rPr>
      </w:pPr>
    </w:p>
    <w:p w14:paraId="7B9D29F0">
      <w:pPr>
        <w:spacing w:line="360" w:lineRule="auto"/>
        <w:ind w:firstLine="422" w:firstLineChars="200"/>
        <w:rPr>
          <w:rFonts w:asciiTheme="minorEastAsia" w:hAnsiTheme="minorEastAsia"/>
          <w:b/>
          <w:szCs w:val="21"/>
        </w:rPr>
      </w:pPr>
    </w:p>
    <w:p w14:paraId="575EC84F">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4" w:name="_Toc6706"/>
      <w:r>
        <w:rPr>
          <w:rFonts w:hint="eastAsia" w:asciiTheme="minorEastAsia" w:hAnsiTheme="minorEastAsia"/>
          <w:szCs w:val="21"/>
        </w:rPr>
        <w:t>附件</w:t>
      </w:r>
      <w:r>
        <w:rPr>
          <w:rFonts w:asciiTheme="minorEastAsia" w:hAnsiTheme="minorEastAsia"/>
          <w:szCs w:val="21"/>
        </w:rPr>
        <w:t>4</w:t>
      </w:r>
      <w:r>
        <w:rPr>
          <w:rFonts w:hint="eastAsia" w:asciiTheme="minorEastAsia" w:hAnsiTheme="minorEastAsia"/>
          <w:szCs w:val="21"/>
        </w:rPr>
        <w:t>：开标一览表格式</w:t>
      </w:r>
      <w:bookmarkEnd w:id="154"/>
    </w:p>
    <w:p w14:paraId="6A375CBB">
      <w:pPr>
        <w:keepNext/>
        <w:keepLines/>
        <w:spacing w:before="160" w:after="170"/>
        <w:ind w:firstLine="602" w:firstLineChars="200"/>
        <w:jc w:val="center"/>
        <w:outlineLvl w:val="4"/>
        <w:rPr>
          <w:b/>
          <w:bCs/>
          <w:sz w:val="30"/>
          <w:szCs w:val="28"/>
        </w:rPr>
      </w:pPr>
      <w:bookmarkStart w:id="155" w:name="_Toc55548541"/>
      <w:r>
        <w:rPr>
          <w:rFonts w:hint="eastAsia"/>
          <w:b/>
          <w:bCs/>
          <w:sz w:val="30"/>
          <w:szCs w:val="28"/>
        </w:rPr>
        <w:t>开标一览表</w:t>
      </w:r>
      <w:bookmarkEnd w:id="155"/>
    </w:p>
    <w:p w14:paraId="68ED708F">
      <w:pPr>
        <w:spacing w:line="360" w:lineRule="auto"/>
        <w:ind w:firstLine="420" w:firstLineChars="200"/>
        <w:rPr>
          <w:rFonts w:asciiTheme="minorEastAsia" w:hAnsiTheme="minorEastAsia"/>
          <w:szCs w:val="21"/>
        </w:rPr>
      </w:pPr>
      <w:r>
        <w:rPr>
          <w:rFonts w:hint="eastAsia" w:asciiTheme="minorEastAsia" w:hAnsiTheme="minorEastAsia"/>
          <w:szCs w:val="21"/>
        </w:rPr>
        <w:t>项目名称：</w:t>
      </w:r>
      <w:r>
        <w:rPr>
          <w:rFonts w:hint="eastAsia" w:asciiTheme="minorEastAsia" w:hAnsiTheme="minorEastAsia"/>
          <w:szCs w:val="21"/>
          <w:u w:val="single"/>
        </w:rPr>
        <w:t xml:space="preserve">                          </w:t>
      </w:r>
      <w:r>
        <w:rPr>
          <w:rFonts w:hint="eastAsia" w:asciiTheme="minorEastAsia" w:hAnsiTheme="minorEastAsia"/>
          <w:szCs w:val="21"/>
        </w:rPr>
        <w:t xml:space="preserve"> </w:t>
      </w:r>
    </w:p>
    <w:p w14:paraId="78041D19">
      <w:pPr>
        <w:spacing w:line="360" w:lineRule="auto"/>
        <w:ind w:firstLine="420" w:firstLineChars="200"/>
        <w:rPr>
          <w:rFonts w:asciiTheme="minorEastAsia" w:hAnsiTheme="minorEastAsia"/>
          <w:szCs w:val="21"/>
        </w:rPr>
      </w:pPr>
      <w:r>
        <w:rPr>
          <w:rFonts w:hint="eastAsia" w:asciiTheme="minorEastAsia" w:hAnsiTheme="minorEastAsia"/>
          <w:szCs w:val="21"/>
        </w:rPr>
        <w:t>项目编号：</w:t>
      </w:r>
      <w:r>
        <w:rPr>
          <w:rFonts w:hint="eastAsia" w:asciiTheme="minorEastAsia" w:hAnsiTheme="minorEastAsia"/>
          <w:szCs w:val="21"/>
          <w:u w:val="single"/>
        </w:rPr>
        <w:t xml:space="preserve">          </w:t>
      </w:r>
      <w:r>
        <w:rPr>
          <w:rFonts w:asciiTheme="minorEastAsia" w:hAnsiTheme="minorEastAsia"/>
          <w:szCs w:val="21"/>
          <w:u w:val="single"/>
        </w:rPr>
        <w:t xml:space="preserve">        </w:t>
      </w:r>
      <w:r>
        <w:rPr>
          <w:rFonts w:hint="eastAsia" w:asciiTheme="minorEastAsia" w:hAnsiTheme="minorEastAsia"/>
          <w:szCs w:val="21"/>
          <w:u w:val="single"/>
        </w:rPr>
        <w:t xml:space="preserve">         </w:t>
      </w:r>
      <w:r>
        <w:rPr>
          <w:rFonts w:hint="eastAsia" w:asciiTheme="minorEastAsia" w:hAnsiTheme="minorEastAsia"/>
          <w:szCs w:val="21"/>
        </w:rPr>
        <w:t xml:space="preserve"> </w:t>
      </w:r>
    </w:p>
    <w:tbl>
      <w:tblPr>
        <w:tblStyle w:val="13"/>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562"/>
        <w:gridCol w:w="2694"/>
        <w:gridCol w:w="1493"/>
      </w:tblGrid>
      <w:tr w14:paraId="3FDA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atLeast"/>
          <w:jc w:val="center"/>
        </w:trPr>
        <w:tc>
          <w:tcPr>
            <w:tcW w:w="2888" w:type="dxa"/>
            <w:vAlign w:val="bottom"/>
          </w:tcPr>
          <w:p w14:paraId="50DD51A6">
            <w:pPr>
              <w:spacing w:line="360" w:lineRule="auto"/>
              <w:ind w:firstLine="420" w:firstLineChars="200"/>
              <w:rPr>
                <w:rFonts w:asciiTheme="minorEastAsia" w:hAnsiTheme="minorEastAsia"/>
                <w:szCs w:val="21"/>
              </w:rPr>
            </w:pPr>
            <w:r>
              <w:rPr>
                <w:rFonts w:hint="eastAsia" w:asciiTheme="minorEastAsia" w:hAnsiTheme="minorEastAsia"/>
                <w:szCs w:val="21"/>
              </w:rPr>
              <w:t>项目名称/包号</w:t>
            </w:r>
          </w:p>
        </w:tc>
        <w:tc>
          <w:tcPr>
            <w:tcW w:w="2562" w:type="dxa"/>
            <w:vAlign w:val="bottom"/>
          </w:tcPr>
          <w:p w14:paraId="55923A06">
            <w:pPr>
              <w:spacing w:line="360" w:lineRule="auto"/>
              <w:ind w:firstLine="420" w:firstLineChars="200"/>
              <w:rPr>
                <w:rFonts w:asciiTheme="minorEastAsia" w:hAnsiTheme="minorEastAsia"/>
                <w:szCs w:val="21"/>
              </w:rPr>
            </w:pPr>
            <w:r>
              <w:rPr>
                <w:rFonts w:hint="eastAsia" w:asciiTheme="minorEastAsia" w:hAnsiTheme="minorEastAsia"/>
                <w:szCs w:val="21"/>
              </w:rPr>
              <w:t>投标总价</w:t>
            </w:r>
          </w:p>
          <w:p w14:paraId="65C8E785">
            <w:pPr>
              <w:spacing w:line="360" w:lineRule="auto"/>
              <w:ind w:firstLine="420" w:firstLineChars="200"/>
              <w:rPr>
                <w:rFonts w:asciiTheme="minorEastAsia" w:hAnsiTheme="minorEastAsia"/>
                <w:szCs w:val="21"/>
              </w:rPr>
            </w:pPr>
            <w:r>
              <w:rPr>
                <w:rFonts w:hint="eastAsia" w:asciiTheme="minorEastAsia" w:hAnsiTheme="minorEastAsia"/>
                <w:szCs w:val="21"/>
              </w:rPr>
              <w:t>（人民币元）</w:t>
            </w:r>
          </w:p>
        </w:tc>
        <w:tc>
          <w:tcPr>
            <w:tcW w:w="2694" w:type="dxa"/>
            <w:vAlign w:val="bottom"/>
          </w:tcPr>
          <w:p w14:paraId="6766D65F">
            <w:pPr>
              <w:spacing w:line="360" w:lineRule="auto"/>
              <w:ind w:firstLine="420" w:firstLineChars="200"/>
              <w:rPr>
                <w:rFonts w:asciiTheme="minorEastAsia" w:hAnsiTheme="minorEastAsia"/>
                <w:szCs w:val="21"/>
              </w:rPr>
            </w:pPr>
            <w:r>
              <w:rPr>
                <w:rFonts w:hint="eastAsia" w:asciiTheme="minorEastAsia" w:hAnsiTheme="minorEastAsia"/>
                <w:szCs w:val="21"/>
              </w:rPr>
              <w:t>交货期/服务期</w:t>
            </w:r>
          </w:p>
        </w:tc>
        <w:tc>
          <w:tcPr>
            <w:tcW w:w="1493" w:type="dxa"/>
            <w:vAlign w:val="bottom"/>
          </w:tcPr>
          <w:p w14:paraId="6F3ADA6B">
            <w:pPr>
              <w:spacing w:line="360" w:lineRule="auto"/>
              <w:ind w:firstLine="420" w:firstLineChars="200"/>
              <w:rPr>
                <w:rFonts w:asciiTheme="minorEastAsia" w:hAnsiTheme="minorEastAsia"/>
                <w:szCs w:val="21"/>
              </w:rPr>
            </w:pPr>
            <w:r>
              <w:rPr>
                <w:rFonts w:hint="eastAsia" w:asciiTheme="minorEastAsia" w:hAnsiTheme="minorEastAsia"/>
                <w:szCs w:val="21"/>
              </w:rPr>
              <w:t>备注</w:t>
            </w:r>
          </w:p>
        </w:tc>
      </w:tr>
      <w:tr w14:paraId="6EF9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9" w:hRule="atLeast"/>
          <w:jc w:val="center"/>
        </w:trPr>
        <w:tc>
          <w:tcPr>
            <w:tcW w:w="2888" w:type="dxa"/>
          </w:tcPr>
          <w:p w14:paraId="2F393AC2">
            <w:pPr>
              <w:spacing w:line="360" w:lineRule="auto"/>
              <w:ind w:firstLine="420" w:firstLineChars="200"/>
              <w:rPr>
                <w:rFonts w:asciiTheme="minorEastAsia" w:hAnsiTheme="minorEastAsia"/>
                <w:szCs w:val="21"/>
              </w:rPr>
            </w:pPr>
          </w:p>
        </w:tc>
        <w:tc>
          <w:tcPr>
            <w:tcW w:w="2562" w:type="dxa"/>
          </w:tcPr>
          <w:p w14:paraId="418FF1A7">
            <w:pPr>
              <w:spacing w:line="360" w:lineRule="auto"/>
              <w:ind w:firstLine="420" w:firstLineChars="200"/>
              <w:rPr>
                <w:rFonts w:asciiTheme="minorEastAsia" w:hAnsiTheme="minorEastAsia"/>
                <w:szCs w:val="21"/>
              </w:rPr>
            </w:pPr>
          </w:p>
          <w:p w14:paraId="4A3670F4">
            <w:pPr>
              <w:spacing w:line="360" w:lineRule="auto"/>
              <w:ind w:firstLine="420" w:firstLineChars="200"/>
              <w:rPr>
                <w:rFonts w:asciiTheme="minorEastAsia" w:hAnsiTheme="minorEastAsia"/>
                <w:szCs w:val="21"/>
              </w:rPr>
            </w:pPr>
            <w:r>
              <w:rPr>
                <w:rFonts w:hint="eastAsia" w:asciiTheme="minorEastAsia" w:hAnsiTheme="minorEastAsia"/>
                <w:szCs w:val="21"/>
              </w:rPr>
              <w:t>大写：</w:t>
            </w:r>
            <w:r>
              <w:rPr>
                <w:rFonts w:hint="eastAsia" w:asciiTheme="minorEastAsia" w:hAnsiTheme="minorEastAsia"/>
                <w:szCs w:val="21"/>
                <w:u w:val="single"/>
              </w:rPr>
              <w:t xml:space="preserve">        </w:t>
            </w:r>
          </w:p>
          <w:p w14:paraId="25981FF4">
            <w:pPr>
              <w:spacing w:line="360" w:lineRule="auto"/>
              <w:ind w:firstLine="420" w:firstLineChars="200"/>
              <w:rPr>
                <w:rFonts w:asciiTheme="minorEastAsia" w:hAnsiTheme="minorEastAsia"/>
                <w:szCs w:val="21"/>
              </w:rPr>
            </w:pPr>
            <w:r>
              <w:rPr>
                <w:rFonts w:hint="eastAsia" w:asciiTheme="minorEastAsia" w:hAnsiTheme="minorEastAsia"/>
                <w:szCs w:val="21"/>
              </w:rPr>
              <w:t>小写：</w:t>
            </w:r>
            <w:r>
              <w:rPr>
                <w:rFonts w:hint="eastAsia" w:asciiTheme="minorEastAsia" w:hAnsiTheme="minorEastAsia"/>
                <w:szCs w:val="21"/>
                <w:u w:val="single"/>
              </w:rPr>
              <w:t xml:space="preserve">        </w:t>
            </w:r>
          </w:p>
        </w:tc>
        <w:tc>
          <w:tcPr>
            <w:tcW w:w="2694" w:type="dxa"/>
          </w:tcPr>
          <w:p w14:paraId="580E88EA">
            <w:pPr>
              <w:spacing w:line="360" w:lineRule="auto"/>
              <w:ind w:firstLine="420" w:firstLineChars="200"/>
              <w:rPr>
                <w:rFonts w:asciiTheme="minorEastAsia" w:hAnsiTheme="minorEastAsia"/>
                <w:szCs w:val="21"/>
              </w:rPr>
            </w:pPr>
          </w:p>
        </w:tc>
        <w:tc>
          <w:tcPr>
            <w:tcW w:w="1493" w:type="dxa"/>
          </w:tcPr>
          <w:p w14:paraId="40A75877">
            <w:pPr>
              <w:spacing w:line="360" w:lineRule="auto"/>
              <w:ind w:firstLine="420" w:firstLineChars="200"/>
              <w:rPr>
                <w:rFonts w:asciiTheme="minorEastAsia" w:hAnsiTheme="minorEastAsia"/>
                <w:szCs w:val="21"/>
              </w:rPr>
            </w:pPr>
          </w:p>
        </w:tc>
      </w:tr>
    </w:tbl>
    <w:p w14:paraId="7CE6D40D">
      <w:pPr>
        <w:spacing w:line="360" w:lineRule="auto"/>
        <w:ind w:firstLine="420" w:firstLineChars="200"/>
        <w:rPr>
          <w:rFonts w:asciiTheme="minorEastAsia" w:hAnsiTheme="minorEastAsia"/>
          <w:szCs w:val="21"/>
        </w:rPr>
      </w:pPr>
    </w:p>
    <w:p w14:paraId="3E61E10C">
      <w:pPr>
        <w:spacing w:line="360" w:lineRule="auto"/>
        <w:ind w:firstLine="420" w:firstLineChars="200"/>
        <w:rPr>
          <w:rFonts w:asciiTheme="minorEastAsia" w:hAnsiTheme="minorEastAsia"/>
          <w:szCs w:val="21"/>
        </w:rPr>
      </w:pPr>
    </w:p>
    <w:p w14:paraId="4C03599B">
      <w:pPr>
        <w:spacing w:line="360" w:lineRule="auto"/>
        <w:ind w:firstLine="420" w:firstLineChars="200"/>
        <w:rPr>
          <w:rFonts w:asciiTheme="minorEastAsia" w:hAnsiTheme="minorEastAsia"/>
          <w:szCs w:val="21"/>
        </w:rPr>
      </w:pPr>
      <w:r>
        <w:rPr>
          <w:rFonts w:hint="eastAsia" w:asciiTheme="minorEastAsia" w:hAnsiTheme="minorEastAsia"/>
          <w:szCs w:val="21"/>
        </w:rPr>
        <w:t>投标供应商：</w:t>
      </w:r>
    </w:p>
    <w:p w14:paraId="37917DC1">
      <w:pPr>
        <w:spacing w:line="360" w:lineRule="auto"/>
        <w:ind w:firstLine="420" w:firstLineChars="200"/>
        <w:rPr>
          <w:rFonts w:asciiTheme="minorEastAsia" w:hAnsiTheme="minorEastAsia"/>
          <w:szCs w:val="21"/>
        </w:rPr>
      </w:pPr>
      <w:r>
        <w:rPr>
          <w:rFonts w:hint="eastAsia" w:asciiTheme="minorEastAsia" w:hAnsiTheme="minorEastAsia"/>
          <w:szCs w:val="21"/>
        </w:rPr>
        <w:t>法人</w:t>
      </w:r>
      <w:r>
        <w:rPr>
          <w:rFonts w:asciiTheme="minorEastAsia" w:hAnsiTheme="minorEastAsia"/>
          <w:szCs w:val="21"/>
        </w:rPr>
        <w:t>或</w:t>
      </w:r>
      <w:r>
        <w:rPr>
          <w:rFonts w:hint="eastAsia" w:asciiTheme="minorEastAsia" w:hAnsiTheme="minorEastAsia"/>
          <w:szCs w:val="21"/>
        </w:rPr>
        <w:t>授权</w:t>
      </w:r>
      <w:r>
        <w:rPr>
          <w:rFonts w:asciiTheme="minorEastAsia" w:hAnsiTheme="minorEastAsia"/>
          <w:szCs w:val="21"/>
        </w:rPr>
        <w:t>代表：</w:t>
      </w:r>
    </w:p>
    <w:p w14:paraId="639224E9">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asciiTheme="minorEastAsia" w:hAnsiTheme="minorEastAsia"/>
          <w:szCs w:val="21"/>
        </w:rPr>
        <w:t>：</w:t>
      </w:r>
    </w:p>
    <w:p w14:paraId="789EE9A4">
      <w:pPr>
        <w:spacing w:line="360" w:lineRule="auto"/>
        <w:ind w:firstLine="420" w:firstLineChars="200"/>
        <w:rPr>
          <w:rFonts w:asciiTheme="minorEastAsia" w:hAnsiTheme="minorEastAsia"/>
          <w:szCs w:val="21"/>
        </w:rPr>
      </w:pPr>
    </w:p>
    <w:p w14:paraId="0376211B">
      <w:pPr>
        <w:spacing w:line="360" w:lineRule="auto"/>
        <w:ind w:firstLine="420" w:firstLineChars="200"/>
        <w:rPr>
          <w:rFonts w:asciiTheme="minorEastAsia" w:hAnsiTheme="minorEastAsia"/>
          <w:szCs w:val="21"/>
        </w:rPr>
      </w:pPr>
    </w:p>
    <w:p w14:paraId="65E0CB45">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7BE2F453">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、本招标文件中所称“交货期/服务期”指所有货物运抵现场安装调试完毕后交付用户验收和</w:t>
      </w:r>
      <w:r>
        <w:rPr>
          <w:rFonts w:asciiTheme="minorEastAsia" w:hAnsiTheme="minorEastAsia"/>
          <w:szCs w:val="21"/>
        </w:rPr>
        <w:t>服务过程</w:t>
      </w:r>
      <w:r>
        <w:rPr>
          <w:rFonts w:hint="eastAsia" w:asciiTheme="minorEastAsia" w:hAnsiTheme="minorEastAsia"/>
          <w:szCs w:val="21"/>
        </w:rPr>
        <w:t>的日期。</w:t>
      </w:r>
    </w:p>
    <w:p w14:paraId="4CC40153">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、依据《评标委员会和评标方法暂行规定》第25条规定，“投标文件载明的招标项目完成期限超过招标文件规定的期限”的（即交货期或完工期超过招标文件要求期限），投标文件将作投标无效处理。</w:t>
      </w:r>
    </w:p>
    <w:p w14:paraId="167399A8">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56" w:name="_Toc16795"/>
      <w:r>
        <w:rPr>
          <w:rFonts w:hint="eastAsia" w:asciiTheme="minorEastAsia" w:hAnsiTheme="minorEastAsia"/>
          <w:szCs w:val="21"/>
        </w:rPr>
        <w:t>附件</w:t>
      </w:r>
      <w:r>
        <w:rPr>
          <w:rFonts w:asciiTheme="minorEastAsia" w:hAnsiTheme="minorEastAsia"/>
          <w:szCs w:val="21"/>
        </w:rPr>
        <w:t>5</w:t>
      </w:r>
      <w:r>
        <w:rPr>
          <w:rFonts w:hint="eastAsia" w:asciiTheme="minorEastAsia" w:hAnsiTheme="minorEastAsia"/>
          <w:szCs w:val="21"/>
        </w:rPr>
        <w:t>：分项报价清单格式</w:t>
      </w:r>
      <w:bookmarkEnd w:id="156"/>
    </w:p>
    <w:p w14:paraId="6BDA86F7">
      <w:pPr>
        <w:keepNext/>
        <w:keepLines/>
        <w:spacing w:before="160" w:after="170"/>
        <w:ind w:firstLine="602" w:firstLineChars="200"/>
        <w:jc w:val="center"/>
        <w:outlineLvl w:val="4"/>
        <w:rPr>
          <w:b/>
          <w:bCs/>
          <w:sz w:val="30"/>
          <w:szCs w:val="28"/>
        </w:rPr>
      </w:pPr>
      <w:bookmarkStart w:id="157" w:name="_Toc55548542"/>
      <w:r>
        <w:rPr>
          <w:rFonts w:hint="eastAsia"/>
          <w:b/>
          <w:bCs/>
          <w:sz w:val="30"/>
          <w:szCs w:val="28"/>
        </w:rPr>
        <w:t>分项报价清单</w:t>
      </w:r>
      <w:bookmarkEnd w:id="157"/>
    </w:p>
    <w:tbl>
      <w:tblPr>
        <w:tblStyle w:val="13"/>
        <w:tblW w:w="9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902"/>
        <w:gridCol w:w="2357"/>
        <w:gridCol w:w="3148"/>
      </w:tblGrid>
      <w:tr w14:paraId="6DA1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17" w:type="dxa"/>
            <w:vAlign w:val="center"/>
          </w:tcPr>
          <w:p w14:paraId="39788FC4">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序号</w:t>
            </w:r>
          </w:p>
        </w:tc>
        <w:tc>
          <w:tcPr>
            <w:tcW w:w="2902" w:type="dxa"/>
            <w:vAlign w:val="center"/>
          </w:tcPr>
          <w:p w14:paraId="61302A8B">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服务项目或设备名称</w:t>
            </w:r>
          </w:p>
        </w:tc>
        <w:tc>
          <w:tcPr>
            <w:tcW w:w="2357" w:type="dxa"/>
            <w:vAlign w:val="center"/>
          </w:tcPr>
          <w:p w14:paraId="0FDCF642">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总价</w:t>
            </w:r>
          </w:p>
        </w:tc>
        <w:tc>
          <w:tcPr>
            <w:tcW w:w="3148" w:type="dxa"/>
            <w:vAlign w:val="center"/>
          </w:tcPr>
          <w:p w14:paraId="2ADFFAB3">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备注</w:t>
            </w:r>
          </w:p>
        </w:tc>
      </w:tr>
      <w:tr w14:paraId="735D1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64AFDD4C">
            <w:pPr>
              <w:spacing w:line="360" w:lineRule="auto"/>
              <w:ind w:firstLine="420" w:firstLineChars="200"/>
              <w:rPr>
                <w:rFonts w:asciiTheme="minorEastAsia" w:hAnsiTheme="minorEastAsia"/>
                <w:color w:val="000000"/>
                <w:szCs w:val="21"/>
              </w:rPr>
            </w:pPr>
          </w:p>
        </w:tc>
        <w:tc>
          <w:tcPr>
            <w:tcW w:w="2902" w:type="dxa"/>
            <w:vAlign w:val="center"/>
          </w:tcPr>
          <w:p w14:paraId="49C99522">
            <w:pPr>
              <w:spacing w:line="360" w:lineRule="auto"/>
              <w:ind w:firstLine="420" w:firstLineChars="200"/>
              <w:rPr>
                <w:rFonts w:asciiTheme="minorEastAsia" w:hAnsiTheme="minorEastAsia"/>
                <w:color w:val="000000"/>
                <w:szCs w:val="21"/>
              </w:rPr>
            </w:pPr>
          </w:p>
        </w:tc>
        <w:tc>
          <w:tcPr>
            <w:tcW w:w="2357" w:type="dxa"/>
            <w:vAlign w:val="center"/>
          </w:tcPr>
          <w:p w14:paraId="556B221A">
            <w:pPr>
              <w:spacing w:line="360" w:lineRule="auto"/>
              <w:ind w:firstLine="420" w:firstLineChars="200"/>
              <w:rPr>
                <w:rFonts w:asciiTheme="minorEastAsia" w:hAnsiTheme="minorEastAsia"/>
                <w:color w:val="000000"/>
                <w:szCs w:val="21"/>
              </w:rPr>
            </w:pPr>
          </w:p>
        </w:tc>
        <w:tc>
          <w:tcPr>
            <w:tcW w:w="3148" w:type="dxa"/>
            <w:vAlign w:val="center"/>
          </w:tcPr>
          <w:p w14:paraId="0A0816BE">
            <w:pPr>
              <w:spacing w:line="360" w:lineRule="auto"/>
              <w:ind w:firstLine="420" w:firstLineChars="200"/>
              <w:rPr>
                <w:rFonts w:asciiTheme="minorEastAsia" w:hAnsiTheme="minorEastAsia"/>
                <w:color w:val="000000"/>
                <w:szCs w:val="21"/>
              </w:rPr>
            </w:pPr>
          </w:p>
        </w:tc>
      </w:tr>
      <w:tr w14:paraId="34A0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55F83BE8">
            <w:pPr>
              <w:spacing w:line="360" w:lineRule="auto"/>
              <w:ind w:firstLine="420" w:firstLineChars="200"/>
              <w:rPr>
                <w:rFonts w:asciiTheme="minorEastAsia" w:hAnsiTheme="minorEastAsia"/>
                <w:color w:val="000000"/>
                <w:szCs w:val="21"/>
              </w:rPr>
            </w:pPr>
          </w:p>
        </w:tc>
        <w:tc>
          <w:tcPr>
            <w:tcW w:w="2902" w:type="dxa"/>
            <w:vAlign w:val="center"/>
          </w:tcPr>
          <w:p w14:paraId="2F1F1B35">
            <w:pPr>
              <w:spacing w:line="360" w:lineRule="auto"/>
              <w:ind w:firstLine="420" w:firstLineChars="200"/>
              <w:rPr>
                <w:rFonts w:asciiTheme="minorEastAsia" w:hAnsiTheme="minorEastAsia"/>
                <w:color w:val="000000"/>
                <w:szCs w:val="21"/>
              </w:rPr>
            </w:pPr>
          </w:p>
        </w:tc>
        <w:tc>
          <w:tcPr>
            <w:tcW w:w="2357" w:type="dxa"/>
            <w:vAlign w:val="center"/>
          </w:tcPr>
          <w:p w14:paraId="5763979F">
            <w:pPr>
              <w:spacing w:line="360" w:lineRule="auto"/>
              <w:ind w:firstLine="420" w:firstLineChars="200"/>
              <w:rPr>
                <w:rFonts w:asciiTheme="minorEastAsia" w:hAnsiTheme="minorEastAsia"/>
                <w:color w:val="000000"/>
                <w:szCs w:val="21"/>
              </w:rPr>
            </w:pPr>
          </w:p>
        </w:tc>
        <w:tc>
          <w:tcPr>
            <w:tcW w:w="3148" w:type="dxa"/>
            <w:vAlign w:val="center"/>
          </w:tcPr>
          <w:p w14:paraId="22BC80A9">
            <w:pPr>
              <w:spacing w:line="360" w:lineRule="auto"/>
              <w:ind w:firstLine="420" w:firstLineChars="200"/>
              <w:rPr>
                <w:rFonts w:asciiTheme="minorEastAsia" w:hAnsiTheme="minorEastAsia"/>
                <w:color w:val="000000"/>
                <w:szCs w:val="21"/>
              </w:rPr>
            </w:pPr>
          </w:p>
        </w:tc>
      </w:tr>
      <w:tr w14:paraId="78A3E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1073A761">
            <w:pPr>
              <w:spacing w:line="360" w:lineRule="auto"/>
              <w:ind w:firstLine="420" w:firstLineChars="200"/>
              <w:rPr>
                <w:rFonts w:asciiTheme="minorEastAsia" w:hAnsiTheme="minorEastAsia"/>
                <w:color w:val="000000"/>
                <w:szCs w:val="21"/>
              </w:rPr>
            </w:pPr>
          </w:p>
        </w:tc>
        <w:tc>
          <w:tcPr>
            <w:tcW w:w="2902" w:type="dxa"/>
            <w:vAlign w:val="center"/>
          </w:tcPr>
          <w:p w14:paraId="3FE9011D">
            <w:pPr>
              <w:spacing w:line="360" w:lineRule="auto"/>
              <w:ind w:firstLine="420" w:firstLineChars="200"/>
              <w:rPr>
                <w:rFonts w:asciiTheme="minorEastAsia" w:hAnsiTheme="minorEastAsia"/>
                <w:color w:val="000000"/>
                <w:szCs w:val="21"/>
              </w:rPr>
            </w:pPr>
          </w:p>
        </w:tc>
        <w:tc>
          <w:tcPr>
            <w:tcW w:w="2357" w:type="dxa"/>
            <w:vAlign w:val="center"/>
          </w:tcPr>
          <w:p w14:paraId="68DC9D4F">
            <w:pPr>
              <w:spacing w:line="360" w:lineRule="auto"/>
              <w:ind w:firstLine="420" w:firstLineChars="200"/>
              <w:rPr>
                <w:rFonts w:asciiTheme="minorEastAsia" w:hAnsiTheme="minorEastAsia"/>
                <w:color w:val="000000"/>
                <w:szCs w:val="21"/>
              </w:rPr>
            </w:pPr>
          </w:p>
        </w:tc>
        <w:tc>
          <w:tcPr>
            <w:tcW w:w="3148" w:type="dxa"/>
            <w:vAlign w:val="center"/>
          </w:tcPr>
          <w:p w14:paraId="728BCF7D">
            <w:pPr>
              <w:spacing w:line="360" w:lineRule="auto"/>
              <w:ind w:firstLine="420" w:firstLineChars="200"/>
              <w:rPr>
                <w:rFonts w:asciiTheme="minorEastAsia" w:hAnsiTheme="minorEastAsia"/>
                <w:color w:val="000000"/>
                <w:szCs w:val="21"/>
              </w:rPr>
            </w:pPr>
          </w:p>
        </w:tc>
      </w:tr>
      <w:tr w14:paraId="2797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44114E44">
            <w:pPr>
              <w:spacing w:line="360" w:lineRule="auto"/>
              <w:ind w:firstLine="420" w:firstLineChars="200"/>
              <w:rPr>
                <w:rFonts w:asciiTheme="minorEastAsia" w:hAnsiTheme="minorEastAsia"/>
                <w:color w:val="000000"/>
                <w:szCs w:val="21"/>
              </w:rPr>
            </w:pPr>
          </w:p>
        </w:tc>
        <w:tc>
          <w:tcPr>
            <w:tcW w:w="2902" w:type="dxa"/>
            <w:vAlign w:val="center"/>
          </w:tcPr>
          <w:p w14:paraId="66F456A6">
            <w:pPr>
              <w:spacing w:line="360" w:lineRule="auto"/>
              <w:ind w:firstLine="420" w:firstLineChars="200"/>
              <w:rPr>
                <w:rFonts w:asciiTheme="minorEastAsia" w:hAnsiTheme="minorEastAsia"/>
                <w:color w:val="000000"/>
                <w:szCs w:val="21"/>
              </w:rPr>
            </w:pPr>
          </w:p>
        </w:tc>
        <w:tc>
          <w:tcPr>
            <w:tcW w:w="2357" w:type="dxa"/>
            <w:vAlign w:val="center"/>
          </w:tcPr>
          <w:p w14:paraId="46AD173D">
            <w:pPr>
              <w:spacing w:line="360" w:lineRule="auto"/>
              <w:ind w:firstLine="420" w:firstLineChars="200"/>
              <w:rPr>
                <w:rFonts w:asciiTheme="minorEastAsia" w:hAnsiTheme="minorEastAsia"/>
                <w:color w:val="000000"/>
                <w:szCs w:val="21"/>
              </w:rPr>
            </w:pPr>
          </w:p>
        </w:tc>
        <w:tc>
          <w:tcPr>
            <w:tcW w:w="3148" w:type="dxa"/>
            <w:vAlign w:val="center"/>
          </w:tcPr>
          <w:p w14:paraId="79615F71">
            <w:pPr>
              <w:spacing w:line="360" w:lineRule="auto"/>
              <w:ind w:firstLine="420" w:firstLineChars="200"/>
              <w:rPr>
                <w:rFonts w:asciiTheme="minorEastAsia" w:hAnsiTheme="minorEastAsia"/>
                <w:color w:val="000000"/>
                <w:szCs w:val="21"/>
              </w:rPr>
            </w:pPr>
          </w:p>
        </w:tc>
      </w:tr>
      <w:tr w14:paraId="112A1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74A00078">
            <w:pPr>
              <w:spacing w:line="360" w:lineRule="auto"/>
              <w:ind w:firstLine="420" w:firstLineChars="200"/>
              <w:rPr>
                <w:rFonts w:asciiTheme="minorEastAsia" w:hAnsiTheme="minorEastAsia"/>
                <w:color w:val="000000"/>
                <w:szCs w:val="21"/>
              </w:rPr>
            </w:pPr>
          </w:p>
        </w:tc>
        <w:tc>
          <w:tcPr>
            <w:tcW w:w="2902" w:type="dxa"/>
            <w:vAlign w:val="center"/>
          </w:tcPr>
          <w:p w14:paraId="393EEA0A">
            <w:pPr>
              <w:spacing w:line="360" w:lineRule="auto"/>
              <w:ind w:firstLine="420" w:firstLineChars="200"/>
              <w:rPr>
                <w:rFonts w:asciiTheme="minorEastAsia" w:hAnsiTheme="minorEastAsia"/>
                <w:color w:val="000000"/>
                <w:szCs w:val="21"/>
              </w:rPr>
            </w:pPr>
          </w:p>
        </w:tc>
        <w:tc>
          <w:tcPr>
            <w:tcW w:w="2357" w:type="dxa"/>
            <w:vAlign w:val="center"/>
          </w:tcPr>
          <w:p w14:paraId="3DA55195">
            <w:pPr>
              <w:spacing w:line="360" w:lineRule="auto"/>
              <w:ind w:firstLine="420" w:firstLineChars="200"/>
              <w:rPr>
                <w:rFonts w:asciiTheme="minorEastAsia" w:hAnsiTheme="minorEastAsia"/>
                <w:color w:val="000000"/>
                <w:szCs w:val="21"/>
              </w:rPr>
            </w:pPr>
          </w:p>
        </w:tc>
        <w:tc>
          <w:tcPr>
            <w:tcW w:w="3148" w:type="dxa"/>
            <w:vAlign w:val="center"/>
          </w:tcPr>
          <w:p w14:paraId="0A3793B4">
            <w:pPr>
              <w:spacing w:line="360" w:lineRule="auto"/>
              <w:ind w:firstLine="420" w:firstLineChars="200"/>
              <w:rPr>
                <w:rFonts w:asciiTheme="minorEastAsia" w:hAnsiTheme="minorEastAsia"/>
                <w:color w:val="000000"/>
                <w:szCs w:val="21"/>
              </w:rPr>
            </w:pPr>
          </w:p>
        </w:tc>
      </w:tr>
      <w:tr w14:paraId="5925D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417" w:type="dxa"/>
            <w:vAlign w:val="center"/>
          </w:tcPr>
          <w:p w14:paraId="17403233">
            <w:pPr>
              <w:spacing w:line="360" w:lineRule="auto"/>
              <w:ind w:firstLine="420" w:firstLineChars="200"/>
              <w:rPr>
                <w:rFonts w:asciiTheme="minorEastAsia" w:hAnsiTheme="minorEastAsia"/>
                <w:color w:val="000000"/>
                <w:szCs w:val="21"/>
              </w:rPr>
            </w:pPr>
          </w:p>
        </w:tc>
        <w:tc>
          <w:tcPr>
            <w:tcW w:w="2902" w:type="dxa"/>
            <w:vAlign w:val="center"/>
          </w:tcPr>
          <w:p w14:paraId="14D29EC7">
            <w:pPr>
              <w:spacing w:line="360" w:lineRule="auto"/>
              <w:ind w:firstLine="420" w:firstLineChars="200"/>
              <w:rPr>
                <w:rFonts w:asciiTheme="minorEastAsia" w:hAnsiTheme="minorEastAsia"/>
                <w:color w:val="000000"/>
                <w:szCs w:val="21"/>
              </w:rPr>
            </w:pPr>
          </w:p>
        </w:tc>
        <w:tc>
          <w:tcPr>
            <w:tcW w:w="2357" w:type="dxa"/>
            <w:vAlign w:val="center"/>
          </w:tcPr>
          <w:p w14:paraId="6F22005F">
            <w:pPr>
              <w:spacing w:line="360" w:lineRule="auto"/>
              <w:ind w:firstLine="420" w:firstLineChars="200"/>
              <w:rPr>
                <w:rFonts w:asciiTheme="minorEastAsia" w:hAnsiTheme="minorEastAsia"/>
                <w:color w:val="000000"/>
                <w:szCs w:val="21"/>
              </w:rPr>
            </w:pPr>
          </w:p>
        </w:tc>
        <w:tc>
          <w:tcPr>
            <w:tcW w:w="3148" w:type="dxa"/>
            <w:vAlign w:val="center"/>
          </w:tcPr>
          <w:p w14:paraId="067532AD">
            <w:pPr>
              <w:spacing w:line="360" w:lineRule="auto"/>
              <w:ind w:firstLine="420" w:firstLineChars="200"/>
              <w:rPr>
                <w:rFonts w:asciiTheme="minorEastAsia" w:hAnsiTheme="minorEastAsia"/>
                <w:color w:val="000000"/>
                <w:szCs w:val="21"/>
              </w:rPr>
            </w:pPr>
          </w:p>
        </w:tc>
      </w:tr>
      <w:tr w14:paraId="36F4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319" w:type="dxa"/>
            <w:gridSpan w:val="2"/>
            <w:vAlign w:val="center"/>
          </w:tcPr>
          <w:p w14:paraId="1C64C615">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合计</w:t>
            </w:r>
          </w:p>
        </w:tc>
        <w:tc>
          <w:tcPr>
            <w:tcW w:w="5505" w:type="dxa"/>
            <w:gridSpan w:val="2"/>
            <w:vAlign w:val="center"/>
          </w:tcPr>
          <w:p w14:paraId="610FD1E5">
            <w:pPr>
              <w:spacing w:line="360" w:lineRule="auto"/>
              <w:ind w:firstLine="420" w:firstLineChars="200"/>
              <w:rPr>
                <w:rFonts w:asciiTheme="minorEastAsia" w:hAnsiTheme="minorEastAsia"/>
                <w:color w:val="000000"/>
                <w:szCs w:val="21"/>
              </w:rPr>
            </w:pPr>
          </w:p>
        </w:tc>
      </w:tr>
    </w:tbl>
    <w:p w14:paraId="4CF76054">
      <w:pPr>
        <w:spacing w:line="360" w:lineRule="auto"/>
        <w:ind w:firstLine="420" w:firstLineChars="200"/>
        <w:rPr>
          <w:rFonts w:asciiTheme="minorEastAsia" w:hAnsiTheme="minorEastAsia"/>
          <w:szCs w:val="21"/>
        </w:rPr>
      </w:pPr>
      <w:r>
        <w:rPr>
          <w:rFonts w:hint="eastAsia" w:asciiTheme="minorEastAsia" w:hAnsiTheme="minorEastAsia"/>
          <w:szCs w:val="21"/>
        </w:rPr>
        <w:t>注：</w:t>
      </w:r>
    </w:p>
    <w:p w14:paraId="49375453">
      <w:pPr>
        <w:spacing w:line="360" w:lineRule="auto"/>
        <w:ind w:firstLine="420" w:firstLineChars="200"/>
        <w:rPr>
          <w:rFonts w:asciiTheme="minorEastAsia" w:hAnsiTheme="minorEastAsia"/>
          <w:szCs w:val="21"/>
        </w:rPr>
      </w:pPr>
      <w:r>
        <w:rPr>
          <w:rFonts w:hint="eastAsia" w:asciiTheme="minorEastAsia" w:hAnsiTheme="minorEastAsia"/>
          <w:szCs w:val="21"/>
        </w:rPr>
        <w:t>1、所有价格应按“采购文件”中规定的货币单位填写；</w:t>
      </w:r>
    </w:p>
    <w:p w14:paraId="6AAADDE0">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、投标总价应为以上各分项价格之和；</w:t>
      </w:r>
    </w:p>
    <w:p w14:paraId="380EBF87">
      <w:pPr>
        <w:spacing w:line="360" w:lineRule="auto"/>
        <w:ind w:firstLine="420" w:firstLineChars="200"/>
        <w:rPr>
          <w:rFonts w:asciiTheme="minorEastAsia" w:hAnsiTheme="minorEastAsia"/>
          <w:szCs w:val="21"/>
        </w:rPr>
      </w:pPr>
      <w:r>
        <w:rPr>
          <w:rFonts w:hint="eastAsia" w:asciiTheme="minorEastAsia" w:hAnsiTheme="minorEastAsia"/>
          <w:szCs w:val="21"/>
          <w:highlight w:val="yellow"/>
        </w:rPr>
        <w:t>3、本表格式仅做参考，</w:t>
      </w:r>
      <w:r>
        <w:rPr>
          <w:rFonts w:asciiTheme="minorEastAsia" w:hAnsiTheme="minorEastAsia"/>
          <w:szCs w:val="21"/>
          <w:highlight w:val="yellow"/>
        </w:rPr>
        <w:t>可根据项目</w:t>
      </w:r>
      <w:r>
        <w:rPr>
          <w:rFonts w:hint="eastAsia" w:asciiTheme="minorEastAsia" w:hAnsiTheme="minorEastAsia"/>
          <w:szCs w:val="21"/>
          <w:highlight w:val="yellow"/>
        </w:rPr>
        <w:t>实际</w:t>
      </w:r>
      <w:r>
        <w:rPr>
          <w:rFonts w:asciiTheme="minorEastAsia" w:hAnsiTheme="minorEastAsia"/>
          <w:szCs w:val="21"/>
          <w:highlight w:val="yellow"/>
        </w:rPr>
        <w:t>内容进行调整</w:t>
      </w:r>
      <w:r>
        <w:rPr>
          <w:rFonts w:hint="eastAsia" w:asciiTheme="minorEastAsia" w:hAnsiTheme="minorEastAsia"/>
          <w:szCs w:val="21"/>
          <w:highlight w:val="yellow"/>
        </w:rPr>
        <w:t>；</w:t>
      </w:r>
    </w:p>
    <w:p w14:paraId="28D68020">
      <w:pPr>
        <w:spacing w:line="360" w:lineRule="auto"/>
        <w:ind w:firstLine="420" w:firstLineChars="200"/>
        <w:rPr>
          <w:rFonts w:asciiTheme="minorEastAsia" w:hAnsiTheme="minorEastAsia"/>
          <w:szCs w:val="21"/>
        </w:rPr>
      </w:pPr>
      <w:r>
        <w:rPr>
          <w:rFonts w:hint="eastAsia" w:asciiTheme="minorEastAsia" w:hAnsiTheme="minorEastAsia"/>
          <w:szCs w:val="21"/>
        </w:rPr>
        <w:t>4、单价、合价和投标总价为包干价，即三者均应包含设备的价款、包装、运输、装卸、安装、调试、技术指导、培训、咨询、服务、保险、税费、检测、验收合格交付使用之前以及技术和售后服务等其他各项有关费用。</w:t>
      </w:r>
    </w:p>
    <w:p w14:paraId="47FE1C8C">
      <w:pPr>
        <w:spacing w:line="360" w:lineRule="auto"/>
        <w:ind w:firstLine="420" w:firstLineChars="200"/>
        <w:rPr>
          <w:rFonts w:asciiTheme="minorEastAsia" w:hAnsiTheme="minorEastAsia"/>
          <w:szCs w:val="21"/>
        </w:rPr>
      </w:pPr>
      <w:r>
        <w:rPr>
          <w:rFonts w:hint="eastAsia" w:asciiTheme="minorEastAsia" w:hAnsiTheme="minorEastAsia"/>
          <w:szCs w:val="21"/>
        </w:rPr>
        <w:t>5、投标总价和项目报价表中单个采购预算条目报价均不得超过对应的财政预算限额，否则将导致投标无效。</w:t>
      </w:r>
    </w:p>
    <w:p w14:paraId="7A9A074A">
      <w:pPr>
        <w:spacing w:line="360" w:lineRule="auto"/>
        <w:ind w:firstLine="420" w:firstLineChars="200"/>
        <w:rPr>
          <w:rFonts w:asciiTheme="minorEastAsia" w:hAnsiTheme="minorEastAsia"/>
          <w:szCs w:val="21"/>
        </w:rPr>
      </w:pPr>
      <w:r>
        <w:rPr>
          <w:rFonts w:hint="eastAsia" w:asciiTheme="minorEastAsia" w:hAnsiTheme="minorEastAsia"/>
          <w:szCs w:val="21"/>
        </w:rPr>
        <w:t>6、开标一览表的投标总价必须与项目报价表的投标总价一致。</w:t>
      </w:r>
    </w:p>
    <w:p w14:paraId="02169953">
      <w:pPr>
        <w:spacing w:line="360" w:lineRule="auto"/>
        <w:ind w:firstLine="420" w:firstLineChars="200"/>
        <w:rPr>
          <w:rFonts w:asciiTheme="minorEastAsia" w:hAnsiTheme="minorEastAsia"/>
          <w:szCs w:val="21"/>
        </w:rPr>
      </w:pPr>
      <w:r>
        <w:rPr>
          <w:rFonts w:hint="eastAsia" w:asciiTheme="minorEastAsia" w:hAnsiTheme="minorEastAsia"/>
          <w:szCs w:val="21"/>
        </w:rPr>
        <w:t>7、“原产地”是指该产品的实际生产加工地，而非品牌总公司所在地。</w:t>
      </w:r>
    </w:p>
    <w:p w14:paraId="3804A6F2">
      <w:pPr>
        <w:spacing w:line="360" w:lineRule="auto"/>
        <w:ind w:firstLine="420" w:firstLineChars="200"/>
      </w:pPr>
    </w:p>
    <w:p w14:paraId="258568AF">
      <w:pPr>
        <w:spacing w:line="360" w:lineRule="auto"/>
      </w:pPr>
    </w:p>
    <w:p w14:paraId="0A0DD918">
      <w:pPr>
        <w:spacing w:line="360" w:lineRule="auto"/>
        <w:ind w:firstLine="420" w:firstLineChars="200"/>
      </w:pPr>
    </w:p>
    <w:p w14:paraId="504E2730">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bookmarkStart w:id="158" w:name="_Toc32280"/>
    </w:p>
    <w:p w14:paraId="6142427D">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6</w:t>
      </w:r>
      <w:r>
        <w:rPr>
          <w:rFonts w:hint="eastAsia" w:asciiTheme="minorEastAsia" w:hAnsiTheme="minorEastAsia"/>
          <w:szCs w:val="21"/>
        </w:rPr>
        <w:t>：法定代表人证明书格式</w:t>
      </w:r>
      <w:bookmarkEnd w:id="158"/>
    </w:p>
    <w:p w14:paraId="45FD9E62">
      <w:pPr>
        <w:keepNext/>
        <w:keepLines/>
        <w:spacing w:before="160" w:after="170"/>
        <w:ind w:firstLine="602" w:firstLineChars="200"/>
        <w:jc w:val="center"/>
        <w:outlineLvl w:val="4"/>
        <w:rPr>
          <w:b/>
          <w:bCs/>
          <w:sz w:val="30"/>
          <w:szCs w:val="28"/>
        </w:rPr>
      </w:pPr>
      <w:bookmarkStart w:id="159" w:name="_Toc55548545"/>
      <w:bookmarkStart w:id="160" w:name="_Toc2383"/>
      <w:r>
        <w:rPr>
          <w:rFonts w:hint="eastAsia"/>
          <w:b/>
          <w:bCs/>
          <w:sz w:val="30"/>
          <w:szCs w:val="28"/>
        </w:rPr>
        <w:t>法定代表人证明书</w:t>
      </w:r>
      <w:bookmarkEnd w:id="159"/>
    </w:p>
    <w:p w14:paraId="2DB201CD">
      <w:pPr>
        <w:tabs>
          <w:tab w:val="left" w:pos="900"/>
        </w:tabs>
        <w:spacing w:line="360" w:lineRule="auto"/>
        <w:ind w:firstLine="420" w:firstLineChars="200"/>
        <w:rPr>
          <w:rFonts w:asciiTheme="minorEastAsia" w:hAnsiTheme="minorEastAsia"/>
          <w:szCs w:val="21"/>
        </w:rPr>
      </w:pPr>
      <w:r>
        <w:rPr>
          <w:rFonts w:hint="eastAsia" w:asciiTheme="minorEastAsia" w:hAnsiTheme="minorEastAsia"/>
          <w:szCs w:val="21"/>
        </w:rPr>
        <w:t>______________同志，现任我单位</w:t>
      </w:r>
      <w:r>
        <w:rPr>
          <w:rFonts w:asciiTheme="minorEastAsia" w:hAnsiTheme="minorEastAsia"/>
          <w:szCs w:val="21"/>
          <w:u w:val="single"/>
        </w:rPr>
        <w:t xml:space="preserve">         </w:t>
      </w:r>
      <w:r>
        <w:rPr>
          <w:rFonts w:hint="eastAsia" w:asciiTheme="minorEastAsia" w:hAnsiTheme="minorEastAsia"/>
          <w:szCs w:val="21"/>
        </w:rPr>
        <w:t>职务，为法定代表人，特此证明。</w:t>
      </w:r>
    </w:p>
    <w:p w14:paraId="20FBD40A">
      <w:pPr>
        <w:spacing w:line="360" w:lineRule="auto"/>
        <w:ind w:firstLine="420" w:firstLineChars="200"/>
        <w:rPr>
          <w:rFonts w:asciiTheme="minorEastAsia" w:hAnsiTheme="minorEastAsia"/>
          <w:szCs w:val="21"/>
        </w:rPr>
      </w:pPr>
      <w:r>
        <w:rPr>
          <w:rFonts w:hint="eastAsia" w:asciiTheme="minorEastAsia" w:hAnsiTheme="minorEastAsia"/>
          <w:szCs w:val="21"/>
        </w:rPr>
        <w:t>有效日期与本公司投标文件中标注的投标有效期相同。</w:t>
      </w:r>
      <w:r>
        <w:rPr>
          <w:rFonts w:asciiTheme="minorEastAsia" w:hAnsiTheme="minorEastAsia"/>
          <w:szCs w:val="21"/>
        </w:rPr>
        <w:t xml:space="preserve">  </w:t>
      </w:r>
    </w:p>
    <w:p w14:paraId="780250CE">
      <w:pPr>
        <w:spacing w:line="360" w:lineRule="auto"/>
        <w:ind w:firstLine="420" w:firstLineChars="200"/>
        <w:rPr>
          <w:rFonts w:asciiTheme="minorEastAsia" w:hAnsiTheme="minorEastAsia"/>
          <w:szCs w:val="21"/>
        </w:rPr>
      </w:pPr>
      <w:r>
        <w:rPr>
          <w:rFonts w:hint="eastAsia" w:asciiTheme="minorEastAsia" w:hAnsiTheme="minorEastAsia"/>
          <w:szCs w:val="21"/>
        </w:rPr>
        <w:t>签发日期：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月</w:t>
      </w:r>
      <w:r>
        <w:rPr>
          <w:rFonts w:hint="eastAsia" w:asciiTheme="minorEastAsia" w:hAnsiTheme="minorEastAsia"/>
          <w:szCs w:val="21"/>
          <w:u w:val="single"/>
        </w:rPr>
        <w:t xml:space="preserve">   </w:t>
      </w:r>
      <w:r>
        <w:rPr>
          <w:rFonts w:hint="eastAsia" w:asciiTheme="minorEastAsia" w:hAnsiTheme="minorEastAsia"/>
          <w:szCs w:val="21"/>
        </w:rPr>
        <w:t>日</w:t>
      </w:r>
      <w:r>
        <w:rPr>
          <w:rFonts w:asciiTheme="minorEastAsia" w:hAnsiTheme="minorEastAsia"/>
          <w:szCs w:val="21"/>
        </w:rPr>
        <w:t xml:space="preserve">             </w:t>
      </w:r>
    </w:p>
    <w:p w14:paraId="0BE2F27D">
      <w:pPr>
        <w:spacing w:line="360" w:lineRule="auto"/>
        <w:ind w:firstLine="420" w:firstLineChars="200"/>
        <w:rPr>
          <w:rFonts w:asciiTheme="minorEastAsia" w:hAnsiTheme="minorEastAsia"/>
          <w:szCs w:val="21"/>
        </w:rPr>
      </w:pPr>
      <w:r>
        <w:rPr>
          <w:rFonts w:hint="eastAsia" w:asciiTheme="minorEastAsia" w:hAnsiTheme="minorEastAsia"/>
          <w:szCs w:val="21"/>
        </w:rPr>
        <w:t>附：</w:t>
      </w:r>
    </w:p>
    <w:p w14:paraId="1C7D5E6F">
      <w:pPr>
        <w:spacing w:line="360" w:lineRule="auto"/>
        <w:ind w:firstLine="420" w:firstLineChars="200"/>
        <w:rPr>
          <w:rFonts w:asciiTheme="minorEastAsia" w:hAnsiTheme="minorEastAsia"/>
          <w:szCs w:val="21"/>
        </w:rPr>
      </w:pPr>
      <w:r>
        <w:rPr>
          <w:rFonts w:hint="eastAsia" w:asciiTheme="minorEastAsia" w:hAnsiTheme="minorEastAsia"/>
          <w:szCs w:val="21"/>
        </w:rPr>
        <w:t xml:space="preserve">营业执照（注册号）：                       </w:t>
      </w:r>
    </w:p>
    <w:p w14:paraId="109C8492">
      <w:pPr>
        <w:spacing w:line="360" w:lineRule="auto"/>
        <w:ind w:firstLine="420" w:firstLineChars="200"/>
        <w:rPr>
          <w:rFonts w:asciiTheme="minorEastAsia" w:hAnsiTheme="minorEastAsia"/>
          <w:szCs w:val="21"/>
        </w:rPr>
      </w:pPr>
      <w:r>
        <w:rPr>
          <w:rFonts w:hint="eastAsia" w:asciiTheme="minorEastAsia" w:hAnsiTheme="minorEastAsia"/>
          <w:szCs w:val="21"/>
        </w:rPr>
        <w:t>经济性质：</w:t>
      </w:r>
    </w:p>
    <w:p w14:paraId="5F968A03">
      <w:pPr>
        <w:spacing w:line="360" w:lineRule="auto"/>
        <w:ind w:firstLine="420" w:firstLineChars="200"/>
        <w:rPr>
          <w:rFonts w:asciiTheme="minorEastAsia" w:hAnsiTheme="minorEastAsia"/>
          <w:szCs w:val="21"/>
        </w:rPr>
      </w:pPr>
      <w:r>
        <w:rPr>
          <w:rFonts w:hint="eastAsia" w:asciiTheme="minorEastAsia" w:hAnsiTheme="minorEastAsia"/>
          <w:szCs w:val="21"/>
        </w:rPr>
        <w:t>主营（产）：</w:t>
      </w:r>
    </w:p>
    <w:p w14:paraId="2D397F0A">
      <w:pPr>
        <w:spacing w:line="360" w:lineRule="auto"/>
        <w:ind w:firstLine="420" w:firstLineChars="200"/>
        <w:rPr>
          <w:rFonts w:asciiTheme="minorEastAsia" w:hAnsiTheme="minorEastAsia"/>
          <w:szCs w:val="21"/>
        </w:rPr>
      </w:pPr>
      <w:r>
        <w:rPr>
          <w:rFonts w:hint="eastAsia" w:asciiTheme="minorEastAsia" w:hAnsiTheme="minorEastAsia"/>
          <w:szCs w:val="21"/>
        </w:rPr>
        <w:t>兼营（产）：</w:t>
      </w:r>
    </w:p>
    <w:p w14:paraId="11CB7655">
      <w:pPr>
        <w:spacing w:line="360" w:lineRule="auto"/>
        <w:ind w:firstLine="420" w:firstLineChars="200"/>
        <w:rPr>
          <w:rFonts w:asciiTheme="minorEastAsia" w:hAnsiTheme="minorEastAsia"/>
          <w:szCs w:val="21"/>
        </w:rPr>
      </w:pPr>
    </w:p>
    <w:p w14:paraId="45874A3C">
      <w:pPr>
        <w:spacing w:line="360" w:lineRule="auto"/>
        <w:ind w:firstLine="420" w:firstLineChars="200"/>
        <w:rPr>
          <w:rFonts w:asciiTheme="minorEastAsia" w:hAnsiTheme="minorEastAsia"/>
          <w:b/>
          <w:bCs/>
          <w:szCs w:val="21"/>
        </w:rPr>
      </w:pPr>
      <w:r>
        <mc:AlternateContent>
          <mc:Choice Requires="wps">
            <w:drawing>
              <wp:anchor distT="0" distB="0" distL="114300" distR="114300" simplePos="0" relativeHeight="251660288" behindDoc="0" locked="0" layoutInCell="1" allowOverlap="1">
                <wp:simplePos x="0" y="0"/>
                <wp:positionH relativeFrom="column">
                  <wp:posOffset>2840355</wp:posOffset>
                </wp:positionH>
                <wp:positionV relativeFrom="paragraph">
                  <wp:posOffset>136525</wp:posOffset>
                </wp:positionV>
                <wp:extent cx="2705100" cy="1981200"/>
                <wp:effectExtent l="0" t="0" r="19050" b="19050"/>
                <wp:wrapNone/>
                <wp:docPr id="69" name="矩形 69"/>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1953B954">
                            <w:pPr>
                              <w:spacing w:line="360" w:lineRule="auto"/>
                              <w:ind w:firstLine="1680" w:firstLineChars="800"/>
                            </w:pPr>
                          </w:p>
                          <w:p w14:paraId="3BF98DC1">
                            <w:pPr>
                              <w:spacing w:line="360" w:lineRule="auto"/>
                              <w:ind w:firstLine="1680" w:firstLineChars="800"/>
                            </w:pPr>
                            <w:r>
                              <w:rPr>
                                <w:rFonts w:hint="eastAsia"/>
                              </w:rPr>
                              <w:t>法定代表人</w:t>
                            </w:r>
                          </w:p>
                          <w:p w14:paraId="6FBFEE77">
                            <w:pPr>
                              <w:spacing w:line="360" w:lineRule="auto"/>
                              <w:ind w:firstLine="1155" w:firstLineChars="550"/>
                            </w:pPr>
                            <w:r>
                              <w:rPr>
                                <w:rFonts w:hint="eastAsia"/>
                              </w:rPr>
                              <w:t>居民身份证复印件粘贴处</w:t>
                            </w:r>
                          </w:p>
                          <w:p w14:paraId="312C44C4">
                            <w:pPr>
                              <w:spacing w:line="360" w:lineRule="auto"/>
                              <w:ind w:firstLine="1785" w:firstLineChars="850"/>
                            </w:pPr>
                            <w:r>
                              <w:rPr>
                                <w:rFonts w:hint="eastAsia"/>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3.65pt;margin-top:10.75pt;height:156pt;width:213pt;z-index:251660288;mso-width-relative:page;mso-height-relative:page;" fillcolor="#FFFFFF" filled="t" stroked="t" coordsize="21600,21600" o:gfxdata="UEsDBAoAAAAAAIdO4kAAAAAAAAAAAAAAAAAEAAAAZHJzL1BLAwQUAAAACACHTuJA9xPQ29kAAAAK&#10;AQAADwAAAGRycy9kb3ducmV2LnhtbE2PsU7DMBCGdyTewTokNmonbmlJc+kAKhJjmy5sTuwmgfgc&#10;xU4beHrMBOPdffrv+/PdbHt2MaPvHCEkCwHMUO10Rw3Cqdw/bID5oEir3pFB+DIedsXtTa4y7a50&#10;MJdjaFgMIZ8phDaEIePc162xyi/cYCjezm60KsRxbLge1TWG256nQjxyqzqKH1o1mOfW1J/HySJU&#10;XXpS34fyVdinvQxvc/kxvb8g3t8lYgssmDn8wfCrH9WhiE6Vm0h71iMsl2sZUYQ0WQGLwGYt46JC&#10;kFKugBc5/1+h+AFQSwMEFAAAAAgAh07iQJ7ZcSM6AgAAfQQAAA4AAABkcnMvZTJvRG9jLnhtbK1U&#10;wW7bMAy9D9g/CLqvtoOkbYw6RZEgw4BuK9DtAxRZjoVJokYpcbqfGbDbPmKfM+w3Rstul3Y79DAf&#10;BFKkHslH0heXB2vYXmHQ4CpenOScKSeh1m5b8Y8f1q/OOQtRuFoYcKridyrwy8XLFxedL9UEWjC1&#10;QkYgLpSdr3gboy+zLMhWWRFOwCtHxgbQikgqbrMaRUfo1mSTPD/NOsDaI0gVAt2uBiMfEfE5gNA0&#10;WqoVyJ1VLg6oqIyIVFJotQ98kbJtGiXj+6YJKjJTcao0ppOCkLzpz2xxIcotCt9qOaYgnpPCk5qs&#10;0I6CPkCtRBRsh/ovKKslQoAmnkiw2VBIYoSqKPIn3Ny2wqtUC1Ed/APp4f/Bynf7G2S6rvjpnDMn&#10;LHX819fvP398Y3RB7HQ+lOR062+wry/4a5CfAnOwbIXbqitE6Folasqp6P2zRw96JdBTtuneQk3Y&#10;YhchEXVo0PaARAE7pH7cPfRDHSKTdDk5y2dFTq2SZCvm5wXNT4ohyvvnHkN8rcCyXqg4UsMTvNhf&#10;h9inI8p7l5Q+GF2vtTFJwe1maZDtBQ3HOn0jejh2M451FZ/PJrOE/MgWjiHy9P0LwupIO2O0rfj5&#10;sZNxI2E9RwPX8bA5jLRvoL4j6hCGqaWdJaEF/MJZRxNb8fB5J1BxZt44on9eTKf9iCdlOjubkILH&#10;ls2xRThJUBWPnA3iMg5rsfOoty1FKlK5Dq6oZY1OZPbtHLIa86apTByPG9SP/bGe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T0NvZAAAACgEAAA8AAAAAAAAAAQAgAAAAIgAAAGRycy9k&#10;b3ducmV2LnhtbFBLAQIUABQAAAAIAIdO4kCe2XEjOgIAAH0EAAAOAAAAAAAAAAEAIAAAACgBAABk&#10;cnMvZTJvRG9jLnhtbFBLBQYAAAAABgAGAFkBAADUBQAAAAA=&#10;">
                <v:fill on="t" focussize="0,0"/>
                <v:stroke color="#000000" miterlimit="8" joinstyle="miter"/>
                <v:imagedata o:title=""/>
                <o:lock v:ext="edit" aspectratio="f"/>
                <v:textbox>
                  <w:txbxContent>
                    <w:p w14:paraId="1953B954">
                      <w:pPr>
                        <w:spacing w:line="360" w:lineRule="auto"/>
                        <w:ind w:firstLine="1680" w:firstLineChars="800"/>
                      </w:pPr>
                    </w:p>
                    <w:p w14:paraId="3BF98DC1">
                      <w:pPr>
                        <w:spacing w:line="360" w:lineRule="auto"/>
                        <w:ind w:firstLine="1680" w:firstLineChars="800"/>
                      </w:pPr>
                      <w:r>
                        <w:rPr>
                          <w:rFonts w:hint="eastAsia"/>
                        </w:rPr>
                        <w:t>法定代表人</w:t>
                      </w:r>
                    </w:p>
                    <w:p w14:paraId="6FBFEE77">
                      <w:pPr>
                        <w:spacing w:line="360" w:lineRule="auto"/>
                        <w:ind w:firstLine="1155" w:firstLineChars="550"/>
                      </w:pPr>
                      <w:r>
                        <w:rPr>
                          <w:rFonts w:hint="eastAsia"/>
                        </w:rPr>
                        <w:t>居民身份证复印件粘贴处</w:t>
                      </w:r>
                    </w:p>
                    <w:p w14:paraId="312C44C4">
                      <w:pPr>
                        <w:spacing w:line="360" w:lineRule="auto"/>
                        <w:ind w:firstLine="1785" w:firstLineChars="850"/>
                      </w:pPr>
                      <w:r>
                        <w:rPr>
                          <w:rFonts w:hint="eastAsia"/>
                        </w:rPr>
                        <w:t>（反面）</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136525</wp:posOffset>
                </wp:positionV>
                <wp:extent cx="2705100" cy="1981200"/>
                <wp:effectExtent l="0" t="0" r="19050" b="19050"/>
                <wp:wrapNone/>
                <wp:docPr id="68" name="矩形 68"/>
                <wp:cNvGraphicFramePr/>
                <a:graphic xmlns:a="http://schemas.openxmlformats.org/drawingml/2006/main">
                  <a:graphicData uri="http://schemas.microsoft.com/office/word/2010/wordprocessingShape">
                    <wps:wsp>
                      <wps:cNvSpPr>
                        <a:spLocks noChangeArrowheads="1"/>
                      </wps:cNvSpPr>
                      <wps:spPr bwMode="auto">
                        <a:xfrm>
                          <a:off x="0" y="0"/>
                          <a:ext cx="2705100" cy="1981200"/>
                        </a:xfrm>
                        <a:prstGeom prst="rect">
                          <a:avLst/>
                        </a:prstGeom>
                        <a:solidFill>
                          <a:srgbClr val="FFFFFF"/>
                        </a:solidFill>
                        <a:ln w="9525">
                          <a:solidFill>
                            <a:srgbClr val="000000"/>
                          </a:solidFill>
                          <a:miter lim="800000"/>
                        </a:ln>
                      </wps:spPr>
                      <wps:txbx>
                        <w:txbxContent>
                          <w:p w14:paraId="41A8A980">
                            <w:pPr>
                              <w:spacing w:line="360" w:lineRule="auto"/>
                              <w:jc w:val="center"/>
                            </w:pPr>
                          </w:p>
                          <w:p w14:paraId="7E7B5E80">
                            <w:pPr>
                              <w:spacing w:line="360" w:lineRule="auto"/>
                              <w:jc w:val="center"/>
                            </w:pPr>
                            <w:r>
                              <w:rPr>
                                <w:rFonts w:hint="eastAsia"/>
                              </w:rPr>
                              <w:t>法定代表人</w:t>
                            </w:r>
                          </w:p>
                          <w:p w14:paraId="5DE54DE2">
                            <w:pPr>
                              <w:spacing w:line="360" w:lineRule="auto"/>
                              <w:jc w:val="center"/>
                            </w:pPr>
                            <w:r>
                              <w:rPr>
                                <w:rFonts w:hint="eastAsia"/>
                              </w:rPr>
                              <w:t>居民身份证复印件粘贴处</w:t>
                            </w:r>
                          </w:p>
                          <w:p w14:paraId="40E9BAD5">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85pt;margin-top:10.75pt;height:156pt;width:213pt;z-index:251659264;mso-width-relative:page;mso-height-relative:page;" fillcolor="#FFFFFF" filled="t" stroked="t" coordsize="21600,21600" o:gfxdata="UEsDBAoAAAAAAIdO4kAAAAAAAAAAAAAAAAAEAAAAZHJzL1BLAwQUAAAACACHTuJAsTcSu9kAAAAK&#10;AQAADwAAAGRycy9kb3ducmV2LnhtbE2PMU/DMBCFdyT+g3VIbK2dmNIS4nQAFYmxTRc2Jz6SQHyO&#10;YqcN/fU1E4yn9+m97/LtbHt2wtF3jhQkSwEMqXamo0bBsdwtNsB80GR07wgV/KCHbXF7k+vMuDPt&#10;8XQIDYsl5DOtoA1hyDj3dYtW+6UbkGL26UarQzzHhptRn2O57XkqxCO3uqO40OoBX1qsvw+TVVB1&#10;6VFf9uWbsE87Gd7n8mv6eFXq/i4Rz8ACzuEPhl/9qA5FdKrcRMazXsEiWa8jqiBNVsAi8CA2Elil&#10;QEq5Al7k/P8LxRVQSwMEFAAAAAgAh07iQOP/zn45AgAAfQQAAA4AAABkcnMvZTJvRG9jLnhtbK1U&#10;zW7bMAy+D9g7CLqvtoOkP0adokiQYUC3Fej2AIosx8IkUaOUON3LDNhtD7HHGfYao2U3S7sdepgP&#10;AilSH8mPpC+v9tawncKgwVW8OMk5U05Crd2m4h8/rF6dcxaicLUw4FTF71XgV/OXLy47X6oJtGBq&#10;hYxAXCg7X/E2Rl9mWZCtsiKcgFeOjA2gFZFU3GQ1io7QrckmeX6adYC1R5AqBLpdDkY+IuJzAKFp&#10;tFRLkFurXBxQURkRqaTQah/4PGXbNErG900TVGSm4lRpTCcFIXndn9n8UpQbFL7VckxBPCeFJzVZ&#10;oR0FPUAtRRRsi/ovKKslQoAmnkiw2VBIYoSqKPIn3Ny1wqtUC1Ed/IH08P9g5bvdLTJdV/yU+u6E&#10;pY7/+vr9549vjC6Inc6Hkpzu/C329QV/A/JTYA4WrXAbdY0IXatETTkVvX/26EGvBHrK1t1bqAlb&#10;bCMkovYN2h6QKGD71I/7Qz/UPjJJl5OzfFbk1CpJtuLivKD5STFE+fDcY4ivFVjWCxVHaniCF7ub&#10;EPt0RPngktIHo+uVNiYpuFkvDLKdoOFYpW9ED8duxrGu4hezySwhP7KFY4g8ff+CsDrSzhhtK35+&#10;7GTcSFjP0cB13K/3I+1rqO+JOoRhamlnSWgBv3DW0cRWPHzeClScmTeO6L8optN+xJMynZ1NSMFj&#10;y/rYIpwkqIpHzgZxEYe12HrUm5YiFalcB9fUskYnMvt2DlmNedNUJo7HDerH/lhPXn/+Gv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TcSu9kAAAAKAQAADwAAAAAAAAABACAAAAAiAAAAZHJzL2Rv&#10;d25yZXYueG1sUEsBAhQAFAAAAAgAh07iQOP/zn45AgAAfQQAAA4AAAAAAAAAAQAgAAAAKAEAAGRy&#10;cy9lMm9Eb2MueG1sUEsFBgAAAAAGAAYAWQEAANMFAAAAAA==&#10;">
                <v:fill on="t" focussize="0,0"/>
                <v:stroke color="#000000" miterlimit="8" joinstyle="miter"/>
                <v:imagedata o:title=""/>
                <o:lock v:ext="edit" aspectratio="f"/>
                <v:textbox>
                  <w:txbxContent>
                    <w:p w14:paraId="41A8A980">
                      <w:pPr>
                        <w:spacing w:line="360" w:lineRule="auto"/>
                        <w:jc w:val="center"/>
                      </w:pPr>
                    </w:p>
                    <w:p w14:paraId="7E7B5E80">
                      <w:pPr>
                        <w:spacing w:line="360" w:lineRule="auto"/>
                        <w:jc w:val="center"/>
                      </w:pPr>
                      <w:r>
                        <w:rPr>
                          <w:rFonts w:hint="eastAsia"/>
                        </w:rPr>
                        <w:t>法定代表人</w:t>
                      </w:r>
                    </w:p>
                    <w:p w14:paraId="5DE54DE2">
                      <w:pPr>
                        <w:spacing w:line="360" w:lineRule="auto"/>
                        <w:jc w:val="center"/>
                      </w:pPr>
                      <w:r>
                        <w:rPr>
                          <w:rFonts w:hint="eastAsia"/>
                        </w:rPr>
                        <w:t>居民身份证复印件粘贴处</w:t>
                      </w:r>
                    </w:p>
                    <w:p w14:paraId="40E9BAD5">
                      <w:pPr>
                        <w:spacing w:line="360" w:lineRule="auto"/>
                        <w:jc w:val="center"/>
                      </w:pPr>
                      <w:r>
                        <w:rPr>
                          <w:rFonts w:hint="eastAsia"/>
                        </w:rPr>
                        <w:t>（正面）</w:t>
                      </w:r>
                    </w:p>
                  </w:txbxContent>
                </v:textbox>
              </v:rect>
            </w:pict>
          </mc:Fallback>
        </mc:AlternateContent>
      </w:r>
    </w:p>
    <w:p w14:paraId="7237B1D7">
      <w:pPr>
        <w:spacing w:line="360" w:lineRule="auto"/>
        <w:ind w:firstLine="422" w:firstLineChars="200"/>
        <w:rPr>
          <w:rFonts w:asciiTheme="minorEastAsia" w:hAnsiTheme="minorEastAsia"/>
          <w:b/>
          <w:bCs/>
          <w:szCs w:val="21"/>
        </w:rPr>
      </w:pPr>
    </w:p>
    <w:p w14:paraId="5DAE8156">
      <w:pPr>
        <w:spacing w:line="360" w:lineRule="auto"/>
        <w:ind w:firstLine="422" w:firstLineChars="200"/>
        <w:rPr>
          <w:rFonts w:asciiTheme="minorEastAsia" w:hAnsiTheme="minorEastAsia"/>
          <w:b/>
          <w:bCs/>
          <w:szCs w:val="21"/>
        </w:rPr>
      </w:pPr>
    </w:p>
    <w:p w14:paraId="0AA4A061">
      <w:pPr>
        <w:spacing w:line="360" w:lineRule="auto"/>
        <w:ind w:firstLine="422" w:firstLineChars="200"/>
        <w:rPr>
          <w:rFonts w:asciiTheme="minorEastAsia" w:hAnsiTheme="minorEastAsia"/>
          <w:b/>
          <w:bCs/>
          <w:szCs w:val="21"/>
        </w:rPr>
      </w:pPr>
    </w:p>
    <w:p w14:paraId="68A95E6F">
      <w:pPr>
        <w:spacing w:line="360" w:lineRule="auto"/>
        <w:ind w:firstLine="422" w:firstLineChars="200"/>
        <w:rPr>
          <w:rFonts w:asciiTheme="minorEastAsia" w:hAnsiTheme="minorEastAsia"/>
          <w:b/>
          <w:bCs/>
          <w:szCs w:val="21"/>
        </w:rPr>
      </w:pPr>
    </w:p>
    <w:p w14:paraId="4498C72E">
      <w:pPr>
        <w:spacing w:line="360" w:lineRule="auto"/>
        <w:ind w:firstLine="422" w:firstLineChars="200"/>
        <w:rPr>
          <w:rFonts w:asciiTheme="minorEastAsia" w:hAnsiTheme="minorEastAsia"/>
          <w:b/>
          <w:bCs/>
          <w:szCs w:val="21"/>
        </w:rPr>
      </w:pPr>
    </w:p>
    <w:p w14:paraId="341DF70B">
      <w:pPr>
        <w:spacing w:line="360" w:lineRule="auto"/>
        <w:ind w:firstLine="422" w:firstLineChars="200"/>
        <w:rPr>
          <w:rFonts w:asciiTheme="minorEastAsia" w:hAnsiTheme="minorEastAsia"/>
          <w:b/>
          <w:bCs/>
          <w:szCs w:val="21"/>
        </w:rPr>
      </w:pPr>
      <w:r>
        <w:rPr>
          <w:rFonts w:hint="eastAsia" w:asciiTheme="minorEastAsia" w:hAnsiTheme="minorEastAsia"/>
          <w:b/>
          <w:bCs/>
          <w:szCs w:val="21"/>
        </w:rPr>
        <w:t xml:space="preserve">                         </w:t>
      </w:r>
    </w:p>
    <w:p w14:paraId="7C9B37D6">
      <w:pPr>
        <w:spacing w:line="360" w:lineRule="auto"/>
        <w:ind w:firstLine="420" w:firstLineChars="200"/>
        <w:rPr>
          <w:rFonts w:asciiTheme="minorEastAsia" w:hAnsiTheme="minorEastAsia"/>
          <w:szCs w:val="21"/>
        </w:rPr>
      </w:pPr>
    </w:p>
    <w:p w14:paraId="69B9FA96">
      <w:pPr>
        <w:spacing w:line="360" w:lineRule="auto"/>
        <w:ind w:firstLine="420" w:firstLineChars="200"/>
        <w:rPr>
          <w:rFonts w:asciiTheme="minorEastAsia" w:hAnsiTheme="minorEastAsia"/>
          <w:szCs w:val="21"/>
        </w:rPr>
      </w:pPr>
    </w:p>
    <w:p w14:paraId="1ECF316C">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r>
        <w:rPr>
          <w:rFonts w:hint="eastAsia" w:asciiTheme="minorEastAsia" w:hAnsiTheme="minorEastAsia"/>
          <w:szCs w:val="21"/>
          <w:u w:val="single"/>
        </w:rPr>
        <w:t xml:space="preserve">             </w:t>
      </w:r>
    </w:p>
    <w:p w14:paraId="0DA7C96A">
      <w:pPr>
        <w:spacing w:line="360" w:lineRule="auto"/>
        <w:ind w:firstLine="420" w:firstLineChars="200"/>
        <w:rPr>
          <w:rFonts w:asciiTheme="minorEastAsia" w:hAnsiTheme="minorEastAsia"/>
          <w:szCs w:val="21"/>
        </w:rPr>
      </w:pPr>
      <w:r>
        <w:rPr>
          <w:rFonts w:hint="eastAsia" w:asciiTheme="minorEastAsia" w:hAnsiTheme="minorEastAsia"/>
          <w:szCs w:val="21"/>
        </w:rPr>
        <w:t>日期：</w:t>
      </w:r>
      <w:r>
        <w:rPr>
          <w:rFonts w:hint="eastAsia" w:asciiTheme="minorEastAsia" w:hAnsiTheme="minorEastAsia"/>
          <w:szCs w:val="21"/>
          <w:u w:val="single"/>
        </w:rPr>
        <w:t xml:space="preserve">         </w:t>
      </w:r>
      <w:r>
        <w:rPr>
          <w:rFonts w:hint="eastAsia" w:asciiTheme="minorEastAsia" w:hAnsiTheme="minorEastAsia"/>
          <w:szCs w:val="21"/>
        </w:rPr>
        <w:t>年</w:t>
      </w:r>
      <w:r>
        <w:rPr>
          <w:rFonts w:hint="eastAsia" w:asciiTheme="minorEastAsia" w:hAnsiTheme="minorEastAsia"/>
          <w:szCs w:val="21"/>
          <w:u w:val="single"/>
        </w:rPr>
        <w:t xml:space="preserve">     </w:t>
      </w:r>
      <w:r>
        <w:rPr>
          <w:rFonts w:hint="eastAsia" w:asciiTheme="minorEastAsia" w:hAnsiTheme="minorEastAsia"/>
          <w:szCs w:val="21"/>
        </w:rPr>
        <w:t xml:space="preserve">月 </w:t>
      </w:r>
      <w:r>
        <w:rPr>
          <w:rFonts w:hint="eastAsia" w:asciiTheme="minorEastAsia" w:hAnsiTheme="minorEastAsia"/>
          <w:szCs w:val="21"/>
          <w:u w:val="single"/>
        </w:rPr>
        <w:t xml:space="preserve">      </w:t>
      </w:r>
      <w:r>
        <w:rPr>
          <w:rFonts w:hint="eastAsia" w:asciiTheme="minorEastAsia" w:hAnsiTheme="minorEastAsia"/>
          <w:szCs w:val="21"/>
        </w:rPr>
        <w:t>日</w:t>
      </w:r>
    </w:p>
    <w:p w14:paraId="78E69E6D">
      <w:pPr>
        <w:ind w:firstLine="420" w:firstLineChars="200"/>
      </w:pPr>
    </w:p>
    <w:p w14:paraId="4258C145">
      <w:pPr>
        <w:adjustRightInd w:val="0"/>
        <w:snapToGrid w:val="0"/>
        <w:spacing w:line="360" w:lineRule="auto"/>
        <w:ind w:firstLine="422" w:firstLineChars="200"/>
        <w:rPr>
          <w:rFonts w:asciiTheme="minorEastAsia" w:hAnsiTheme="minorEastAsia"/>
          <w:b/>
          <w:snapToGrid w:val="0"/>
          <w:kern w:val="0"/>
          <w:szCs w:val="21"/>
        </w:rPr>
      </w:pPr>
    </w:p>
    <w:p w14:paraId="61FB4FB4">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012D8BDA">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7</w:t>
      </w:r>
      <w:r>
        <w:rPr>
          <w:rFonts w:hint="eastAsia" w:asciiTheme="minorEastAsia" w:hAnsiTheme="minorEastAsia"/>
          <w:szCs w:val="21"/>
        </w:rPr>
        <w:t>：</w:t>
      </w:r>
      <w:bookmarkEnd w:id="160"/>
      <w:r>
        <w:rPr>
          <w:rFonts w:hint="eastAsia" w:asciiTheme="minorEastAsia" w:hAnsiTheme="minorEastAsia"/>
          <w:szCs w:val="21"/>
        </w:rPr>
        <w:t>法定代表人授权委托证明书</w:t>
      </w:r>
    </w:p>
    <w:p w14:paraId="4B5AED68">
      <w:pPr>
        <w:keepNext/>
        <w:keepLines/>
        <w:spacing w:before="160" w:after="170"/>
        <w:ind w:firstLine="602" w:firstLineChars="200"/>
        <w:jc w:val="center"/>
        <w:outlineLvl w:val="4"/>
        <w:rPr>
          <w:b/>
          <w:bCs/>
          <w:sz w:val="30"/>
          <w:szCs w:val="28"/>
        </w:rPr>
      </w:pPr>
      <w:bookmarkStart w:id="161" w:name="_Toc55548546"/>
      <w:bookmarkStart w:id="162" w:name="_Toc437"/>
      <w:r>
        <w:rPr>
          <w:rFonts w:hint="eastAsia"/>
          <w:b/>
          <w:bCs/>
          <w:sz w:val="30"/>
          <w:szCs w:val="28"/>
        </w:rPr>
        <w:t>法定代表人授权委托书</w:t>
      </w:r>
      <w:bookmarkEnd w:id="161"/>
    </w:p>
    <w:p w14:paraId="7A5285FF">
      <w:pPr>
        <w:spacing w:line="360" w:lineRule="auto"/>
        <w:ind w:firstLine="420" w:firstLineChars="200"/>
        <w:rPr>
          <w:rFonts w:asciiTheme="minorEastAsia" w:hAnsiTheme="minorEastAsia"/>
          <w:b/>
          <w:bCs/>
          <w:szCs w:val="21"/>
        </w:rPr>
      </w:pPr>
      <w:r>
        <w:rPr>
          <w:rFonts w:hint="eastAsia" w:asciiTheme="minorEastAsia" w:hAnsiTheme="minorEastAsia"/>
          <w:szCs w:val="21"/>
        </w:rPr>
        <w:t>深圳市宝安区疾病预防控制中心</w:t>
      </w:r>
      <w:r>
        <w:rPr>
          <w:rFonts w:hint="eastAsia" w:asciiTheme="minorEastAsia" w:hAnsiTheme="minorEastAsia"/>
          <w:szCs w:val="21"/>
          <w:lang w:eastAsia="zh-CN"/>
        </w:rPr>
        <w:t>（</w:t>
      </w:r>
      <w:r>
        <w:rPr>
          <w:rFonts w:hint="eastAsia" w:asciiTheme="minorEastAsia" w:hAnsiTheme="minorEastAsia"/>
          <w:szCs w:val="21"/>
          <w:lang w:val="en-US" w:eastAsia="zh-CN"/>
        </w:rPr>
        <w:t>深圳市宝安区卫生监督所</w:t>
      </w:r>
      <w:r>
        <w:rPr>
          <w:rFonts w:hint="eastAsia" w:asciiTheme="minorEastAsia" w:hAnsiTheme="minorEastAsia"/>
          <w:szCs w:val="21"/>
          <w:lang w:eastAsia="zh-CN"/>
        </w:rPr>
        <w:t>）</w:t>
      </w:r>
      <w:r>
        <w:rPr>
          <w:rFonts w:hint="eastAsia" w:asciiTheme="minorEastAsia" w:hAnsiTheme="minorEastAsia"/>
          <w:b/>
          <w:bCs/>
          <w:szCs w:val="21"/>
        </w:rPr>
        <w:t>：</w:t>
      </w:r>
    </w:p>
    <w:p w14:paraId="4AEB7D6C">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现委派</w:t>
      </w:r>
      <w:r>
        <w:rPr>
          <w:rFonts w:hint="eastAsia" w:asciiTheme="minorEastAsia" w:hAnsiTheme="minorEastAsia"/>
          <w:szCs w:val="21"/>
          <w:u w:val="single"/>
        </w:rPr>
        <w:t xml:space="preserve">  （姓名、职务） </w:t>
      </w:r>
      <w:r>
        <w:rPr>
          <w:rFonts w:hint="eastAsia" w:asciiTheme="minorEastAsia" w:hAnsiTheme="minorEastAsia"/>
          <w:szCs w:val="21"/>
        </w:rPr>
        <w:t>参加贵公司组织的</w:t>
      </w:r>
      <w:r>
        <w:rPr>
          <w:rFonts w:hint="eastAsia" w:asciiTheme="minorEastAsia" w:hAnsiTheme="minorEastAsia"/>
          <w:b/>
          <w:bCs/>
          <w:szCs w:val="21"/>
          <w:u w:val="single"/>
        </w:rPr>
        <w:t xml:space="preserve">  </w:t>
      </w:r>
      <w:r>
        <w:rPr>
          <w:rFonts w:hint="eastAsia" w:asciiTheme="minorEastAsia" w:hAnsiTheme="minorEastAsia"/>
          <w:szCs w:val="21"/>
          <w:u w:val="single"/>
        </w:rPr>
        <w:t xml:space="preserve">（招标项目名称、编号） </w:t>
      </w:r>
      <w:r>
        <w:rPr>
          <w:rFonts w:hint="eastAsia" w:asciiTheme="minorEastAsia" w:hAnsiTheme="minorEastAsia"/>
          <w:szCs w:val="21"/>
        </w:rPr>
        <w:t>招标活动，全权代表我单位处理投标的有关事宜。</w:t>
      </w:r>
    </w:p>
    <w:p w14:paraId="473786C1">
      <w:pPr>
        <w:spacing w:line="360" w:lineRule="auto"/>
        <w:ind w:firstLine="420" w:firstLineChars="200"/>
        <w:rPr>
          <w:rFonts w:asciiTheme="minorEastAsia" w:hAnsiTheme="minorEastAsia"/>
          <w:szCs w:val="21"/>
        </w:rPr>
      </w:pPr>
    </w:p>
    <w:p w14:paraId="383970E2">
      <w:pPr>
        <w:adjustRightInd w:val="0"/>
        <w:snapToGrid w:val="0"/>
        <w:spacing w:line="360" w:lineRule="auto"/>
        <w:ind w:firstLine="422" w:firstLineChars="200"/>
        <w:rPr>
          <w:rFonts w:asciiTheme="minorEastAsia" w:hAnsiTheme="minorEastAsia"/>
          <w:b/>
          <w:bCs/>
          <w:szCs w:val="21"/>
        </w:rPr>
      </w:pPr>
      <w:r>
        <w:rPr>
          <w:rFonts w:hint="eastAsia" w:asciiTheme="minorEastAsia" w:hAnsiTheme="minorEastAsia"/>
          <w:b/>
          <w:bCs/>
          <w:szCs w:val="21"/>
        </w:rPr>
        <w:t>附授权代表情况：</w:t>
      </w:r>
    </w:p>
    <w:p w14:paraId="0EAC4E9E">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姓名：</w:t>
      </w:r>
      <w:r>
        <w:rPr>
          <w:rFonts w:hint="eastAsia" w:asciiTheme="minorEastAsia" w:hAnsiTheme="minorEastAsia"/>
          <w:b/>
          <w:bCs/>
          <w:szCs w:val="21"/>
        </w:rPr>
        <w:t xml:space="preserve">    </w:t>
      </w:r>
      <w:r>
        <w:rPr>
          <w:rFonts w:hint="eastAsia" w:asciiTheme="minorEastAsia" w:hAnsiTheme="minorEastAsia"/>
          <w:szCs w:val="21"/>
        </w:rPr>
        <w:t xml:space="preserve">            性别：</w:t>
      </w:r>
      <w:r>
        <w:rPr>
          <w:rFonts w:hint="eastAsia" w:asciiTheme="minorEastAsia" w:hAnsiTheme="minorEastAsia"/>
          <w:b/>
          <w:bCs/>
          <w:szCs w:val="21"/>
        </w:rPr>
        <w:t xml:space="preserve"> </w:t>
      </w:r>
    </w:p>
    <w:p w14:paraId="0350C5F0">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年龄：</w:t>
      </w:r>
      <w:r>
        <w:rPr>
          <w:rFonts w:hint="eastAsia" w:asciiTheme="minorEastAsia" w:hAnsiTheme="minorEastAsia"/>
          <w:b/>
          <w:bCs/>
          <w:szCs w:val="21"/>
        </w:rPr>
        <w:t xml:space="preserve"> </w:t>
      </w:r>
      <w:r>
        <w:rPr>
          <w:rFonts w:hint="eastAsia" w:asciiTheme="minorEastAsia" w:hAnsiTheme="minorEastAsia"/>
          <w:szCs w:val="21"/>
        </w:rPr>
        <w:t xml:space="preserve">            </w:t>
      </w:r>
    </w:p>
    <w:p w14:paraId="4CC6470D">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职务：</w:t>
      </w:r>
    </w:p>
    <w:p w14:paraId="6DA0A6C6">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身份证号码：</w:t>
      </w:r>
    </w:p>
    <w:p w14:paraId="472ADDBC">
      <w:pPr>
        <w:adjustRightInd w:val="0"/>
        <w:snapToGrid w:val="0"/>
        <w:spacing w:line="360" w:lineRule="auto"/>
        <w:ind w:firstLine="420" w:firstLineChars="200"/>
        <w:rPr>
          <w:rFonts w:asciiTheme="minorEastAsia" w:hAnsiTheme="minorEastAsia"/>
          <w:b/>
          <w:bCs/>
          <w:szCs w:val="21"/>
        </w:rPr>
      </w:pPr>
      <w:r>
        <w:rPr>
          <w:rFonts w:hint="eastAsia" w:asciiTheme="minorEastAsia" w:hAnsiTheme="minorEastAsia"/>
          <w:szCs w:val="21"/>
        </w:rPr>
        <w:t>邮编：</w:t>
      </w:r>
      <w:r>
        <w:rPr>
          <w:rFonts w:hint="eastAsia" w:asciiTheme="minorEastAsia" w:hAnsiTheme="minorEastAsia"/>
          <w:b/>
          <w:bCs/>
          <w:szCs w:val="21"/>
        </w:rPr>
        <w:t xml:space="preserve"> </w:t>
      </w:r>
    </w:p>
    <w:p w14:paraId="52894D09">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通讯地址：</w:t>
      </w:r>
      <w:r>
        <w:rPr>
          <w:rFonts w:hint="eastAsia" w:asciiTheme="minorEastAsia" w:hAnsiTheme="minorEastAsia"/>
          <w:b/>
          <w:bCs/>
          <w:szCs w:val="21"/>
        </w:rPr>
        <w:t xml:space="preserve"> </w:t>
      </w:r>
    </w:p>
    <w:p w14:paraId="785D4701">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 xml:space="preserve">电话： </w:t>
      </w:r>
    </w:p>
    <w:p w14:paraId="2D79F16B">
      <w:pPr>
        <w:spacing w:line="360" w:lineRule="auto"/>
        <w:ind w:firstLine="420" w:firstLineChars="200"/>
        <w:rPr>
          <w:rFonts w:asciiTheme="minorEastAsia" w:hAnsiTheme="minorEastAsia"/>
          <w:szCs w:val="21"/>
        </w:rPr>
      </w:pPr>
      <w:r>
        <w:rPr>
          <w:rFonts w:hint="eastAsia" w:asciiTheme="minorEastAsia" w:hAnsiTheme="minorEastAsia"/>
          <w:szCs w:val="21"/>
        </w:rPr>
        <w:t>单位名称：（公章）</w:t>
      </w:r>
    </w:p>
    <w:p w14:paraId="3A2F59AF">
      <w:pPr>
        <w:spacing w:line="360" w:lineRule="auto"/>
        <w:ind w:firstLine="420" w:firstLineChars="200"/>
        <w:rPr>
          <w:rFonts w:asciiTheme="minorEastAsia" w:hAnsiTheme="minorEastAsia"/>
          <w:szCs w:val="21"/>
        </w:rPr>
      </w:pPr>
    </w:p>
    <w:p w14:paraId="459050D0">
      <w:pPr>
        <w:spacing w:line="360" w:lineRule="auto"/>
        <w:ind w:firstLine="420" w:firstLineChars="200"/>
        <w:rPr>
          <w:rFonts w:asciiTheme="minorEastAsia" w:hAnsiTheme="minorEastAsia"/>
          <w:szCs w:val="21"/>
        </w:rPr>
      </w:pPr>
      <w:r>
        <w:rPr>
          <w:rFonts w:hint="eastAsia" w:asciiTheme="minorEastAsia" w:hAnsiTheme="minorEastAsia"/>
          <w:szCs w:val="21"/>
        </w:rPr>
        <w:t>法人代表：（签章）</w:t>
      </w:r>
    </w:p>
    <w:p w14:paraId="4C7904EB">
      <w:pPr>
        <w:adjustRightInd w:val="0"/>
        <w:snapToGrid w:val="0"/>
        <w:spacing w:line="360" w:lineRule="auto"/>
        <w:ind w:firstLine="420" w:firstLineChars="200"/>
        <w:rPr>
          <w:rFonts w:asciiTheme="minorEastAsia" w:hAnsiTheme="minorEastAsia"/>
          <w:szCs w:val="21"/>
        </w:rPr>
      </w:pPr>
      <w:r>
        <w:rPr>
          <w:rFonts w:hint="eastAsia" w:asciiTheme="minorEastAsia" w:hAnsiTheme="minorEastAsia"/>
          <w:szCs w:val="21"/>
        </w:rPr>
        <w:t>年</w:t>
      </w:r>
      <w:r>
        <w:rPr>
          <w:rFonts w:hint="eastAsia" w:asciiTheme="minorEastAsia" w:hAnsiTheme="minorEastAsia"/>
          <w:b/>
          <w:bCs/>
          <w:szCs w:val="21"/>
        </w:rPr>
        <w:t xml:space="preserve">    </w:t>
      </w:r>
      <w:r>
        <w:rPr>
          <w:rFonts w:hint="eastAsia" w:asciiTheme="minorEastAsia" w:hAnsiTheme="minorEastAsia"/>
          <w:szCs w:val="21"/>
        </w:rPr>
        <w:t>月</w:t>
      </w:r>
      <w:r>
        <w:rPr>
          <w:rFonts w:hint="eastAsia" w:asciiTheme="minorEastAsia" w:hAnsiTheme="minorEastAsia"/>
          <w:b/>
          <w:bCs/>
          <w:szCs w:val="21"/>
        </w:rPr>
        <w:t xml:space="preserve">   </w:t>
      </w:r>
      <w:r>
        <w:rPr>
          <w:rFonts w:hint="eastAsia" w:asciiTheme="minorEastAsia" w:hAnsiTheme="minorEastAsia"/>
          <w:szCs w:val="21"/>
        </w:rPr>
        <w:t>日</w:t>
      </w:r>
    </w:p>
    <w:p w14:paraId="59BE7E8A">
      <w:pPr>
        <w:spacing w:line="360" w:lineRule="auto"/>
        <w:ind w:firstLine="420" w:firstLineChars="200"/>
        <w:rPr>
          <w:rFonts w:asciiTheme="minorEastAsia" w:hAnsiTheme="minorEastAsia"/>
          <w:szCs w:val="21"/>
        </w:rPr>
      </w:pPr>
      <w:bookmarkStart w:id="163" w:name="_Toc226217114"/>
      <w: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71120</wp:posOffset>
                </wp:positionV>
                <wp:extent cx="2619375" cy="1722755"/>
                <wp:effectExtent l="0" t="0" r="28575" b="10795"/>
                <wp:wrapNone/>
                <wp:docPr id="67" name="矩形 67"/>
                <wp:cNvGraphicFramePr/>
                <a:graphic xmlns:a="http://schemas.openxmlformats.org/drawingml/2006/main">
                  <a:graphicData uri="http://schemas.microsoft.com/office/word/2010/wordprocessingShape">
                    <wps:wsp>
                      <wps:cNvSpPr>
                        <a:spLocks noChangeArrowheads="1"/>
                      </wps:cNvSpPr>
                      <wps:spPr bwMode="auto">
                        <a:xfrm>
                          <a:off x="0" y="0"/>
                          <a:ext cx="2619375" cy="1722755"/>
                        </a:xfrm>
                        <a:prstGeom prst="rect">
                          <a:avLst/>
                        </a:prstGeom>
                        <a:solidFill>
                          <a:srgbClr val="FFFFFF"/>
                        </a:solidFill>
                        <a:ln w="9525">
                          <a:solidFill>
                            <a:srgbClr val="000000"/>
                          </a:solidFill>
                          <a:miter lim="800000"/>
                        </a:ln>
                      </wps:spPr>
                      <wps:txbx>
                        <w:txbxContent>
                          <w:p w14:paraId="6A1000A9">
                            <w:pPr>
                              <w:spacing w:line="360" w:lineRule="auto"/>
                              <w:ind w:firstLine="1260" w:firstLineChars="600"/>
                            </w:pPr>
                          </w:p>
                          <w:p w14:paraId="02F65314">
                            <w:pPr>
                              <w:spacing w:line="360" w:lineRule="auto"/>
                              <w:ind w:firstLine="1260" w:firstLineChars="600"/>
                            </w:pPr>
                            <w:r>
                              <w:rPr>
                                <w:rFonts w:hint="eastAsia"/>
                              </w:rPr>
                              <w:t>被授权人（授权代表）</w:t>
                            </w:r>
                          </w:p>
                          <w:p w14:paraId="3EDDC729">
                            <w:pPr>
                              <w:spacing w:line="360" w:lineRule="auto"/>
                              <w:ind w:firstLine="1050" w:firstLineChars="500"/>
                            </w:pPr>
                            <w:r>
                              <w:rPr>
                                <w:rFonts w:hint="eastAsia"/>
                              </w:rPr>
                              <w:t>居民身份证复印件粘贴处</w:t>
                            </w:r>
                          </w:p>
                          <w:p w14:paraId="5D2E3FC5">
                            <w:pPr>
                              <w:spacing w:line="360" w:lineRule="auto"/>
                              <w:jc w:val="center"/>
                            </w:pPr>
                            <w:r>
                              <w:rPr>
                                <w:rFonts w:hint="eastAsia"/>
                              </w:rPr>
                              <w:t>（正面）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5.6pt;height:135.65pt;width:206.25pt;z-index:251661312;mso-width-relative:page;mso-height-relative:page;" fillcolor="#FFFFFF" filled="t" stroked="t" coordsize="21600,21600" o:gfxdata="UEsDBAoAAAAAAIdO4kAAAAAAAAAAAAAAAAAEAAAAZHJzL1BLAwQUAAAACACHTuJAHHeQVtcAAAAJ&#10;AQAADwAAAGRycy9kb3ducmV2LnhtbE2PzU7DMBCE70i8g7VI3Fo75q9N4/QAKhLHNr1w2yRuEojX&#10;Uey0gadnOcFxZ0az32Tb2fXibMfQeTKQLBUIS5WvO2oMHIvdYgUiRKQae0/WwJcNsM2vrzJMa3+h&#10;vT0fYiO4hEKKBtoYh1TKULXWYVj6wRJ7Jz86jHyOjaxHvHC566VW6lE67Ig/tDjY59ZWn4fJGSg7&#10;fcTvffGq3Hp3F9/m4mN6fzHm9iZRGxDRzvEvDL/4jA45M5V+ojqI3sBCP3GS9USDYP9erXlKaUCv&#10;9APIPJP/F+Q/UEsDBBQAAAAIAIdO4kDKfwpxOwIAAH0EAAAOAAAAZHJzL2Uyb0RvYy54bWytVMFu&#10;2zAMvQ/YPwi6r469pmmMOkWRoMOAbivQ7QMUWY6FSaJGKXG6nxmwWz9inzPsN0bLbpd2O/QwHwRS&#10;pB7JR9Jn53tr2E5h0OAqnh9NOFNOQq3dpuKfPl6+OuUsROFqYcCpit+qwM8XL1+cdb5UBbRgaoWM&#10;QFwoO1/xNkZfZlmQrbIiHIFXjowNoBWRVNxkNYqO0K3JisnkJOsAa48gVQh0uxqMfETE5wBC02ip&#10;ViC3Vrk4oKIyIlJJodU+8EXKtmmUjB+aJqjITMWp0phOCkLyuj+zxZkoNyh8q+WYgnhOCk9qskI7&#10;CvoAtRJRsC3qv6CslggBmngkwWZDIYkRqiKfPOHmphVepVqI6uAfSA//D1a+310j03XFT2acOWGp&#10;47++3f388Z3RBbHT+VCS042/xr6+4K9Afg7MwbIVbqMuEKFrlagpp7z3zx496JVAT9m6ewc1YYtt&#10;hETUvkHbAxIFbJ/6cfvQD7WPTNJlcZLPX8+mnEmy5bOimE2nKYYo7597DPGNAst6oeJIDU/wYncV&#10;Yp+OKO9dUvpgdH2pjUkKbtZLg2wnaDgu0zeih0M341hX8fm0mCbkR7ZwCDFJ378grI60M0bbip8e&#10;Ohk3EtZzNHAd9+v9SPsa6luiDmGYWtpZElrAr5x1NLEVD1+2AhVn5q0j+uf58XE/4kk5ns4KUvDQ&#10;sj60CCcJquKRs0FcxmEtth71pqVIeSrXwQW1rNGJzL6dQ1Zj3jSVieNxg/qxP9ST15+/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HeQVtcAAAAJAQAADwAAAAAAAAABACAAAAAiAAAAZHJzL2Rv&#10;d25yZXYueG1sUEsBAhQAFAAAAAgAh07iQMp/CnE7AgAAfQQAAA4AAAAAAAAAAQAgAAAAJgEAAGRy&#10;cy9lMm9Eb2MueG1sUEsFBgAAAAAGAAYAWQEAANMFAAAAAA==&#10;">
                <v:fill on="t" focussize="0,0"/>
                <v:stroke color="#000000" miterlimit="8" joinstyle="miter"/>
                <v:imagedata o:title=""/>
                <o:lock v:ext="edit" aspectratio="f"/>
                <v:textbox>
                  <w:txbxContent>
                    <w:p w14:paraId="6A1000A9">
                      <w:pPr>
                        <w:spacing w:line="360" w:lineRule="auto"/>
                        <w:ind w:firstLine="1260" w:firstLineChars="600"/>
                      </w:pPr>
                    </w:p>
                    <w:p w14:paraId="02F65314">
                      <w:pPr>
                        <w:spacing w:line="360" w:lineRule="auto"/>
                        <w:ind w:firstLine="1260" w:firstLineChars="600"/>
                      </w:pPr>
                      <w:r>
                        <w:rPr>
                          <w:rFonts w:hint="eastAsia"/>
                        </w:rPr>
                        <w:t>被授权人（授权代表）</w:t>
                      </w:r>
                    </w:p>
                    <w:p w14:paraId="3EDDC729">
                      <w:pPr>
                        <w:spacing w:line="360" w:lineRule="auto"/>
                        <w:ind w:firstLine="1050" w:firstLineChars="500"/>
                      </w:pPr>
                      <w:r>
                        <w:rPr>
                          <w:rFonts w:hint="eastAsia"/>
                        </w:rPr>
                        <w:t>居民身份证复印件粘贴处</w:t>
                      </w:r>
                    </w:p>
                    <w:p w14:paraId="5D2E3FC5">
                      <w:pPr>
                        <w:spacing w:line="360" w:lineRule="auto"/>
                        <w:jc w:val="center"/>
                      </w:pPr>
                      <w:r>
                        <w:rPr>
                          <w:rFonts w:hint="eastAsia"/>
                        </w:rPr>
                        <w:t>（正面）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2821305</wp:posOffset>
                </wp:positionH>
                <wp:positionV relativeFrom="paragraph">
                  <wp:posOffset>71120</wp:posOffset>
                </wp:positionV>
                <wp:extent cx="2533650" cy="1722755"/>
                <wp:effectExtent l="0" t="0" r="19050" b="1079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2533650" cy="1722755"/>
                        </a:xfrm>
                        <a:prstGeom prst="rect">
                          <a:avLst/>
                        </a:prstGeom>
                        <a:solidFill>
                          <a:srgbClr val="FFFFFF"/>
                        </a:solidFill>
                        <a:ln w="9525">
                          <a:solidFill>
                            <a:srgbClr val="000000"/>
                          </a:solidFill>
                          <a:miter lim="800000"/>
                        </a:ln>
                      </wps:spPr>
                      <wps:txbx>
                        <w:txbxContent>
                          <w:p w14:paraId="13BDB253">
                            <w:pPr>
                              <w:spacing w:line="360" w:lineRule="auto"/>
                              <w:jc w:val="center"/>
                            </w:pPr>
                          </w:p>
                          <w:p w14:paraId="6F6EDDBC">
                            <w:pPr>
                              <w:spacing w:line="360" w:lineRule="auto"/>
                              <w:jc w:val="center"/>
                            </w:pPr>
                            <w:r>
                              <w:rPr>
                                <w:rFonts w:hint="eastAsia"/>
                              </w:rPr>
                              <w:t>被授权人（授权代表）</w:t>
                            </w:r>
                          </w:p>
                          <w:p w14:paraId="0B3D6F5C">
                            <w:pPr>
                              <w:spacing w:line="360" w:lineRule="auto"/>
                              <w:jc w:val="center"/>
                            </w:pPr>
                            <w:r>
                              <w:rPr>
                                <w:rFonts w:hint="eastAsia"/>
                              </w:rPr>
                              <w:t>居民身份证复印件粘贴处</w:t>
                            </w:r>
                          </w:p>
                          <w:p w14:paraId="4EE5CBDA">
                            <w:pPr>
                              <w:spacing w:line="360" w:lineRule="auto"/>
                              <w:jc w:val="center"/>
                            </w:pPr>
                            <w:r>
                              <w:rPr>
                                <w:rFonts w:hint="eastAsia"/>
                              </w:rPr>
                              <w:t>（反面）</w:t>
                            </w:r>
                          </w:p>
                          <w:p w14:paraId="60CA4335"/>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2.15pt;margin-top:5.6pt;height:135.65pt;width:199.5pt;z-index:251662336;mso-width-relative:page;mso-height-relative:page;" fillcolor="#FFFFFF" filled="t" stroked="t" coordsize="21600,21600" o:gfxdata="UEsDBAoAAAAAAIdO4kAAAAAAAAAAAAAAAAAEAAAAZHJzL1BLAwQUAAAACACHTuJAbTsh1NcAAAAK&#10;AQAADwAAAGRycy9kb3ducmV2LnhtbE2PwU6EMBCG7ya+QzMm3tyWggaRsgfNmnjcZS/eCq2A0imh&#10;ZRd9eseTe5z5v/zzTbld3chOdg6DRwXJRgCz2HozYKfgWO/ucmAhajR69GgVfNsA2+r6qtSF8Wfc&#10;29MhdoxKMBRaQR/jVHAe2t46HTZ+skjZh5+djjTOHTezPlO5G7kU4oE7PSBd6PVkn3vbfh0Wp6AZ&#10;5FH/7OtX4R53aXxb68/l/UWp25tEPAGLdo3/MPzpkzpU5NT4BU1go4Isy1JCKUgkMALyLKVFo0Dm&#10;8h54VfLLF6pfUEsDBBQAAAAIAIdO4kBMjqDxOwIAAH0EAAAOAAAAZHJzL2Uyb0RvYy54bWytVMFu&#10;2zAMvQ/YPwi6r07cOG2NOkXRoMOAbivQ7QMUWY6FSaJGKXG6nxmw2z5inzPsN0bLbpZ2O/QwHwRS&#10;pB7JR9LnFztr2FZh0OAqPj2acKachFq7dcU/frh+dcpZiMLVwoBTFb9XgV8sXr4473ypcmjB1AoZ&#10;gbhQdr7ibYy+zLIgW2VFOAKvHBkbQCsiqbjOahQdoVuT5ZPJPOsAa48gVQh0uxyMfETE5wBC02ip&#10;liA3Vrk4oKIyIlJJodU+8EXKtmmUjO+bJqjITMWp0phOCkLyqj+zxbko1yh8q+WYgnhOCk9qskI7&#10;CrqHWooo2Ab1X1BWS4QATTySYLOhkMQIVTGdPOHmrhVepVqI6uD3pIf/ByvfbW+R6bri8zlnTljq&#10;+K+v33/++MbogtjpfCjJ6c7fYl9f8DcgPwXm4KoVbq0uEaFrlagpp2nvnz160CuBnrJV9xZqwhab&#10;CImoXYO2ByQK2C71437fD7WLTNJlXhwfzwtqlSTb9CTPT4oixRDlw3OPIb5WYFkvVByp4QlebG9C&#10;7NMR5YNLSh+Mrq+1MUnB9erKINsKGo7r9I3o4dDNONZV/KzIi4T8yBYOISbp+xeE1ZF2xmhb8dND&#10;J+NGwnqOBq7jbrUbaV9BfU/UIQxTSztLQgv4hbOOJrbi4fNGoOLMvHFE/9l0NutHPCmz4iQnBQ8t&#10;q0OLcJKgKh45G8SrOKzFxqNetxRpmsp1cEkta3Qis2/nkNWYN01l4njcoH7sD/Xk9eevsf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Tsh1NcAAAAKAQAADwAAAAAAAAABACAAAAAiAAAAZHJzL2Rv&#10;d25yZXYueG1sUEsBAhQAFAAAAAgAh07iQEyOoPE7AgAAfQQAAA4AAAAAAAAAAQAgAAAAJgEAAGRy&#10;cy9lMm9Eb2MueG1sUEsFBgAAAAAGAAYAWQEAANMFAAAAAA==&#10;">
                <v:fill on="t" focussize="0,0"/>
                <v:stroke color="#000000" miterlimit="8" joinstyle="miter"/>
                <v:imagedata o:title=""/>
                <o:lock v:ext="edit" aspectratio="f"/>
                <v:textbox>
                  <w:txbxContent>
                    <w:p w14:paraId="13BDB253">
                      <w:pPr>
                        <w:spacing w:line="360" w:lineRule="auto"/>
                        <w:jc w:val="center"/>
                      </w:pPr>
                    </w:p>
                    <w:p w14:paraId="6F6EDDBC">
                      <w:pPr>
                        <w:spacing w:line="360" w:lineRule="auto"/>
                        <w:jc w:val="center"/>
                      </w:pPr>
                      <w:r>
                        <w:rPr>
                          <w:rFonts w:hint="eastAsia"/>
                        </w:rPr>
                        <w:t>被授权人（授权代表）</w:t>
                      </w:r>
                    </w:p>
                    <w:p w14:paraId="0B3D6F5C">
                      <w:pPr>
                        <w:spacing w:line="360" w:lineRule="auto"/>
                        <w:jc w:val="center"/>
                      </w:pPr>
                      <w:r>
                        <w:rPr>
                          <w:rFonts w:hint="eastAsia"/>
                        </w:rPr>
                        <w:t>居民身份证复印件粘贴处</w:t>
                      </w:r>
                    </w:p>
                    <w:p w14:paraId="4EE5CBDA">
                      <w:pPr>
                        <w:spacing w:line="360" w:lineRule="auto"/>
                        <w:jc w:val="center"/>
                      </w:pPr>
                      <w:r>
                        <w:rPr>
                          <w:rFonts w:hint="eastAsia"/>
                        </w:rPr>
                        <w:t>（反面）</w:t>
                      </w:r>
                    </w:p>
                    <w:p w14:paraId="60CA4335"/>
                  </w:txbxContent>
                </v:textbox>
              </v:rect>
            </w:pict>
          </mc:Fallback>
        </mc:AlternateContent>
      </w:r>
      <w:bookmarkEnd w:id="163"/>
    </w:p>
    <w:p w14:paraId="7C0965CC">
      <w:pPr>
        <w:spacing w:line="360" w:lineRule="auto"/>
        <w:ind w:firstLine="420" w:firstLineChars="200"/>
        <w:rPr>
          <w:rFonts w:asciiTheme="minorEastAsia" w:hAnsiTheme="minorEastAsia"/>
          <w:szCs w:val="21"/>
        </w:rPr>
      </w:pPr>
    </w:p>
    <w:p w14:paraId="0F933202">
      <w:pPr>
        <w:spacing w:line="360" w:lineRule="auto"/>
        <w:ind w:firstLine="420" w:firstLineChars="200"/>
        <w:rPr>
          <w:rFonts w:asciiTheme="minorEastAsia" w:hAnsiTheme="minorEastAsia"/>
          <w:szCs w:val="21"/>
        </w:rPr>
      </w:pPr>
    </w:p>
    <w:p w14:paraId="1CF2239C">
      <w:pPr>
        <w:spacing w:line="360" w:lineRule="auto"/>
        <w:ind w:firstLine="420" w:firstLineChars="200"/>
        <w:rPr>
          <w:rFonts w:asciiTheme="minorEastAsia" w:hAnsiTheme="minorEastAsia"/>
          <w:szCs w:val="21"/>
        </w:rPr>
      </w:pPr>
    </w:p>
    <w:p w14:paraId="104CE9F2">
      <w:pPr>
        <w:spacing w:line="360" w:lineRule="auto"/>
        <w:ind w:firstLine="420" w:firstLineChars="200"/>
        <w:rPr>
          <w:rFonts w:asciiTheme="minorEastAsia" w:hAnsiTheme="minorEastAsia"/>
          <w:szCs w:val="21"/>
        </w:rPr>
      </w:pPr>
    </w:p>
    <w:p w14:paraId="71B7AD52">
      <w:pPr>
        <w:tabs>
          <w:tab w:val="left" w:pos="5115"/>
        </w:tabs>
        <w:spacing w:line="360" w:lineRule="auto"/>
        <w:ind w:firstLine="420" w:firstLineChars="200"/>
        <w:rPr>
          <w:rFonts w:asciiTheme="minorEastAsia" w:hAnsiTheme="minorEastAsia"/>
          <w:szCs w:val="21"/>
        </w:rPr>
      </w:pPr>
      <w:r>
        <w:rPr>
          <w:rFonts w:asciiTheme="minorEastAsia" w:hAnsiTheme="minorEastAsia"/>
          <w:szCs w:val="21"/>
        </w:rPr>
        <w:tab/>
      </w:r>
    </w:p>
    <w:p w14:paraId="2E811CC6">
      <w:pPr>
        <w:spacing w:line="360" w:lineRule="auto"/>
        <w:ind w:firstLine="420" w:firstLineChars="200"/>
        <w:rPr>
          <w:rFonts w:asciiTheme="minorEastAsia" w:hAnsiTheme="minorEastAsia"/>
          <w:szCs w:val="21"/>
        </w:rPr>
      </w:pPr>
    </w:p>
    <w:p w14:paraId="2A39A6AE">
      <w:pPr>
        <w:adjustRightInd w:val="0"/>
        <w:snapToGrid w:val="0"/>
        <w:spacing w:line="360" w:lineRule="auto"/>
        <w:ind w:firstLine="422" w:firstLineChars="200"/>
        <w:rPr>
          <w:rFonts w:asciiTheme="minorEastAsia" w:hAnsiTheme="minorEastAsia"/>
          <w:b/>
          <w:snapToGrid w:val="0"/>
          <w:kern w:val="0"/>
          <w:szCs w:val="21"/>
        </w:rPr>
      </w:pPr>
    </w:p>
    <w:p w14:paraId="00BC3762">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4FA559BB">
      <w:pPr>
        <w:spacing w:line="360" w:lineRule="auto"/>
        <w:ind w:firstLine="420" w:firstLineChars="200"/>
        <w:rPr>
          <w:rFonts w:asciiTheme="minorEastAsia" w:hAnsiTheme="minorEastAsia"/>
          <w:szCs w:val="21"/>
        </w:rPr>
      </w:pPr>
      <w:r>
        <w:rPr>
          <w:rFonts w:hint="eastAsia" w:asciiTheme="minorEastAsia" w:hAnsiTheme="minorEastAsia"/>
          <w:szCs w:val="21"/>
        </w:rPr>
        <w:t>附件</w:t>
      </w:r>
      <w:r>
        <w:rPr>
          <w:rFonts w:asciiTheme="minorEastAsia" w:hAnsiTheme="minorEastAsia"/>
          <w:szCs w:val="21"/>
        </w:rPr>
        <w:t>8</w:t>
      </w:r>
      <w:r>
        <w:rPr>
          <w:rFonts w:hint="eastAsia" w:asciiTheme="minorEastAsia" w:hAnsiTheme="minorEastAsia"/>
          <w:szCs w:val="21"/>
        </w:rPr>
        <w:t>：项目实施方案格式</w:t>
      </w:r>
      <w:bookmarkEnd w:id="162"/>
      <w:r>
        <w:rPr>
          <w:rFonts w:hint="eastAsia" w:asciiTheme="minorEastAsia" w:hAnsiTheme="minorEastAsia"/>
          <w:szCs w:val="21"/>
        </w:rPr>
        <w:t>（如有）</w:t>
      </w:r>
    </w:p>
    <w:p w14:paraId="15703E71">
      <w:pPr>
        <w:keepNext/>
        <w:keepLines/>
        <w:spacing w:before="160" w:after="170"/>
        <w:ind w:firstLine="602" w:firstLineChars="200"/>
        <w:jc w:val="center"/>
        <w:outlineLvl w:val="4"/>
        <w:rPr>
          <w:b/>
          <w:bCs/>
          <w:sz w:val="30"/>
          <w:szCs w:val="28"/>
        </w:rPr>
      </w:pPr>
      <w:bookmarkStart w:id="164" w:name="_Toc55548547"/>
      <w:r>
        <w:rPr>
          <w:rFonts w:hint="eastAsia"/>
          <w:b/>
          <w:bCs/>
          <w:sz w:val="30"/>
          <w:szCs w:val="28"/>
        </w:rPr>
        <w:t>项目实施方案</w:t>
      </w:r>
      <w:bookmarkEnd w:id="164"/>
    </w:p>
    <w:p w14:paraId="0E183C63">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52D15271">
      <w:pPr>
        <w:spacing w:line="360" w:lineRule="auto"/>
        <w:ind w:firstLine="420" w:firstLineChars="200"/>
        <w:rPr>
          <w:rFonts w:asciiTheme="minorEastAsia" w:hAnsiTheme="minorEastAsia"/>
          <w:szCs w:val="21"/>
        </w:rPr>
      </w:pPr>
      <w:r>
        <w:rPr>
          <w:rFonts w:hint="eastAsia" w:asciiTheme="minorEastAsia" w:hAnsiTheme="minorEastAsia"/>
          <w:szCs w:val="21"/>
        </w:rPr>
        <w:t>1、项目实施方案、实施进度表</w:t>
      </w:r>
    </w:p>
    <w:p w14:paraId="4354A6E5">
      <w:pPr>
        <w:spacing w:line="360" w:lineRule="auto"/>
        <w:ind w:firstLine="420" w:firstLineChars="200"/>
        <w:rPr>
          <w:rFonts w:asciiTheme="minorEastAsia" w:hAnsiTheme="minorEastAsia"/>
          <w:szCs w:val="21"/>
        </w:rPr>
      </w:pPr>
      <w:r>
        <w:rPr>
          <w:rFonts w:hint="eastAsia" w:asciiTheme="minorEastAsia" w:hAnsiTheme="minorEastAsia"/>
          <w:szCs w:val="21"/>
        </w:rPr>
        <w:t>2、相关配套措施</w:t>
      </w:r>
    </w:p>
    <w:p w14:paraId="219383F9">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（备注：该部分须与“技术保障措施”、“施工安全保障措施”、“商务需求”等部分承诺的内容相呼应，不得前后矛盾。）</w:t>
      </w:r>
    </w:p>
    <w:p w14:paraId="333AA6B3">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65" w:name="_Toc3861"/>
      <w:r>
        <w:rPr>
          <w:rFonts w:hint="eastAsia" w:asciiTheme="minorEastAsia" w:hAnsiTheme="minorEastAsia"/>
          <w:szCs w:val="21"/>
        </w:rPr>
        <w:t>附件</w:t>
      </w:r>
      <w:r>
        <w:rPr>
          <w:rFonts w:asciiTheme="minorEastAsia" w:hAnsiTheme="minorEastAsia"/>
          <w:szCs w:val="21"/>
        </w:rPr>
        <w:t>9</w:t>
      </w:r>
      <w:r>
        <w:rPr>
          <w:rFonts w:hint="eastAsia" w:asciiTheme="minorEastAsia" w:hAnsiTheme="minorEastAsia"/>
          <w:szCs w:val="21"/>
        </w:rPr>
        <w:t>：售后服务方案格式</w:t>
      </w:r>
      <w:bookmarkEnd w:id="165"/>
      <w:r>
        <w:rPr>
          <w:rFonts w:hint="eastAsia" w:asciiTheme="minorEastAsia" w:hAnsiTheme="minorEastAsia"/>
          <w:szCs w:val="21"/>
        </w:rPr>
        <w:t>（如有）</w:t>
      </w:r>
    </w:p>
    <w:p w14:paraId="6C19E031">
      <w:pPr>
        <w:keepNext/>
        <w:keepLines/>
        <w:spacing w:before="160" w:after="170"/>
        <w:ind w:firstLine="602" w:firstLineChars="200"/>
        <w:jc w:val="center"/>
        <w:outlineLvl w:val="4"/>
        <w:rPr>
          <w:b/>
          <w:bCs/>
          <w:sz w:val="30"/>
          <w:szCs w:val="28"/>
        </w:rPr>
      </w:pPr>
      <w:bookmarkStart w:id="166" w:name="_Toc55548548"/>
      <w:r>
        <w:rPr>
          <w:rFonts w:hint="eastAsia"/>
          <w:b/>
          <w:bCs/>
          <w:sz w:val="30"/>
          <w:szCs w:val="28"/>
        </w:rPr>
        <w:t>售后服务方案</w:t>
      </w:r>
      <w:bookmarkEnd w:id="166"/>
    </w:p>
    <w:p w14:paraId="37BA965C">
      <w:pPr>
        <w:spacing w:line="360" w:lineRule="auto"/>
        <w:ind w:firstLine="420" w:firstLineChars="200"/>
        <w:rPr>
          <w:rFonts w:asciiTheme="minorEastAsia" w:hAnsiTheme="minorEastAsia"/>
          <w:szCs w:val="21"/>
        </w:rPr>
      </w:pPr>
      <w:r>
        <w:rPr>
          <w:rFonts w:hint="eastAsia" w:asciiTheme="minorEastAsia" w:hAnsiTheme="minorEastAsia"/>
          <w:szCs w:val="21"/>
        </w:rPr>
        <w:t>主要内容应包括(根据项目实际情况适当调整内容)：</w:t>
      </w:r>
    </w:p>
    <w:p w14:paraId="0C272A41">
      <w:pPr>
        <w:spacing w:line="360" w:lineRule="auto"/>
        <w:ind w:firstLine="420" w:firstLineChars="200"/>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、免费保修期；</w:t>
      </w:r>
    </w:p>
    <w:p w14:paraId="558CC97E">
      <w:pPr>
        <w:spacing w:line="360" w:lineRule="auto"/>
        <w:ind w:firstLine="420" w:firstLineChars="200"/>
        <w:rPr>
          <w:rFonts w:asciiTheme="minorEastAsia" w:hAnsiTheme="minorEastAsia"/>
          <w:szCs w:val="21"/>
        </w:rPr>
      </w:pPr>
      <w:r>
        <w:rPr>
          <w:rFonts w:asciiTheme="minorEastAsia" w:hAnsiTheme="minorEastAsia"/>
          <w:szCs w:val="21"/>
        </w:rPr>
        <w:t>2</w:t>
      </w:r>
      <w:r>
        <w:rPr>
          <w:rFonts w:hint="eastAsia" w:asciiTheme="minorEastAsia" w:hAnsiTheme="minorEastAsia"/>
          <w:szCs w:val="21"/>
        </w:rPr>
        <w:t>、故障或技术支持响应时间；</w:t>
      </w:r>
    </w:p>
    <w:p w14:paraId="151AC45D">
      <w:pPr>
        <w:spacing w:line="360" w:lineRule="auto"/>
        <w:ind w:firstLine="420" w:firstLineChars="200"/>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、投标人承诺的其他维修维护方案、措施</w:t>
      </w:r>
    </w:p>
    <w:p w14:paraId="3EEBD23E">
      <w:pPr>
        <w:spacing w:line="360" w:lineRule="auto"/>
        <w:ind w:firstLine="420" w:firstLineChars="200"/>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、质量保证及违约承诺。</w:t>
      </w:r>
    </w:p>
    <w:p w14:paraId="77ED5FAC">
      <w:pPr>
        <w:spacing w:line="360" w:lineRule="auto"/>
        <w:ind w:firstLine="420" w:firstLineChars="200"/>
        <w:rPr>
          <w:rFonts w:asciiTheme="minorEastAsia" w:hAnsiTheme="minorEastAsia"/>
          <w:szCs w:val="21"/>
        </w:rPr>
      </w:pPr>
      <w:r>
        <w:rPr>
          <w:rFonts w:hint="eastAsia" w:asciiTheme="minorEastAsia" w:hAnsiTheme="minorEastAsia"/>
          <w:szCs w:val="21"/>
        </w:rPr>
        <w:t>（备注：该部分须与“商务需求”承诺的内容相呼应，不得前后矛盾。）</w:t>
      </w:r>
    </w:p>
    <w:p w14:paraId="687C50CE">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67" w:name="_Toc29995"/>
      <w:r>
        <w:rPr>
          <w:rFonts w:hint="eastAsia" w:asciiTheme="minorEastAsia" w:hAnsiTheme="minorEastAsia"/>
          <w:szCs w:val="21"/>
        </w:rPr>
        <w:t>附件</w:t>
      </w:r>
      <w:r>
        <w:rPr>
          <w:rFonts w:asciiTheme="minorEastAsia" w:hAnsiTheme="minorEastAsia"/>
          <w:szCs w:val="21"/>
        </w:rPr>
        <w:t>10</w:t>
      </w:r>
      <w:r>
        <w:rPr>
          <w:rFonts w:hint="eastAsia" w:asciiTheme="minorEastAsia" w:hAnsiTheme="minorEastAsia"/>
          <w:szCs w:val="21"/>
        </w:rPr>
        <w:t>：中小企业声明函</w:t>
      </w:r>
      <w:bookmarkEnd w:id="167"/>
      <w:r>
        <w:rPr>
          <w:rFonts w:hint="eastAsia" w:asciiTheme="minorEastAsia" w:hAnsiTheme="minorEastAsia"/>
          <w:szCs w:val="21"/>
        </w:rPr>
        <w:t>（如有）</w:t>
      </w:r>
    </w:p>
    <w:p w14:paraId="0434CA7A">
      <w:pPr>
        <w:keepNext/>
        <w:keepLines/>
        <w:spacing w:before="160" w:after="170"/>
        <w:ind w:firstLine="602" w:firstLineChars="200"/>
        <w:jc w:val="center"/>
        <w:outlineLvl w:val="4"/>
        <w:rPr>
          <w:b/>
          <w:bCs/>
          <w:sz w:val="30"/>
          <w:szCs w:val="28"/>
        </w:rPr>
      </w:pPr>
      <w:bookmarkStart w:id="168" w:name="_Toc55548549"/>
      <w:r>
        <w:rPr>
          <w:rFonts w:hint="eastAsia"/>
          <w:b/>
          <w:bCs/>
          <w:sz w:val="30"/>
          <w:szCs w:val="28"/>
        </w:rPr>
        <w:t>中小企业声明函</w:t>
      </w:r>
      <w:bookmarkEnd w:id="168"/>
    </w:p>
    <w:p w14:paraId="7848636A">
      <w:pPr>
        <w:spacing w:line="360" w:lineRule="auto"/>
        <w:ind w:firstLine="420" w:firstLineChars="200"/>
        <w:rPr>
          <w:rFonts w:asciiTheme="minorEastAsia" w:hAnsiTheme="minorEastAsia"/>
          <w:szCs w:val="21"/>
        </w:rPr>
      </w:pPr>
      <w:r>
        <w:rPr>
          <w:rFonts w:asciiTheme="minorEastAsia" w:hAnsiTheme="minorEastAsia"/>
          <w:szCs w:val="21"/>
        </w:rPr>
        <w:t>本公司郑重声明，根据《政府采购促进中小企业发展暂行办法》（财库[2011]181号）的规定，本公司为______（请填写：中型、小型、微型）企业。即，本公司同时满足以下条件：</w:t>
      </w:r>
    </w:p>
    <w:p w14:paraId="0C1AC316">
      <w:pPr>
        <w:spacing w:line="360" w:lineRule="auto"/>
        <w:ind w:firstLine="420" w:firstLineChars="200"/>
        <w:rPr>
          <w:rFonts w:asciiTheme="minorEastAsia" w:hAnsiTheme="minorEastAsia"/>
          <w:szCs w:val="21"/>
        </w:rPr>
      </w:pPr>
    </w:p>
    <w:p w14:paraId="79BAD3EB">
      <w:pPr>
        <w:spacing w:line="360" w:lineRule="auto"/>
        <w:ind w:firstLine="420" w:firstLineChars="200"/>
        <w:rPr>
          <w:rFonts w:asciiTheme="minorEastAsia" w:hAnsiTheme="minorEastAsia"/>
          <w:szCs w:val="21"/>
        </w:rPr>
      </w:pPr>
      <w:r>
        <w:rPr>
          <w:rFonts w:asciiTheme="minorEastAsia" w:hAnsiTheme="minorEastAsia"/>
          <w:szCs w:val="21"/>
        </w:rPr>
        <w:t>1.根据《工业和信息化部、国家统计局、国家发展和改革委员会、财政部关于印发中小企业划型标准规定的通知》（工信部联企业[2011]300号）规定的划分标准，本公司为______（请填写：中型、小型、微型）企业。</w:t>
      </w:r>
    </w:p>
    <w:p w14:paraId="0F60CFAA">
      <w:pPr>
        <w:spacing w:line="360" w:lineRule="auto"/>
        <w:ind w:firstLine="420" w:firstLineChars="200"/>
        <w:rPr>
          <w:rFonts w:asciiTheme="minorEastAsia" w:hAnsiTheme="minorEastAsia"/>
          <w:szCs w:val="21"/>
        </w:rPr>
      </w:pPr>
      <w:r>
        <w:rPr>
          <w:rFonts w:asciiTheme="minorEastAsia" w:hAnsiTheme="minorEastAsia"/>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100B78D0">
      <w:pPr>
        <w:spacing w:line="360" w:lineRule="auto"/>
        <w:ind w:firstLine="420" w:firstLineChars="200"/>
        <w:rPr>
          <w:rFonts w:asciiTheme="minorEastAsia" w:hAnsiTheme="minorEastAsia"/>
          <w:szCs w:val="21"/>
        </w:rPr>
      </w:pPr>
      <w:r>
        <w:rPr>
          <w:rFonts w:asciiTheme="minorEastAsia" w:hAnsiTheme="minorEastAsia"/>
          <w:szCs w:val="21"/>
        </w:rPr>
        <w:t>本公司对上述声明的真实性负责。如有虚假，将依法承担相应责任。</w:t>
      </w:r>
    </w:p>
    <w:p w14:paraId="2326850D">
      <w:pPr>
        <w:spacing w:line="360" w:lineRule="auto"/>
        <w:ind w:firstLine="420" w:firstLineChars="200"/>
        <w:rPr>
          <w:rFonts w:asciiTheme="minorEastAsia" w:hAnsiTheme="minorEastAsia"/>
          <w:szCs w:val="21"/>
        </w:rPr>
      </w:pPr>
    </w:p>
    <w:p w14:paraId="17CB1420">
      <w:pPr>
        <w:spacing w:line="360" w:lineRule="auto"/>
        <w:ind w:firstLine="420" w:firstLineChars="200"/>
        <w:rPr>
          <w:rFonts w:asciiTheme="minorEastAsia" w:hAnsiTheme="minorEastAsia"/>
          <w:szCs w:val="21"/>
        </w:rPr>
      </w:pPr>
    </w:p>
    <w:p w14:paraId="64CFBF47">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10E9F4B7">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7A5DD5DC">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7CE260C3">
      <w:pPr>
        <w:spacing w:line="360" w:lineRule="auto"/>
        <w:ind w:firstLine="420" w:firstLineChars="200"/>
        <w:rPr>
          <w:rFonts w:asciiTheme="minorEastAsia" w:hAnsiTheme="minorEastAsia"/>
          <w:szCs w:val="21"/>
        </w:rPr>
      </w:pPr>
    </w:p>
    <w:p w14:paraId="13A7252F">
      <w:pPr>
        <w:spacing w:line="360" w:lineRule="auto"/>
        <w:ind w:firstLine="420" w:firstLineChars="200"/>
        <w:rPr>
          <w:rFonts w:asciiTheme="minorEastAsia" w:hAnsiTheme="minorEastAsia"/>
          <w:szCs w:val="21"/>
        </w:rPr>
      </w:pPr>
      <w:r>
        <w:rPr>
          <w:rFonts w:hint="eastAsia" w:asciiTheme="minorEastAsia" w:hAnsiTheme="minorEastAsia"/>
          <w:szCs w:val="21"/>
        </w:rPr>
        <w:t>备注：填写前请认真阅读《工业和信息化部、国家统计局、国家发展和改革委员会、财政部关于印发中小企业划型标准规定的通知》(工信部联企业〔2011〕300号)和《财政部、工业和信息化部关于印发政府采购促进中小企业发展暂行办法的通知》(财库〔2011〕181号)相关规定。如不符合前述相关规定所确定的小型和微型企业，则不需要在投标文件中提供本《中小企业声明函》；若符合前述相关规定所确定的小型和微型企业，在投标文件中没有提供本《中小企业声明函》，视为在本项目中放弃政府采购政策扶持，不进行价格扣除。</w:t>
      </w:r>
    </w:p>
    <w:p w14:paraId="0E4A37CC">
      <w:pPr>
        <w:spacing w:line="360" w:lineRule="auto"/>
        <w:ind w:firstLine="420" w:firstLineChars="200"/>
        <w:rPr>
          <w:rFonts w:asciiTheme="minorEastAsia" w:hAnsiTheme="minorEastAsia"/>
          <w:szCs w:val="21"/>
        </w:rPr>
      </w:pPr>
      <w:r>
        <w:rPr>
          <w:rFonts w:asciiTheme="minorEastAsia" w:hAnsiTheme="minorEastAsia"/>
          <w:szCs w:val="21"/>
        </w:rPr>
        <w:br w:type="page"/>
      </w:r>
      <w:bookmarkStart w:id="169" w:name="_Toc51086642"/>
      <w:bookmarkStart w:id="170" w:name="_Toc52129207"/>
      <w:bookmarkStart w:id="171" w:name="_Toc51682373"/>
      <w:bookmarkStart w:id="172" w:name="_Toc21677"/>
      <w:bookmarkStart w:id="173" w:name="_Toc51255734"/>
      <w:r>
        <w:rPr>
          <w:rFonts w:hint="eastAsia" w:asciiTheme="minorEastAsia" w:hAnsiTheme="minorEastAsia"/>
          <w:szCs w:val="21"/>
        </w:rPr>
        <w:t>附件</w:t>
      </w:r>
      <w:r>
        <w:rPr>
          <w:rFonts w:asciiTheme="minorEastAsia" w:hAnsiTheme="minorEastAsia"/>
          <w:szCs w:val="21"/>
        </w:rPr>
        <w:t>11</w:t>
      </w:r>
      <w:r>
        <w:rPr>
          <w:rFonts w:hint="eastAsia" w:asciiTheme="minorEastAsia" w:hAnsiTheme="minorEastAsia"/>
          <w:szCs w:val="21"/>
        </w:rPr>
        <w:t>：监狱企业证明函</w:t>
      </w:r>
      <w:bookmarkEnd w:id="169"/>
      <w:bookmarkEnd w:id="170"/>
      <w:bookmarkEnd w:id="171"/>
      <w:bookmarkEnd w:id="172"/>
      <w:bookmarkEnd w:id="173"/>
      <w:r>
        <w:rPr>
          <w:rFonts w:hint="eastAsia" w:asciiTheme="minorEastAsia" w:hAnsiTheme="minorEastAsia"/>
          <w:szCs w:val="21"/>
        </w:rPr>
        <w:t>（如有）</w:t>
      </w:r>
    </w:p>
    <w:p w14:paraId="504B37AB">
      <w:pPr>
        <w:keepNext/>
        <w:keepLines/>
        <w:spacing w:before="160" w:after="170"/>
        <w:ind w:firstLine="602" w:firstLineChars="200"/>
        <w:jc w:val="center"/>
        <w:outlineLvl w:val="4"/>
        <w:rPr>
          <w:b/>
          <w:bCs/>
          <w:sz w:val="30"/>
          <w:szCs w:val="28"/>
        </w:rPr>
      </w:pPr>
      <w:bookmarkStart w:id="174" w:name="_Toc55548550"/>
      <w:r>
        <w:rPr>
          <w:rFonts w:hint="eastAsia"/>
          <w:b/>
          <w:bCs/>
          <w:sz w:val="30"/>
          <w:szCs w:val="28"/>
        </w:rPr>
        <w:t>监狱企业证明函</w:t>
      </w:r>
      <w:bookmarkEnd w:id="174"/>
    </w:p>
    <w:p w14:paraId="70A37B8D">
      <w:pPr>
        <w:spacing w:line="360" w:lineRule="auto"/>
        <w:ind w:firstLine="420" w:firstLineChars="200"/>
        <w:rPr>
          <w:rFonts w:asciiTheme="minorEastAsia" w:hAnsiTheme="minorEastAsia"/>
          <w:szCs w:val="21"/>
        </w:rPr>
      </w:pPr>
      <w:r>
        <w:rPr>
          <w:rFonts w:hint="eastAsia" w:asciiTheme="minorEastAsia" w:hAnsiTheme="minorEastAsia"/>
          <w:szCs w:val="21"/>
        </w:rPr>
        <w:t>根据《财政部 司法部关于政府采购支持监狱企业发展有关问题的通知》（财库[2014]68号）的规定，（填写供应商法定全称）为监狱企业。</w:t>
      </w:r>
    </w:p>
    <w:p w14:paraId="4AC7C7A8">
      <w:pPr>
        <w:spacing w:line="360" w:lineRule="auto"/>
        <w:ind w:firstLine="420" w:firstLineChars="200"/>
        <w:rPr>
          <w:rFonts w:asciiTheme="minorEastAsia" w:hAnsiTheme="minorEastAsia"/>
          <w:szCs w:val="21"/>
        </w:rPr>
      </w:pPr>
      <w:r>
        <w:rPr>
          <w:rFonts w:hint="eastAsia" w:asciiTheme="minorEastAsia" w:hAnsiTheme="minorEastAsia"/>
          <w:szCs w:val="21"/>
        </w:rPr>
        <w:t>特此证明。</w:t>
      </w:r>
    </w:p>
    <w:p w14:paraId="6D43668C">
      <w:pPr>
        <w:spacing w:line="360" w:lineRule="auto"/>
        <w:ind w:firstLine="420" w:firstLineChars="200"/>
        <w:rPr>
          <w:rFonts w:asciiTheme="minorEastAsia" w:hAnsiTheme="minorEastAsia"/>
          <w:szCs w:val="21"/>
        </w:rPr>
      </w:pPr>
    </w:p>
    <w:p w14:paraId="4DC205FD">
      <w:pPr>
        <w:spacing w:line="360" w:lineRule="auto"/>
        <w:ind w:firstLine="420" w:firstLineChars="200"/>
        <w:rPr>
          <w:rFonts w:asciiTheme="minorEastAsia" w:hAnsiTheme="minorEastAsia"/>
          <w:szCs w:val="21"/>
        </w:rPr>
      </w:pPr>
    </w:p>
    <w:p w14:paraId="276CA1F0">
      <w:pPr>
        <w:spacing w:line="360" w:lineRule="auto"/>
        <w:ind w:firstLine="420" w:firstLineChars="200"/>
        <w:rPr>
          <w:rFonts w:asciiTheme="minorEastAsia" w:hAnsiTheme="minorEastAsia"/>
          <w:b/>
          <w:bCs/>
          <w:szCs w:val="21"/>
        </w:rPr>
      </w:pPr>
      <w:r>
        <w:rPr>
          <w:rFonts w:hint="eastAsia" w:asciiTheme="minorEastAsia" w:hAnsiTheme="minorEastAsia"/>
          <w:szCs w:val="21"/>
        </w:rPr>
        <w:t>省级以上监狱管理局、戒毒管理局（含新疆生产建设兵团）（盖章）：</w:t>
      </w:r>
      <w:r>
        <w:rPr>
          <w:rFonts w:asciiTheme="minorEastAsia" w:hAnsiTheme="minorEastAsia"/>
          <w:b/>
          <w:bCs/>
          <w:szCs w:val="21"/>
        </w:rPr>
        <w:br w:type="page"/>
      </w:r>
    </w:p>
    <w:p w14:paraId="0D8D44AA">
      <w:pPr>
        <w:spacing w:line="360" w:lineRule="auto"/>
        <w:ind w:firstLine="420" w:firstLineChars="200"/>
        <w:rPr>
          <w:rFonts w:asciiTheme="minorEastAsia" w:hAnsiTheme="minorEastAsia"/>
          <w:szCs w:val="21"/>
        </w:rPr>
      </w:pPr>
      <w:bookmarkStart w:id="175" w:name="_Toc51682374"/>
      <w:bookmarkStart w:id="176" w:name="_Toc51255735"/>
      <w:bookmarkStart w:id="177" w:name="_Toc51086643"/>
      <w:bookmarkStart w:id="178" w:name="_Toc18139"/>
      <w:bookmarkStart w:id="179" w:name="_Toc52129208"/>
      <w:r>
        <w:rPr>
          <w:rFonts w:hint="eastAsia" w:asciiTheme="minorEastAsia" w:hAnsiTheme="minorEastAsia"/>
          <w:szCs w:val="21"/>
        </w:rPr>
        <w:t>附件</w:t>
      </w:r>
      <w:r>
        <w:rPr>
          <w:rFonts w:asciiTheme="minorEastAsia" w:hAnsiTheme="minorEastAsia"/>
          <w:szCs w:val="21"/>
        </w:rPr>
        <w:t>12</w:t>
      </w:r>
      <w:r>
        <w:rPr>
          <w:rFonts w:hint="eastAsia" w:asciiTheme="minorEastAsia" w:hAnsiTheme="minorEastAsia"/>
          <w:szCs w:val="21"/>
        </w:rPr>
        <w:t>：残疾人福利性单位声明函</w:t>
      </w:r>
      <w:bookmarkEnd w:id="175"/>
      <w:bookmarkEnd w:id="176"/>
      <w:bookmarkEnd w:id="177"/>
      <w:bookmarkEnd w:id="178"/>
      <w:bookmarkEnd w:id="179"/>
      <w:r>
        <w:rPr>
          <w:rFonts w:hint="eastAsia" w:asciiTheme="minorEastAsia" w:hAnsiTheme="minorEastAsia"/>
          <w:szCs w:val="21"/>
        </w:rPr>
        <w:t>（如有）</w:t>
      </w:r>
    </w:p>
    <w:p w14:paraId="7F8FE461">
      <w:pPr>
        <w:keepNext/>
        <w:keepLines/>
        <w:spacing w:before="160" w:after="170"/>
        <w:ind w:firstLine="602" w:firstLineChars="200"/>
        <w:jc w:val="center"/>
        <w:outlineLvl w:val="4"/>
        <w:rPr>
          <w:b/>
          <w:bCs/>
          <w:sz w:val="30"/>
          <w:szCs w:val="28"/>
        </w:rPr>
      </w:pPr>
      <w:bookmarkStart w:id="180" w:name="_Toc55548551"/>
      <w:r>
        <w:rPr>
          <w:rFonts w:hint="eastAsia"/>
          <w:b/>
          <w:bCs/>
          <w:sz w:val="30"/>
          <w:szCs w:val="28"/>
        </w:rPr>
        <w:t>残疾人福利性单位声明函</w:t>
      </w:r>
      <w:bookmarkEnd w:id="180"/>
    </w:p>
    <w:p w14:paraId="4E394709">
      <w:pPr>
        <w:spacing w:line="360" w:lineRule="auto"/>
        <w:ind w:firstLine="420" w:firstLineChars="200"/>
        <w:rPr>
          <w:rFonts w:asciiTheme="minorEastAsia" w:hAnsiTheme="minorEastAsia"/>
          <w:szCs w:val="21"/>
        </w:rPr>
      </w:pPr>
      <w:r>
        <w:rPr>
          <w:rFonts w:hint="eastAsia" w:asciiTheme="minorEastAsia" w:hAnsiTheme="minor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671065">
      <w:pPr>
        <w:spacing w:line="360" w:lineRule="auto"/>
        <w:ind w:firstLine="420" w:firstLineChars="200"/>
        <w:rPr>
          <w:rFonts w:asciiTheme="minorEastAsia" w:hAnsiTheme="minorEastAsia"/>
          <w:szCs w:val="21"/>
        </w:rPr>
      </w:pPr>
      <w:r>
        <w:rPr>
          <w:rFonts w:hint="eastAsia" w:asciiTheme="minorEastAsia" w:hAnsiTheme="minorEastAsia"/>
          <w:szCs w:val="21"/>
        </w:rPr>
        <w:t>本单位对上述声明的真实性负责。如有虚假，将依法承担相应责任。</w:t>
      </w:r>
    </w:p>
    <w:p w14:paraId="3AECAA4A">
      <w:pPr>
        <w:spacing w:line="360" w:lineRule="auto"/>
        <w:ind w:firstLine="420" w:firstLineChars="200"/>
        <w:rPr>
          <w:rFonts w:asciiTheme="minorEastAsia" w:hAnsiTheme="minorEastAsia"/>
          <w:szCs w:val="21"/>
        </w:rPr>
      </w:pPr>
    </w:p>
    <w:p w14:paraId="244DAA2F">
      <w:pPr>
        <w:spacing w:line="360" w:lineRule="auto"/>
        <w:ind w:firstLine="420" w:firstLineChars="200"/>
        <w:rPr>
          <w:rFonts w:asciiTheme="minorEastAsia" w:hAnsiTheme="minorEastAsia"/>
          <w:szCs w:val="21"/>
        </w:rPr>
      </w:pPr>
    </w:p>
    <w:p w14:paraId="5286839F">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投标供应商：</w:t>
      </w:r>
    </w:p>
    <w:p w14:paraId="0D744D98">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法人或授权代表：</w:t>
      </w:r>
    </w:p>
    <w:p w14:paraId="41D18A19">
      <w:pPr>
        <w:spacing w:line="360" w:lineRule="auto"/>
        <w:ind w:firstLine="420" w:firstLineChars="200"/>
        <w:rPr>
          <w:rFonts w:asciiTheme="minorEastAsia" w:hAnsiTheme="minorEastAsia"/>
          <w:color w:val="000000"/>
          <w:szCs w:val="21"/>
        </w:rPr>
      </w:pPr>
      <w:r>
        <w:rPr>
          <w:rFonts w:hint="eastAsia" w:asciiTheme="minorEastAsia" w:hAnsiTheme="minorEastAsia"/>
          <w:color w:val="000000"/>
          <w:szCs w:val="21"/>
        </w:rPr>
        <w:t>日期：</w:t>
      </w:r>
    </w:p>
    <w:p w14:paraId="1EABBEAB">
      <w:pPr>
        <w:spacing w:line="360" w:lineRule="auto"/>
        <w:ind w:firstLine="420" w:firstLineChars="200"/>
        <w:rPr>
          <w:rFonts w:asciiTheme="minorEastAsia" w:hAnsiTheme="minorEastAsia"/>
          <w:szCs w:val="21"/>
        </w:rPr>
        <w:sectPr>
          <w:pgSz w:w="11906" w:h="16838"/>
          <w:pgMar w:top="1440" w:right="1080" w:bottom="1440" w:left="1080" w:header="851" w:footer="992" w:gutter="0"/>
          <w:cols w:space="720" w:num="1"/>
          <w:titlePg/>
          <w:docGrid w:type="lines" w:linePitch="312" w:charSpace="0"/>
        </w:sectPr>
      </w:pPr>
    </w:p>
    <w:p w14:paraId="3DBE7AF1">
      <w:pPr>
        <w:spacing w:line="360" w:lineRule="auto"/>
        <w:ind w:firstLine="420" w:firstLineChars="200"/>
        <w:rPr>
          <w:rFonts w:asciiTheme="minorEastAsia" w:hAnsiTheme="minorEastAsia"/>
          <w:szCs w:val="21"/>
        </w:rPr>
      </w:pPr>
      <w:bookmarkStart w:id="181" w:name="_Toc1254"/>
      <w:r>
        <w:rPr>
          <w:rFonts w:hint="eastAsia" w:asciiTheme="minorEastAsia" w:hAnsiTheme="minorEastAsia"/>
          <w:szCs w:val="21"/>
        </w:rPr>
        <w:t>附件</w:t>
      </w:r>
      <w:r>
        <w:rPr>
          <w:rFonts w:asciiTheme="minorEastAsia" w:hAnsiTheme="minorEastAsia"/>
          <w:szCs w:val="21"/>
        </w:rPr>
        <w:t>13</w:t>
      </w:r>
      <w:r>
        <w:rPr>
          <w:rFonts w:hint="eastAsia" w:asciiTheme="minorEastAsia" w:hAnsiTheme="minorEastAsia"/>
          <w:szCs w:val="21"/>
        </w:rPr>
        <w:t>：投标人需要加以说明的其他内容</w:t>
      </w:r>
      <w:bookmarkEnd w:id="181"/>
      <w:r>
        <w:rPr>
          <w:rFonts w:hint="eastAsia" w:asciiTheme="minorEastAsia" w:hAnsiTheme="minorEastAsia"/>
          <w:szCs w:val="21"/>
        </w:rPr>
        <w:t>（如有）</w:t>
      </w:r>
    </w:p>
    <w:p w14:paraId="4F7F3AB4">
      <w:pPr>
        <w:spacing w:line="360" w:lineRule="auto"/>
        <w:ind w:firstLine="420" w:firstLineChars="200"/>
        <w:rPr>
          <w:rFonts w:asciiTheme="minorEastAsia" w:hAnsiTheme="minorEastAsia"/>
          <w:szCs w:val="21"/>
        </w:rPr>
      </w:pPr>
    </w:p>
    <w:p w14:paraId="5EFBEC59">
      <w:pPr>
        <w:spacing w:line="360" w:lineRule="auto"/>
        <w:ind w:firstLine="422" w:firstLineChars="200"/>
        <w:rPr>
          <w:rFonts w:asciiTheme="minorEastAsia" w:hAnsiTheme="minorEastAsia"/>
          <w:b/>
          <w:bCs/>
          <w:szCs w:val="21"/>
        </w:rPr>
      </w:pPr>
      <w:r>
        <w:rPr>
          <w:rFonts w:hint="eastAsia" w:asciiTheme="minorEastAsia" w:hAnsiTheme="minorEastAsia"/>
          <w:b/>
          <w:bCs/>
          <w:szCs w:val="21"/>
        </w:rPr>
        <w:t>投标人认为需要加以说明的其他内容</w:t>
      </w:r>
    </w:p>
    <w:p w14:paraId="01A6EDD3">
      <w:pPr>
        <w:spacing w:line="360" w:lineRule="auto"/>
        <w:ind w:firstLine="420" w:firstLineChars="200"/>
        <w:rPr>
          <w:rFonts w:asciiTheme="minorEastAsia" w:hAnsiTheme="minorEastAsia"/>
          <w:szCs w:val="21"/>
        </w:rPr>
      </w:pPr>
      <w:r>
        <w:rPr>
          <w:rFonts w:hint="eastAsia" w:asciiTheme="minorEastAsia" w:hAnsiTheme="minorEastAsia"/>
          <w:szCs w:val="21"/>
        </w:rPr>
        <w:t>（格式自定）</w:t>
      </w:r>
    </w:p>
    <w:p w14:paraId="7BFE62CF">
      <w:pPr>
        <w:spacing w:line="360" w:lineRule="auto"/>
        <w:ind w:firstLine="420" w:firstLineChars="200"/>
      </w:pPr>
    </w:p>
    <w:p w14:paraId="69219104">
      <w:pPr>
        <w:spacing w:line="360" w:lineRule="auto"/>
        <w:ind w:firstLine="420" w:firstLineChars="200"/>
      </w:pPr>
    </w:p>
    <w:p w14:paraId="47C52889">
      <w:pPr>
        <w:spacing w:line="360" w:lineRule="auto"/>
        <w:ind w:firstLine="420" w:firstLineChars="200"/>
      </w:pPr>
    </w:p>
    <w:p w14:paraId="71B0E0B0">
      <w:pPr>
        <w:spacing w:line="360" w:lineRule="auto"/>
        <w:ind w:firstLine="420" w:firstLineChars="200"/>
      </w:pPr>
    </w:p>
    <w:p w14:paraId="29A8C6BC">
      <w:pPr>
        <w:spacing w:line="360" w:lineRule="auto"/>
        <w:ind w:firstLine="420" w:firstLineChars="200"/>
      </w:pPr>
    </w:p>
    <w:p w14:paraId="4ADCEB72">
      <w:pPr>
        <w:spacing w:line="360" w:lineRule="auto"/>
        <w:ind w:firstLine="420" w:firstLineChars="200"/>
      </w:pPr>
    </w:p>
    <w:p w14:paraId="18414364">
      <w:pPr>
        <w:spacing w:line="360" w:lineRule="auto"/>
        <w:ind w:firstLine="420" w:firstLineChars="200"/>
      </w:pPr>
    </w:p>
    <w:p w14:paraId="1AC3180A">
      <w:pPr>
        <w:spacing w:line="360" w:lineRule="auto"/>
        <w:ind w:firstLine="420" w:firstLineChars="200"/>
      </w:pPr>
    </w:p>
    <w:sectPr>
      <w:pgSz w:w="11906" w:h="16838"/>
      <w:pgMar w:top="1418" w:right="1474" w:bottom="141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1686772"/>
    </w:sdtPr>
    <w:sdtContent>
      <w:sdt>
        <w:sdtPr>
          <w:id w:val="1728636285"/>
        </w:sdtPr>
        <w:sdtContent>
          <w:p w14:paraId="01DEDD6A">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sdtContent>
      </w:sdt>
    </w:sdtContent>
  </w:sdt>
  <w:p w14:paraId="5DE0D70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69748">
    <w:pPr>
      <w:pStyle w:val="10"/>
    </w:pPr>
  </w:p>
  <w:p w14:paraId="2B167063">
    <w:pPr>
      <w:pStyle w:val="10"/>
      <w:jc w:val="right"/>
      <w:rPr>
        <w:sz w:val="21"/>
        <w:szCs w:val="21"/>
      </w:rPr>
    </w:pPr>
    <w:bookmarkStart w:id="182" w:name="_Hlk69568635"/>
    <w:bookmarkStart w:id="183" w:name="_Hlk69568634"/>
    <w:r>
      <w:rPr>
        <w:rFonts w:hint="eastAsia"/>
        <w:sz w:val="21"/>
        <w:szCs w:val="21"/>
      </w:rPr>
      <w:t>深圳市宝安区疾病预防控制中心招标文件</w:t>
    </w:r>
    <w:bookmarkEnd w:id="182"/>
    <w:bookmarkEnd w:id="18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035"/>
    <w:rsid w:val="0000394F"/>
    <w:rsid w:val="00007A13"/>
    <w:rsid w:val="0001637F"/>
    <w:rsid w:val="00016D41"/>
    <w:rsid w:val="00020F66"/>
    <w:rsid w:val="000236B7"/>
    <w:rsid w:val="00026541"/>
    <w:rsid w:val="000272A3"/>
    <w:rsid w:val="0003138A"/>
    <w:rsid w:val="0004025C"/>
    <w:rsid w:val="00046F21"/>
    <w:rsid w:val="00050084"/>
    <w:rsid w:val="000620DD"/>
    <w:rsid w:val="000627B7"/>
    <w:rsid w:val="00081A9E"/>
    <w:rsid w:val="00086C55"/>
    <w:rsid w:val="00092A23"/>
    <w:rsid w:val="000A013F"/>
    <w:rsid w:val="000A599B"/>
    <w:rsid w:val="000B2D75"/>
    <w:rsid w:val="000B3923"/>
    <w:rsid w:val="000C52E9"/>
    <w:rsid w:val="000C561C"/>
    <w:rsid w:val="000C62B0"/>
    <w:rsid w:val="000C6CE9"/>
    <w:rsid w:val="000D08A9"/>
    <w:rsid w:val="000D2EB8"/>
    <w:rsid w:val="000D2FD9"/>
    <w:rsid w:val="000D476C"/>
    <w:rsid w:val="000E5888"/>
    <w:rsid w:val="000F0F3D"/>
    <w:rsid w:val="000F22EF"/>
    <w:rsid w:val="000F2D0A"/>
    <w:rsid w:val="00100950"/>
    <w:rsid w:val="001043DC"/>
    <w:rsid w:val="00111B38"/>
    <w:rsid w:val="00112A97"/>
    <w:rsid w:val="00113156"/>
    <w:rsid w:val="00124761"/>
    <w:rsid w:val="00125C6A"/>
    <w:rsid w:val="0012743D"/>
    <w:rsid w:val="00127C7B"/>
    <w:rsid w:val="00130814"/>
    <w:rsid w:val="0013335C"/>
    <w:rsid w:val="00136300"/>
    <w:rsid w:val="001465AC"/>
    <w:rsid w:val="00146F48"/>
    <w:rsid w:val="0015271F"/>
    <w:rsid w:val="00154141"/>
    <w:rsid w:val="001624BB"/>
    <w:rsid w:val="00162B15"/>
    <w:rsid w:val="001633ED"/>
    <w:rsid w:val="00165B6A"/>
    <w:rsid w:val="001678F7"/>
    <w:rsid w:val="00170E6B"/>
    <w:rsid w:val="00171970"/>
    <w:rsid w:val="0017442F"/>
    <w:rsid w:val="001750E4"/>
    <w:rsid w:val="00180C24"/>
    <w:rsid w:val="001813DD"/>
    <w:rsid w:val="00183CCF"/>
    <w:rsid w:val="00184BFC"/>
    <w:rsid w:val="00187BC0"/>
    <w:rsid w:val="001905F7"/>
    <w:rsid w:val="001938DE"/>
    <w:rsid w:val="0019395A"/>
    <w:rsid w:val="00196D20"/>
    <w:rsid w:val="001A4CC2"/>
    <w:rsid w:val="001A5C2B"/>
    <w:rsid w:val="001A7960"/>
    <w:rsid w:val="001B287A"/>
    <w:rsid w:val="001C421C"/>
    <w:rsid w:val="001D1989"/>
    <w:rsid w:val="001D283D"/>
    <w:rsid w:val="001D5451"/>
    <w:rsid w:val="001E5120"/>
    <w:rsid w:val="001F5585"/>
    <w:rsid w:val="002023D7"/>
    <w:rsid w:val="00204EC0"/>
    <w:rsid w:val="00205A0F"/>
    <w:rsid w:val="002143B9"/>
    <w:rsid w:val="00217F05"/>
    <w:rsid w:val="002243E9"/>
    <w:rsid w:val="0022497B"/>
    <w:rsid w:val="00227BE1"/>
    <w:rsid w:val="00227CFD"/>
    <w:rsid w:val="002350B3"/>
    <w:rsid w:val="00235B08"/>
    <w:rsid w:val="002429FB"/>
    <w:rsid w:val="00245BA9"/>
    <w:rsid w:val="002570EC"/>
    <w:rsid w:val="002577FC"/>
    <w:rsid w:val="002578ED"/>
    <w:rsid w:val="002607D8"/>
    <w:rsid w:val="00262959"/>
    <w:rsid w:val="00262E3B"/>
    <w:rsid w:val="00263B3A"/>
    <w:rsid w:val="00264146"/>
    <w:rsid w:val="00267B16"/>
    <w:rsid w:val="00270EE6"/>
    <w:rsid w:val="002732D3"/>
    <w:rsid w:val="00274ADF"/>
    <w:rsid w:val="00275639"/>
    <w:rsid w:val="002830A3"/>
    <w:rsid w:val="002844D3"/>
    <w:rsid w:val="002849C2"/>
    <w:rsid w:val="00287092"/>
    <w:rsid w:val="0029095D"/>
    <w:rsid w:val="00297795"/>
    <w:rsid w:val="002A4499"/>
    <w:rsid w:val="002A5BFA"/>
    <w:rsid w:val="002B1BEC"/>
    <w:rsid w:val="002C0C26"/>
    <w:rsid w:val="002D3543"/>
    <w:rsid w:val="002D5E47"/>
    <w:rsid w:val="002D70BB"/>
    <w:rsid w:val="002E5E70"/>
    <w:rsid w:val="002F46DB"/>
    <w:rsid w:val="00300139"/>
    <w:rsid w:val="003020A7"/>
    <w:rsid w:val="00306350"/>
    <w:rsid w:val="00314147"/>
    <w:rsid w:val="00314D97"/>
    <w:rsid w:val="003259E0"/>
    <w:rsid w:val="00327B91"/>
    <w:rsid w:val="00331BF3"/>
    <w:rsid w:val="00335D20"/>
    <w:rsid w:val="00343516"/>
    <w:rsid w:val="0034487A"/>
    <w:rsid w:val="00347B67"/>
    <w:rsid w:val="003568C3"/>
    <w:rsid w:val="00357903"/>
    <w:rsid w:val="00360311"/>
    <w:rsid w:val="00362847"/>
    <w:rsid w:val="00370E38"/>
    <w:rsid w:val="003739E3"/>
    <w:rsid w:val="003765D8"/>
    <w:rsid w:val="00376712"/>
    <w:rsid w:val="00386497"/>
    <w:rsid w:val="00387FB4"/>
    <w:rsid w:val="00395BD5"/>
    <w:rsid w:val="003A2EF2"/>
    <w:rsid w:val="003B2B54"/>
    <w:rsid w:val="003B5F69"/>
    <w:rsid w:val="003D1BFD"/>
    <w:rsid w:val="003D1C8B"/>
    <w:rsid w:val="003D3A10"/>
    <w:rsid w:val="003D56EF"/>
    <w:rsid w:val="003E2496"/>
    <w:rsid w:val="003F3926"/>
    <w:rsid w:val="003F3E99"/>
    <w:rsid w:val="003F4A52"/>
    <w:rsid w:val="003F4C21"/>
    <w:rsid w:val="003F6BD9"/>
    <w:rsid w:val="003F7F46"/>
    <w:rsid w:val="00403476"/>
    <w:rsid w:val="0040568B"/>
    <w:rsid w:val="00405B4F"/>
    <w:rsid w:val="00416CB7"/>
    <w:rsid w:val="004224DA"/>
    <w:rsid w:val="00422C93"/>
    <w:rsid w:val="004247C2"/>
    <w:rsid w:val="0042484C"/>
    <w:rsid w:val="00425768"/>
    <w:rsid w:val="004434FC"/>
    <w:rsid w:val="00444B83"/>
    <w:rsid w:val="004478C6"/>
    <w:rsid w:val="00450E1D"/>
    <w:rsid w:val="004512C7"/>
    <w:rsid w:val="004537FB"/>
    <w:rsid w:val="0045391A"/>
    <w:rsid w:val="00457D84"/>
    <w:rsid w:val="00460BB8"/>
    <w:rsid w:val="00461FA3"/>
    <w:rsid w:val="00462785"/>
    <w:rsid w:val="00463FD1"/>
    <w:rsid w:val="00473B47"/>
    <w:rsid w:val="0048183C"/>
    <w:rsid w:val="00483481"/>
    <w:rsid w:val="00486D13"/>
    <w:rsid w:val="0049157B"/>
    <w:rsid w:val="00491DD6"/>
    <w:rsid w:val="00492D8F"/>
    <w:rsid w:val="00497DBD"/>
    <w:rsid w:val="004A0DAF"/>
    <w:rsid w:val="004A4B94"/>
    <w:rsid w:val="004B2A93"/>
    <w:rsid w:val="004B4E87"/>
    <w:rsid w:val="004B6E5B"/>
    <w:rsid w:val="004C08AC"/>
    <w:rsid w:val="004C0B66"/>
    <w:rsid w:val="004C1CBD"/>
    <w:rsid w:val="004C3F49"/>
    <w:rsid w:val="004D1B14"/>
    <w:rsid w:val="004D4DA5"/>
    <w:rsid w:val="004E308C"/>
    <w:rsid w:val="004F3645"/>
    <w:rsid w:val="00500D01"/>
    <w:rsid w:val="005137DA"/>
    <w:rsid w:val="005214AC"/>
    <w:rsid w:val="00521779"/>
    <w:rsid w:val="00536246"/>
    <w:rsid w:val="0054740D"/>
    <w:rsid w:val="00552059"/>
    <w:rsid w:val="00561C21"/>
    <w:rsid w:val="00561D31"/>
    <w:rsid w:val="005645E6"/>
    <w:rsid w:val="00564610"/>
    <w:rsid w:val="005846F2"/>
    <w:rsid w:val="00585A02"/>
    <w:rsid w:val="00586966"/>
    <w:rsid w:val="00591D1A"/>
    <w:rsid w:val="00592F00"/>
    <w:rsid w:val="005A1CC5"/>
    <w:rsid w:val="005B2452"/>
    <w:rsid w:val="005B4C1F"/>
    <w:rsid w:val="005B7C95"/>
    <w:rsid w:val="005C0612"/>
    <w:rsid w:val="005C0DB9"/>
    <w:rsid w:val="005C0FF6"/>
    <w:rsid w:val="005C18B9"/>
    <w:rsid w:val="005C1D45"/>
    <w:rsid w:val="005C21EE"/>
    <w:rsid w:val="005C376C"/>
    <w:rsid w:val="005D2B9C"/>
    <w:rsid w:val="005D2D8F"/>
    <w:rsid w:val="005D6EF3"/>
    <w:rsid w:val="005D7164"/>
    <w:rsid w:val="005D7190"/>
    <w:rsid w:val="005F3217"/>
    <w:rsid w:val="005F73F0"/>
    <w:rsid w:val="006058BB"/>
    <w:rsid w:val="00611947"/>
    <w:rsid w:val="00617363"/>
    <w:rsid w:val="00623981"/>
    <w:rsid w:val="006407B7"/>
    <w:rsid w:val="006557EE"/>
    <w:rsid w:val="006568AF"/>
    <w:rsid w:val="00660AF8"/>
    <w:rsid w:val="0066471D"/>
    <w:rsid w:val="00665979"/>
    <w:rsid w:val="00665C9C"/>
    <w:rsid w:val="006728BE"/>
    <w:rsid w:val="00674B5A"/>
    <w:rsid w:val="00684DAC"/>
    <w:rsid w:val="00685691"/>
    <w:rsid w:val="00690937"/>
    <w:rsid w:val="0069104B"/>
    <w:rsid w:val="006A2C16"/>
    <w:rsid w:val="006B2FC4"/>
    <w:rsid w:val="006B5CA7"/>
    <w:rsid w:val="006C2747"/>
    <w:rsid w:val="006D36F6"/>
    <w:rsid w:val="006D63F9"/>
    <w:rsid w:val="006D67E5"/>
    <w:rsid w:val="006D74CC"/>
    <w:rsid w:val="006E3571"/>
    <w:rsid w:val="006F34C6"/>
    <w:rsid w:val="006F41DA"/>
    <w:rsid w:val="007067D3"/>
    <w:rsid w:val="00715E57"/>
    <w:rsid w:val="00716A73"/>
    <w:rsid w:val="00721170"/>
    <w:rsid w:val="007231EE"/>
    <w:rsid w:val="0072335A"/>
    <w:rsid w:val="00724B87"/>
    <w:rsid w:val="007459E7"/>
    <w:rsid w:val="007610CE"/>
    <w:rsid w:val="00761FC6"/>
    <w:rsid w:val="00762137"/>
    <w:rsid w:val="00767478"/>
    <w:rsid w:val="007674F3"/>
    <w:rsid w:val="0077138C"/>
    <w:rsid w:val="00772519"/>
    <w:rsid w:val="007754EA"/>
    <w:rsid w:val="007911A0"/>
    <w:rsid w:val="00792052"/>
    <w:rsid w:val="0079207E"/>
    <w:rsid w:val="00793E70"/>
    <w:rsid w:val="007A31B9"/>
    <w:rsid w:val="007A6077"/>
    <w:rsid w:val="007A7D9F"/>
    <w:rsid w:val="007B0B0E"/>
    <w:rsid w:val="007B1962"/>
    <w:rsid w:val="007B4661"/>
    <w:rsid w:val="007B4C65"/>
    <w:rsid w:val="007B71E6"/>
    <w:rsid w:val="007C65B3"/>
    <w:rsid w:val="007E14DB"/>
    <w:rsid w:val="007E21BE"/>
    <w:rsid w:val="007E2F5A"/>
    <w:rsid w:val="007E3C03"/>
    <w:rsid w:val="007E5008"/>
    <w:rsid w:val="007E639A"/>
    <w:rsid w:val="007E6A9D"/>
    <w:rsid w:val="007F0A72"/>
    <w:rsid w:val="007F11C6"/>
    <w:rsid w:val="00805C93"/>
    <w:rsid w:val="0080742D"/>
    <w:rsid w:val="00820766"/>
    <w:rsid w:val="0082380B"/>
    <w:rsid w:val="008251A1"/>
    <w:rsid w:val="008309A8"/>
    <w:rsid w:val="008427DA"/>
    <w:rsid w:val="008455C7"/>
    <w:rsid w:val="0085171D"/>
    <w:rsid w:val="00857094"/>
    <w:rsid w:val="00861A84"/>
    <w:rsid w:val="00865720"/>
    <w:rsid w:val="00870650"/>
    <w:rsid w:val="00871AB4"/>
    <w:rsid w:val="008737E6"/>
    <w:rsid w:val="0087626E"/>
    <w:rsid w:val="008807FE"/>
    <w:rsid w:val="0088252F"/>
    <w:rsid w:val="00886513"/>
    <w:rsid w:val="00887EC0"/>
    <w:rsid w:val="008A5E40"/>
    <w:rsid w:val="008A65A3"/>
    <w:rsid w:val="008A6A3B"/>
    <w:rsid w:val="008B1F31"/>
    <w:rsid w:val="008C0334"/>
    <w:rsid w:val="008C3446"/>
    <w:rsid w:val="008C7B89"/>
    <w:rsid w:val="008C7C25"/>
    <w:rsid w:val="008D19C5"/>
    <w:rsid w:val="008D5116"/>
    <w:rsid w:val="008E0FFC"/>
    <w:rsid w:val="008E756B"/>
    <w:rsid w:val="008F4FC5"/>
    <w:rsid w:val="009016ED"/>
    <w:rsid w:val="009023CA"/>
    <w:rsid w:val="00911F33"/>
    <w:rsid w:val="0091227D"/>
    <w:rsid w:val="00913747"/>
    <w:rsid w:val="00913757"/>
    <w:rsid w:val="009240C5"/>
    <w:rsid w:val="00930AE6"/>
    <w:rsid w:val="009419C6"/>
    <w:rsid w:val="00945543"/>
    <w:rsid w:val="009462F5"/>
    <w:rsid w:val="00953BDB"/>
    <w:rsid w:val="009551C2"/>
    <w:rsid w:val="009577F3"/>
    <w:rsid w:val="00957AAC"/>
    <w:rsid w:val="00966013"/>
    <w:rsid w:val="009817D5"/>
    <w:rsid w:val="00983F17"/>
    <w:rsid w:val="00986C27"/>
    <w:rsid w:val="009940DA"/>
    <w:rsid w:val="009A14F1"/>
    <w:rsid w:val="009A14FC"/>
    <w:rsid w:val="009A2C14"/>
    <w:rsid w:val="009A2D94"/>
    <w:rsid w:val="009B027B"/>
    <w:rsid w:val="009B0B06"/>
    <w:rsid w:val="009B49A7"/>
    <w:rsid w:val="009B511A"/>
    <w:rsid w:val="009B6DBF"/>
    <w:rsid w:val="009B78E0"/>
    <w:rsid w:val="009C13FB"/>
    <w:rsid w:val="009D0140"/>
    <w:rsid w:val="009D1ED7"/>
    <w:rsid w:val="009D2EED"/>
    <w:rsid w:val="009D33E5"/>
    <w:rsid w:val="009E2191"/>
    <w:rsid w:val="009E489A"/>
    <w:rsid w:val="009E7AED"/>
    <w:rsid w:val="009F3DD5"/>
    <w:rsid w:val="009F44F1"/>
    <w:rsid w:val="009F51D2"/>
    <w:rsid w:val="009F55D5"/>
    <w:rsid w:val="009F6601"/>
    <w:rsid w:val="009F718C"/>
    <w:rsid w:val="00A027F7"/>
    <w:rsid w:val="00A074EF"/>
    <w:rsid w:val="00A10E96"/>
    <w:rsid w:val="00A142B0"/>
    <w:rsid w:val="00A14D8B"/>
    <w:rsid w:val="00A162F6"/>
    <w:rsid w:val="00A239ED"/>
    <w:rsid w:val="00A24AE0"/>
    <w:rsid w:val="00A310B6"/>
    <w:rsid w:val="00A45F09"/>
    <w:rsid w:val="00A46D3B"/>
    <w:rsid w:val="00A51C85"/>
    <w:rsid w:val="00A60952"/>
    <w:rsid w:val="00A60D7F"/>
    <w:rsid w:val="00A60EC4"/>
    <w:rsid w:val="00A6357A"/>
    <w:rsid w:val="00A63D62"/>
    <w:rsid w:val="00A643B5"/>
    <w:rsid w:val="00A64B9D"/>
    <w:rsid w:val="00A6519A"/>
    <w:rsid w:val="00A83284"/>
    <w:rsid w:val="00A86F04"/>
    <w:rsid w:val="00AA3988"/>
    <w:rsid w:val="00AA45BA"/>
    <w:rsid w:val="00AA5B34"/>
    <w:rsid w:val="00AB5CB3"/>
    <w:rsid w:val="00AB5D1D"/>
    <w:rsid w:val="00AD2111"/>
    <w:rsid w:val="00AD21D5"/>
    <w:rsid w:val="00AD42B4"/>
    <w:rsid w:val="00AD50B7"/>
    <w:rsid w:val="00AD7E8D"/>
    <w:rsid w:val="00AE032D"/>
    <w:rsid w:val="00AE449B"/>
    <w:rsid w:val="00AF2E0D"/>
    <w:rsid w:val="00AF3EA3"/>
    <w:rsid w:val="00AF4405"/>
    <w:rsid w:val="00AF740C"/>
    <w:rsid w:val="00B00ACC"/>
    <w:rsid w:val="00B023F9"/>
    <w:rsid w:val="00B21338"/>
    <w:rsid w:val="00B21FB4"/>
    <w:rsid w:val="00B27035"/>
    <w:rsid w:val="00B30B35"/>
    <w:rsid w:val="00B4633F"/>
    <w:rsid w:val="00B50DB2"/>
    <w:rsid w:val="00B5284E"/>
    <w:rsid w:val="00B533AF"/>
    <w:rsid w:val="00B54A3F"/>
    <w:rsid w:val="00B56CB2"/>
    <w:rsid w:val="00B61C61"/>
    <w:rsid w:val="00B640C8"/>
    <w:rsid w:val="00B64FE8"/>
    <w:rsid w:val="00B7357C"/>
    <w:rsid w:val="00B736D6"/>
    <w:rsid w:val="00B73E65"/>
    <w:rsid w:val="00B741DD"/>
    <w:rsid w:val="00B76306"/>
    <w:rsid w:val="00B80124"/>
    <w:rsid w:val="00B90430"/>
    <w:rsid w:val="00B9124B"/>
    <w:rsid w:val="00B938C7"/>
    <w:rsid w:val="00B96CC4"/>
    <w:rsid w:val="00BA25AD"/>
    <w:rsid w:val="00BA28BD"/>
    <w:rsid w:val="00BA5D8C"/>
    <w:rsid w:val="00BC11D7"/>
    <w:rsid w:val="00BC2FED"/>
    <w:rsid w:val="00BC3264"/>
    <w:rsid w:val="00BC4182"/>
    <w:rsid w:val="00BC4AA0"/>
    <w:rsid w:val="00BC71EC"/>
    <w:rsid w:val="00BD0B8A"/>
    <w:rsid w:val="00BD351E"/>
    <w:rsid w:val="00BD46C4"/>
    <w:rsid w:val="00BE1D99"/>
    <w:rsid w:val="00BE23B9"/>
    <w:rsid w:val="00BE4657"/>
    <w:rsid w:val="00BF3ADD"/>
    <w:rsid w:val="00BF51A1"/>
    <w:rsid w:val="00BF6E77"/>
    <w:rsid w:val="00C00565"/>
    <w:rsid w:val="00C11BAF"/>
    <w:rsid w:val="00C21F05"/>
    <w:rsid w:val="00C2260F"/>
    <w:rsid w:val="00C24421"/>
    <w:rsid w:val="00C25B04"/>
    <w:rsid w:val="00C30332"/>
    <w:rsid w:val="00C349AB"/>
    <w:rsid w:val="00C37BAB"/>
    <w:rsid w:val="00C4123C"/>
    <w:rsid w:val="00C435EF"/>
    <w:rsid w:val="00C43A9E"/>
    <w:rsid w:val="00C445BC"/>
    <w:rsid w:val="00C452E0"/>
    <w:rsid w:val="00C45A07"/>
    <w:rsid w:val="00C53685"/>
    <w:rsid w:val="00C55B4E"/>
    <w:rsid w:val="00C60169"/>
    <w:rsid w:val="00C609F7"/>
    <w:rsid w:val="00C60C70"/>
    <w:rsid w:val="00C61144"/>
    <w:rsid w:val="00C63322"/>
    <w:rsid w:val="00C87668"/>
    <w:rsid w:val="00C9059A"/>
    <w:rsid w:val="00C92E18"/>
    <w:rsid w:val="00C96F99"/>
    <w:rsid w:val="00CA03D2"/>
    <w:rsid w:val="00CA64A0"/>
    <w:rsid w:val="00CB682E"/>
    <w:rsid w:val="00CB6EF7"/>
    <w:rsid w:val="00CC0B91"/>
    <w:rsid w:val="00CC2104"/>
    <w:rsid w:val="00CC5694"/>
    <w:rsid w:val="00CE1C0B"/>
    <w:rsid w:val="00CE3B76"/>
    <w:rsid w:val="00CE4007"/>
    <w:rsid w:val="00CF442C"/>
    <w:rsid w:val="00D00895"/>
    <w:rsid w:val="00D00C1D"/>
    <w:rsid w:val="00D019D3"/>
    <w:rsid w:val="00D05C96"/>
    <w:rsid w:val="00D07F61"/>
    <w:rsid w:val="00D128DB"/>
    <w:rsid w:val="00D21978"/>
    <w:rsid w:val="00D21E3F"/>
    <w:rsid w:val="00D246A8"/>
    <w:rsid w:val="00D24885"/>
    <w:rsid w:val="00D265F4"/>
    <w:rsid w:val="00D407CB"/>
    <w:rsid w:val="00D4292D"/>
    <w:rsid w:val="00D42B1C"/>
    <w:rsid w:val="00D516E0"/>
    <w:rsid w:val="00D52471"/>
    <w:rsid w:val="00D53B1B"/>
    <w:rsid w:val="00D54E6C"/>
    <w:rsid w:val="00D55FA7"/>
    <w:rsid w:val="00D56956"/>
    <w:rsid w:val="00D57811"/>
    <w:rsid w:val="00D654B1"/>
    <w:rsid w:val="00D65753"/>
    <w:rsid w:val="00D914B0"/>
    <w:rsid w:val="00D93093"/>
    <w:rsid w:val="00D942FA"/>
    <w:rsid w:val="00D964CA"/>
    <w:rsid w:val="00D9655A"/>
    <w:rsid w:val="00DA0306"/>
    <w:rsid w:val="00DA0A15"/>
    <w:rsid w:val="00DB7859"/>
    <w:rsid w:val="00DC161B"/>
    <w:rsid w:val="00DC21E6"/>
    <w:rsid w:val="00DC664D"/>
    <w:rsid w:val="00DD0AA7"/>
    <w:rsid w:val="00DD3270"/>
    <w:rsid w:val="00DD4C84"/>
    <w:rsid w:val="00DE39A2"/>
    <w:rsid w:val="00DE6373"/>
    <w:rsid w:val="00DF2ECA"/>
    <w:rsid w:val="00DF446C"/>
    <w:rsid w:val="00DF77E7"/>
    <w:rsid w:val="00E07FA0"/>
    <w:rsid w:val="00E17025"/>
    <w:rsid w:val="00E4039F"/>
    <w:rsid w:val="00E419E0"/>
    <w:rsid w:val="00E452D2"/>
    <w:rsid w:val="00E45C42"/>
    <w:rsid w:val="00E477F2"/>
    <w:rsid w:val="00E47A8D"/>
    <w:rsid w:val="00E55EFA"/>
    <w:rsid w:val="00E66D09"/>
    <w:rsid w:val="00E774D0"/>
    <w:rsid w:val="00E81975"/>
    <w:rsid w:val="00E81F69"/>
    <w:rsid w:val="00E83D09"/>
    <w:rsid w:val="00E85D49"/>
    <w:rsid w:val="00E8649E"/>
    <w:rsid w:val="00E91443"/>
    <w:rsid w:val="00E92A2D"/>
    <w:rsid w:val="00EA0AA3"/>
    <w:rsid w:val="00EA4E6D"/>
    <w:rsid w:val="00EB3315"/>
    <w:rsid w:val="00EB508D"/>
    <w:rsid w:val="00EC38B0"/>
    <w:rsid w:val="00EC43D8"/>
    <w:rsid w:val="00EE06C8"/>
    <w:rsid w:val="00EE0AD9"/>
    <w:rsid w:val="00EE15A4"/>
    <w:rsid w:val="00EE2F50"/>
    <w:rsid w:val="00EF77FA"/>
    <w:rsid w:val="00EF7E00"/>
    <w:rsid w:val="00F02352"/>
    <w:rsid w:val="00F03DAF"/>
    <w:rsid w:val="00F05A6D"/>
    <w:rsid w:val="00F10924"/>
    <w:rsid w:val="00F109D0"/>
    <w:rsid w:val="00F153E2"/>
    <w:rsid w:val="00F16D96"/>
    <w:rsid w:val="00F277EB"/>
    <w:rsid w:val="00F32963"/>
    <w:rsid w:val="00F4480E"/>
    <w:rsid w:val="00F53078"/>
    <w:rsid w:val="00F56248"/>
    <w:rsid w:val="00F56A6E"/>
    <w:rsid w:val="00F57194"/>
    <w:rsid w:val="00F63359"/>
    <w:rsid w:val="00F633E3"/>
    <w:rsid w:val="00F66168"/>
    <w:rsid w:val="00F67F01"/>
    <w:rsid w:val="00F703EE"/>
    <w:rsid w:val="00F71E09"/>
    <w:rsid w:val="00F7399A"/>
    <w:rsid w:val="00F74A11"/>
    <w:rsid w:val="00F835A4"/>
    <w:rsid w:val="00F842A9"/>
    <w:rsid w:val="00F914A2"/>
    <w:rsid w:val="00F91577"/>
    <w:rsid w:val="00F944AB"/>
    <w:rsid w:val="00F96D60"/>
    <w:rsid w:val="00FA22E9"/>
    <w:rsid w:val="00FA4902"/>
    <w:rsid w:val="00FB1917"/>
    <w:rsid w:val="00FB6E20"/>
    <w:rsid w:val="00FC097B"/>
    <w:rsid w:val="00FC2F51"/>
    <w:rsid w:val="00FD2E15"/>
    <w:rsid w:val="00FD3F8A"/>
    <w:rsid w:val="00FE2A05"/>
    <w:rsid w:val="00FE305B"/>
    <w:rsid w:val="00FE3D27"/>
    <w:rsid w:val="00FE4F9C"/>
    <w:rsid w:val="00FF48FD"/>
    <w:rsid w:val="00FF5757"/>
    <w:rsid w:val="04387860"/>
    <w:rsid w:val="04B95D27"/>
    <w:rsid w:val="050140F6"/>
    <w:rsid w:val="059B1E55"/>
    <w:rsid w:val="0D2F096C"/>
    <w:rsid w:val="0EA224A6"/>
    <w:rsid w:val="0F9E6C88"/>
    <w:rsid w:val="120A5960"/>
    <w:rsid w:val="14184FB8"/>
    <w:rsid w:val="17B47985"/>
    <w:rsid w:val="223E3E3C"/>
    <w:rsid w:val="23B4085A"/>
    <w:rsid w:val="24930B4D"/>
    <w:rsid w:val="24BB5C18"/>
    <w:rsid w:val="2786250D"/>
    <w:rsid w:val="2BA0172F"/>
    <w:rsid w:val="2BC25ADE"/>
    <w:rsid w:val="2F292845"/>
    <w:rsid w:val="37201C5F"/>
    <w:rsid w:val="3A797F9F"/>
    <w:rsid w:val="3A83458F"/>
    <w:rsid w:val="3AAC3B1E"/>
    <w:rsid w:val="3ECF5007"/>
    <w:rsid w:val="45012D7B"/>
    <w:rsid w:val="496164DE"/>
    <w:rsid w:val="4A4F27DB"/>
    <w:rsid w:val="4A912D42"/>
    <w:rsid w:val="4FC275AB"/>
    <w:rsid w:val="52524C0A"/>
    <w:rsid w:val="5B433C96"/>
    <w:rsid w:val="633F11E7"/>
    <w:rsid w:val="65B44624"/>
    <w:rsid w:val="667E3DD4"/>
    <w:rsid w:val="67C14B3C"/>
    <w:rsid w:val="6D1C44D4"/>
    <w:rsid w:val="729D47C4"/>
    <w:rsid w:val="78A27DF6"/>
    <w:rsid w:val="7A1659FE"/>
    <w:rsid w:val="7A4D1FE3"/>
    <w:rsid w:val="7F61566C"/>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100" w:after="90"/>
      <w:jc w:val="center"/>
      <w:outlineLvl w:val="0"/>
    </w:pPr>
    <w:rPr>
      <w:b/>
      <w:bCs/>
      <w:kern w:val="44"/>
      <w:sz w:val="36"/>
      <w:szCs w:val="44"/>
    </w:rPr>
  </w:style>
  <w:style w:type="paragraph" w:styleId="3">
    <w:name w:val="heading 4"/>
    <w:basedOn w:val="1"/>
    <w:next w:val="1"/>
    <w:link w:val="22"/>
    <w:qFormat/>
    <w:uiPriority w:val="0"/>
    <w:pPr>
      <w:keepNext/>
      <w:keepLines/>
      <w:spacing w:before="160" w:after="170"/>
      <w:ind w:firstLine="200" w:firstLineChars="200"/>
      <w:outlineLvl w:val="3"/>
    </w:pPr>
    <w:rPr>
      <w:rFonts w:ascii="Cambria" w:hAnsi="Cambria" w:eastAsia="宋体" w:cs="Times New Roman"/>
      <w:b/>
      <w:bCs/>
      <w:sz w:val="24"/>
      <w:szCs w:val="28"/>
    </w:rPr>
  </w:style>
  <w:style w:type="paragraph" w:styleId="4">
    <w:name w:val="heading 5"/>
    <w:basedOn w:val="1"/>
    <w:next w:val="1"/>
    <w:link w:val="24"/>
    <w:unhideWhenUsed/>
    <w:qFormat/>
    <w:uiPriority w:val="9"/>
    <w:pPr>
      <w:keepNext/>
      <w:keepLines/>
      <w:spacing w:before="160" w:after="170"/>
      <w:ind w:firstLine="200" w:firstLineChars="200"/>
      <w:outlineLvl w:val="4"/>
    </w:pPr>
    <w:rPr>
      <w:b/>
      <w:bCs/>
      <w:sz w:val="24"/>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0"/>
    <w:qFormat/>
    <w:uiPriority w:val="0"/>
    <w:pPr>
      <w:ind w:firstLine="420" w:firstLineChars="200"/>
    </w:pPr>
    <w:rPr>
      <w:rFonts w:ascii="Times New Roman" w:hAnsi="Times New Roman" w:eastAsia="宋体" w:cs="Times New Roman"/>
      <w:szCs w:val="24"/>
    </w:rPr>
  </w:style>
  <w:style w:type="paragraph" w:styleId="6">
    <w:name w:val="annotation text"/>
    <w:basedOn w:val="1"/>
    <w:semiHidden/>
    <w:unhideWhenUsed/>
    <w:qFormat/>
    <w:uiPriority w:val="99"/>
    <w:pPr>
      <w:jc w:val="left"/>
    </w:pPr>
  </w:style>
  <w:style w:type="paragraph" w:styleId="7">
    <w:name w:val="Plain Text"/>
    <w:basedOn w:val="1"/>
    <w:link w:val="30"/>
    <w:qFormat/>
    <w:uiPriority w:val="0"/>
    <w:rPr>
      <w:rFonts w:ascii="宋体" w:hAnsi="Courier New" w:eastAsia="宋体" w:cs="Times New Roman"/>
      <w:kern w:val="10"/>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semiHidden/>
    <w:unhideWhenUsed/>
    <w:qFormat/>
    <w:uiPriority w:val="99"/>
    <w:pPr>
      <w:spacing w:beforeAutospacing="1" w:afterAutospacing="1"/>
      <w:jc w:val="left"/>
    </w:pPr>
    <w:rPr>
      <w:rFonts w:cs="Times New Roman"/>
      <w:kern w:val="0"/>
      <w:sz w:val="24"/>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99"/>
    <w:rPr>
      <w:color w:val="0000FF"/>
      <w:u w:val="single"/>
    </w:rPr>
  </w:style>
  <w:style w:type="character" w:styleId="17">
    <w:name w:val="annotation reference"/>
    <w:basedOn w:val="15"/>
    <w:semiHidden/>
    <w:unhideWhenUsed/>
    <w:qFormat/>
    <w:uiPriority w:val="99"/>
    <w:rPr>
      <w:sz w:val="21"/>
      <w:szCs w:val="21"/>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正文缩进 字符"/>
    <w:link w:val="5"/>
    <w:qFormat/>
    <w:uiPriority w:val="0"/>
    <w:rPr>
      <w:rFonts w:ascii="Times New Roman" w:hAnsi="Times New Roman" w:eastAsia="宋体" w:cs="Times New Roman"/>
      <w:szCs w:val="24"/>
    </w:rPr>
  </w:style>
  <w:style w:type="table" w:customStyle="1" w:styleId="21">
    <w:name w:val="网格型1"/>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
    <w:name w:val="标题 4 字符"/>
    <w:basedOn w:val="15"/>
    <w:link w:val="3"/>
    <w:qFormat/>
    <w:uiPriority w:val="0"/>
    <w:rPr>
      <w:rFonts w:ascii="Cambria" w:hAnsi="Cambria" w:eastAsia="宋体" w:cs="Times New Roman"/>
      <w:b/>
      <w:bCs/>
      <w:sz w:val="24"/>
      <w:szCs w:val="28"/>
    </w:rPr>
  </w:style>
  <w:style w:type="character" w:customStyle="1" w:styleId="23">
    <w:name w:val="标题 1 字符"/>
    <w:basedOn w:val="15"/>
    <w:link w:val="2"/>
    <w:qFormat/>
    <w:uiPriority w:val="9"/>
    <w:rPr>
      <w:b/>
      <w:bCs/>
      <w:kern w:val="44"/>
      <w:sz w:val="36"/>
      <w:szCs w:val="44"/>
    </w:rPr>
  </w:style>
  <w:style w:type="character" w:customStyle="1" w:styleId="24">
    <w:name w:val="标题 5 字符"/>
    <w:basedOn w:val="15"/>
    <w:link w:val="4"/>
    <w:qFormat/>
    <w:uiPriority w:val="9"/>
    <w:rPr>
      <w:b/>
      <w:bCs/>
      <w:sz w:val="24"/>
      <w:szCs w:val="28"/>
    </w:rPr>
  </w:style>
  <w:style w:type="paragraph" w:customStyle="1" w:styleId="25">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6">
    <w:name w:val="批注框文本 字符"/>
    <w:basedOn w:val="15"/>
    <w:link w:val="8"/>
    <w:semiHidden/>
    <w:qFormat/>
    <w:uiPriority w:val="99"/>
    <w:rPr>
      <w:rFonts w:asciiTheme="minorHAnsi" w:hAnsiTheme="minorHAnsi" w:eastAsiaTheme="minorEastAsia" w:cstheme="minorBidi"/>
      <w:kern w:val="2"/>
      <w:sz w:val="18"/>
      <w:szCs w:val="18"/>
    </w:rPr>
  </w:style>
  <w:style w:type="paragraph" w:styleId="27">
    <w:name w:val="List Paragraph"/>
    <w:basedOn w:val="1"/>
    <w:unhideWhenUsed/>
    <w:qFormat/>
    <w:uiPriority w:val="99"/>
    <w:pPr>
      <w:ind w:firstLine="420" w:firstLineChars="200"/>
    </w:pPr>
  </w:style>
  <w:style w:type="table" w:customStyle="1" w:styleId="28">
    <w:name w:val="网格型2"/>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纯文本 字符"/>
    <w:basedOn w:val="15"/>
    <w:semiHidden/>
    <w:qFormat/>
    <w:uiPriority w:val="99"/>
    <w:rPr>
      <w:rFonts w:hAnsi="Courier New" w:cs="Courier New" w:asciiTheme="minorEastAsia" w:eastAsiaTheme="minorEastAsia"/>
      <w:kern w:val="2"/>
      <w:sz w:val="21"/>
      <w:szCs w:val="22"/>
    </w:rPr>
  </w:style>
  <w:style w:type="character" w:customStyle="1" w:styleId="30">
    <w:name w:val="纯文本 字符1"/>
    <w:link w:val="7"/>
    <w:qFormat/>
    <w:uiPriority w:val="0"/>
    <w:rPr>
      <w:rFonts w:ascii="宋体" w:hAnsi="Courier New"/>
      <w:kern w:val="1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0B3D27-3B60-4239-9D2E-A5549BD77CA1}">
  <ds:schemaRefs/>
</ds:datastoreItem>
</file>

<file path=docProps/app.xml><?xml version="1.0" encoding="utf-8"?>
<Properties xmlns="http://schemas.openxmlformats.org/officeDocument/2006/extended-properties" xmlns:vt="http://schemas.openxmlformats.org/officeDocument/2006/docPropsVTypes">
  <Template>Normal</Template>
  <Pages>33</Pages>
  <Words>997</Words>
  <Characters>1176</Characters>
  <Lines>121</Lines>
  <Paragraphs>34</Paragraphs>
  <TotalTime>0</TotalTime>
  <ScaleCrop>false</ScaleCrop>
  <LinksUpToDate>false</LinksUpToDate>
  <CharactersWithSpaces>1205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2021-06-06T03:46:00Z</dcterms:created>
  <dc:creator>安安的电脑</dc:creator>
  <cp:lastModifiedBy>J先生</cp:lastModifiedBy>
  <dcterms:modified xsi:type="dcterms:W3CDTF">2025-03-17T02:07:08Z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2B6A4FC9A3E84A88A5613D7C721BEA0F_13</vt:lpwstr>
  </property>
  <property fmtid="{D5CDD505-2E9C-101B-9397-08002B2CF9AE}" pid="4" name="KSOTemplateDocerSaveRecord">
    <vt:lpwstr>eyJoZGlkIjoiZDYxNzQwMWY4MzNlNjA1OTlmNzkxYjE4MGVmNTM1NDAiLCJ1c2VySWQiOiIyNjEwOTk1MTEifQ==</vt:lpwstr>
  </property>
</Properties>
</file>