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bookmarkStart w:id="2" w:name="_GoBack"/>
      <w:bookmarkEnd w:id="2"/>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8"/>
        <w:jc w:val="center"/>
        <w:rPr>
          <w:rFonts w:hint="eastAsia" w:ascii="宋体" w:hAnsi="宋体"/>
          <w:b/>
          <w:bCs/>
          <w:szCs w:val="21"/>
        </w:rPr>
      </w:pPr>
    </w:p>
    <w:p w14:paraId="2971CD1E">
      <w:pPr>
        <w:pStyle w:val="8"/>
        <w:jc w:val="center"/>
        <w:rPr>
          <w:rFonts w:hint="eastAsia" w:ascii="宋体" w:hAnsi="宋体"/>
          <w:b/>
          <w:bCs/>
          <w:szCs w:val="21"/>
        </w:rPr>
      </w:pPr>
    </w:p>
    <w:p w14:paraId="44124856">
      <w:pPr>
        <w:pStyle w:val="8"/>
        <w:jc w:val="center"/>
        <w:rPr>
          <w:rFonts w:hint="eastAsia" w:ascii="宋体" w:hAnsi="宋体"/>
          <w:b/>
          <w:bCs/>
          <w:szCs w:val="21"/>
        </w:rPr>
      </w:pPr>
    </w:p>
    <w:p w14:paraId="08AA2683">
      <w:pPr>
        <w:pStyle w:val="8"/>
        <w:jc w:val="center"/>
        <w:rPr>
          <w:rFonts w:hint="eastAsia" w:ascii="宋体" w:hAnsi="宋体"/>
          <w:b/>
          <w:bCs/>
          <w:szCs w:val="21"/>
        </w:rPr>
      </w:pPr>
    </w:p>
    <w:p w14:paraId="2F161ADF">
      <w:pPr>
        <w:pStyle w:val="8"/>
        <w:jc w:val="center"/>
        <w:rPr>
          <w:rFonts w:hint="eastAsia" w:ascii="宋体" w:hAnsi="宋体"/>
          <w:b/>
          <w:bCs/>
          <w:szCs w:val="21"/>
        </w:rPr>
      </w:pPr>
    </w:p>
    <w:p w14:paraId="0B63A0AE">
      <w:pPr>
        <w:pStyle w:val="8"/>
        <w:jc w:val="center"/>
        <w:rPr>
          <w:rFonts w:hint="eastAsia" w:ascii="宋体" w:hAnsi="宋体"/>
          <w:b/>
          <w:bCs/>
          <w:szCs w:val="21"/>
        </w:rPr>
      </w:pPr>
    </w:p>
    <w:p w14:paraId="21390DA8">
      <w:pPr>
        <w:pStyle w:val="8"/>
        <w:jc w:val="center"/>
        <w:rPr>
          <w:rFonts w:hint="eastAsia" w:ascii="宋体" w:hAnsi="宋体"/>
          <w:b/>
          <w:bCs/>
          <w:szCs w:val="21"/>
        </w:rPr>
      </w:pPr>
    </w:p>
    <w:p w14:paraId="6EDBB49F">
      <w:pPr>
        <w:pStyle w:val="8"/>
        <w:jc w:val="center"/>
        <w:rPr>
          <w:rFonts w:hint="eastAsia" w:ascii="宋体" w:hAnsi="宋体"/>
          <w:b/>
          <w:bCs/>
          <w:szCs w:val="21"/>
        </w:rPr>
      </w:pPr>
    </w:p>
    <w:p w14:paraId="1432072E">
      <w:pPr>
        <w:pStyle w:val="8"/>
        <w:jc w:val="center"/>
        <w:rPr>
          <w:rFonts w:hint="eastAsia" w:ascii="宋体" w:hAnsi="宋体"/>
          <w:b/>
          <w:bCs/>
          <w:szCs w:val="21"/>
        </w:rPr>
      </w:pPr>
    </w:p>
    <w:p w14:paraId="738F9BB8">
      <w:pPr>
        <w:pStyle w:val="8"/>
        <w:jc w:val="center"/>
        <w:rPr>
          <w:rFonts w:hint="eastAsia" w:ascii="宋体" w:hAnsi="宋体"/>
          <w:b/>
          <w:bCs/>
          <w:szCs w:val="21"/>
        </w:rPr>
      </w:pPr>
    </w:p>
    <w:p w14:paraId="2BA73101">
      <w:pPr>
        <w:pStyle w:val="8"/>
        <w:jc w:val="center"/>
        <w:rPr>
          <w:rFonts w:hint="eastAsia" w:ascii="宋体" w:hAnsi="宋体"/>
          <w:b/>
          <w:bCs/>
          <w:szCs w:val="21"/>
        </w:rPr>
      </w:pPr>
    </w:p>
    <w:p w14:paraId="631484CB">
      <w:pPr>
        <w:pStyle w:val="8"/>
        <w:jc w:val="center"/>
        <w:rPr>
          <w:rFonts w:hint="eastAsia" w:ascii="宋体" w:hAnsi="宋体"/>
          <w:b/>
          <w:bCs/>
          <w:szCs w:val="21"/>
        </w:rPr>
      </w:pPr>
    </w:p>
    <w:p w14:paraId="3DB033DB">
      <w:pPr>
        <w:pStyle w:val="8"/>
        <w:jc w:val="center"/>
        <w:rPr>
          <w:rFonts w:hint="eastAsia" w:ascii="宋体" w:hAnsi="宋体"/>
          <w:b/>
          <w:bCs/>
          <w:szCs w:val="21"/>
        </w:rPr>
      </w:pPr>
    </w:p>
    <w:p w14:paraId="20D42745">
      <w:pPr>
        <w:pStyle w:val="8"/>
        <w:jc w:val="center"/>
        <w:rPr>
          <w:rFonts w:hint="eastAsia" w:ascii="宋体" w:hAnsi="宋体"/>
          <w:b/>
          <w:bCs/>
          <w:szCs w:val="21"/>
        </w:rPr>
      </w:pPr>
    </w:p>
    <w:p w14:paraId="1AA65312">
      <w:pPr>
        <w:pStyle w:val="8"/>
        <w:jc w:val="center"/>
        <w:rPr>
          <w:rFonts w:hint="eastAsia" w:ascii="宋体" w:hAnsi="宋体"/>
          <w:b/>
          <w:bCs/>
          <w:szCs w:val="21"/>
        </w:rPr>
      </w:pPr>
    </w:p>
    <w:p w14:paraId="70224C5F">
      <w:pPr>
        <w:pStyle w:val="8"/>
        <w:jc w:val="center"/>
        <w:rPr>
          <w:rFonts w:hint="eastAsia" w:ascii="宋体" w:hAnsi="宋体"/>
          <w:b/>
          <w:bCs/>
          <w:szCs w:val="21"/>
        </w:rPr>
      </w:pPr>
    </w:p>
    <w:p w14:paraId="772B0D78">
      <w:pPr>
        <w:pStyle w:val="8"/>
        <w:jc w:val="center"/>
        <w:rPr>
          <w:rFonts w:hint="eastAsia" w:ascii="宋体" w:hAnsi="宋体"/>
          <w:b/>
          <w:bCs/>
          <w:szCs w:val="21"/>
        </w:rPr>
      </w:pPr>
    </w:p>
    <w:p w14:paraId="60817AD1">
      <w:pPr>
        <w:pStyle w:val="8"/>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8"/>
        <w:rPr>
          <w:rStyle w:val="17"/>
          <w:rFonts w:hint="default"/>
          <w:color w:val="000000"/>
          <w:szCs w:val="28"/>
          <w:lang w:val="en-US" w:eastAsia="zh-CN"/>
        </w:rPr>
      </w:pPr>
    </w:p>
    <w:p w14:paraId="47AEEB51">
      <w:pPr>
        <w:pStyle w:val="8"/>
        <w:rPr>
          <w:rStyle w:val="17"/>
          <w:color w:val="000000"/>
          <w:szCs w:val="28"/>
        </w:rPr>
      </w:pPr>
    </w:p>
    <w:p w14:paraId="65A0EA51">
      <w:pPr>
        <w:pStyle w:val="8"/>
        <w:rPr>
          <w:rStyle w:val="17"/>
          <w:color w:val="000000"/>
          <w:szCs w:val="28"/>
        </w:rPr>
      </w:pPr>
    </w:p>
    <w:p w14:paraId="4B2F013C">
      <w:pPr>
        <w:pStyle w:val="8"/>
        <w:rPr>
          <w:rStyle w:val="17"/>
          <w:color w:val="000000"/>
          <w:szCs w:val="28"/>
        </w:rPr>
      </w:pPr>
    </w:p>
    <w:p w14:paraId="481E1B8E">
      <w:pPr>
        <w:pStyle w:val="8"/>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8"/>
        <w:jc w:val="center"/>
        <w:rPr>
          <w:rFonts w:hint="eastAsia" w:ascii="宋体" w:hAnsi="宋体"/>
          <w:b/>
          <w:bCs/>
          <w:szCs w:val="21"/>
        </w:rPr>
      </w:pPr>
    </w:p>
    <w:p w14:paraId="173FE59F">
      <w:pPr>
        <w:pStyle w:val="8"/>
        <w:jc w:val="center"/>
        <w:rPr>
          <w:rFonts w:hint="eastAsia" w:ascii="宋体" w:hAnsi="宋体"/>
          <w:b/>
          <w:bCs/>
          <w:szCs w:val="21"/>
        </w:rPr>
      </w:pPr>
    </w:p>
    <w:p w14:paraId="2C555EDF">
      <w:pPr>
        <w:pStyle w:val="8"/>
        <w:jc w:val="center"/>
        <w:rPr>
          <w:rFonts w:hint="eastAsia" w:ascii="宋体" w:hAnsi="宋体"/>
          <w:b/>
          <w:bCs/>
          <w:szCs w:val="21"/>
        </w:rPr>
      </w:pPr>
    </w:p>
    <w:p w14:paraId="21C50F1C">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14:textFill>
            <w14:solidFill>
              <w14:schemeClr w14:val="tx1"/>
            </w14:solidFill>
          </w14:textFill>
        </w:rPr>
        <w:t>与灸材配套使用，供临床康复灸疗。</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32F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13DC9D09">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5A93B027">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014B47E6">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39F575CB">
                  <w:pPr>
                    <w:spacing w:line="288" w:lineRule="auto"/>
                    <w:jc w:val="center"/>
                    <w:rPr>
                      <w:rFonts w:hint="eastAsia"/>
                      <w:color w:val="FF0000"/>
                      <w:sz w:val="21"/>
                      <w:szCs w:val="21"/>
                    </w:rPr>
                  </w:pPr>
                  <w:r>
                    <w:rPr>
                      <w:rFonts w:hint="eastAsia"/>
                      <w:color w:val="FF0000"/>
                      <w:sz w:val="21"/>
                      <w:szCs w:val="21"/>
                      <w:lang w:eastAsia="zh-CN"/>
                    </w:rPr>
                    <w:t>单位</w:t>
                  </w:r>
                </w:p>
              </w:tc>
            </w:tr>
            <w:tr w14:paraId="5C14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E9BDD1A">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center"/>
                </w:tcPr>
                <w:p w14:paraId="559ABB11">
                  <w:pPr>
                    <w:spacing w:line="288" w:lineRule="auto"/>
                    <w:jc w:val="center"/>
                    <w:rPr>
                      <w:rFonts w:hint="eastAsia"/>
                      <w:color w:val="FF0000"/>
                      <w:sz w:val="21"/>
                      <w:szCs w:val="21"/>
                    </w:rPr>
                  </w:pPr>
                  <w:r>
                    <w:rPr>
                      <w:rFonts w:hint="eastAsia"/>
                      <w:color w:val="FF0000"/>
                      <w:sz w:val="21"/>
                      <w:szCs w:val="21"/>
                    </w:rPr>
                    <w:t>主机</w:t>
                  </w:r>
                </w:p>
              </w:tc>
              <w:tc>
                <w:tcPr>
                  <w:tcW w:w="1300" w:type="dxa"/>
                  <w:noWrap w:val="0"/>
                  <w:vAlign w:val="center"/>
                </w:tcPr>
                <w:p w14:paraId="58FF83D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1423023A">
                  <w:pPr>
                    <w:spacing w:line="288" w:lineRule="auto"/>
                    <w:jc w:val="center"/>
                    <w:rPr>
                      <w:rFonts w:hint="eastAsia" w:eastAsia="宋体"/>
                      <w:color w:val="FF0000"/>
                      <w:sz w:val="21"/>
                      <w:szCs w:val="21"/>
                      <w:lang w:eastAsia="zh-CN"/>
                    </w:rPr>
                  </w:pPr>
                  <w:r>
                    <w:rPr>
                      <w:rFonts w:hint="eastAsia"/>
                      <w:color w:val="FF0000"/>
                      <w:sz w:val="21"/>
                      <w:szCs w:val="21"/>
                      <w:lang w:eastAsia="zh-CN"/>
                    </w:rPr>
                    <w:t>台</w:t>
                  </w:r>
                </w:p>
              </w:tc>
            </w:tr>
            <w:tr w14:paraId="378B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077AD79">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center"/>
                </w:tcPr>
                <w:p w14:paraId="6682E305">
                  <w:pPr>
                    <w:spacing w:line="312" w:lineRule="auto"/>
                    <w:jc w:val="center"/>
                    <w:rPr>
                      <w:rFonts w:hint="eastAsia"/>
                      <w:color w:val="FF0000"/>
                      <w:sz w:val="21"/>
                      <w:szCs w:val="21"/>
                    </w:rPr>
                  </w:pPr>
                  <w:r>
                    <w:rPr>
                      <w:rFonts w:hint="eastAsia"/>
                      <w:color w:val="FF0000"/>
                      <w:sz w:val="21"/>
                      <w:szCs w:val="21"/>
                    </w:rPr>
                    <w:t>触摸控制液晶显示屏</w:t>
                  </w:r>
                </w:p>
              </w:tc>
              <w:tc>
                <w:tcPr>
                  <w:tcW w:w="1300" w:type="dxa"/>
                  <w:noWrap w:val="0"/>
                  <w:vAlign w:val="center"/>
                </w:tcPr>
                <w:p w14:paraId="63C28D3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78A08F96">
                  <w:pPr>
                    <w:spacing w:line="288" w:lineRule="auto"/>
                    <w:jc w:val="center"/>
                    <w:rPr>
                      <w:rFonts w:hint="eastAsia" w:eastAsia="宋体"/>
                      <w:color w:val="FF0000"/>
                      <w:sz w:val="21"/>
                      <w:szCs w:val="21"/>
                      <w:lang w:eastAsia="zh-CN"/>
                    </w:rPr>
                  </w:pPr>
                  <w:r>
                    <w:rPr>
                      <w:rFonts w:hint="eastAsia"/>
                      <w:color w:val="FF0000"/>
                      <w:sz w:val="21"/>
                      <w:szCs w:val="21"/>
                      <w:lang w:eastAsia="zh-CN"/>
                    </w:rPr>
                    <w:t>个</w:t>
                  </w:r>
                </w:p>
              </w:tc>
            </w:tr>
            <w:tr w14:paraId="2E46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F59E1FD">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center"/>
                </w:tcPr>
                <w:p w14:paraId="7046CD0E">
                  <w:pPr>
                    <w:spacing w:line="312" w:lineRule="auto"/>
                    <w:jc w:val="center"/>
                    <w:rPr>
                      <w:rFonts w:hint="eastAsia"/>
                      <w:color w:val="FF0000"/>
                      <w:sz w:val="21"/>
                      <w:szCs w:val="21"/>
                    </w:rPr>
                  </w:pPr>
                  <w:r>
                    <w:rPr>
                      <w:rFonts w:hint="eastAsia"/>
                      <w:color w:val="FF0000"/>
                      <w:sz w:val="21"/>
                      <w:szCs w:val="21"/>
                    </w:rPr>
                    <w:t>点火装置</w:t>
                  </w:r>
                </w:p>
              </w:tc>
              <w:tc>
                <w:tcPr>
                  <w:tcW w:w="1300" w:type="dxa"/>
                  <w:noWrap w:val="0"/>
                  <w:vAlign w:val="center"/>
                </w:tcPr>
                <w:p w14:paraId="5A082C58">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w:t>
                  </w:r>
                </w:p>
              </w:tc>
              <w:tc>
                <w:tcPr>
                  <w:tcW w:w="1316" w:type="dxa"/>
                  <w:noWrap w:val="0"/>
                  <w:vAlign w:val="center"/>
                </w:tcPr>
                <w:p w14:paraId="719CC705">
                  <w:pPr>
                    <w:spacing w:line="288" w:lineRule="auto"/>
                    <w:jc w:val="center"/>
                    <w:rPr>
                      <w:rFonts w:hint="eastAsia" w:eastAsia="宋体"/>
                      <w:color w:val="FF0000"/>
                      <w:sz w:val="21"/>
                      <w:szCs w:val="21"/>
                      <w:lang w:eastAsia="zh-CN"/>
                    </w:rPr>
                  </w:pPr>
                  <w:r>
                    <w:rPr>
                      <w:rFonts w:hint="eastAsia"/>
                      <w:color w:val="FF0000"/>
                      <w:sz w:val="21"/>
                      <w:szCs w:val="21"/>
                      <w:lang w:eastAsia="zh-CN"/>
                    </w:rPr>
                    <w:t>套</w:t>
                  </w:r>
                </w:p>
              </w:tc>
            </w:tr>
            <w:tr w14:paraId="048C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D4C76C0">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center"/>
                </w:tcPr>
                <w:p w14:paraId="5BC9BF24">
                  <w:pPr>
                    <w:spacing w:line="312" w:lineRule="auto"/>
                    <w:jc w:val="center"/>
                    <w:rPr>
                      <w:rFonts w:hint="eastAsia"/>
                      <w:color w:val="FF0000"/>
                      <w:sz w:val="21"/>
                      <w:szCs w:val="21"/>
                    </w:rPr>
                  </w:pPr>
                  <w:r>
                    <w:rPr>
                      <w:rFonts w:hint="eastAsia"/>
                      <w:color w:val="FF0000"/>
                      <w:sz w:val="21"/>
                      <w:szCs w:val="21"/>
                    </w:rPr>
                    <w:t>温度传感器</w:t>
                  </w:r>
                </w:p>
              </w:tc>
              <w:tc>
                <w:tcPr>
                  <w:tcW w:w="1300" w:type="dxa"/>
                  <w:noWrap w:val="0"/>
                  <w:vAlign w:val="center"/>
                </w:tcPr>
                <w:p w14:paraId="75A8EC75">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4</w:t>
                  </w:r>
                </w:p>
              </w:tc>
              <w:tc>
                <w:tcPr>
                  <w:tcW w:w="1316" w:type="dxa"/>
                  <w:noWrap w:val="0"/>
                  <w:vAlign w:val="center"/>
                </w:tcPr>
                <w:p w14:paraId="29D40204">
                  <w:pPr>
                    <w:spacing w:line="288" w:lineRule="auto"/>
                    <w:jc w:val="center"/>
                    <w:rPr>
                      <w:rFonts w:hint="eastAsia" w:eastAsia="宋体"/>
                      <w:color w:val="FF0000"/>
                      <w:sz w:val="21"/>
                      <w:szCs w:val="21"/>
                      <w:lang w:eastAsia="zh-CN"/>
                    </w:rPr>
                  </w:pPr>
                  <w:r>
                    <w:rPr>
                      <w:rFonts w:hint="eastAsia"/>
                      <w:color w:val="FF0000"/>
                      <w:sz w:val="21"/>
                      <w:szCs w:val="21"/>
                      <w:lang w:eastAsia="zh-CN"/>
                    </w:rPr>
                    <w:t>路</w:t>
                  </w:r>
                </w:p>
              </w:tc>
            </w:tr>
            <w:tr w14:paraId="6E1B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AFEF4A3">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center"/>
                </w:tcPr>
                <w:p w14:paraId="3AF43F5A">
                  <w:pPr>
                    <w:spacing w:line="312" w:lineRule="auto"/>
                    <w:jc w:val="center"/>
                    <w:rPr>
                      <w:rFonts w:hint="eastAsia"/>
                      <w:color w:val="FF0000"/>
                      <w:sz w:val="21"/>
                      <w:szCs w:val="21"/>
                    </w:rPr>
                  </w:pPr>
                  <w:r>
                    <w:rPr>
                      <w:rFonts w:hint="eastAsia"/>
                      <w:color w:val="FF0000"/>
                      <w:sz w:val="21"/>
                      <w:szCs w:val="21"/>
                    </w:rPr>
                    <w:t>摇摆装置</w:t>
                  </w:r>
                </w:p>
              </w:tc>
              <w:tc>
                <w:tcPr>
                  <w:tcW w:w="1300" w:type="dxa"/>
                  <w:noWrap w:val="0"/>
                  <w:vAlign w:val="center"/>
                </w:tcPr>
                <w:p w14:paraId="5759F7C6">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4</w:t>
                  </w:r>
                </w:p>
              </w:tc>
              <w:tc>
                <w:tcPr>
                  <w:tcW w:w="1316" w:type="dxa"/>
                  <w:noWrap w:val="0"/>
                  <w:vAlign w:val="center"/>
                </w:tcPr>
                <w:p w14:paraId="448C80ED">
                  <w:pPr>
                    <w:spacing w:line="288" w:lineRule="auto"/>
                    <w:jc w:val="center"/>
                    <w:rPr>
                      <w:rFonts w:hint="eastAsia" w:eastAsia="宋体"/>
                      <w:color w:val="FF0000"/>
                      <w:sz w:val="21"/>
                      <w:szCs w:val="21"/>
                      <w:lang w:eastAsia="zh-CN"/>
                    </w:rPr>
                  </w:pPr>
                  <w:r>
                    <w:rPr>
                      <w:rFonts w:hint="eastAsia"/>
                      <w:color w:val="FF0000"/>
                      <w:sz w:val="21"/>
                      <w:szCs w:val="21"/>
                      <w:lang w:eastAsia="zh-CN"/>
                    </w:rPr>
                    <w:t>路</w:t>
                  </w:r>
                </w:p>
              </w:tc>
            </w:tr>
            <w:tr w14:paraId="1A14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E59E43A">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center"/>
                </w:tcPr>
                <w:p w14:paraId="354CACEC">
                  <w:pPr>
                    <w:spacing w:line="312" w:lineRule="auto"/>
                    <w:jc w:val="center"/>
                    <w:rPr>
                      <w:rFonts w:hint="eastAsia"/>
                      <w:color w:val="FF0000"/>
                      <w:sz w:val="21"/>
                      <w:szCs w:val="21"/>
                    </w:rPr>
                  </w:pPr>
                  <w:r>
                    <w:rPr>
                      <w:rFonts w:hint="eastAsia"/>
                      <w:color w:val="FF0000"/>
                      <w:sz w:val="21"/>
                      <w:szCs w:val="21"/>
                    </w:rPr>
                    <w:t>排风系统装置</w:t>
                  </w:r>
                </w:p>
              </w:tc>
              <w:tc>
                <w:tcPr>
                  <w:tcW w:w="1300" w:type="dxa"/>
                  <w:noWrap w:val="0"/>
                  <w:vAlign w:val="center"/>
                </w:tcPr>
                <w:p w14:paraId="6E2CDA58">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3128DCB5">
                  <w:pPr>
                    <w:spacing w:line="288" w:lineRule="auto"/>
                    <w:jc w:val="center"/>
                    <w:rPr>
                      <w:rFonts w:hint="eastAsia" w:eastAsia="宋体"/>
                      <w:color w:val="FF0000"/>
                      <w:sz w:val="21"/>
                      <w:szCs w:val="21"/>
                      <w:lang w:eastAsia="zh-CN"/>
                    </w:rPr>
                  </w:pPr>
                  <w:r>
                    <w:rPr>
                      <w:rFonts w:hint="eastAsia"/>
                      <w:color w:val="FF0000"/>
                      <w:sz w:val="21"/>
                      <w:szCs w:val="21"/>
                      <w:lang w:eastAsia="zh-CN"/>
                    </w:rPr>
                    <w:t>套</w:t>
                  </w:r>
                </w:p>
              </w:tc>
            </w:tr>
            <w:tr w14:paraId="51FD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F4DA718">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center"/>
                </w:tcPr>
                <w:p w14:paraId="3AE9825E">
                  <w:pPr>
                    <w:spacing w:line="312" w:lineRule="auto"/>
                    <w:jc w:val="center"/>
                    <w:rPr>
                      <w:rFonts w:hint="eastAsia"/>
                      <w:color w:val="FF0000"/>
                      <w:sz w:val="21"/>
                      <w:szCs w:val="21"/>
                    </w:rPr>
                  </w:pPr>
                  <w:r>
                    <w:rPr>
                      <w:rFonts w:hint="eastAsia"/>
                      <w:color w:val="FF0000"/>
                      <w:sz w:val="21"/>
                      <w:szCs w:val="21"/>
                    </w:rPr>
                    <w:t>排烟管</w:t>
                  </w:r>
                </w:p>
              </w:tc>
              <w:tc>
                <w:tcPr>
                  <w:tcW w:w="1300" w:type="dxa"/>
                  <w:noWrap w:val="0"/>
                  <w:vAlign w:val="center"/>
                </w:tcPr>
                <w:p w14:paraId="042CBE93">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6BE708DF">
                  <w:pPr>
                    <w:widowControl w:val="0"/>
                    <w:numPr>
                      <w:ilvl w:val="0"/>
                      <w:numId w:val="0"/>
                    </w:numPr>
                    <w:jc w:val="center"/>
                    <w:rPr>
                      <w:rFonts w:hint="eastAsia" w:eastAsia="宋体"/>
                      <w:color w:val="FF0000"/>
                      <w:sz w:val="21"/>
                      <w:szCs w:val="21"/>
                      <w:lang w:eastAsia="zh-CN"/>
                    </w:rPr>
                  </w:pPr>
                  <w:r>
                    <w:rPr>
                      <w:rFonts w:hint="eastAsia"/>
                      <w:color w:val="FF0000"/>
                      <w:sz w:val="21"/>
                      <w:szCs w:val="21"/>
                      <w:lang w:eastAsia="zh-CN"/>
                    </w:rPr>
                    <w:t>条</w:t>
                  </w:r>
                </w:p>
              </w:tc>
            </w:tr>
            <w:tr w14:paraId="26F9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255697A">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noWrap w:val="0"/>
                  <w:vAlign w:val="center"/>
                </w:tcPr>
                <w:p w14:paraId="70184DE6">
                  <w:pPr>
                    <w:spacing w:line="312" w:lineRule="auto"/>
                    <w:jc w:val="center"/>
                    <w:rPr>
                      <w:rFonts w:hint="eastAsia"/>
                      <w:color w:val="FF0000"/>
                      <w:sz w:val="21"/>
                      <w:szCs w:val="21"/>
                    </w:rPr>
                  </w:pPr>
                  <w:r>
                    <w:rPr>
                      <w:rFonts w:hint="eastAsia"/>
                      <w:color w:val="FF0000"/>
                      <w:sz w:val="21"/>
                      <w:szCs w:val="21"/>
                    </w:rPr>
                    <w:t>艾灸托盘</w:t>
                  </w:r>
                </w:p>
              </w:tc>
              <w:tc>
                <w:tcPr>
                  <w:tcW w:w="1300" w:type="dxa"/>
                  <w:noWrap w:val="0"/>
                  <w:vAlign w:val="center"/>
                </w:tcPr>
                <w:p w14:paraId="59F6911A">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65939F76">
                  <w:pPr>
                    <w:spacing w:line="288" w:lineRule="auto"/>
                    <w:jc w:val="center"/>
                    <w:rPr>
                      <w:rFonts w:hint="eastAsia" w:eastAsia="宋体"/>
                      <w:color w:val="FF0000"/>
                      <w:sz w:val="21"/>
                      <w:szCs w:val="21"/>
                      <w:lang w:eastAsia="zh-CN"/>
                    </w:rPr>
                  </w:pPr>
                  <w:r>
                    <w:rPr>
                      <w:rFonts w:hint="eastAsia"/>
                      <w:color w:val="FF0000"/>
                      <w:sz w:val="21"/>
                      <w:szCs w:val="21"/>
                      <w:lang w:eastAsia="zh-CN"/>
                    </w:rPr>
                    <w:t>只</w:t>
                  </w:r>
                </w:p>
              </w:tc>
            </w:tr>
            <w:tr w14:paraId="2DC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A076354">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061" w:type="dxa"/>
                  <w:noWrap w:val="0"/>
                  <w:vAlign w:val="center"/>
                </w:tcPr>
                <w:p w14:paraId="674DB8BF">
                  <w:pPr>
                    <w:spacing w:line="312" w:lineRule="auto"/>
                    <w:jc w:val="center"/>
                    <w:rPr>
                      <w:rFonts w:hint="eastAsia"/>
                      <w:color w:val="FF0000"/>
                      <w:sz w:val="21"/>
                      <w:szCs w:val="21"/>
                    </w:rPr>
                  </w:pPr>
                  <w:r>
                    <w:rPr>
                      <w:rFonts w:hint="eastAsia"/>
                      <w:color w:val="FF0000"/>
                      <w:sz w:val="21"/>
                      <w:szCs w:val="21"/>
                    </w:rPr>
                    <w:t>电源线</w:t>
                  </w:r>
                </w:p>
              </w:tc>
              <w:tc>
                <w:tcPr>
                  <w:tcW w:w="1300" w:type="dxa"/>
                  <w:noWrap w:val="0"/>
                  <w:vAlign w:val="center"/>
                </w:tcPr>
                <w:p w14:paraId="0C0E1B0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154A6931">
                  <w:pPr>
                    <w:spacing w:line="288" w:lineRule="auto"/>
                    <w:jc w:val="center"/>
                    <w:rPr>
                      <w:rFonts w:hint="eastAsia" w:eastAsia="宋体"/>
                      <w:color w:val="FF0000"/>
                      <w:sz w:val="21"/>
                      <w:szCs w:val="21"/>
                      <w:lang w:eastAsia="zh-CN"/>
                    </w:rPr>
                  </w:pPr>
                  <w:r>
                    <w:rPr>
                      <w:rFonts w:hint="eastAsia"/>
                      <w:color w:val="FF0000"/>
                      <w:sz w:val="21"/>
                      <w:szCs w:val="21"/>
                      <w:lang w:eastAsia="zh-CN"/>
                    </w:rPr>
                    <w:t>根</w:t>
                  </w:r>
                </w:p>
              </w:tc>
            </w:tr>
            <w:tr w14:paraId="679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3E14BFD">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noWrap w:val="0"/>
                  <w:vAlign w:val="center"/>
                </w:tcPr>
                <w:p w14:paraId="4548F21F">
                  <w:pPr>
                    <w:spacing w:line="312" w:lineRule="auto"/>
                    <w:jc w:val="center"/>
                    <w:rPr>
                      <w:rFonts w:hint="eastAsia"/>
                      <w:color w:val="FF0000"/>
                      <w:sz w:val="21"/>
                      <w:szCs w:val="21"/>
                    </w:rPr>
                  </w:pPr>
                  <w:r>
                    <w:rPr>
                      <w:rFonts w:hint="eastAsia"/>
                      <w:color w:val="FF0000"/>
                      <w:sz w:val="21"/>
                      <w:szCs w:val="21"/>
                    </w:rPr>
                    <w:t>脚轮</w:t>
                  </w:r>
                </w:p>
              </w:tc>
              <w:tc>
                <w:tcPr>
                  <w:tcW w:w="1300" w:type="dxa"/>
                  <w:noWrap w:val="0"/>
                  <w:vAlign w:val="center"/>
                </w:tcPr>
                <w:p w14:paraId="2ED45BF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4</w:t>
                  </w:r>
                </w:p>
              </w:tc>
              <w:tc>
                <w:tcPr>
                  <w:tcW w:w="1316" w:type="dxa"/>
                  <w:noWrap w:val="0"/>
                  <w:vAlign w:val="center"/>
                </w:tcPr>
                <w:p w14:paraId="6468777C">
                  <w:pPr>
                    <w:spacing w:line="288" w:lineRule="auto"/>
                    <w:jc w:val="center"/>
                    <w:rPr>
                      <w:rFonts w:hint="eastAsia" w:eastAsia="宋体"/>
                      <w:color w:val="FF0000"/>
                      <w:sz w:val="21"/>
                      <w:szCs w:val="21"/>
                      <w:lang w:eastAsia="zh-CN"/>
                    </w:rPr>
                  </w:pPr>
                  <w:r>
                    <w:rPr>
                      <w:rFonts w:hint="eastAsia"/>
                      <w:color w:val="FF0000"/>
                      <w:sz w:val="21"/>
                      <w:szCs w:val="21"/>
                      <w:lang w:eastAsia="zh-CN"/>
                    </w:rPr>
                    <w:t>个</w:t>
                  </w:r>
                </w:p>
              </w:tc>
            </w:tr>
            <w:tr w14:paraId="1FC9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44D94FE">
                  <w:pPr>
                    <w:spacing w:line="288" w:lineRule="auto"/>
                    <w:jc w:val="center"/>
                    <w:rPr>
                      <w:rFonts w:hint="default"/>
                      <w:color w:val="FF0000"/>
                      <w:sz w:val="21"/>
                      <w:szCs w:val="21"/>
                      <w:lang w:val="en-US" w:eastAsia="zh-CN"/>
                    </w:rPr>
                  </w:pPr>
                  <w:r>
                    <w:rPr>
                      <w:rFonts w:hint="eastAsia"/>
                      <w:color w:val="FF0000"/>
                      <w:sz w:val="21"/>
                      <w:szCs w:val="21"/>
                      <w:lang w:val="en-US" w:eastAsia="zh-CN"/>
                    </w:rPr>
                    <w:t>11</w:t>
                  </w:r>
                </w:p>
              </w:tc>
              <w:tc>
                <w:tcPr>
                  <w:tcW w:w="3061" w:type="dxa"/>
                  <w:noWrap w:val="0"/>
                  <w:vAlign w:val="center"/>
                </w:tcPr>
                <w:p w14:paraId="2629276D">
                  <w:pPr>
                    <w:spacing w:line="312" w:lineRule="auto"/>
                    <w:jc w:val="center"/>
                    <w:rPr>
                      <w:rFonts w:hint="eastAsia"/>
                      <w:color w:val="FF0000"/>
                      <w:sz w:val="21"/>
                      <w:szCs w:val="21"/>
                    </w:rPr>
                  </w:pPr>
                  <w:r>
                    <w:rPr>
                      <w:rFonts w:hint="eastAsia"/>
                      <w:color w:val="FF0000"/>
                      <w:sz w:val="21"/>
                      <w:szCs w:val="21"/>
                    </w:rPr>
                    <w:t>工具箱</w:t>
                  </w:r>
                </w:p>
              </w:tc>
              <w:tc>
                <w:tcPr>
                  <w:tcW w:w="1300" w:type="dxa"/>
                  <w:noWrap w:val="0"/>
                  <w:vAlign w:val="center"/>
                </w:tcPr>
                <w:p w14:paraId="4208D1F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0C80EABE">
                  <w:pPr>
                    <w:spacing w:line="288" w:lineRule="auto"/>
                    <w:jc w:val="center"/>
                    <w:rPr>
                      <w:rFonts w:hint="eastAsia" w:eastAsia="宋体"/>
                      <w:color w:val="FF0000"/>
                      <w:sz w:val="21"/>
                      <w:szCs w:val="21"/>
                      <w:lang w:eastAsia="zh-CN"/>
                    </w:rPr>
                  </w:pPr>
                  <w:r>
                    <w:rPr>
                      <w:rFonts w:hint="eastAsia"/>
                      <w:color w:val="FF0000"/>
                      <w:sz w:val="21"/>
                      <w:szCs w:val="21"/>
                      <w:lang w:eastAsia="zh-CN"/>
                    </w:rPr>
                    <w:t>套</w:t>
                  </w:r>
                </w:p>
              </w:tc>
            </w:tr>
            <w:tr w14:paraId="66E5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83B3A4A">
                  <w:pPr>
                    <w:spacing w:line="288" w:lineRule="auto"/>
                    <w:jc w:val="center"/>
                    <w:rPr>
                      <w:rFonts w:hint="default"/>
                      <w:color w:val="FF0000"/>
                      <w:sz w:val="21"/>
                      <w:szCs w:val="21"/>
                      <w:lang w:val="en-US" w:eastAsia="zh-CN"/>
                    </w:rPr>
                  </w:pPr>
                  <w:r>
                    <w:rPr>
                      <w:rFonts w:hint="eastAsia"/>
                      <w:color w:val="FF0000"/>
                      <w:sz w:val="21"/>
                      <w:szCs w:val="21"/>
                      <w:lang w:val="en-US" w:eastAsia="zh-CN"/>
                    </w:rPr>
                    <w:t>12</w:t>
                  </w:r>
                </w:p>
              </w:tc>
              <w:tc>
                <w:tcPr>
                  <w:tcW w:w="3061" w:type="dxa"/>
                  <w:noWrap w:val="0"/>
                  <w:vAlign w:val="center"/>
                </w:tcPr>
                <w:p w14:paraId="46F3B418">
                  <w:pPr>
                    <w:spacing w:line="312"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备用易损品（点火柱）</w:t>
                  </w:r>
                </w:p>
              </w:tc>
              <w:tc>
                <w:tcPr>
                  <w:tcW w:w="1300" w:type="dxa"/>
                  <w:noWrap w:val="0"/>
                  <w:vAlign w:val="center"/>
                </w:tcPr>
                <w:p w14:paraId="483BD369">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5</w:t>
                  </w:r>
                </w:p>
              </w:tc>
              <w:tc>
                <w:tcPr>
                  <w:tcW w:w="1316" w:type="dxa"/>
                  <w:noWrap w:val="0"/>
                  <w:vAlign w:val="center"/>
                </w:tcPr>
                <w:p w14:paraId="1DF72478">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eastAsia="zh-CN"/>
                    </w:rPr>
                    <w:t>根</w:t>
                  </w:r>
                </w:p>
              </w:tc>
            </w:tr>
            <w:tr w14:paraId="575B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A5338F1">
                  <w:pPr>
                    <w:spacing w:line="288" w:lineRule="auto"/>
                    <w:jc w:val="center"/>
                    <w:rPr>
                      <w:rFonts w:hint="default"/>
                      <w:color w:val="FF0000"/>
                      <w:sz w:val="21"/>
                      <w:szCs w:val="21"/>
                      <w:lang w:val="en-US" w:eastAsia="zh-CN"/>
                    </w:rPr>
                  </w:pPr>
                  <w:r>
                    <w:rPr>
                      <w:rFonts w:hint="eastAsia"/>
                      <w:color w:val="FF0000"/>
                      <w:sz w:val="21"/>
                      <w:szCs w:val="21"/>
                      <w:lang w:val="en-US" w:eastAsia="zh-CN"/>
                    </w:rPr>
                    <w:t>13</w:t>
                  </w:r>
                </w:p>
              </w:tc>
              <w:tc>
                <w:tcPr>
                  <w:tcW w:w="3061" w:type="dxa"/>
                  <w:noWrap w:val="0"/>
                  <w:vAlign w:val="top"/>
                </w:tcPr>
                <w:p w14:paraId="31656D27">
                  <w:pPr>
                    <w:spacing w:line="288" w:lineRule="auto"/>
                    <w:jc w:val="center"/>
                    <w:rPr>
                      <w:rFonts w:hint="eastAsia"/>
                      <w:color w:val="FF0000"/>
                      <w:sz w:val="21"/>
                      <w:szCs w:val="21"/>
                    </w:rPr>
                  </w:pPr>
                  <w:r>
                    <w:rPr>
                      <w:rFonts w:hint="eastAsia" w:ascii="宋体" w:hAnsi="宋体"/>
                      <w:color w:val="FF0000"/>
                      <w:kern w:val="0"/>
                      <w:szCs w:val="21"/>
                      <w:highlight w:val="none"/>
                    </w:rPr>
                    <w:t>净烟器</w:t>
                  </w:r>
                </w:p>
              </w:tc>
              <w:tc>
                <w:tcPr>
                  <w:tcW w:w="1300" w:type="dxa"/>
                  <w:noWrap w:val="0"/>
                  <w:vAlign w:val="top"/>
                </w:tcPr>
                <w:p w14:paraId="149EEA08">
                  <w:pPr>
                    <w:spacing w:line="288" w:lineRule="auto"/>
                    <w:jc w:val="center"/>
                    <w:rPr>
                      <w:rFonts w:hint="eastAsia"/>
                      <w:color w:val="FF0000"/>
                      <w:sz w:val="21"/>
                      <w:szCs w:val="21"/>
                      <w:lang w:val="en-US" w:eastAsia="zh-CN"/>
                    </w:rPr>
                  </w:pPr>
                  <w:r>
                    <w:rPr>
                      <w:rFonts w:hint="eastAsia" w:ascii="宋体" w:hAnsi="宋体"/>
                      <w:color w:val="FF0000"/>
                      <w:kern w:val="0"/>
                      <w:szCs w:val="21"/>
                      <w:highlight w:val="none"/>
                      <w:lang w:val="en-US" w:eastAsia="zh-CN"/>
                    </w:rPr>
                    <w:t>1</w:t>
                  </w:r>
                </w:p>
              </w:tc>
              <w:tc>
                <w:tcPr>
                  <w:tcW w:w="1316" w:type="dxa"/>
                  <w:noWrap w:val="0"/>
                  <w:vAlign w:val="top"/>
                </w:tcPr>
                <w:p w14:paraId="616FD2D5">
                  <w:pPr>
                    <w:spacing w:line="288" w:lineRule="auto"/>
                    <w:jc w:val="center"/>
                    <w:rPr>
                      <w:rFonts w:hint="eastAsia"/>
                      <w:color w:val="FF0000"/>
                      <w:sz w:val="21"/>
                      <w:szCs w:val="21"/>
                      <w:lang w:eastAsia="zh-CN"/>
                    </w:rPr>
                  </w:pPr>
                  <w:r>
                    <w:rPr>
                      <w:rFonts w:hint="eastAsia" w:ascii="宋体" w:hAnsi="宋体"/>
                      <w:color w:val="FF0000"/>
                      <w:kern w:val="0"/>
                      <w:szCs w:val="21"/>
                      <w:highlight w:val="none"/>
                      <w:lang w:eastAsia="zh-CN"/>
                    </w:rPr>
                    <w:t>台</w:t>
                  </w:r>
                </w:p>
              </w:tc>
            </w:tr>
          </w:tbl>
          <w:p w14:paraId="1E005886">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与灸材配套使用，供临床康复灸疗。</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78E266C8">
            <w:pPr>
              <w:numPr>
                <w:ilvl w:val="0"/>
                <w:numId w:val="1"/>
              </w:numPr>
              <w:spacing w:line="24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独立智能点火：上、下半身独立控制，分段自动点艾。</w:t>
            </w:r>
          </w:p>
          <w:p w14:paraId="20AC44BB">
            <w:pPr>
              <w:pStyle w:val="7"/>
              <w:numPr>
                <w:ilvl w:val="0"/>
                <w:numId w:val="1"/>
              </w:numPr>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w:t>
            </w:r>
            <w:r>
              <w:rPr>
                <w:rFonts w:hint="eastAsia" w:ascii="宋体" w:hAnsi="宋体" w:eastAsia="宋体" w:cs="宋体"/>
                <w:color w:val="FF0000"/>
                <w:kern w:val="2"/>
                <w:sz w:val="21"/>
                <w:szCs w:val="21"/>
                <w:lang w:val="en-US" w:eastAsia="zh-CN" w:bidi="ar-SA"/>
              </w:rPr>
              <w:t>独立灵活调温：能够独立调节上、下半身的艾灸温度。</w:t>
            </w:r>
          </w:p>
          <w:p w14:paraId="33740C56">
            <w:pPr>
              <w:pStyle w:val="8"/>
              <w:numPr>
                <w:ilvl w:val="0"/>
                <w:numId w:val="1"/>
              </w:numPr>
              <w:spacing w:line="24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独立连环循温：能够独立使上、下半身艾火往复摆动，连环循温。</w:t>
            </w:r>
          </w:p>
          <w:p w14:paraId="76614F9E">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▲通体覆盖：可一次性灸透腰部、腹部、背椎部等与人体脏腑联系最为紧密的核心部位。</w:t>
            </w:r>
          </w:p>
          <w:p w14:paraId="475FEC35">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床面翻转设计：能够轻松打开床面，易维护、操作快捷。</w:t>
            </w:r>
          </w:p>
          <w:p w14:paraId="2BC729E3">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安全隔板：能够隔离易燃物体掉入艾灸箱体，安全性能高。</w:t>
            </w:r>
          </w:p>
          <w:p w14:paraId="52AFFB20">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艾灸时可以独立操作，或者一人可操作4到5台床。</w:t>
            </w:r>
          </w:p>
          <w:p w14:paraId="2CC31EAF">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高效渗透：保证艾灸的最佳效果,提高透皮吸收率。通过特制控温机箱保证充分的艾灸温度，高效控温效率高；保证药性强力渗透至病灶区，高效治疗。</w:t>
            </w:r>
          </w:p>
          <w:p w14:paraId="7E204C7F">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治疗时间:连续工作时间：≤8 h；最大定时时间：55±1分钟min。</w:t>
            </w:r>
          </w:p>
          <w:p w14:paraId="7FF20CA7">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定时控制:采用自动排烟系统和自动摇摆系统进行定时控制。</w:t>
            </w:r>
          </w:p>
          <w:p w14:paraId="3B49DBE5">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电源：电压AC220</w:t>
            </w:r>
            <w:r>
              <w:rPr>
                <w:rFonts w:hint="eastAsia" w:ascii="宋体" w:hAnsi="宋体" w:eastAsia="宋体" w:cs="宋体"/>
                <w:color w:val="FF0000"/>
                <w:sz w:val="21"/>
                <w:szCs w:val="21"/>
                <w:lang w:val="en-US" w:eastAsia="zh-CN"/>
              </w:rPr>
              <w:t>-230</w:t>
            </w:r>
            <w:r>
              <w:rPr>
                <w:rFonts w:hint="eastAsia" w:ascii="宋体" w:hAnsi="宋体" w:eastAsia="宋体" w:cs="宋体"/>
                <w:color w:val="FF0000"/>
                <w:sz w:val="21"/>
                <w:szCs w:val="21"/>
              </w:rPr>
              <w:t>,频率</w:t>
            </w:r>
            <w:r>
              <w:rPr>
                <w:rFonts w:hint="eastAsia" w:ascii="宋体" w:hAnsi="宋体" w:eastAsia="宋体" w:cs="宋体"/>
                <w:color w:val="FF0000"/>
                <w:sz w:val="21"/>
                <w:szCs w:val="21"/>
                <w:lang w:val="en-US" w:eastAsia="zh-CN"/>
              </w:rPr>
              <w:t>45-</w:t>
            </w:r>
            <w:r>
              <w:rPr>
                <w:rFonts w:hint="eastAsia" w:ascii="宋体" w:hAnsi="宋体" w:eastAsia="宋体" w:cs="宋体"/>
                <w:color w:val="FF0000"/>
                <w:sz w:val="21"/>
                <w:szCs w:val="21"/>
              </w:rPr>
              <w:t>50HZ。</w:t>
            </w:r>
          </w:p>
          <w:p w14:paraId="6F020CE6">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工作温度（加热底盘上方50cm的温度）：0―120℃。</w:t>
            </w:r>
          </w:p>
          <w:p w14:paraId="65766F7F">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工作温度控制：在0―120℃范围可设置后自动调节达到使用者人体舒适温度。</w:t>
            </w:r>
          </w:p>
          <w:p w14:paraId="571B81B7">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加热功率：0―500W是，允许误差±5W。</w:t>
            </w:r>
          </w:p>
          <w:p w14:paraId="1F97F6C5">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工作时间：0―99min，可根据患者需求任意设置时间。</w:t>
            </w:r>
          </w:p>
          <w:p w14:paraId="392AB507">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艾饼点火时间：3―5分钟。</w:t>
            </w:r>
          </w:p>
          <w:p w14:paraId="5827CA58">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艾饼熏灸方式：静态熏灸和动态旋移熏灸，可随时设置。</w:t>
            </w:r>
          </w:p>
          <w:p w14:paraId="0918A2BA">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▲排烟方式：内置排烟电机，强排/弱排可调。</w:t>
            </w:r>
          </w:p>
          <w:p w14:paraId="35E3B7C2">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▲定位熏灸：可根据患者需求针对性选择身体部位（颈肩、腰臀、腿部）进行固定部位熏灸。</w:t>
            </w:r>
          </w:p>
          <w:p w14:paraId="13B9D41F">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▲智能化控制：彩色显示屏触摸控制，数码显示，功能和参数设置一目了然。</w:t>
            </w:r>
          </w:p>
          <w:p w14:paraId="0CB94327">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安全控制：有紧急安全控制按钮。</w:t>
            </w:r>
          </w:p>
          <w:p w14:paraId="732F73E3">
            <w:pPr>
              <w:pStyle w:val="8"/>
              <w:numPr>
                <w:ilvl w:val="0"/>
                <w:numId w:val="1"/>
              </w:numPr>
              <w:spacing w:line="24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设备尺寸：长：</w:t>
            </w:r>
            <w:r>
              <w:rPr>
                <w:rFonts w:hint="eastAsia" w:ascii="宋体" w:hAnsi="宋体" w:eastAsia="宋体" w:cs="宋体"/>
                <w:color w:val="FF0000"/>
                <w:sz w:val="21"/>
                <w:szCs w:val="21"/>
                <w:lang w:val="en-US" w:eastAsia="zh-CN"/>
              </w:rPr>
              <w:t>200-</w:t>
            </w:r>
            <w:r>
              <w:rPr>
                <w:rFonts w:hint="eastAsia" w:ascii="宋体" w:hAnsi="宋体" w:eastAsia="宋体" w:cs="宋体"/>
                <w:color w:val="FF0000"/>
                <w:sz w:val="21"/>
                <w:szCs w:val="21"/>
              </w:rPr>
              <w:t>210cm，宽：</w:t>
            </w:r>
            <w:r>
              <w:rPr>
                <w:rFonts w:hint="eastAsia" w:ascii="宋体" w:hAnsi="宋体" w:eastAsia="宋体" w:cs="宋体"/>
                <w:color w:val="FF0000"/>
                <w:sz w:val="21"/>
                <w:szCs w:val="21"/>
                <w:lang w:val="en-US" w:eastAsia="zh-CN"/>
              </w:rPr>
              <w:t>70-</w:t>
            </w:r>
            <w:r>
              <w:rPr>
                <w:rFonts w:hint="eastAsia" w:ascii="宋体" w:hAnsi="宋体" w:eastAsia="宋体" w:cs="宋体"/>
                <w:color w:val="FF0000"/>
                <w:sz w:val="21"/>
                <w:szCs w:val="21"/>
              </w:rPr>
              <w:t>75cm,高：</w:t>
            </w:r>
            <w:r>
              <w:rPr>
                <w:rFonts w:hint="eastAsia" w:ascii="宋体" w:hAnsi="宋体" w:eastAsia="宋体" w:cs="宋体"/>
                <w:color w:val="FF0000"/>
                <w:sz w:val="21"/>
                <w:szCs w:val="21"/>
                <w:lang w:val="en-US" w:eastAsia="zh-CN"/>
              </w:rPr>
              <w:t>90-</w:t>
            </w:r>
            <w:r>
              <w:rPr>
                <w:rFonts w:hint="eastAsia" w:ascii="宋体" w:hAnsi="宋体" w:eastAsia="宋体" w:cs="宋体"/>
                <w:color w:val="FF0000"/>
                <w:sz w:val="21"/>
                <w:szCs w:val="21"/>
              </w:rPr>
              <w:t>100cm，误差±5cm。</w:t>
            </w:r>
          </w:p>
          <w:p w14:paraId="1507F80A">
            <w:pPr>
              <w:pStyle w:val="8"/>
              <w:numPr>
                <w:ilvl w:val="0"/>
                <w:numId w:val="1"/>
              </w:numPr>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点火器</w:t>
            </w:r>
            <w:r>
              <w:rPr>
                <w:rFonts w:hint="eastAsia" w:ascii="宋体" w:hAnsi="宋体" w:eastAsia="宋体" w:cs="宋体"/>
                <w:color w:val="FF0000"/>
                <w:sz w:val="21"/>
                <w:szCs w:val="21"/>
                <w:lang w:val="en-US" w:eastAsia="zh-CN"/>
              </w:rPr>
              <w:t>≥18支，可同时点燃≥18个灸饼</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eastAsia="宋体" w:cs="宋体"/>
                <w:bCs/>
                <w:color w:val="FF0000"/>
                <w:kern w:val="0"/>
                <w:sz w:val="21"/>
                <w:szCs w:val="21"/>
                <w:highlight w:val="yellow"/>
                <w:lang w:val="en-US" w:eastAsia="zh-CN" w:bidi="ar-SA"/>
              </w:rPr>
              <w:t>5年</w:t>
            </w:r>
            <w:r>
              <w:rPr>
                <w:rFonts w:hint="eastAsia" w:ascii="宋体" w:hAnsi="宋体" w:eastAsia="宋体" w:cs="宋体"/>
                <w:bCs/>
                <w:color w:val="FF0000"/>
                <w:kern w:val="0"/>
                <w:sz w:val="21"/>
                <w:szCs w:val="21"/>
                <w:highlight w:val="none"/>
                <w:lang w:val="en-US" w:eastAsia="zh-CN" w:bidi="ar-SA"/>
              </w:rPr>
              <w:t>。</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eastAsia="宋体" w:cs="宋体"/>
                <w:bCs/>
                <w:color w:val="FF0000"/>
                <w:kern w:val="0"/>
                <w:sz w:val="21"/>
                <w:szCs w:val="21"/>
                <w:highlight w:val="yellow"/>
                <w:lang w:val="en-US" w:eastAsia="zh-CN" w:bidi="ar-SA"/>
              </w:rPr>
              <w:t>5年</w:t>
            </w:r>
            <w:r>
              <w:rPr>
                <w:rFonts w:hint="eastAsia" w:ascii="宋体" w:hAnsi="宋体" w:eastAsia="宋体" w:cs="宋体"/>
                <w:bCs/>
                <w:color w:val="FF0000"/>
                <w:kern w:val="0"/>
                <w:sz w:val="21"/>
                <w:szCs w:val="21"/>
                <w:lang w:val="en-US" w:eastAsia="zh-CN" w:bidi="ar-SA"/>
              </w:rPr>
              <w:t>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33CA9D2F">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8BE42"/>
    <w:multiLevelType w:val="singleLevel"/>
    <w:tmpl w:val="3838BE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0FB35397"/>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3E3F794F"/>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Body Text 2"/>
    <w:basedOn w:val="1"/>
    <w:autoRedefine/>
    <w:qFormat/>
    <w:uiPriority w:val="0"/>
    <w:pPr>
      <w:spacing w:after="120" w:line="480" w:lineRule="auto"/>
    </w:p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7512</Words>
  <Characters>7757</Characters>
  <Lines>0</Lines>
  <Paragraphs>0</Paragraphs>
  <TotalTime>0</TotalTime>
  <ScaleCrop>false</ScaleCrop>
  <LinksUpToDate>false</LinksUpToDate>
  <CharactersWithSpaces>8455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2025-02-13T07:25:06Z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