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2"/>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2"/>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9"/>
          <w:rFonts w:hint="eastAsia" w:ascii="宋体" w:hAnsi="宋体" w:eastAsia="宋体"/>
          <w:color w:val="000000"/>
          <w:szCs w:val="28"/>
        </w:rPr>
      </w:pPr>
      <w:r>
        <w:rPr>
          <w:rStyle w:val="19"/>
          <w:rFonts w:hint="eastAsia" w:ascii="宋体" w:hAnsi="宋体" w:eastAsia="宋体"/>
          <w:color w:val="000000"/>
          <w:szCs w:val="28"/>
          <w:lang w:eastAsia="zh-CN"/>
        </w:rPr>
        <w:t>项目</w:t>
      </w:r>
      <w:r>
        <w:rPr>
          <w:rStyle w:val="19"/>
          <w:rFonts w:hint="eastAsia" w:ascii="宋体" w:hAnsi="宋体" w:eastAsia="宋体"/>
          <w:color w:val="000000"/>
          <w:szCs w:val="28"/>
        </w:rPr>
        <w:t>编号：</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b w:val="0"/>
          <w:bCs w:val="0"/>
          <w:color w:val="FF0000"/>
          <w:sz w:val="21"/>
          <w:szCs w:val="21"/>
          <w:u w:val="single"/>
          <w:lang w:val="en-US"/>
        </w:rPr>
        <w:t>（须与采购公告项目编号保持一致）</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p>
    <w:p w14:paraId="09641044">
      <w:pPr>
        <w:widowControl/>
        <w:spacing w:line="360" w:lineRule="atLeast"/>
        <w:ind w:firstLine="970" w:firstLineChars="345"/>
        <w:rPr>
          <w:rStyle w:val="19"/>
          <w:rFonts w:hint="eastAsia" w:ascii="宋体" w:hAnsi="宋体" w:eastAsia="宋体"/>
          <w:color w:val="000000"/>
          <w:szCs w:val="28"/>
        </w:rPr>
      </w:pPr>
      <w:r>
        <w:rPr>
          <w:rStyle w:val="19"/>
          <w:rFonts w:hint="eastAsia" w:ascii="宋体" w:hAnsi="宋体" w:eastAsia="宋体"/>
          <w:color w:val="000000"/>
          <w:szCs w:val="28"/>
        </w:rPr>
        <w:t>项目名称：</w:t>
      </w:r>
      <w:r>
        <w:rPr>
          <w:rStyle w:val="19"/>
          <w:rFonts w:hint="eastAsia" w:ascii="宋体" w:hAnsi="宋体" w:eastAsia="宋体"/>
          <w:color w:val="000000"/>
          <w:szCs w:val="28"/>
          <w:u w:val="single"/>
        </w:rPr>
        <w:t xml:space="preserve">   </w:t>
      </w:r>
      <w:r>
        <w:rPr>
          <w:rStyle w:val="19"/>
          <w:rFonts w:hint="eastAsia"/>
          <w:b w:val="0"/>
          <w:bCs w:val="0"/>
          <w:color w:val="FF0000"/>
          <w:sz w:val="21"/>
          <w:szCs w:val="21"/>
          <w:u w:val="single"/>
          <w:lang w:val="en-US"/>
        </w:rPr>
        <w:t>（须与采购公告项目名称保持一致）</w:t>
      </w:r>
      <w:r>
        <w:rPr>
          <w:rStyle w:val="19"/>
          <w:rFonts w:hint="eastAsia"/>
          <w:color w:val="000000"/>
          <w:szCs w:val="28"/>
          <w:u w:val="single"/>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eastAsia="宋体"/>
          <w:color w:val="000000"/>
          <w:szCs w:val="28"/>
        </w:rPr>
        <w:t xml:space="preserve">                   </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 xml:space="preserve">           </w:t>
      </w:r>
    </w:p>
    <w:p w14:paraId="454DC2E3">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投标单位：</w:t>
      </w:r>
      <w:r>
        <w:rPr>
          <w:rStyle w:val="19"/>
          <w:rFonts w:hint="eastAsia" w:ascii="宋体" w:hAnsi="宋体" w:eastAsia="宋体"/>
          <w:color w:val="000000"/>
          <w:szCs w:val="28"/>
          <w:u w:val="single"/>
        </w:rPr>
        <w:t xml:space="preserve"> </w:t>
      </w:r>
      <w:r>
        <w:rPr>
          <w:rStyle w:val="19"/>
          <w:rFonts w:hint="eastAsia" w:ascii="宋体" w:hAnsi="宋体" w:eastAsia="宋体" w:cstheme="minorBidi"/>
          <w:color w:val="000000"/>
          <w:szCs w:val="28"/>
          <w:u w:val="single"/>
        </w:rPr>
        <w:t xml:space="preserve">  </w:t>
      </w:r>
      <w:r>
        <w:rPr>
          <w:rStyle w:val="19"/>
          <w:rFonts w:hint="eastAsia" w:cstheme="minorBidi"/>
          <w:b w:val="0"/>
          <w:bCs w:val="0"/>
          <w:color w:val="FF0000"/>
          <w:sz w:val="21"/>
          <w:szCs w:val="21"/>
          <w:u w:val="single"/>
          <w:lang w:val="en-US"/>
        </w:rPr>
        <w:t>（注：须与单位公章保持一致）</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p>
    <w:p w14:paraId="573D9494">
      <w:pPr>
        <w:widowControl/>
        <w:spacing w:line="360" w:lineRule="atLeast"/>
        <w:ind w:firstLine="970" w:firstLineChars="345"/>
        <w:rPr>
          <w:rStyle w:val="19"/>
          <w:rFonts w:hint="eastAsia" w:ascii="宋体" w:hAnsi="宋体" w:eastAsia="宋体" w:cstheme="minorBidi"/>
          <w:color w:val="000000"/>
          <w:szCs w:val="28"/>
        </w:rPr>
      </w:pPr>
      <w:r>
        <w:rPr>
          <w:rStyle w:val="19"/>
          <w:rFonts w:hint="eastAsia" w:ascii="宋体" w:hAnsi="宋体" w:eastAsia="宋体" w:cstheme="minorBidi"/>
          <w:color w:val="000000"/>
          <w:szCs w:val="28"/>
        </w:rPr>
        <w:t>生产厂家：</w:t>
      </w:r>
      <w:r>
        <w:rPr>
          <w:rStyle w:val="19"/>
          <w:rFonts w:hint="eastAsia" w:ascii="宋体" w:hAnsi="宋体" w:eastAsia="宋体"/>
          <w:color w:val="000000"/>
          <w:szCs w:val="28"/>
          <w:u w:val="single"/>
        </w:rPr>
        <w:t xml:space="preserve">   </w:t>
      </w:r>
      <w:r>
        <w:rPr>
          <w:rStyle w:val="19"/>
          <w:rFonts w:hint="eastAsia" w:cstheme="minorBidi"/>
          <w:b w:val="0"/>
          <w:bCs w:val="0"/>
          <w:color w:val="FF0000"/>
          <w:sz w:val="21"/>
          <w:szCs w:val="21"/>
          <w:u w:val="single"/>
          <w:lang w:val="en-US"/>
        </w:rPr>
        <w:t>（注：如有）</w:t>
      </w:r>
      <w:r>
        <w:rPr>
          <w:rStyle w:val="19"/>
          <w:rFonts w:hint="eastAsia" w:ascii="宋体" w:hAnsi="宋体" w:cstheme="minorBidi"/>
          <w:b w:val="0"/>
          <w:bCs w:val="0"/>
          <w:color w:val="FF0000"/>
          <w:sz w:val="18"/>
          <w:szCs w:val="18"/>
          <w:u w:val="single"/>
        </w:rPr>
        <w:t xml:space="preserve"> </w:t>
      </w:r>
      <w:r>
        <w:rPr>
          <w:rStyle w:val="19"/>
          <w:rFonts w:hint="eastAsia" w:ascii="宋体" w:hAnsi="宋体" w:eastAsia="宋体"/>
          <w:color w:val="000000"/>
          <w:szCs w:val="28"/>
          <w:u w:val="single"/>
        </w:rPr>
        <w:t xml:space="preserve">                          </w:t>
      </w:r>
    </w:p>
    <w:p w14:paraId="1B9BB62F">
      <w:pPr>
        <w:widowControl/>
        <w:spacing w:line="360" w:lineRule="atLeast"/>
        <w:ind w:firstLine="970" w:firstLineChars="345"/>
        <w:rPr>
          <w:rStyle w:val="19"/>
          <w:rFonts w:hint="default" w:ascii="宋体" w:hAnsi="宋体" w:eastAsia="宋体"/>
          <w:color w:val="000000"/>
          <w:szCs w:val="28"/>
          <w:lang w:val="en-US"/>
        </w:rPr>
      </w:pPr>
      <w:r>
        <w:rPr>
          <w:rStyle w:val="19"/>
          <w:rFonts w:hint="eastAsia" w:ascii="宋体" w:hAnsi="宋体" w:eastAsia="宋体"/>
          <w:color w:val="000000"/>
          <w:szCs w:val="28"/>
        </w:rPr>
        <w:t>联</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系</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 xml:space="preserve">人: </w:t>
      </w:r>
      <w:r>
        <w:rPr>
          <w:rStyle w:val="19"/>
          <w:rFonts w:hint="eastAsia" w:ascii="宋体" w:hAnsi="宋体" w:eastAsia="宋体"/>
          <w:color w:val="000000"/>
          <w:szCs w:val="28"/>
          <w:u w:val="single"/>
        </w:rPr>
        <w:t xml:space="preserve">   </w:t>
      </w:r>
      <w:r>
        <w:rPr>
          <w:rStyle w:val="19"/>
          <w:rFonts w:hint="eastAsia" w:ascii="宋体" w:hAnsi="宋体" w:cstheme="minorBidi"/>
          <w:b w:val="0"/>
          <w:bCs w:val="0"/>
          <w:color w:val="FF0000"/>
          <w:sz w:val="21"/>
          <w:szCs w:val="21"/>
          <w:u w:val="single"/>
          <w:lang w:val="en-US"/>
        </w:rPr>
        <w:t>（法定代表</w:t>
      </w:r>
      <w:r>
        <w:rPr>
          <w:rStyle w:val="19"/>
          <w:rFonts w:hint="eastAsia" w:ascii="宋体" w:hAnsi="宋体"/>
          <w:b w:val="0"/>
          <w:bCs w:val="0"/>
          <w:color w:val="FF0000"/>
          <w:sz w:val="21"/>
          <w:szCs w:val="21"/>
          <w:u w:val="single"/>
          <w:lang w:val="en-US"/>
        </w:rPr>
        <w:t>人或</w:t>
      </w:r>
      <w:r>
        <w:rPr>
          <w:rStyle w:val="19"/>
          <w:rFonts w:hint="eastAsia" w:ascii="宋体" w:hAnsi="宋体"/>
          <w:b w:val="0"/>
          <w:bCs w:val="0"/>
          <w:color w:val="FF0000"/>
          <w:sz w:val="21"/>
          <w:szCs w:val="21"/>
          <w:u w:val="single"/>
          <w:lang w:val="en-US" w:eastAsia="zh-CN"/>
        </w:rPr>
        <w:t>投标授权代表人</w:t>
      </w:r>
      <w:r>
        <w:rPr>
          <w:rStyle w:val="19"/>
          <w:rFonts w:hint="eastAsia" w:ascii="宋体" w:hAnsi="宋体"/>
          <w:b w:val="0"/>
          <w:bCs w:val="0"/>
          <w:color w:val="FF0000"/>
          <w:sz w:val="21"/>
          <w:szCs w:val="21"/>
          <w:u w:val="single"/>
          <w:lang w:val="en-US"/>
        </w:rPr>
        <w:t>）</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p>
    <w:p w14:paraId="60E5C3EA">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联系电话：</w:t>
      </w:r>
      <w:r>
        <w:rPr>
          <w:rStyle w:val="19"/>
          <w:rFonts w:hint="eastAsia" w:ascii="宋体" w:hAnsi="宋体" w:eastAsia="宋体"/>
          <w:color w:val="000000"/>
          <w:szCs w:val="28"/>
          <w:u w:val="single"/>
        </w:rPr>
        <w:t xml:space="preserve">                </w:t>
      </w:r>
      <w:r>
        <w:rPr>
          <w:rStyle w:val="19"/>
          <w:rFonts w:hint="eastAsia" w:ascii="宋体" w:hAnsi="宋体" w:eastAsia="宋体"/>
          <w:b w:val="0"/>
          <w:color w:val="000000"/>
          <w:sz w:val="18"/>
          <w:szCs w:val="18"/>
        </w:rPr>
        <w:t>（手机）</w:t>
      </w:r>
      <w:r>
        <w:rPr>
          <w:rStyle w:val="19"/>
          <w:rFonts w:hint="eastAsia" w:ascii="宋体" w:hAnsi="宋体" w:eastAsia="宋体"/>
          <w:color w:val="000000"/>
          <w:szCs w:val="28"/>
          <w:u w:val="single"/>
        </w:rPr>
        <w:t xml:space="preserve">            </w:t>
      </w:r>
      <w:r>
        <w:rPr>
          <w:rStyle w:val="19"/>
          <w:rFonts w:hint="eastAsia" w:ascii="宋体" w:hAnsi="宋体" w:eastAsia="宋体"/>
          <w:b w:val="0"/>
          <w:color w:val="000000"/>
          <w:sz w:val="18"/>
          <w:szCs w:val="18"/>
        </w:rPr>
        <w:t>（办公）</w:t>
      </w:r>
    </w:p>
    <w:p w14:paraId="0440B8D0">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地址：</w:t>
      </w:r>
      <w:r>
        <w:rPr>
          <w:rStyle w:val="19"/>
          <w:rFonts w:hint="eastAsia" w:ascii="宋体" w:hAnsi="宋体" w:eastAsia="宋体"/>
          <w:color w:val="000000"/>
          <w:szCs w:val="28"/>
          <w:u w:val="single"/>
        </w:rPr>
        <w:t xml:space="preserve">                                          </w:t>
      </w:r>
    </w:p>
    <w:p w14:paraId="5F12442D">
      <w:pPr>
        <w:widowControl/>
        <w:spacing w:line="360" w:lineRule="atLeast"/>
        <w:ind w:firstLine="970" w:firstLineChars="345"/>
        <w:rPr>
          <w:rStyle w:val="19"/>
          <w:rFonts w:ascii="宋体" w:hAnsi="宋体" w:eastAsia="宋体"/>
          <w:color w:val="000000"/>
          <w:szCs w:val="28"/>
        </w:rPr>
      </w:pPr>
      <w:r>
        <w:rPr>
          <w:rStyle w:val="19"/>
          <w:rFonts w:hint="eastAsia" w:ascii="宋体" w:hAnsi="宋体" w:eastAsia="宋体"/>
          <w:color w:val="000000"/>
          <w:szCs w:val="28"/>
          <w:highlight w:val="none"/>
        </w:rPr>
        <w:t>日期：</w:t>
      </w:r>
      <w:r>
        <w:rPr>
          <w:rStyle w:val="19"/>
          <w:rFonts w:ascii="宋体" w:hAnsi="宋体" w:eastAsia="宋体"/>
          <w:color w:val="000000"/>
          <w:szCs w:val="28"/>
          <w:highlight w:val="none"/>
        </w:rPr>
        <w:t>20</w:t>
      </w:r>
      <w:r>
        <w:rPr>
          <w:rStyle w:val="19"/>
          <w:rFonts w:hint="eastAsia" w:ascii="宋体" w:hAnsi="宋体" w:eastAsia="宋体"/>
          <w:color w:val="000000"/>
          <w:szCs w:val="28"/>
          <w:highlight w:val="none"/>
          <w:lang w:val="en-US"/>
        </w:rPr>
        <w:t>2</w:t>
      </w:r>
      <w:r>
        <w:rPr>
          <w:rStyle w:val="19"/>
          <w:rFonts w:hint="eastAsia" w:ascii="宋体" w:hAnsi="宋体"/>
          <w:color w:val="000000"/>
          <w:szCs w:val="28"/>
          <w:highlight w:val="none"/>
          <w:lang w:val="en-US"/>
        </w:rPr>
        <w:t>4</w:t>
      </w:r>
      <w:r>
        <w:rPr>
          <w:rStyle w:val="19"/>
          <w:rFonts w:ascii="宋体" w:hAnsi="宋体" w:eastAsia="宋体"/>
          <w:color w:val="000000"/>
          <w:szCs w:val="28"/>
          <w:highlight w:val="none"/>
        </w:rPr>
        <w:t>年</w:t>
      </w:r>
      <w:r>
        <w:rPr>
          <w:rStyle w:val="19"/>
          <w:rFonts w:hint="eastAsia" w:ascii="宋体" w:hAnsi="宋体" w:eastAsia="宋体"/>
          <w:color w:val="000000"/>
          <w:szCs w:val="28"/>
          <w:highlight w:val="none"/>
          <w:u w:val="single"/>
        </w:rPr>
        <w:t xml:space="preserve">    </w:t>
      </w:r>
      <w:r>
        <w:rPr>
          <w:rStyle w:val="19"/>
          <w:rFonts w:ascii="宋体" w:hAnsi="宋体" w:eastAsia="宋体"/>
          <w:color w:val="000000"/>
          <w:szCs w:val="28"/>
          <w:highlight w:val="none"/>
        </w:rPr>
        <w:t>月</w:t>
      </w:r>
      <w:r>
        <w:rPr>
          <w:rStyle w:val="19"/>
          <w:rFonts w:hint="eastAsia" w:ascii="宋体" w:hAnsi="宋体" w:eastAsia="宋体"/>
          <w:color w:val="000000"/>
          <w:szCs w:val="28"/>
          <w:highlight w:val="none"/>
          <w:u w:val="single"/>
        </w:rPr>
        <w:t xml:space="preserve">    </w:t>
      </w:r>
      <w:r>
        <w:rPr>
          <w:rStyle w:val="19"/>
          <w:rFonts w:ascii="宋体" w:hAnsi="宋体" w:eastAsia="宋体"/>
          <w:color w:val="000000"/>
          <w:szCs w:val="28"/>
          <w:highlight w:val="none"/>
        </w:rPr>
        <w:t>日</w:t>
      </w:r>
      <w:r>
        <w:rPr>
          <w:rStyle w:val="19"/>
          <w:rFonts w:hint="eastAsia" w:ascii="宋体" w:hAnsi="宋体" w:eastAsia="宋体"/>
          <w:color w:val="000000"/>
          <w:szCs w:val="28"/>
          <w:highlight w:val="none"/>
        </w:rPr>
        <w:t xml:space="preserve">              </w:t>
      </w:r>
      <w:r>
        <w:rPr>
          <w:rStyle w:val="19"/>
          <w:rFonts w:hint="eastAsia" w:ascii="宋体" w:hAnsi="宋体" w:eastAsia="宋体"/>
          <w:color w:val="000000"/>
          <w:szCs w:val="28"/>
        </w:rPr>
        <w:t xml:space="preserve">                             </w:t>
      </w:r>
    </w:p>
    <w:p w14:paraId="6FAC2E0B">
      <w:pPr>
        <w:widowControl/>
        <w:jc w:val="left"/>
        <w:rPr>
          <w:rStyle w:val="19"/>
          <w:rFonts w:ascii="宋体" w:hAnsi="宋体" w:eastAsia="宋体"/>
          <w:color w:val="000000"/>
          <w:szCs w:val="28"/>
        </w:rPr>
      </w:pPr>
      <w:r>
        <w:rPr>
          <w:rStyle w:val="19"/>
          <w:rFonts w:hint="eastAsia" w:ascii="宋体" w:hAnsi="宋体" w:eastAsia="宋体"/>
          <w:color w:val="000000"/>
          <w:szCs w:val="28"/>
        </w:rPr>
        <w:t xml:space="preserve">                                       </w:t>
      </w:r>
    </w:p>
    <w:p w14:paraId="21650748">
      <w:pPr>
        <w:widowControl/>
        <w:numPr>
          <w:ilvl w:val="0"/>
          <w:numId w:val="0"/>
        </w:numPr>
        <w:spacing w:line="400" w:lineRule="exact"/>
        <w:rPr>
          <w:rStyle w:val="19"/>
          <w:rFonts w:hint="eastAsia" w:ascii="宋体" w:hAnsi="宋体" w:eastAsia="宋体"/>
          <w:color w:val="000000"/>
          <w:szCs w:val="28"/>
          <w:highlight w:val="none"/>
        </w:rPr>
      </w:pPr>
      <w:r>
        <w:rPr>
          <w:rStyle w:val="19"/>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6"/>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20"/>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9"/>
          <w:rFonts w:hint="default" w:ascii="宋体" w:hAnsi="宋体" w:cstheme="minorBidi"/>
          <w:b/>
          <w:bCs/>
          <w:color w:val="FF0000"/>
          <w:sz w:val="24"/>
          <w:szCs w:val="24"/>
          <w:lang w:val="en-US"/>
        </w:rPr>
      </w:pPr>
    </w:p>
    <w:p w14:paraId="2CE78B53">
      <w:pPr>
        <w:rPr>
          <w:rStyle w:val="19"/>
          <w:rFonts w:hint="default" w:ascii="宋体" w:hAnsi="宋体" w:cstheme="minorBidi"/>
          <w:b/>
          <w:bCs/>
          <w:color w:val="FF0000"/>
          <w:sz w:val="24"/>
          <w:szCs w:val="24"/>
          <w:lang w:val="en-US" w:eastAsia="zh-CN"/>
        </w:rPr>
      </w:pPr>
      <w:r>
        <w:rPr>
          <w:rStyle w:val="19"/>
          <w:rFonts w:hint="eastAsia" w:ascii="宋体" w:hAnsi="宋体" w:cstheme="minorBidi"/>
          <w:b/>
          <w:bCs/>
          <w:color w:val="FF0000"/>
          <w:sz w:val="24"/>
          <w:szCs w:val="24"/>
        </w:rPr>
        <w:t>温馨提示：</w:t>
      </w:r>
      <w:r>
        <w:rPr>
          <w:rStyle w:val="19"/>
          <w:rFonts w:hint="eastAsia" w:ascii="宋体" w:hAnsi="宋体" w:cstheme="minorBidi"/>
          <w:b/>
          <w:bCs/>
          <w:color w:val="FF0000"/>
          <w:sz w:val="24"/>
          <w:szCs w:val="24"/>
          <w:lang w:eastAsia="zh-CN"/>
        </w:rPr>
        <w:t>建议资料使用彩色复印件或原件彩色扫描件，</w:t>
      </w:r>
      <w:r>
        <w:rPr>
          <w:rStyle w:val="19"/>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9"/>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9"/>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8"/>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8"/>
        <w:rPr>
          <w:rFonts w:hint="eastAsia" w:ascii="仿宋_GB2312" w:eastAsia="仿宋_GB2312"/>
          <w:sz w:val="28"/>
          <w:szCs w:val="28"/>
        </w:rPr>
      </w:pPr>
    </w:p>
    <w:p w14:paraId="22933C69">
      <w:pPr>
        <w:pStyle w:val="18"/>
        <w:rPr>
          <w:rFonts w:hint="eastAsia" w:ascii="仿宋_GB2312" w:eastAsia="仿宋_GB2312"/>
          <w:sz w:val="28"/>
          <w:szCs w:val="28"/>
        </w:rPr>
      </w:pPr>
    </w:p>
    <w:p w14:paraId="4B8236B8">
      <w:pPr>
        <w:pStyle w:val="18"/>
        <w:rPr>
          <w:rFonts w:hint="eastAsia" w:ascii="仿宋_GB2312" w:eastAsia="仿宋_GB2312"/>
          <w:sz w:val="28"/>
          <w:szCs w:val="28"/>
        </w:rPr>
      </w:pPr>
    </w:p>
    <w:p w14:paraId="0E3B7415">
      <w:pPr>
        <w:pStyle w:val="18"/>
        <w:rPr>
          <w:rFonts w:hint="eastAsia" w:ascii="仿宋_GB2312" w:eastAsia="仿宋_GB2312"/>
          <w:sz w:val="28"/>
          <w:szCs w:val="28"/>
        </w:rPr>
      </w:pPr>
    </w:p>
    <w:p w14:paraId="55316E25">
      <w:pPr>
        <w:pStyle w:val="18"/>
        <w:rPr>
          <w:rFonts w:hint="eastAsia" w:ascii="仿宋_GB2312" w:eastAsia="仿宋_GB2312"/>
          <w:sz w:val="28"/>
          <w:szCs w:val="28"/>
        </w:rPr>
      </w:pPr>
    </w:p>
    <w:p w14:paraId="32141A1C">
      <w:pPr>
        <w:pStyle w:val="18"/>
        <w:rPr>
          <w:rFonts w:hint="eastAsia" w:ascii="仿宋_GB2312" w:eastAsia="仿宋_GB2312"/>
          <w:sz w:val="28"/>
          <w:szCs w:val="28"/>
        </w:rPr>
      </w:pPr>
    </w:p>
    <w:p w14:paraId="21D705DD">
      <w:pPr>
        <w:pStyle w:val="18"/>
        <w:rPr>
          <w:rFonts w:hint="eastAsia" w:ascii="仿宋_GB2312" w:eastAsia="仿宋_GB2312"/>
          <w:sz w:val="28"/>
          <w:szCs w:val="28"/>
        </w:rPr>
      </w:pPr>
    </w:p>
    <w:p w14:paraId="15C52E83">
      <w:pPr>
        <w:pStyle w:val="18"/>
        <w:rPr>
          <w:rFonts w:hint="eastAsia" w:ascii="仿宋_GB2312" w:eastAsia="仿宋_GB2312"/>
          <w:sz w:val="28"/>
          <w:szCs w:val="28"/>
        </w:rPr>
      </w:pPr>
    </w:p>
    <w:p w14:paraId="042CFD16">
      <w:pPr>
        <w:pStyle w:val="18"/>
        <w:rPr>
          <w:rFonts w:hint="eastAsia" w:ascii="仿宋_GB2312" w:eastAsia="仿宋_GB2312"/>
          <w:sz w:val="28"/>
          <w:szCs w:val="28"/>
        </w:rPr>
      </w:pPr>
    </w:p>
    <w:p w14:paraId="74C9F1BF">
      <w:pPr>
        <w:pStyle w:val="18"/>
        <w:rPr>
          <w:rFonts w:hint="eastAsia" w:ascii="仿宋_GB2312" w:eastAsia="仿宋_GB2312"/>
          <w:sz w:val="28"/>
          <w:szCs w:val="28"/>
        </w:rPr>
      </w:pPr>
    </w:p>
    <w:p w14:paraId="404F9E37">
      <w:pPr>
        <w:pStyle w:val="18"/>
        <w:rPr>
          <w:rFonts w:hint="eastAsia" w:ascii="仿宋_GB2312" w:eastAsia="仿宋_GB2312"/>
          <w:sz w:val="28"/>
          <w:szCs w:val="28"/>
        </w:rPr>
      </w:pPr>
    </w:p>
    <w:p w14:paraId="525D0C52">
      <w:pPr>
        <w:pStyle w:val="18"/>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8"/>
        <w:rPr>
          <w:rFonts w:hint="eastAsia" w:ascii="宋体" w:hAnsi="宋体"/>
          <w:lang w:val="en-US" w:eastAsia="zh-CN"/>
        </w:rPr>
      </w:pPr>
      <w:r>
        <w:rPr>
          <w:rFonts w:hint="eastAsia" w:ascii="宋体" w:hAnsi="宋体"/>
          <w:lang w:val="en-US" w:eastAsia="zh-CN"/>
        </w:rPr>
        <w:t xml:space="preserve"> </w:t>
      </w:r>
    </w:p>
    <w:p w14:paraId="33EA92B3">
      <w:pPr>
        <w:pStyle w:val="18"/>
        <w:rPr>
          <w:rFonts w:hint="eastAsia" w:ascii="宋体" w:hAnsi="宋体"/>
          <w:lang w:val="en-US" w:eastAsia="zh-CN"/>
        </w:rPr>
      </w:pPr>
    </w:p>
    <w:p w14:paraId="4128CB88">
      <w:pPr>
        <w:pStyle w:val="18"/>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9"/>
          <w:rFonts w:hint="default"/>
          <w:color w:val="000000"/>
          <w:szCs w:val="28"/>
          <w:lang w:val="en-US" w:eastAsia="zh-CN"/>
        </w:rPr>
      </w:pPr>
    </w:p>
    <w:p w14:paraId="47AEEB51">
      <w:pPr>
        <w:pStyle w:val="10"/>
        <w:rPr>
          <w:rStyle w:val="19"/>
          <w:color w:val="000000"/>
          <w:szCs w:val="28"/>
        </w:rPr>
      </w:pPr>
    </w:p>
    <w:p w14:paraId="65A0EA51">
      <w:pPr>
        <w:pStyle w:val="10"/>
        <w:rPr>
          <w:rStyle w:val="19"/>
          <w:color w:val="000000"/>
          <w:szCs w:val="28"/>
        </w:rPr>
      </w:pPr>
    </w:p>
    <w:p w14:paraId="4B2F013C">
      <w:pPr>
        <w:pStyle w:val="10"/>
        <w:rPr>
          <w:rStyle w:val="19"/>
          <w:color w:val="000000"/>
          <w:szCs w:val="28"/>
        </w:rPr>
      </w:pPr>
    </w:p>
    <w:p w14:paraId="481E1B8E">
      <w:pPr>
        <w:pStyle w:val="10"/>
        <w:rPr>
          <w:rStyle w:val="19"/>
          <w:color w:val="000000"/>
          <w:szCs w:val="28"/>
        </w:rPr>
      </w:pPr>
    </w:p>
    <w:p w14:paraId="338610C8">
      <w:pPr>
        <w:spacing w:after="60"/>
        <w:rPr>
          <w:rFonts w:ascii="宋体" w:hAnsi="宋体"/>
          <w:b/>
          <w:bCs/>
          <w:szCs w:val="21"/>
        </w:rPr>
      </w:pPr>
    </w:p>
    <w:p w14:paraId="2D0A7592">
      <w:pPr>
        <w:pStyle w:val="18"/>
        <w:rPr>
          <w:rFonts w:ascii="宋体" w:hAnsi="宋体"/>
          <w:b/>
          <w:bCs/>
          <w:szCs w:val="21"/>
        </w:rPr>
      </w:pPr>
    </w:p>
    <w:p w14:paraId="3BE1D1AE">
      <w:pPr>
        <w:pStyle w:val="18"/>
        <w:rPr>
          <w:rFonts w:ascii="宋体" w:hAnsi="宋体"/>
          <w:b/>
          <w:bCs/>
          <w:szCs w:val="21"/>
        </w:rPr>
      </w:pPr>
    </w:p>
    <w:p w14:paraId="38C38634">
      <w:pPr>
        <w:pStyle w:val="18"/>
        <w:rPr>
          <w:rFonts w:ascii="宋体" w:hAnsi="宋体"/>
          <w:b/>
          <w:bCs/>
          <w:szCs w:val="21"/>
        </w:rPr>
      </w:pPr>
    </w:p>
    <w:p w14:paraId="4222A0AC">
      <w:pPr>
        <w:pStyle w:val="18"/>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8"/>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3"/>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7"/>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8"/>
        <w:rPr>
          <w:rFonts w:hint="eastAsia" w:ascii="仿宋_GB2312" w:eastAsia="仿宋_GB2312"/>
          <w:sz w:val="28"/>
          <w:szCs w:val="28"/>
        </w:rPr>
      </w:pPr>
    </w:p>
    <w:p w14:paraId="7C08E3A6">
      <w:pPr>
        <w:pStyle w:val="18"/>
        <w:rPr>
          <w:rFonts w:hint="eastAsia" w:ascii="仿宋_GB2312" w:eastAsia="仿宋_GB2312"/>
          <w:sz w:val="28"/>
          <w:szCs w:val="28"/>
        </w:rPr>
      </w:pPr>
    </w:p>
    <w:p w14:paraId="07ADB71A">
      <w:pPr>
        <w:pStyle w:val="18"/>
        <w:rPr>
          <w:rFonts w:hint="eastAsia" w:ascii="仿宋_GB2312" w:eastAsia="仿宋_GB2312"/>
          <w:sz w:val="28"/>
          <w:szCs w:val="28"/>
        </w:rPr>
      </w:pPr>
    </w:p>
    <w:p w14:paraId="7D7582D4">
      <w:pPr>
        <w:pStyle w:val="18"/>
        <w:rPr>
          <w:rFonts w:hint="eastAsia" w:ascii="仿宋_GB2312" w:eastAsia="仿宋_GB2312"/>
          <w:sz w:val="28"/>
          <w:szCs w:val="28"/>
        </w:rPr>
      </w:pPr>
    </w:p>
    <w:p w14:paraId="21064E9B">
      <w:pPr>
        <w:pStyle w:val="18"/>
        <w:rPr>
          <w:rFonts w:hint="eastAsia" w:ascii="仿宋_GB2312" w:eastAsia="仿宋_GB2312"/>
          <w:sz w:val="28"/>
          <w:szCs w:val="28"/>
        </w:rPr>
      </w:pPr>
    </w:p>
    <w:p w14:paraId="0D7BE7C1">
      <w:pPr>
        <w:pStyle w:val="18"/>
        <w:rPr>
          <w:rFonts w:hint="eastAsia" w:ascii="宋体" w:hAnsi="宋体" w:eastAsia="宋体" w:cs="宋体"/>
          <w:bCs/>
          <w:color w:val="auto"/>
          <w:kern w:val="0"/>
          <w:sz w:val="24"/>
          <w:szCs w:val="24"/>
          <w:highlight w:val="green"/>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29FE067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14:paraId="4B4797F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14:paraId="28276F9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投标人须对本项目的技术规格和商务要求进行整体逐条响应</w:t>
      </w:r>
    </w:p>
    <w:p w14:paraId="61AA6F63">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1.技术规格和商务要求中打“★”号条款为实质性条款，有任何一条负偏离则导致无效投标。</w:t>
      </w:r>
    </w:p>
    <w:p w14:paraId="7EC4BB26">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2.技术规格和商务要求中打“▲”号条款为重要技术参数，但不作为无效投标条款。</w:t>
      </w:r>
    </w:p>
    <w:p w14:paraId="2C52EF78">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技术规格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7048DA0E">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003ADF2A">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04BA9E88">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3"/>
        <w:tblW w:w="8784"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07"/>
        <w:gridCol w:w="2189"/>
        <w:gridCol w:w="1066"/>
        <w:gridCol w:w="1516"/>
        <w:gridCol w:w="2130"/>
        <w:gridCol w:w="1376"/>
      </w:tblGrid>
      <w:tr w14:paraId="3CE1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57" w:hRule="atLeast"/>
        </w:trPr>
        <w:tc>
          <w:tcPr>
            <w:tcW w:w="507" w:type="dxa"/>
            <w:noWrap w:val="0"/>
            <w:vAlign w:val="center"/>
          </w:tcPr>
          <w:p w14:paraId="0F40491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189" w:type="dxa"/>
            <w:noWrap w:val="0"/>
            <w:vAlign w:val="center"/>
          </w:tcPr>
          <w:p w14:paraId="23C34A9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1066" w:type="dxa"/>
            <w:noWrap w:val="0"/>
            <w:vAlign w:val="center"/>
          </w:tcPr>
          <w:p w14:paraId="0F473AB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color w:val="FF0000"/>
                <w:sz w:val="21"/>
                <w:szCs w:val="21"/>
                <w:lang w:val="en-US" w:eastAsia="zh-CN"/>
              </w:rPr>
            </w:pPr>
            <w:r>
              <w:rPr>
                <w:rFonts w:hint="eastAsia"/>
                <w:b/>
                <w:bCs/>
                <w:color w:val="FF0000"/>
                <w:sz w:val="21"/>
                <w:szCs w:val="21"/>
                <w:lang w:val="en-US" w:eastAsia="zh-CN"/>
              </w:rPr>
              <w:t>数量</w:t>
            </w:r>
          </w:p>
        </w:tc>
        <w:tc>
          <w:tcPr>
            <w:tcW w:w="1516" w:type="dxa"/>
            <w:noWrap w:val="0"/>
            <w:vAlign w:val="center"/>
          </w:tcPr>
          <w:p w14:paraId="064C78C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14:paraId="577E1E23">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（人民币元）</w:t>
            </w:r>
          </w:p>
        </w:tc>
        <w:tc>
          <w:tcPr>
            <w:tcW w:w="2130" w:type="dxa"/>
            <w:noWrap w:val="0"/>
            <w:vAlign w:val="center"/>
          </w:tcPr>
          <w:p w14:paraId="6C12B44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rPr>
              <w:t>技术需求或服务要求</w:t>
            </w:r>
          </w:p>
        </w:tc>
        <w:tc>
          <w:tcPr>
            <w:tcW w:w="1376" w:type="dxa"/>
            <w:noWrap w:val="0"/>
            <w:vAlign w:val="center"/>
          </w:tcPr>
          <w:p w14:paraId="1BF57EF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3423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81" w:hRule="atLeast"/>
        </w:trPr>
        <w:tc>
          <w:tcPr>
            <w:tcW w:w="507" w:type="dxa"/>
            <w:noWrap w:val="0"/>
            <w:vAlign w:val="center"/>
          </w:tcPr>
          <w:p w14:paraId="304D79F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cs="Times New Roman"/>
                <w:color w:val="FF0000"/>
                <w:szCs w:val="21"/>
                <w:highlight w:val="none"/>
                <w:lang w:val="en-US" w:eastAsia="zh-CN"/>
              </w:rPr>
              <w:t>1</w:t>
            </w:r>
          </w:p>
        </w:tc>
        <w:tc>
          <w:tcPr>
            <w:tcW w:w="2189" w:type="dxa"/>
            <w:noWrap w:val="0"/>
            <w:vAlign w:val="center"/>
          </w:tcPr>
          <w:p w14:paraId="4682F8E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color w:val="FF0000"/>
                <w:szCs w:val="21"/>
                <w:highlight w:val="none"/>
                <w:lang w:val="en-US" w:eastAsia="zh-CN"/>
              </w:rPr>
              <w:t>药剂科(东塘社康煎药室)无线网络建设项目</w:t>
            </w:r>
          </w:p>
        </w:tc>
        <w:tc>
          <w:tcPr>
            <w:tcW w:w="1066" w:type="dxa"/>
            <w:noWrap w:val="0"/>
            <w:vAlign w:val="center"/>
          </w:tcPr>
          <w:p w14:paraId="5BB2A72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cs="Times New Roman"/>
                <w:color w:val="FF0000"/>
                <w:szCs w:val="21"/>
                <w:highlight w:val="none"/>
                <w:lang w:val="en-US" w:eastAsia="zh-CN"/>
              </w:rPr>
              <w:t>1套</w:t>
            </w:r>
          </w:p>
        </w:tc>
        <w:tc>
          <w:tcPr>
            <w:tcW w:w="1516" w:type="dxa"/>
            <w:noWrap w:val="0"/>
            <w:vAlign w:val="center"/>
          </w:tcPr>
          <w:p w14:paraId="602FCA3F">
            <w:pPr>
              <w:keepNext w:val="0"/>
              <w:keepLines w:val="0"/>
              <w:pageBreakBefore w:val="0"/>
              <w:widowControl/>
              <w:tabs>
                <w:tab w:val="left" w:pos="260"/>
              </w:tabs>
              <w:kinsoku/>
              <w:wordWrap/>
              <w:overflowPunct/>
              <w:topLinePunct w:val="0"/>
              <w:autoSpaceDE/>
              <w:autoSpaceDN/>
              <w:bidi w:val="0"/>
              <w:adjustRightInd/>
              <w:snapToGrid w:val="0"/>
              <w:spacing w:line="240" w:lineRule="auto"/>
              <w:jc w:val="left"/>
              <w:textAlignment w:val="auto"/>
              <w:rPr>
                <w:rFonts w:hint="default" w:ascii="宋体" w:hAnsi="宋体" w:eastAsia="宋体" w:cs="Times New Roman"/>
                <w:color w:val="FF0000"/>
                <w:szCs w:val="21"/>
                <w:highlight w:val="none"/>
                <w:lang w:val="en-US" w:eastAsia="zh-CN"/>
              </w:rPr>
            </w:pPr>
            <w:r>
              <w:rPr>
                <w:rFonts w:hint="eastAsia" w:ascii="宋体" w:hAnsi="宋体" w:cs="Times New Roman"/>
                <w:color w:val="FF0000"/>
                <w:szCs w:val="21"/>
                <w:highlight w:val="none"/>
                <w:lang w:val="en-US" w:eastAsia="zh-CN"/>
              </w:rPr>
              <w:tab/>
            </w:r>
            <w:r>
              <w:rPr>
                <w:rFonts w:hint="eastAsia" w:ascii="宋体" w:hAnsi="宋体" w:cs="Times New Roman"/>
                <w:color w:val="FF0000"/>
                <w:szCs w:val="21"/>
                <w:highlight w:val="none"/>
                <w:lang w:val="en-US" w:eastAsia="zh-CN"/>
              </w:rPr>
              <w:t>135200</w:t>
            </w:r>
          </w:p>
        </w:tc>
        <w:tc>
          <w:tcPr>
            <w:tcW w:w="2130" w:type="dxa"/>
            <w:noWrap w:val="0"/>
            <w:vAlign w:val="center"/>
          </w:tcPr>
          <w:p w14:paraId="0B64F0F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cs="Times New Roman"/>
                <w:color w:val="FF0000"/>
                <w:szCs w:val="21"/>
                <w:highlight w:val="none"/>
                <w:lang w:val="en-US" w:eastAsia="zh-CN"/>
              </w:rPr>
              <w:t>详见招标文件用户需求书</w:t>
            </w:r>
          </w:p>
        </w:tc>
        <w:tc>
          <w:tcPr>
            <w:tcW w:w="1376" w:type="dxa"/>
            <w:noWrap w:val="0"/>
            <w:vAlign w:val="center"/>
          </w:tcPr>
          <w:p w14:paraId="05BA176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cs="Times New Roman"/>
                <w:color w:val="FF0000"/>
                <w:szCs w:val="21"/>
                <w:highlight w:val="none"/>
                <w:lang w:val="en-US" w:eastAsia="zh-CN"/>
              </w:rPr>
              <w:t>拒绝进口</w:t>
            </w:r>
          </w:p>
        </w:tc>
      </w:tr>
    </w:tbl>
    <w:p w14:paraId="6967210E">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(1)</w:t>
      </w:r>
      <w:r>
        <w:rPr>
          <w:rFonts w:hint="eastAsia" w:ascii="宋体" w:hAnsi="宋体" w:eastAsia="宋体" w:cs="宋体"/>
          <w:bCs/>
          <w:color w:val="FF0000"/>
          <w:kern w:val="0"/>
          <w:sz w:val="21"/>
          <w:szCs w:val="21"/>
          <w:lang w:val="en-US" w:eastAsia="zh-CN"/>
        </w:rPr>
        <w:t xml:space="preserve">备注栏注明“拒绝进口”的产品不接受投标人选用进口产品参与投标；注明“接受进口”的产品允许投标人选用进口产品参与投标，但不排斥国内产品。 </w:t>
      </w:r>
    </w:p>
    <w:p w14:paraId="7C488A6E">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(2)</w:t>
      </w:r>
      <w:r>
        <w:rPr>
          <w:rFonts w:hint="eastAsia" w:ascii="宋体" w:hAnsi="宋体" w:eastAsia="宋体" w:cs="宋体"/>
          <w:bCs/>
          <w:color w:val="FF0000"/>
          <w:kern w:val="0"/>
          <w:sz w:val="21"/>
          <w:szCs w:val="21"/>
          <w:lang w:val="en-US" w:eastAsia="zh-CN"/>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309A81D6">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14:paraId="418112E9">
      <w:pPr>
        <w:numPr>
          <w:ilvl w:val="0"/>
          <w:numId w:val="0"/>
        </w:numPr>
        <w:ind w:firstLine="420" w:firstLineChars="200"/>
        <w:rPr>
          <w:rFonts w:hint="eastAsia"/>
          <w:color w:val="FF0000"/>
        </w:rPr>
      </w:pPr>
      <w:r>
        <w:rPr>
          <w:rFonts w:hint="eastAsia"/>
          <w:color w:val="FF0000"/>
        </w:rPr>
        <w:t>本院智能化煎药室系统计划上线，煎药室系统PDA程序、药房处方调配复核拍照溯源需要通过无线网络连接医院内网实现与医院主业务系统患者信息、医嘱信息进行数据交互，从而实现电子处方的自动接收条码煎药单的打印、浸泡、煎煮、包装、发药等环节信息的全过程数据传递与接收，实现质量控制与追溯和处方调配复核到煎药全流程追溯，患者可以通过手机小程序端实时查看煎煮进度及配送信息，提高患者就诊满意度。</w:t>
      </w:r>
    </w:p>
    <w:p w14:paraId="221DC910">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三、项目类型</w:t>
      </w:r>
    </w:p>
    <w:p w14:paraId="60AA5F67">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一次性货物</w:t>
      </w:r>
    </w:p>
    <w:p w14:paraId="4EF64DD7">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52B19C82">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1.投标人须是在中华人民共和国境内注册，具有独立法人资格或是具有独立承担民事责任的能力的其它组织（提供营业执照或事业单位法人证等法人证明扫描件，原件备查）；</w:t>
      </w:r>
    </w:p>
    <w:p w14:paraId="515A0F7E">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4B4C5D60">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459ACB0A">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2EC9A55C">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34B5A752">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6.除单一来源采购，为采购项目提供整体设计、规范编制或者项目管理、监理、检测等服务的供应商，不得再参加该采购项目的其他采购活动（由供应商在《政府采购投标及履约承诺函》中作出声明）；</w:t>
      </w:r>
    </w:p>
    <w:p w14:paraId="2E313E3F">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1F43747C">
      <w:pPr>
        <w:pStyle w:val="7"/>
        <w:spacing w:line="240" w:lineRule="auto"/>
        <w:ind w:firstLine="420" w:firstLineChars="200"/>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155C9563">
      <w:pPr>
        <w:numPr>
          <w:ilvl w:val="0"/>
          <w:numId w:val="0"/>
        </w:numPr>
        <w:jc w:val="center"/>
        <w:rPr>
          <w:rFonts w:hint="eastAsia"/>
          <w:sz w:val="18"/>
          <w:szCs w:val="18"/>
          <w:highlight w:val="yellow"/>
          <w:lang w:val="en-US" w:eastAsia="zh-CN"/>
        </w:rPr>
      </w:pPr>
      <w:r>
        <w:rPr>
          <w:rFonts w:hint="eastAsia" w:ascii="宋体" w:hAnsi="宋体" w:eastAsia="宋体" w:cs="Times New Roman"/>
          <w:b/>
          <w:bCs/>
          <w:color w:val="FF0000"/>
          <w:szCs w:val="21"/>
          <w:highlight w:val="none"/>
          <w:lang w:val="en-US" w:eastAsia="zh-CN"/>
        </w:rPr>
        <w:t>五、技术规格</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3"/>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389"/>
      </w:tblGrid>
      <w:tr w14:paraId="7EE9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blHeader/>
          <w:jc w:val="center"/>
        </w:trPr>
        <w:tc>
          <w:tcPr>
            <w:tcW w:w="472" w:type="pct"/>
            <w:noWrap w:val="0"/>
            <w:vAlign w:val="center"/>
          </w:tcPr>
          <w:p w14:paraId="06FE59DA">
            <w:pPr>
              <w:keepNext w:val="0"/>
              <w:keepLines w:val="0"/>
              <w:widowControl/>
              <w:suppressLineNumbers w:val="0"/>
              <w:jc w:val="center"/>
              <w:textAlignment w:val="center"/>
              <w:rPr>
                <w:rFonts w:hint="eastAsia" w:ascii="宋体" w:hAnsi="宋体" w:eastAsia="宋体" w:cs="宋体"/>
                <w:b/>
                <w:color w:val="FF0000"/>
                <w:kern w:val="0"/>
                <w:sz w:val="21"/>
                <w:szCs w:val="21"/>
                <w:lang w:eastAsia="zh-CN"/>
              </w:rPr>
            </w:pPr>
            <w:r>
              <w:rPr>
                <w:rFonts w:hint="eastAsia" w:ascii="宋体" w:hAnsi="宋体" w:eastAsia="宋体" w:cs="宋体"/>
                <w:b/>
                <w:color w:val="FF0000"/>
                <w:kern w:val="0"/>
                <w:sz w:val="21"/>
                <w:szCs w:val="21"/>
                <w:lang w:eastAsia="zh-CN"/>
              </w:rPr>
              <w:t>内容</w:t>
            </w:r>
          </w:p>
        </w:tc>
        <w:tc>
          <w:tcPr>
            <w:tcW w:w="4527" w:type="pct"/>
            <w:noWrap w:val="0"/>
            <w:vAlign w:val="center"/>
          </w:tcPr>
          <w:p w14:paraId="534D3F4B">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color w:val="FF0000"/>
                <w:kern w:val="0"/>
                <w:sz w:val="21"/>
                <w:szCs w:val="21"/>
                <w:lang w:eastAsia="zh-CN"/>
              </w:rPr>
              <w:t>招标技术规格要求</w:t>
            </w:r>
          </w:p>
        </w:tc>
      </w:tr>
      <w:tr w14:paraId="0E4D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472" w:type="pct"/>
            <w:noWrap w:val="0"/>
            <w:vAlign w:val="center"/>
          </w:tcPr>
          <w:p w14:paraId="4037C588">
            <w:pPr>
              <w:snapToGrid w:val="0"/>
              <w:spacing w:line="276" w:lineRule="auto"/>
              <w:jc w:val="center"/>
              <w:rPr>
                <w:rFonts w:hint="eastAsia" w:ascii="宋体" w:hAnsi="宋体" w:eastAsia="宋体" w:cs="宋体"/>
                <w:b/>
                <w:bCs w:val="0"/>
                <w:color w:val="FF0000"/>
                <w:kern w:val="0"/>
                <w:sz w:val="21"/>
                <w:szCs w:val="21"/>
                <w:lang w:val="en-US" w:eastAsia="zh-CN"/>
              </w:rPr>
            </w:pPr>
            <w:r>
              <w:rPr>
                <w:rFonts w:hint="eastAsia" w:ascii="宋体" w:hAnsi="宋体" w:eastAsia="宋体" w:cs="宋体"/>
                <w:color w:val="FF0000"/>
                <w:kern w:val="0"/>
                <w:sz w:val="21"/>
                <w:szCs w:val="21"/>
                <w:lang w:bidi="ar"/>
              </w:rPr>
              <w:t>★</w:t>
            </w:r>
            <w:r>
              <w:rPr>
                <w:rFonts w:hint="eastAsia" w:ascii="宋体" w:hAnsi="宋体" w:eastAsia="宋体" w:cs="宋体"/>
                <w:b/>
                <w:bCs w:val="0"/>
                <w:color w:val="FF0000"/>
                <w:kern w:val="0"/>
                <w:sz w:val="21"/>
                <w:szCs w:val="21"/>
                <w:lang w:val="en-US" w:eastAsia="zh-CN"/>
              </w:rPr>
              <w:t>配置清单</w:t>
            </w:r>
          </w:p>
        </w:tc>
        <w:tc>
          <w:tcPr>
            <w:tcW w:w="4527" w:type="pct"/>
            <w:noWrap w:val="0"/>
            <w:vAlign w:val="top"/>
          </w:tcPr>
          <w:p w14:paraId="2D97089D">
            <w:pPr>
              <w:keepNext w:val="0"/>
              <w:keepLines w:val="0"/>
              <w:pageBreakBefore w:val="0"/>
              <w:widowControl/>
              <w:kinsoku/>
              <w:wordWrap/>
              <w:overflowPunct/>
              <w:topLinePunct w:val="0"/>
              <w:autoSpaceDE/>
              <w:autoSpaceDN/>
              <w:bidi w:val="0"/>
              <w:adjustRightInd/>
              <w:snapToGrid w:val="0"/>
              <w:spacing w:line="240" w:lineRule="auto"/>
              <w:ind w:firstLine="211" w:firstLineChars="100"/>
              <w:jc w:val="left"/>
              <w:textAlignment w:val="auto"/>
              <w:rPr>
                <w:b/>
                <w:bCs w:val="0"/>
                <w:color w:val="FF0000"/>
                <w:lang w:bidi="ar"/>
              </w:rPr>
            </w:pPr>
            <w:r>
              <w:rPr>
                <w:rFonts w:hint="eastAsia" w:ascii="宋体" w:hAnsi="宋体" w:cs="宋体"/>
                <w:b/>
                <w:bCs w:val="0"/>
                <w:color w:val="FF0000"/>
                <w:kern w:val="0"/>
                <w:sz w:val="21"/>
                <w:szCs w:val="21"/>
                <w:lang w:val="en-US" w:eastAsia="zh-CN" w:bidi="ar-SA"/>
              </w:rPr>
              <w:t>核心产品：</w:t>
            </w:r>
            <w:r>
              <w:rPr>
                <w:rFonts w:hint="eastAsia"/>
                <w:b/>
                <w:bCs w:val="0"/>
                <w:color w:val="FF0000"/>
                <w:lang w:bidi="ar"/>
              </w:rPr>
              <w:t xml:space="preserve">WiFi 7 </w:t>
            </w:r>
            <w:r>
              <w:rPr>
                <w:b/>
                <w:bCs w:val="0"/>
                <w:color w:val="FF0000"/>
                <w:lang w:bidi="ar"/>
              </w:rPr>
              <w:t>AP</w:t>
            </w:r>
          </w:p>
          <w:tbl>
            <w:tblPr>
              <w:tblStyle w:val="13"/>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418"/>
              <w:gridCol w:w="850"/>
              <w:gridCol w:w="1276"/>
              <w:gridCol w:w="2126"/>
              <w:gridCol w:w="2121"/>
            </w:tblGrid>
            <w:tr w14:paraId="6BD4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65" w:type="dxa"/>
                  <w:vAlign w:val="center"/>
                </w:tcPr>
                <w:p w14:paraId="661C9DC9">
                  <w:pPr>
                    <w:jc w:val="center"/>
                    <w:rPr>
                      <w:color w:val="FF0000"/>
                    </w:rPr>
                  </w:pPr>
                  <w:r>
                    <w:rPr>
                      <w:rFonts w:hint="eastAsia"/>
                      <w:color w:val="FF0000"/>
                    </w:rPr>
                    <w:t>序号</w:t>
                  </w:r>
                </w:p>
              </w:tc>
              <w:tc>
                <w:tcPr>
                  <w:tcW w:w="1418" w:type="dxa"/>
                  <w:vAlign w:val="center"/>
                </w:tcPr>
                <w:p w14:paraId="300C6284">
                  <w:pPr>
                    <w:jc w:val="center"/>
                    <w:rPr>
                      <w:color w:val="FF0000"/>
                    </w:rPr>
                  </w:pPr>
                  <w:r>
                    <w:rPr>
                      <w:rFonts w:hint="eastAsia"/>
                      <w:color w:val="FF0000"/>
                    </w:rPr>
                    <w:t>名称</w:t>
                  </w:r>
                </w:p>
              </w:tc>
              <w:tc>
                <w:tcPr>
                  <w:tcW w:w="850" w:type="dxa"/>
                  <w:vAlign w:val="center"/>
                </w:tcPr>
                <w:p w14:paraId="5AFAC00F">
                  <w:pPr>
                    <w:jc w:val="center"/>
                    <w:rPr>
                      <w:color w:val="FF0000"/>
                    </w:rPr>
                  </w:pPr>
                  <w:r>
                    <w:rPr>
                      <w:rFonts w:hint="eastAsia"/>
                      <w:color w:val="FF0000"/>
                    </w:rPr>
                    <w:t>数量</w:t>
                  </w:r>
                </w:p>
              </w:tc>
              <w:tc>
                <w:tcPr>
                  <w:tcW w:w="1276" w:type="dxa"/>
                  <w:vAlign w:val="center"/>
                </w:tcPr>
                <w:p w14:paraId="6938CE6E">
                  <w:pPr>
                    <w:jc w:val="center"/>
                    <w:rPr>
                      <w:color w:val="FF0000"/>
                    </w:rPr>
                  </w:pPr>
                  <w:r>
                    <w:rPr>
                      <w:rFonts w:hint="eastAsia"/>
                      <w:color w:val="FF0000"/>
                    </w:rPr>
                    <w:t>单位/规格</w:t>
                  </w:r>
                </w:p>
              </w:tc>
              <w:tc>
                <w:tcPr>
                  <w:tcW w:w="2126" w:type="dxa"/>
                  <w:vAlign w:val="center"/>
                </w:tcPr>
                <w:p w14:paraId="088E9A02">
                  <w:pPr>
                    <w:jc w:val="center"/>
                    <w:rPr>
                      <w:color w:val="FF0000"/>
                    </w:rPr>
                  </w:pPr>
                  <w:r>
                    <w:rPr>
                      <w:rFonts w:hint="eastAsia"/>
                      <w:color w:val="FF0000"/>
                    </w:rPr>
                    <w:t>单价限价（元）</w:t>
                  </w:r>
                </w:p>
              </w:tc>
              <w:tc>
                <w:tcPr>
                  <w:tcW w:w="2121" w:type="dxa"/>
                  <w:vAlign w:val="center"/>
                </w:tcPr>
                <w:p w14:paraId="55C8192A">
                  <w:pPr>
                    <w:jc w:val="center"/>
                    <w:rPr>
                      <w:color w:val="FF0000"/>
                    </w:rPr>
                  </w:pPr>
                  <w:r>
                    <w:rPr>
                      <w:rFonts w:hint="eastAsia"/>
                      <w:color w:val="FF0000"/>
                    </w:rPr>
                    <w:t>合计（元）</w:t>
                  </w:r>
                </w:p>
              </w:tc>
            </w:tr>
            <w:tr w14:paraId="7FD9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5" w:type="dxa"/>
                  <w:vAlign w:val="center"/>
                </w:tcPr>
                <w:p w14:paraId="07C6195D">
                  <w:pPr>
                    <w:jc w:val="center"/>
                    <w:rPr>
                      <w:color w:val="FF0000"/>
                    </w:rPr>
                  </w:pPr>
                  <w:r>
                    <w:rPr>
                      <w:rFonts w:hint="eastAsia"/>
                      <w:color w:val="FF0000"/>
                    </w:rPr>
                    <w:t>1</w:t>
                  </w:r>
                </w:p>
              </w:tc>
              <w:tc>
                <w:tcPr>
                  <w:tcW w:w="1418" w:type="dxa"/>
                  <w:vAlign w:val="center"/>
                </w:tcPr>
                <w:p w14:paraId="24E15383">
                  <w:pPr>
                    <w:jc w:val="center"/>
                    <w:rPr>
                      <w:color w:val="FF0000"/>
                    </w:rPr>
                  </w:pPr>
                  <w:r>
                    <w:rPr>
                      <w:rFonts w:hint="eastAsia"/>
                      <w:color w:val="FF0000"/>
                    </w:rPr>
                    <w:t>AC控制器</w:t>
                  </w:r>
                </w:p>
              </w:tc>
              <w:tc>
                <w:tcPr>
                  <w:tcW w:w="850" w:type="dxa"/>
                  <w:vAlign w:val="center"/>
                </w:tcPr>
                <w:p w14:paraId="4F423E57">
                  <w:pPr>
                    <w:jc w:val="center"/>
                    <w:rPr>
                      <w:color w:val="FF0000"/>
                    </w:rPr>
                  </w:pPr>
                  <w:r>
                    <w:rPr>
                      <w:rFonts w:hint="eastAsia"/>
                      <w:color w:val="FF0000"/>
                    </w:rPr>
                    <w:t>1</w:t>
                  </w:r>
                </w:p>
              </w:tc>
              <w:tc>
                <w:tcPr>
                  <w:tcW w:w="1276" w:type="dxa"/>
                  <w:vAlign w:val="center"/>
                </w:tcPr>
                <w:p w14:paraId="0FA28E80">
                  <w:pPr>
                    <w:jc w:val="center"/>
                    <w:rPr>
                      <w:color w:val="FF0000"/>
                    </w:rPr>
                  </w:pPr>
                  <w:r>
                    <w:rPr>
                      <w:rFonts w:hint="eastAsia"/>
                      <w:color w:val="FF0000"/>
                    </w:rPr>
                    <w:t>台</w:t>
                  </w:r>
                </w:p>
              </w:tc>
              <w:tc>
                <w:tcPr>
                  <w:tcW w:w="2126" w:type="dxa"/>
                  <w:vAlign w:val="center"/>
                </w:tcPr>
                <w:p w14:paraId="151A947B">
                  <w:pPr>
                    <w:jc w:val="center"/>
                    <w:textAlignment w:val="center"/>
                    <w:rPr>
                      <w:color w:val="FF0000"/>
                    </w:rPr>
                  </w:pPr>
                  <w:r>
                    <w:rPr>
                      <w:rFonts w:hint="eastAsia"/>
                      <w:color w:val="FF0000"/>
                    </w:rPr>
                    <w:t>20100</w:t>
                  </w:r>
                </w:p>
              </w:tc>
              <w:tc>
                <w:tcPr>
                  <w:tcW w:w="2121" w:type="dxa"/>
                  <w:vAlign w:val="center"/>
                </w:tcPr>
                <w:p w14:paraId="216B6C21">
                  <w:pPr>
                    <w:jc w:val="center"/>
                    <w:textAlignment w:val="center"/>
                    <w:rPr>
                      <w:color w:val="FF0000"/>
                      <w:lang w:bidi="ar"/>
                    </w:rPr>
                  </w:pPr>
                  <w:r>
                    <w:rPr>
                      <w:rFonts w:hint="eastAsia"/>
                      <w:color w:val="FF0000"/>
                      <w:lang w:bidi="ar"/>
                    </w:rPr>
                    <w:t>20100</w:t>
                  </w:r>
                </w:p>
              </w:tc>
            </w:tr>
            <w:tr w14:paraId="5D0F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65" w:type="dxa"/>
                  <w:vAlign w:val="center"/>
                </w:tcPr>
                <w:p w14:paraId="7148F404">
                  <w:pPr>
                    <w:pStyle w:val="11"/>
                    <w:jc w:val="center"/>
                    <w:rPr>
                      <w:color w:val="FF0000"/>
                    </w:rPr>
                  </w:pPr>
                  <w:r>
                    <w:rPr>
                      <w:rFonts w:hint="eastAsia"/>
                      <w:color w:val="FF0000"/>
                    </w:rPr>
                    <w:t>2</w:t>
                  </w:r>
                </w:p>
              </w:tc>
              <w:tc>
                <w:tcPr>
                  <w:tcW w:w="1418" w:type="dxa"/>
                  <w:vAlign w:val="center"/>
                </w:tcPr>
                <w:p w14:paraId="537D44D1">
                  <w:pPr>
                    <w:jc w:val="center"/>
                    <w:rPr>
                      <w:color w:val="FF0000"/>
                    </w:rPr>
                  </w:pPr>
                  <w:r>
                    <w:rPr>
                      <w:rFonts w:hint="eastAsia"/>
                      <w:color w:val="FF0000"/>
                    </w:rPr>
                    <w:t>WiFi 7 AP</w:t>
                  </w:r>
                </w:p>
              </w:tc>
              <w:tc>
                <w:tcPr>
                  <w:tcW w:w="850" w:type="dxa"/>
                  <w:vAlign w:val="center"/>
                </w:tcPr>
                <w:p w14:paraId="26A1B1A6">
                  <w:pPr>
                    <w:jc w:val="center"/>
                    <w:rPr>
                      <w:color w:val="FF0000"/>
                    </w:rPr>
                  </w:pPr>
                  <w:r>
                    <w:rPr>
                      <w:rFonts w:hint="eastAsia"/>
                      <w:color w:val="FF0000"/>
                    </w:rPr>
                    <w:t>24</w:t>
                  </w:r>
                </w:p>
              </w:tc>
              <w:tc>
                <w:tcPr>
                  <w:tcW w:w="1276" w:type="dxa"/>
                  <w:vAlign w:val="center"/>
                </w:tcPr>
                <w:p w14:paraId="5385D16F">
                  <w:pPr>
                    <w:jc w:val="center"/>
                    <w:rPr>
                      <w:color w:val="FF0000"/>
                      <w:lang w:bidi="ar"/>
                    </w:rPr>
                  </w:pPr>
                  <w:r>
                    <w:rPr>
                      <w:rFonts w:hint="eastAsia"/>
                      <w:color w:val="FF0000"/>
                    </w:rPr>
                    <w:t>台</w:t>
                  </w:r>
                </w:p>
              </w:tc>
              <w:tc>
                <w:tcPr>
                  <w:tcW w:w="2126" w:type="dxa"/>
                  <w:vAlign w:val="center"/>
                </w:tcPr>
                <w:p w14:paraId="66186235">
                  <w:pPr>
                    <w:jc w:val="center"/>
                    <w:textAlignment w:val="center"/>
                    <w:rPr>
                      <w:color w:val="FF0000"/>
                    </w:rPr>
                  </w:pPr>
                  <w:r>
                    <w:rPr>
                      <w:rFonts w:hint="eastAsia"/>
                      <w:color w:val="FF0000"/>
                    </w:rPr>
                    <w:t>4050</w:t>
                  </w:r>
                </w:p>
              </w:tc>
              <w:tc>
                <w:tcPr>
                  <w:tcW w:w="2121" w:type="dxa"/>
                  <w:vAlign w:val="center"/>
                </w:tcPr>
                <w:p w14:paraId="094DE3D4">
                  <w:pPr>
                    <w:jc w:val="center"/>
                    <w:textAlignment w:val="center"/>
                    <w:rPr>
                      <w:color w:val="FF0000"/>
                      <w:lang w:bidi="ar"/>
                    </w:rPr>
                  </w:pPr>
                  <w:r>
                    <w:rPr>
                      <w:rFonts w:hint="eastAsia"/>
                      <w:color w:val="FF0000"/>
                      <w:lang w:bidi="ar"/>
                    </w:rPr>
                    <w:t>97200</w:t>
                  </w:r>
                </w:p>
              </w:tc>
            </w:tr>
            <w:tr w14:paraId="35C6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65" w:type="dxa"/>
                  <w:vAlign w:val="center"/>
                </w:tcPr>
                <w:p w14:paraId="13974541">
                  <w:pPr>
                    <w:pStyle w:val="11"/>
                    <w:jc w:val="center"/>
                    <w:rPr>
                      <w:color w:val="FF0000"/>
                    </w:rPr>
                  </w:pPr>
                  <w:r>
                    <w:rPr>
                      <w:rFonts w:hint="eastAsia"/>
                      <w:color w:val="FF0000"/>
                    </w:rPr>
                    <w:t>3</w:t>
                  </w:r>
                </w:p>
              </w:tc>
              <w:tc>
                <w:tcPr>
                  <w:tcW w:w="1418" w:type="dxa"/>
                  <w:vAlign w:val="center"/>
                </w:tcPr>
                <w:p w14:paraId="09A2D157">
                  <w:pPr>
                    <w:jc w:val="center"/>
                    <w:rPr>
                      <w:color w:val="FF0000"/>
                    </w:rPr>
                  </w:pPr>
                  <w:r>
                    <w:rPr>
                      <w:rFonts w:hint="eastAsia"/>
                      <w:color w:val="FF0000"/>
                    </w:rPr>
                    <w:t>POE交换机</w:t>
                  </w:r>
                </w:p>
              </w:tc>
              <w:tc>
                <w:tcPr>
                  <w:tcW w:w="850" w:type="dxa"/>
                  <w:vAlign w:val="center"/>
                </w:tcPr>
                <w:p w14:paraId="2C3AFC3F">
                  <w:pPr>
                    <w:jc w:val="center"/>
                    <w:rPr>
                      <w:color w:val="FF0000"/>
                    </w:rPr>
                  </w:pPr>
                  <w:r>
                    <w:rPr>
                      <w:rFonts w:hint="eastAsia"/>
                      <w:color w:val="FF0000"/>
                    </w:rPr>
                    <w:t>1</w:t>
                  </w:r>
                </w:p>
              </w:tc>
              <w:tc>
                <w:tcPr>
                  <w:tcW w:w="1276" w:type="dxa"/>
                  <w:vAlign w:val="center"/>
                </w:tcPr>
                <w:p w14:paraId="4DCC7BD5">
                  <w:pPr>
                    <w:jc w:val="center"/>
                    <w:rPr>
                      <w:color w:val="FF0000"/>
                      <w:lang w:bidi="ar"/>
                    </w:rPr>
                  </w:pPr>
                  <w:r>
                    <w:rPr>
                      <w:rFonts w:hint="eastAsia"/>
                      <w:color w:val="FF0000"/>
                    </w:rPr>
                    <w:t>台</w:t>
                  </w:r>
                </w:p>
              </w:tc>
              <w:tc>
                <w:tcPr>
                  <w:tcW w:w="2126" w:type="dxa"/>
                  <w:vAlign w:val="center"/>
                </w:tcPr>
                <w:p w14:paraId="3331B257">
                  <w:pPr>
                    <w:jc w:val="center"/>
                    <w:textAlignment w:val="center"/>
                    <w:rPr>
                      <w:color w:val="FF0000"/>
                    </w:rPr>
                  </w:pPr>
                  <w:r>
                    <w:rPr>
                      <w:rFonts w:hint="eastAsia"/>
                      <w:color w:val="FF0000"/>
                    </w:rPr>
                    <w:t>15900</w:t>
                  </w:r>
                </w:p>
              </w:tc>
              <w:tc>
                <w:tcPr>
                  <w:tcW w:w="2121" w:type="dxa"/>
                  <w:vAlign w:val="center"/>
                </w:tcPr>
                <w:p w14:paraId="66CDCD42">
                  <w:pPr>
                    <w:jc w:val="center"/>
                    <w:textAlignment w:val="center"/>
                    <w:rPr>
                      <w:color w:val="FF0000"/>
                      <w:lang w:bidi="ar"/>
                    </w:rPr>
                  </w:pPr>
                  <w:r>
                    <w:rPr>
                      <w:rFonts w:hint="eastAsia"/>
                      <w:color w:val="FF0000"/>
                      <w:lang w:bidi="ar"/>
                    </w:rPr>
                    <w:t>15900</w:t>
                  </w:r>
                </w:p>
              </w:tc>
            </w:tr>
            <w:tr w14:paraId="6939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65" w:type="dxa"/>
                  <w:vAlign w:val="center"/>
                </w:tcPr>
                <w:p w14:paraId="15C1FD92">
                  <w:pPr>
                    <w:pStyle w:val="11"/>
                    <w:jc w:val="center"/>
                    <w:rPr>
                      <w:color w:val="FF0000"/>
                    </w:rPr>
                  </w:pPr>
                  <w:r>
                    <w:rPr>
                      <w:rFonts w:hint="eastAsia"/>
                      <w:color w:val="FF0000"/>
                    </w:rPr>
                    <w:t>4</w:t>
                  </w:r>
                </w:p>
              </w:tc>
              <w:tc>
                <w:tcPr>
                  <w:tcW w:w="1418" w:type="dxa"/>
                  <w:vAlign w:val="center"/>
                </w:tcPr>
                <w:p w14:paraId="69078DCE">
                  <w:pPr>
                    <w:jc w:val="center"/>
                    <w:rPr>
                      <w:color w:val="FF0000"/>
                    </w:rPr>
                  </w:pPr>
                  <w:r>
                    <w:rPr>
                      <w:rFonts w:hint="eastAsia"/>
                      <w:color w:val="FF0000"/>
                    </w:rPr>
                    <w:t>机柜</w:t>
                  </w:r>
                </w:p>
              </w:tc>
              <w:tc>
                <w:tcPr>
                  <w:tcW w:w="850" w:type="dxa"/>
                  <w:vAlign w:val="center"/>
                </w:tcPr>
                <w:p w14:paraId="03FA3E1F">
                  <w:pPr>
                    <w:jc w:val="center"/>
                    <w:rPr>
                      <w:color w:val="FF0000"/>
                    </w:rPr>
                  </w:pPr>
                  <w:r>
                    <w:rPr>
                      <w:rFonts w:hint="eastAsia"/>
                      <w:color w:val="FF0000"/>
                    </w:rPr>
                    <w:t>1</w:t>
                  </w:r>
                </w:p>
              </w:tc>
              <w:tc>
                <w:tcPr>
                  <w:tcW w:w="1276" w:type="dxa"/>
                  <w:vAlign w:val="center"/>
                </w:tcPr>
                <w:p w14:paraId="7F1E428E">
                  <w:pPr>
                    <w:jc w:val="center"/>
                    <w:rPr>
                      <w:color w:val="FF0000"/>
                      <w:lang w:bidi="ar"/>
                    </w:rPr>
                  </w:pPr>
                  <w:r>
                    <w:rPr>
                      <w:rFonts w:hint="eastAsia"/>
                      <w:color w:val="FF0000"/>
                    </w:rPr>
                    <w:t>台</w:t>
                  </w:r>
                </w:p>
              </w:tc>
              <w:tc>
                <w:tcPr>
                  <w:tcW w:w="2126" w:type="dxa"/>
                  <w:vAlign w:val="center"/>
                </w:tcPr>
                <w:p w14:paraId="4842BF12">
                  <w:pPr>
                    <w:jc w:val="center"/>
                    <w:textAlignment w:val="center"/>
                    <w:rPr>
                      <w:color w:val="FF0000"/>
                    </w:rPr>
                  </w:pPr>
                  <w:r>
                    <w:rPr>
                      <w:rFonts w:hint="eastAsia"/>
                      <w:color w:val="FF0000"/>
                    </w:rPr>
                    <w:t>2000</w:t>
                  </w:r>
                </w:p>
              </w:tc>
              <w:tc>
                <w:tcPr>
                  <w:tcW w:w="2121" w:type="dxa"/>
                  <w:vAlign w:val="center"/>
                </w:tcPr>
                <w:p w14:paraId="4D225216">
                  <w:pPr>
                    <w:jc w:val="center"/>
                    <w:textAlignment w:val="center"/>
                    <w:rPr>
                      <w:color w:val="FF0000"/>
                      <w:lang w:bidi="ar"/>
                    </w:rPr>
                  </w:pPr>
                  <w:r>
                    <w:rPr>
                      <w:rFonts w:hint="eastAsia"/>
                      <w:color w:val="FF0000"/>
                      <w:lang w:bidi="ar"/>
                    </w:rPr>
                    <w:t>2000</w:t>
                  </w:r>
                </w:p>
              </w:tc>
            </w:tr>
            <w:tr w14:paraId="3F65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335" w:type="dxa"/>
                  <w:gridSpan w:val="5"/>
                  <w:vAlign w:val="center"/>
                </w:tcPr>
                <w:p w14:paraId="7779C24C">
                  <w:pPr>
                    <w:jc w:val="right"/>
                    <w:rPr>
                      <w:color w:val="FF0000"/>
                    </w:rPr>
                  </w:pPr>
                  <w:r>
                    <w:rPr>
                      <w:rFonts w:hint="eastAsia"/>
                      <w:color w:val="FF0000"/>
                    </w:rPr>
                    <w:t>总计（元）：</w:t>
                  </w:r>
                </w:p>
              </w:tc>
              <w:tc>
                <w:tcPr>
                  <w:tcW w:w="2121" w:type="dxa"/>
                  <w:vAlign w:val="center"/>
                </w:tcPr>
                <w:p w14:paraId="419FDBA2">
                  <w:pPr>
                    <w:jc w:val="center"/>
                    <w:rPr>
                      <w:color w:val="FF0000"/>
                    </w:rPr>
                  </w:pPr>
                  <w:r>
                    <w:rPr>
                      <w:rFonts w:hint="eastAsia"/>
                      <w:color w:val="FF0000"/>
                    </w:rPr>
                    <w:t>135200</w:t>
                  </w:r>
                </w:p>
              </w:tc>
            </w:tr>
          </w:tbl>
          <w:p w14:paraId="471EF739">
            <w:pPr>
              <w:pStyle w:val="2"/>
              <w:rPr>
                <w:rFonts w:hint="default"/>
                <w:lang w:val="en-US" w:eastAsia="zh-CN"/>
              </w:rPr>
            </w:pPr>
          </w:p>
        </w:tc>
      </w:tr>
      <w:tr w14:paraId="2D9E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72" w:type="pct"/>
            <w:noWrap w:val="0"/>
            <w:vAlign w:val="center"/>
          </w:tcPr>
          <w:p w14:paraId="421CFEBD">
            <w:pPr>
              <w:numPr>
                <w:ilvl w:val="0"/>
                <w:numId w:val="0"/>
              </w:numPr>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 xml:space="preserve"> </w:t>
            </w:r>
          </w:p>
          <w:p w14:paraId="185F2353">
            <w:pPr>
              <w:snapToGrid w:val="0"/>
              <w:spacing w:line="276"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bCs w:val="0"/>
                <w:color w:val="FF0000"/>
                <w:kern w:val="0"/>
                <w:sz w:val="21"/>
                <w:szCs w:val="21"/>
                <w:lang w:val="en-US" w:eastAsia="zh-CN"/>
              </w:rPr>
              <w:t>技术参数</w:t>
            </w:r>
          </w:p>
        </w:tc>
        <w:tc>
          <w:tcPr>
            <w:tcW w:w="4527" w:type="pct"/>
            <w:shd w:val="clear" w:color="auto" w:fill="auto"/>
            <w:noWrap w:val="0"/>
            <w:vAlign w:val="center"/>
          </w:tcPr>
          <w:tbl>
            <w:tblPr>
              <w:tblStyle w:val="13"/>
              <w:tblW w:w="5000" w:type="pct"/>
              <w:tblInd w:w="0" w:type="dxa"/>
              <w:tblLayout w:type="fixed"/>
              <w:tblCellMar>
                <w:top w:w="0" w:type="dxa"/>
                <w:left w:w="108" w:type="dxa"/>
                <w:bottom w:w="0" w:type="dxa"/>
                <w:right w:w="108" w:type="dxa"/>
              </w:tblCellMar>
            </w:tblPr>
            <w:tblGrid>
              <w:gridCol w:w="502"/>
              <w:gridCol w:w="727"/>
              <w:gridCol w:w="6944"/>
            </w:tblGrid>
            <w:tr w14:paraId="7872A23C">
              <w:tblPrEx>
                <w:tblCellMar>
                  <w:top w:w="0" w:type="dxa"/>
                  <w:left w:w="108" w:type="dxa"/>
                  <w:bottom w:w="0" w:type="dxa"/>
                  <w:right w:w="108" w:type="dxa"/>
                </w:tblCellMar>
              </w:tblPrEx>
              <w:trPr>
                <w:trHeight w:val="270"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14:paraId="44D05480">
                  <w:pPr>
                    <w:jc w:val="center"/>
                    <w:rPr>
                      <w:rFonts w:ascii="宋体" w:hAnsi="宋体" w:cs="宋体"/>
                      <w:color w:val="FF0000"/>
                      <w:kern w:val="0"/>
                      <w:sz w:val="20"/>
                      <w:szCs w:val="20"/>
                    </w:rPr>
                  </w:pPr>
                  <w:r>
                    <w:rPr>
                      <w:rFonts w:hint="eastAsia" w:ascii="宋体" w:hAnsi="宋体" w:cs="宋体"/>
                      <w:color w:val="FF0000"/>
                      <w:kern w:val="0"/>
                      <w:sz w:val="20"/>
                      <w:szCs w:val="20"/>
                    </w:rPr>
                    <w:t>序号</w:t>
                  </w:r>
                </w:p>
              </w:tc>
              <w:tc>
                <w:tcPr>
                  <w:tcW w:w="445" w:type="pct"/>
                  <w:tcBorders>
                    <w:top w:val="single" w:color="auto" w:sz="4" w:space="0"/>
                    <w:left w:val="nil"/>
                    <w:bottom w:val="single" w:color="auto" w:sz="4" w:space="0"/>
                    <w:right w:val="single" w:color="auto" w:sz="4" w:space="0"/>
                  </w:tcBorders>
                  <w:shd w:val="clear" w:color="auto" w:fill="auto"/>
                  <w:vAlign w:val="center"/>
                </w:tcPr>
                <w:p w14:paraId="2899D02A">
                  <w:pPr>
                    <w:jc w:val="center"/>
                    <w:rPr>
                      <w:rFonts w:ascii="宋体" w:hAnsi="宋体" w:cs="宋体"/>
                      <w:color w:val="FF0000"/>
                      <w:kern w:val="0"/>
                      <w:sz w:val="20"/>
                      <w:szCs w:val="20"/>
                    </w:rPr>
                  </w:pPr>
                  <w:r>
                    <w:rPr>
                      <w:rFonts w:hint="eastAsia" w:ascii="宋体" w:hAnsi="宋体" w:cs="宋体"/>
                      <w:color w:val="FF0000"/>
                      <w:kern w:val="0"/>
                      <w:sz w:val="20"/>
                      <w:szCs w:val="20"/>
                    </w:rPr>
                    <w:t>货物名称</w:t>
                  </w:r>
                </w:p>
              </w:tc>
              <w:tc>
                <w:tcPr>
                  <w:tcW w:w="4248" w:type="pct"/>
                  <w:tcBorders>
                    <w:top w:val="single" w:color="auto" w:sz="4" w:space="0"/>
                    <w:left w:val="nil"/>
                    <w:bottom w:val="single" w:color="auto" w:sz="4" w:space="0"/>
                    <w:right w:val="single" w:color="auto" w:sz="4" w:space="0"/>
                  </w:tcBorders>
                  <w:shd w:val="clear" w:color="auto" w:fill="auto"/>
                  <w:vAlign w:val="center"/>
                </w:tcPr>
                <w:p w14:paraId="5F35F149">
                  <w:pPr>
                    <w:jc w:val="center"/>
                    <w:rPr>
                      <w:rFonts w:ascii="宋体" w:hAnsi="宋体" w:cs="宋体"/>
                      <w:color w:val="FF0000"/>
                      <w:kern w:val="0"/>
                      <w:sz w:val="20"/>
                      <w:szCs w:val="20"/>
                    </w:rPr>
                  </w:pPr>
                  <w:r>
                    <w:rPr>
                      <w:rFonts w:hint="eastAsia" w:ascii="宋体" w:hAnsi="宋体" w:cs="宋体"/>
                      <w:color w:val="FF0000"/>
                      <w:kern w:val="0"/>
                      <w:sz w:val="20"/>
                      <w:szCs w:val="20"/>
                    </w:rPr>
                    <w:t>规格参数</w:t>
                  </w:r>
                </w:p>
              </w:tc>
            </w:tr>
            <w:tr w14:paraId="64946738">
              <w:tblPrEx>
                <w:tblCellMar>
                  <w:top w:w="0" w:type="dxa"/>
                  <w:left w:w="108" w:type="dxa"/>
                  <w:bottom w:w="0" w:type="dxa"/>
                  <w:right w:w="108" w:type="dxa"/>
                </w:tblCellMar>
              </w:tblPrEx>
              <w:trPr>
                <w:trHeight w:val="2700" w:hRule="atLeast"/>
              </w:trPr>
              <w:tc>
                <w:tcPr>
                  <w:tcW w:w="307" w:type="pct"/>
                  <w:tcBorders>
                    <w:top w:val="nil"/>
                    <w:left w:val="single" w:color="auto" w:sz="4" w:space="0"/>
                    <w:bottom w:val="single" w:color="auto" w:sz="4" w:space="0"/>
                    <w:right w:val="single" w:color="auto" w:sz="4" w:space="0"/>
                  </w:tcBorders>
                  <w:shd w:val="clear" w:color="auto" w:fill="auto"/>
                  <w:noWrap/>
                  <w:vAlign w:val="center"/>
                </w:tcPr>
                <w:p w14:paraId="60E6200F">
                  <w:pPr>
                    <w:jc w:val="center"/>
                    <w:rPr>
                      <w:rFonts w:ascii="宋体" w:hAnsi="宋体" w:cs="宋体"/>
                      <w:color w:val="FF0000"/>
                      <w:kern w:val="0"/>
                      <w:sz w:val="20"/>
                      <w:szCs w:val="20"/>
                    </w:rPr>
                  </w:pPr>
                  <w:r>
                    <w:rPr>
                      <w:rFonts w:hint="eastAsia" w:ascii="宋体" w:hAnsi="宋体" w:cs="宋体"/>
                      <w:color w:val="FF0000"/>
                      <w:kern w:val="0"/>
                      <w:sz w:val="20"/>
                      <w:szCs w:val="20"/>
                    </w:rPr>
                    <w:t>1</w:t>
                  </w:r>
                </w:p>
              </w:tc>
              <w:tc>
                <w:tcPr>
                  <w:tcW w:w="445" w:type="pct"/>
                  <w:tcBorders>
                    <w:top w:val="nil"/>
                    <w:left w:val="nil"/>
                    <w:bottom w:val="single" w:color="auto" w:sz="4" w:space="0"/>
                    <w:right w:val="single" w:color="auto" w:sz="4" w:space="0"/>
                  </w:tcBorders>
                  <w:shd w:val="clear" w:color="auto" w:fill="auto"/>
                  <w:vAlign w:val="center"/>
                </w:tcPr>
                <w:p w14:paraId="676B11EA">
                  <w:pPr>
                    <w:jc w:val="center"/>
                    <w:rPr>
                      <w:rFonts w:ascii="宋体" w:hAnsi="宋体" w:cs="宋体"/>
                      <w:color w:val="FF0000"/>
                      <w:kern w:val="0"/>
                      <w:sz w:val="20"/>
                      <w:szCs w:val="20"/>
                    </w:rPr>
                  </w:pPr>
                  <w:r>
                    <w:rPr>
                      <w:rFonts w:hint="eastAsia" w:ascii="宋体" w:hAnsi="宋体" w:cs="宋体"/>
                      <w:color w:val="FF0000"/>
                      <w:kern w:val="0"/>
                      <w:sz w:val="20"/>
                      <w:szCs w:val="20"/>
                    </w:rPr>
                    <w:t>AC控制器</w:t>
                  </w:r>
                </w:p>
              </w:tc>
              <w:tc>
                <w:tcPr>
                  <w:tcW w:w="4248" w:type="pct"/>
                  <w:tcBorders>
                    <w:top w:val="nil"/>
                    <w:left w:val="nil"/>
                    <w:bottom w:val="single" w:color="auto" w:sz="4" w:space="0"/>
                    <w:right w:val="single" w:color="auto" w:sz="4" w:space="0"/>
                  </w:tcBorders>
                  <w:shd w:val="clear" w:color="auto" w:fill="auto"/>
                </w:tcPr>
                <w:p w14:paraId="34581913">
                  <w:pPr>
                    <w:numPr>
                      <w:ilvl w:val="0"/>
                      <w:numId w:val="2"/>
                    </w:numPr>
                    <w:rPr>
                      <w:rFonts w:ascii="宋体" w:hAnsi="宋体" w:cs="宋体"/>
                      <w:color w:val="FF0000"/>
                      <w:kern w:val="0"/>
                      <w:sz w:val="20"/>
                      <w:szCs w:val="20"/>
                    </w:rPr>
                  </w:pPr>
                  <w:r>
                    <w:rPr>
                      <w:rFonts w:hint="eastAsia" w:ascii="宋体" w:hAnsi="宋体" w:cs="宋体"/>
                      <w:color w:val="FF0000"/>
                      <w:kern w:val="0"/>
                      <w:sz w:val="20"/>
                      <w:szCs w:val="20"/>
                    </w:rPr>
                    <w:t>最大管理AP数量≥512</w:t>
                  </w:r>
                  <w:r>
                    <w:rPr>
                      <w:rFonts w:hint="eastAsia" w:ascii="宋体" w:hAnsi="宋体" w:cs="宋体"/>
                      <w:color w:val="FF0000"/>
                      <w:kern w:val="0"/>
                      <w:sz w:val="20"/>
                      <w:szCs w:val="20"/>
                    </w:rPr>
                    <w:br w:type="textWrapping"/>
                  </w:r>
                  <w:r>
                    <w:rPr>
                      <w:rFonts w:hint="eastAsia" w:ascii="宋体" w:hAnsi="宋体" w:cs="宋体"/>
                      <w:color w:val="FF0000"/>
                      <w:kern w:val="0"/>
                      <w:sz w:val="20"/>
                      <w:szCs w:val="20"/>
                    </w:rPr>
                    <w:t>2、转发数据≥10Gbps；</w:t>
                  </w:r>
                  <w:r>
                    <w:rPr>
                      <w:rFonts w:hint="eastAsia" w:ascii="宋体" w:hAnsi="宋体" w:cs="宋体"/>
                      <w:color w:val="FF0000"/>
                      <w:kern w:val="0"/>
                      <w:sz w:val="20"/>
                      <w:szCs w:val="20"/>
                    </w:rPr>
                    <w:br w:type="textWrapping"/>
                  </w:r>
                  <w:r>
                    <w:rPr>
                      <w:rFonts w:hint="eastAsia" w:ascii="宋体" w:hAnsi="宋体" w:cs="宋体"/>
                      <w:color w:val="FF0000"/>
                      <w:kern w:val="0"/>
                      <w:sz w:val="20"/>
                      <w:szCs w:val="20"/>
                    </w:rPr>
                    <w:t>3、设备配置10GE光口≥2, GE电口≥8；</w:t>
                  </w:r>
                  <w:r>
                    <w:rPr>
                      <w:rFonts w:hint="eastAsia" w:ascii="宋体" w:hAnsi="宋体" w:cs="宋体"/>
                      <w:color w:val="FF0000"/>
                      <w:kern w:val="0"/>
                      <w:sz w:val="20"/>
                      <w:szCs w:val="20"/>
                    </w:rPr>
                    <w:br w:type="textWrapping"/>
                  </w:r>
                  <w:r>
                    <w:rPr>
                      <w:rFonts w:hint="eastAsia" w:ascii="宋体" w:hAnsi="宋体" w:cs="宋体"/>
                      <w:color w:val="FF0000"/>
                      <w:kern w:val="0"/>
                      <w:sz w:val="20"/>
                      <w:szCs w:val="20"/>
                    </w:rPr>
                    <w:t>4、支持无线协议802.11 a/b/g/n/ac/ac wave2/ax/be；</w:t>
                  </w:r>
                </w:p>
                <w:p w14:paraId="2FDAE18F">
                  <w:pPr>
                    <w:rPr>
                      <w:rFonts w:ascii="宋体" w:hAnsi="宋体" w:cs="宋体"/>
                      <w:color w:val="FF0000"/>
                      <w:kern w:val="0"/>
                      <w:sz w:val="20"/>
                      <w:szCs w:val="20"/>
                    </w:rPr>
                  </w:pPr>
                  <w:r>
                    <w:rPr>
                      <w:rFonts w:hint="eastAsia" w:ascii="宋体" w:hAnsi="宋体" w:cs="宋体"/>
                      <w:color w:val="FF0000"/>
                      <w:kern w:val="0"/>
                      <w:sz w:val="20"/>
                      <w:szCs w:val="20"/>
                    </w:rPr>
                    <w:t>5、支持1+1热备/N+1备份方式；</w:t>
                  </w:r>
                </w:p>
                <w:p w14:paraId="4EB68377">
                  <w:pPr>
                    <w:rPr>
                      <w:rFonts w:ascii="宋体" w:hAnsi="宋体" w:cs="宋体"/>
                      <w:color w:val="FF0000"/>
                      <w:kern w:val="0"/>
                      <w:sz w:val="20"/>
                      <w:szCs w:val="20"/>
                    </w:rPr>
                  </w:pPr>
                  <w:r>
                    <w:rPr>
                      <w:rFonts w:hint="eastAsia" w:ascii="宋体" w:hAnsi="宋体" w:cs="宋体"/>
                      <w:color w:val="FF0000"/>
                      <w:kern w:val="0"/>
                      <w:sz w:val="20"/>
                      <w:szCs w:val="20"/>
                    </w:rPr>
                    <w:t>6、支持反病毒功能；</w:t>
                  </w:r>
                  <w:r>
                    <w:rPr>
                      <w:rFonts w:hint="eastAsia" w:ascii="宋体" w:hAnsi="宋体" w:cs="宋体"/>
                      <w:color w:val="FF0000"/>
                      <w:kern w:val="0"/>
                      <w:sz w:val="20"/>
                      <w:szCs w:val="20"/>
                    </w:rPr>
                    <w:br w:type="textWrapping"/>
                  </w:r>
                  <w:r>
                    <w:rPr>
                      <w:rFonts w:hint="eastAsia" w:ascii="宋体" w:hAnsi="宋体" w:cs="宋体"/>
                      <w:color w:val="FF0000"/>
                      <w:kern w:val="0"/>
                      <w:sz w:val="20"/>
                      <w:szCs w:val="20"/>
                    </w:rPr>
                    <w:t>7、▲支持Navi AC功能。使能Navi AC功能后，一台AP可以同时被Local AC和Navi AC管理，从而将不同类型用户流量引导到指定的AC进行集中管理，从而达到不同用户类型接入安全隔离，提供相关检测报告证明；</w:t>
                  </w:r>
                  <w:r>
                    <w:rPr>
                      <w:rFonts w:hint="eastAsia" w:ascii="宋体" w:hAnsi="宋体" w:cs="宋体"/>
                      <w:color w:val="FF0000"/>
                      <w:kern w:val="0"/>
                      <w:sz w:val="20"/>
                      <w:szCs w:val="20"/>
                    </w:rPr>
                    <w:br w:type="textWrapping"/>
                  </w:r>
                  <w:r>
                    <w:rPr>
                      <w:rFonts w:hint="eastAsia" w:ascii="宋体" w:hAnsi="宋体" w:cs="宋体"/>
                      <w:color w:val="FF0000"/>
                      <w:kern w:val="0"/>
                      <w:sz w:val="20"/>
                      <w:szCs w:val="20"/>
                    </w:rPr>
                    <w:t>8、▲芯片国产化，实现自主可控，提供相关检测报告证明；</w:t>
                  </w:r>
                  <w:r>
                    <w:rPr>
                      <w:rFonts w:hint="eastAsia" w:ascii="宋体" w:hAnsi="宋体" w:cs="宋体"/>
                      <w:color w:val="FF0000"/>
                      <w:kern w:val="0"/>
                      <w:sz w:val="20"/>
                      <w:szCs w:val="20"/>
                    </w:rPr>
                    <w:br w:type="textWrapping"/>
                  </w:r>
                  <w:r>
                    <w:rPr>
                      <w:rFonts w:hint="eastAsia" w:ascii="宋体" w:hAnsi="宋体" w:cs="宋体"/>
                      <w:color w:val="FF0000"/>
                      <w:kern w:val="0"/>
                      <w:sz w:val="20"/>
                      <w:szCs w:val="20"/>
                    </w:rPr>
                    <w:t>9、支持VIP用户识别和流量优先，当VIP用户组的用户登陆后，该用户在无线控制器管理的Wi-Fi网络中有更高的优先级；</w:t>
                  </w:r>
                  <w:r>
                    <w:rPr>
                      <w:rFonts w:hint="eastAsia" w:ascii="宋体" w:hAnsi="宋体" w:cs="宋体"/>
                      <w:color w:val="FF0000"/>
                      <w:kern w:val="0"/>
                      <w:sz w:val="20"/>
                      <w:szCs w:val="20"/>
                    </w:rPr>
                    <w:br w:type="textWrapping"/>
                  </w:r>
                  <w:r>
                    <w:rPr>
                      <w:rFonts w:hint="eastAsia" w:ascii="宋体" w:hAnsi="宋体" w:cs="宋体"/>
                      <w:color w:val="FF0000"/>
                      <w:kern w:val="0"/>
                      <w:sz w:val="20"/>
                      <w:szCs w:val="20"/>
                    </w:rPr>
                    <w:t>10、实配：无线AP授权≥24；</w:t>
                  </w:r>
                </w:p>
              </w:tc>
            </w:tr>
            <w:tr w14:paraId="33E203E0">
              <w:tblPrEx>
                <w:tblCellMar>
                  <w:top w:w="0" w:type="dxa"/>
                  <w:left w:w="108" w:type="dxa"/>
                  <w:bottom w:w="0" w:type="dxa"/>
                  <w:right w:w="108" w:type="dxa"/>
                </w:tblCellMar>
              </w:tblPrEx>
              <w:trPr>
                <w:trHeight w:val="565" w:hRule="atLeast"/>
              </w:trPr>
              <w:tc>
                <w:tcPr>
                  <w:tcW w:w="307" w:type="pct"/>
                  <w:tcBorders>
                    <w:top w:val="nil"/>
                    <w:left w:val="single" w:color="auto" w:sz="4" w:space="0"/>
                    <w:bottom w:val="single" w:color="auto" w:sz="4" w:space="0"/>
                    <w:right w:val="single" w:color="auto" w:sz="4" w:space="0"/>
                  </w:tcBorders>
                  <w:shd w:val="clear" w:color="auto" w:fill="auto"/>
                  <w:noWrap/>
                  <w:vAlign w:val="center"/>
                </w:tcPr>
                <w:p w14:paraId="09F9C9AE">
                  <w:pPr>
                    <w:jc w:val="center"/>
                    <w:rPr>
                      <w:rFonts w:ascii="宋体" w:hAnsi="宋体" w:cs="宋体"/>
                      <w:color w:val="FF0000"/>
                      <w:kern w:val="0"/>
                      <w:sz w:val="20"/>
                      <w:szCs w:val="20"/>
                    </w:rPr>
                  </w:pPr>
                  <w:r>
                    <w:rPr>
                      <w:rFonts w:hint="eastAsia" w:ascii="宋体" w:hAnsi="宋体" w:cs="宋体"/>
                      <w:color w:val="FF0000"/>
                      <w:kern w:val="0"/>
                      <w:sz w:val="20"/>
                      <w:szCs w:val="20"/>
                    </w:rPr>
                    <w:t>2</w:t>
                  </w:r>
                </w:p>
              </w:tc>
              <w:tc>
                <w:tcPr>
                  <w:tcW w:w="445" w:type="pct"/>
                  <w:tcBorders>
                    <w:top w:val="nil"/>
                    <w:left w:val="nil"/>
                    <w:bottom w:val="single" w:color="auto" w:sz="4" w:space="0"/>
                    <w:right w:val="single" w:color="auto" w:sz="4" w:space="0"/>
                  </w:tcBorders>
                  <w:shd w:val="clear" w:color="auto" w:fill="auto"/>
                  <w:vAlign w:val="center"/>
                </w:tcPr>
                <w:p w14:paraId="30C05FA2">
                  <w:pPr>
                    <w:jc w:val="center"/>
                    <w:rPr>
                      <w:rFonts w:ascii="宋体" w:hAnsi="宋体" w:cs="宋体"/>
                      <w:color w:val="FF0000"/>
                      <w:kern w:val="0"/>
                      <w:sz w:val="20"/>
                      <w:szCs w:val="20"/>
                    </w:rPr>
                  </w:pPr>
                  <w:r>
                    <w:rPr>
                      <w:rFonts w:hint="eastAsia" w:ascii="宋体" w:hAnsi="宋体" w:cs="宋体"/>
                      <w:color w:val="FF0000"/>
                      <w:kern w:val="0"/>
                      <w:sz w:val="20"/>
                      <w:szCs w:val="20"/>
                    </w:rPr>
                    <w:t>WiFi 7 AP</w:t>
                  </w:r>
                </w:p>
              </w:tc>
              <w:tc>
                <w:tcPr>
                  <w:tcW w:w="4248" w:type="pct"/>
                  <w:tcBorders>
                    <w:top w:val="nil"/>
                    <w:left w:val="nil"/>
                    <w:bottom w:val="single" w:color="auto" w:sz="4" w:space="0"/>
                    <w:right w:val="single" w:color="auto" w:sz="4" w:space="0"/>
                  </w:tcBorders>
                  <w:shd w:val="clear" w:color="auto" w:fill="auto"/>
                </w:tcPr>
                <w:p w14:paraId="697DD589">
                  <w:pPr>
                    <w:rPr>
                      <w:rFonts w:ascii="宋体" w:hAnsi="宋体" w:cs="宋体"/>
                      <w:color w:val="FF0000"/>
                      <w:kern w:val="0"/>
                      <w:sz w:val="20"/>
                      <w:szCs w:val="20"/>
                    </w:rPr>
                  </w:pPr>
                  <w:r>
                    <w:rPr>
                      <w:rFonts w:hint="eastAsia" w:ascii="宋体" w:hAnsi="宋体" w:cs="宋体"/>
                      <w:color w:val="FF0000"/>
                      <w:kern w:val="0"/>
                      <w:sz w:val="20"/>
                      <w:szCs w:val="20"/>
                    </w:rPr>
                    <w:t>1、支持802.11a/b/g/n/ac/ax/be标准；</w:t>
                  </w:r>
                  <w:r>
                    <w:rPr>
                      <w:rFonts w:hint="eastAsia" w:ascii="宋体" w:hAnsi="宋体" w:cs="宋体"/>
                      <w:color w:val="FF0000"/>
                      <w:kern w:val="0"/>
                      <w:sz w:val="20"/>
                      <w:szCs w:val="20"/>
                    </w:rPr>
                    <w:br w:type="textWrapping"/>
                  </w:r>
                  <w:r>
                    <w:rPr>
                      <w:rFonts w:hint="eastAsia" w:ascii="宋体" w:hAnsi="宋体" w:cs="宋体"/>
                      <w:color w:val="FF0000"/>
                      <w:kern w:val="0"/>
                      <w:sz w:val="20"/>
                      <w:szCs w:val="20"/>
                    </w:rPr>
                    <w:t>2、整机最大支持2个射频、支持6条空间流，整机速率≥6.45Gbps；</w:t>
                  </w:r>
                  <w:r>
                    <w:rPr>
                      <w:rFonts w:hint="eastAsia" w:ascii="宋体" w:hAnsi="宋体" w:cs="宋体"/>
                      <w:color w:val="FF0000"/>
                      <w:kern w:val="0"/>
                      <w:sz w:val="20"/>
                      <w:szCs w:val="20"/>
                    </w:rPr>
                    <w:br w:type="textWrapping"/>
                  </w:r>
                  <w:r>
                    <w:rPr>
                      <w:rFonts w:hint="eastAsia" w:ascii="宋体" w:hAnsi="宋体" w:cs="宋体"/>
                      <w:color w:val="FF0000"/>
                      <w:kern w:val="0"/>
                      <w:sz w:val="20"/>
                      <w:szCs w:val="20"/>
                    </w:rPr>
                    <w:t>3、内置智能天线；设备配置GE电口≥1个；</w:t>
                  </w:r>
                </w:p>
                <w:p w14:paraId="0AC69409">
                  <w:pPr>
                    <w:rPr>
                      <w:rFonts w:ascii="宋体" w:hAnsi="宋体" w:cs="宋体"/>
                      <w:color w:val="FF0000"/>
                      <w:kern w:val="0"/>
                      <w:sz w:val="20"/>
                      <w:szCs w:val="20"/>
                    </w:rPr>
                  </w:pPr>
                  <w:r>
                    <w:rPr>
                      <w:rFonts w:hint="eastAsia" w:ascii="宋体" w:hAnsi="宋体" w:cs="宋体"/>
                      <w:color w:val="FF0000"/>
                      <w:kern w:val="0"/>
                      <w:sz w:val="20"/>
                      <w:szCs w:val="20"/>
                    </w:rPr>
                    <w:t>4、▲整机整机可接入1200个用户，提供权威机构检测报告；</w:t>
                  </w:r>
                </w:p>
                <w:p w14:paraId="574B4C65">
                  <w:pPr>
                    <w:rPr>
                      <w:rFonts w:ascii="宋体" w:hAnsi="宋体" w:cs="宋体"/>
                      <w:color w:val="FF0000"/>
                      <w:kern w:val="0"/>
                      <w:sz w:val="20"/>
                      <w:szCs w:val="20"/>
                    </w:rPr>
                  </w:pPr>
                  <w:r>
                    <w:rPr>
                      <w:rFonts w:hint="eastAsia" w:ascii="宋体" w:hAnsi="宋体" w:cs="宋体"/>
                      <w:color w:val="FF0000"/>
                      <w:kern w:val="0"/>
                      <w:sz w:val="20"/>
                      <w:szCs w:val="20"/>
                    </w:rPr>
                    <w:t>5、提供 USB 接口，可用于扩展外置物联网；</w:t>
                  </w:r>
                </w:p>
                <w:p w14:paraId="503482A5">
                  <w:pPr>
                    <w:rPr>
                      <w:rFonts w:ascii="宋体" w:hAnsi="宋体" w:cs="宋体"/>
                      <w:color w:val="FF0000"/>
                      <w:kern w:val="0"/>
                      <w:sz w:val="20"/>
                      <w:szCs w:val="20"/>
                    </w:rPr>
                  </w:pPr>
                  <w:r>
                    <w:rPr>
                      <w:rFonts w:hint="eastAsia" w:ascii="宋体" w:hAnsi="宋体" w:cs="宋体"/>
                      <w:color w:val="FF0000"/>
                      <w:kern w:val="0"/>
                      <w:sz w:val="20"/>
                      <w:szCs w:val="20"/>
                    </w:rPr>
                    <w:t>6、支持星闪，可用于扩展物联网；</w:t>
                  </w:r>
                </w:p>
                <w:p w14:paraId="3397EE34">
                  <w:pPr>
                    <w:rPr>
                      <w:rFonts w:ascii="宋体" w:hAnsi="宋体" w:cs="宋体"/>
                      <w:color w:val="FF0000"/>
                      <w:kern w:val="0"/>
                      <w:sz w:val="20"/>
                      <w:szCs w:val="20"/>
                    </w:rPr>
                  </w:pPr>
                  <w:r>
                    <w:rPr>
                      <w:rFonts w:hint="eastAsia" w:ascii="宋体" w:hAnsi="宋体" w:cs="宋体"/>
                      <w:color w:val="FF0000"/>
                      <w:kern w:val="0"/>
                      <w:sz w:val="20"/>
                      <w:szCs w:val="20"/>
                    </w:rPr>
                    <w:t>7、配置 5G 射频 40MHz 接入 50 个 STA，在线浏览直播视频不卡顿；</w:t>
                  </w:r>
                </w:p>
              </w:tc>
            </w:tr>
            <w:tr w14:paraId="1C5698FC">
              <w:tblPrEx>
                <w:tblCellMar>
                  <w:top w:w="0" w:type="dxa"/>
                  <w:left w:w="108" w:type="dxa"/>
                  <w:bottom w:w="0" w:type="dxa"/>
                  <w:right w:w="108" w:type="dxa"/>
                </w:tblCellMar>
              </w:tblPrEx>
              <w:trPr>
                <w:trHeight w:val="2100" w:hRule="atLeast"/>
              </w:trPr>
              <w:tc>
                <w:tcPr>
                  <w:tcW w:w="307" w:type="pct"/>
                  <w:tcBorders>
                    <w:top w:val="nil"/>
                    <w:left w:val="single" w:color="auto" w:sz="4" w:space="0"/>
                    <w:bottom w:val="single" w:color="auto" w:sz="4" w:space="0"/>
                    <w:right w:val="single" w:color="auto" w:sz="4" w:space="0"/>
                  </w:tcBorders>
                  <w:shd w:val="clear" w:color="auto" w:fill="auto"/>
                  <w:noWrap/>
                  <w:vAlign w:val="center"/>
                </w:tcPr>
                <w:p w14:paraId="7FEE0419">
                  <w:pPr>
                    <w:jc w:val="center"/>
                    <w:rPr>
                      <w:rFonts w:ascii="宋体" w:hAnsi="宋体" w:cs="宋体"/>
                      <w:color w:val="FF0000"/>
                      <w:kern w:val="0"/>
                      <w:sz w:val="20"/>
                      <w:szCs w:val="20"/>
                    </w:rPr>
                  </w:pPr>
                  <w:r>
                    <w:rPr>
                      <w:rFonts w:hint="eastAsia" w:ascii="宋体" w:hAnsi="宋体" w:cs="宋体"/>
                      <w:color w:val="FF0000"/>
                      <w:kern w:val="0"/>
                      <w:sz w:val="20"/>
                      <w:szCs w:val="20"/>
                    </w:rPr>
                    <w:t>3</w:t>
                  </w:r>
                </w:p>
              </w:tc>
              <w:tc>
                <w:tcPr>
                  <w:tcW w:w="445" w:type="pct"/>
                  <w:tcBorders>
                    <w:top w:val="nil"/>
                    <w:left w:val="nil"/>
                    <w:bottom w:val="single" w:color="auto" w:sz="4" w:space="0"/>
                    <w:right w:val="single" w:color="auto" w:sz="4" w:space="0"/>
                  </w:tcBorders>
                  <w:shd w:val="clear" w:color="auto" w:fill="auto"/>
                  <w:vAlign w:val="center"/>
                </w:tcPr>
                <w:p w14:paraId="5D691E8A">
                  <w:pPr>
                    <w:jc w:val="center"/>
                    <w:rPr>
                      <w:rFonts w:ascii="宋体" w:hAnsi="宋体" w:cs="宋体"/>
                      <w:color w:val="FF0000"/>
                      <w:kern w:val="0"/>
                      <w:sz w:val="20"/>
                      <w:szCs w:val="20"/>
                    </w:rPr>
                  </w:pPr>
                  <w:r>
                    <w:rPr>
                      <w:rFonts w:hint="eastAsia" w:ascii="宋体" w:hAnsi="宋体" w:cs="宋体"/>
                      <w:color w:val="FF0000"/>
                      <w:kern w:val="0"/>
                      <w:sz w:val="20"/>
                      <w:szCs w:val="20"/>
                    </w:rPr>
                    <w:t>POE交换机</w:t>
                  </w:r>
                </w:p>
              </w:tc>
              <w:tc>
                <w:tcPr>
                  <w:tcW w:w="4248" w:type="pct"/>
                  <w:tcBorders>
                    <w:top w:val="nil"/>
                    <w:left w:val="nil"/>
                    <w:bottom w:val="single" w:color="auto" w:sz="4" w:space="0"/>
                    <w:right w:val="single" w:color="auto" w:sz="4" w:space="0"/>
                  </w:tcBorders>
                  <w:shd w:val="clear" w:color="auto" w:fill="auto"/>
                </w:tcPr>
                <w:p w14:paraId="4C564E19">
                  <w:pPr>
                    <w:rPr>
                      <w:rFonts w:ascii="宋体" w:hAnsi="宋体" w:cs="宋体"/>
                      <w:color w:val="FF0000"/>
                      <w:kern w:val="0"/>
                      <w:sz w:val="20"/>
                      <w:szCs w:val="20"/>
                    </w:rPr>
                  </w:pPr>
                  <w:r>
                    <w:rPr>
                      <w:rFonts w:hint="eastAsia" w:ascii="宋体" w:hAnsi="宋体" w:cs="宋体"/>
                      <w:color w:val="FF0000"/>
                      <w:kern w:val="0"/>
                      <w:sz w:val="20"/>
                      <w:szCs w:val="20"/>
                    </w:rPr>
                    <w:t>1、▲包转发率≥207Mpps，交换容量≥672Gbps</w:t>
                  </w:r>
                  <w:r>
                    <w:rPr>
                      <w:rFonts w:hint="eastAsia" w:ascii="宋体" w:hAnsi="宋体" w:cs="宋体"/>
                      <w:color w:val="FF0000"/>
                      <w:kern w:val="0"/>
                      <w:sz w:val="20"/>
                      <w:szCs w:val="20"/>
                    </w:rPr>
                    <w:br w:type="textWrapping"/>
                  </w:r>
                  <w:r>
                    <w:rPr>
                      <w:rFonts w:hint="eastAsia" w:ascii="宋体" w:hAnsi="宋体" w:cs="宋体"/>
                      <w:color w:val="FF0000"/>
                      <w:kern w:val="0"/>
                      <w:sz w:val="20"/>
                      <w:szCs w:val="20"/>
                    </w:rPr>
                    <w:t>2、固定接口：≥48个以太网端口，支持POE+；≥4个万兆SFP+；</w:t>
                  </w:r>
                  <w:r>
                    <w:rPr>
                      <w:rFonts w:hint="eastAsia" w:ascii="宋体" w:hAnsi="宋体" w:cs="宋体"/>
                      <w:color w:val="FF0000"/>
                      <w:kern w:val="0"/>
                      <w:sz w:val="20"/>
                      <w:szCs w:val="20"/>
                    </w:rPr>
                    <w:br w:type="textWrapping"/>
                  </w:r>
                  <w:r>
                    <w:rPr>
                      <w:rFonts w:hint="eastAsia" w:ascii="宋体" w:hAnsi="宋体" w:cs="宋体"/>
                      <w:color w:val="FF0000"/>
                      <w:kern w:val="0"/>
                      <w:sz w:val="20"/>
                      <w:szCs w:val="20"/>
                    </w:rPr>
                    <w:t>3、▲CPU和转发芯片要求国产化，自主可控，提供权威机构检测报告；</w:t>
                  </w:r>
                  <w:r>
                    <w:rPr>
                      <w:rFonts w:hint="eastAsia" w:ascii="宋体" w:hAnsi="宋体" w:cs="宋体"/>
                      <w:color w:val="FF0000"/>
                      <w:kern w:val="0"/>
                      <w:sz w:val="20"/>
                      <w:szCs w:val="20"/>
                    </w:rPr>
                    <w:br w:type="textWrapping"/>
                  </w:r>
                  <w:r>
                    <w:rPr>
                      <w:rFonts w:hint="eastAsia" w:ascii="宋体" w:hAnsi="宋体" w:cs="宋体"/>
                      <w:color w:val="FF0000"/>
                      <w:kern w:val="0"/>
                      <w:sz w:val="20"/>
                      <w:szCs w:val="20"/>
                    </w:rPr>
                    <w:t>4、设备支持复位按钮（PNP）：长按(6s以上):恢复出厂配置并复位设备，短按:复位设备；</w:t>
                  </w:r>
                  <w:r>
                    <w:rPr>
                      <w:rFonts w:hint="eastAsia" w:ascii="宋体" w:hAnsi="宋体" w:cs="宋体"/>
                      <w:color w:val="FF0000"/>
                      <w:kern w:val="0"/>
                      <w:sz w:val="20"/>
                      <w:szCs w:val="20"/>
                    </w:rPr>
                    <w:br w:type="textWrapping"/>
                  </w:r>
                  <w:r>
                    <w:rPr>
                      <w:rFonts w:hint="eastAsia" w:ascii="宋体" w:hAnsi="宋体" w:cs="宋体"/>
                      <w:color w:val="FF0000"/>
                      <w:kern w:val="0"/>
                      <w:sz w:val="20"/>
                      <w:szCs w:val="20"/>
                    </w:rPr>
                    <w:t>5、支持快速PoE：不同于一般交换机插入电源后 1~3 分钟左右才能实现对 PD 设备的供电，快速 PoE 支持秒级实现对 PD 设备的供电。当 PoE 交换机掉电重启时，不需要等待交换机重启完成才继续为 PD 供电，只要交换机上电就可以继续为 PD 设备供电，极大缩短 PD 设备掉电的时间；</w:t>
                  </w:r>
                  <w:r>
                    <w:rPr>
                      <w:rFonts w:hint="eastAsia" w:ascii="宋体" w:hAnsi="宋体" w:cs="宋体"/>
                      <w:color w:val="FF0000"/>
                      <w:kern w:val="0"/>
                      <w:sz w:val="20"/>
                      <w:szCs w:val="20"/>
                    </w:rPr>
                    <w:br w:type="textWrapping"/>
                  </w:r>
                  <w:r>
                    <w:rPr>
                      <w:rFonts w:hint="eastAsia" w:ascii="宋体" w:hAnsi="宋体" w:cs="宋体"/>
                      <w:color w:val="FF0000"/>
                      <w:kern w:val="0"/>
                      <w:sz w:val="20"/>
                      <w:szCs w:val="20"/>
                    </w:rPr>
                    <w:t xml:space="preserve">6、实配双电源； </w:t>
                  </w:r>
                </w:p>
              </w:tc>
            </w:tr>
            <w:tr w14:paraId="4FF05352">
              <w:tblPrEx>
                <w:tblCellMar>
                  <w:top w:w="0" w:type="dxa"/>
                  <w:left w:w="108" w:type="dxa"/>
                  <w:bottom w:w="0" w:type="dxa"/>
                  <w:right w:w="108" w:type="dxa"/>
                </w:tblCellMar>
              </w:tblPrEx>
              <w:trPr>
                <w:trHeight w:val="270" w:hRule="atLeast"/>
              </w:trPr>
              <w:tc>
                <w:tcPr>
                  <w:tcW w:w="307" w:type="pct"/>
                  <w:tcBorders>
                    <w:top w:val="nil"/>
                    <w:left w:val="single" w:color="auto" w:sz="4" w:space="0"/>
                    <w:bottom w:val="single" w:color="auto" w:sz="4" w:space="0"/>
                    <w:right w:val="single" w:color="auto" w:sz="4" w:space="0"/>
                  </w:tcBorders>
                  <w:shd w:val="clear" w:color="auto" w:fill="auto"/>
                  <w:noWrap/>
                  <w:vAlign w:val="center"/>
                </w:tcPr>
                <w:p w14:paraId="75B41F3A">
                  <w:pPr>
                    <w:jc w:val="center"/>
                    <w:rPr>
                      <w:rFonts w:ascii="宋体" w:hAnsi="宋体" w:cs="宋体"/>
                      <w:color w:val="FF0000"/>
                      <w:kern w:val="0"/>
                      <w:sz w:val="20"/>
                      <w:szCs w:val="20"/>
                    </w:rPr>
                  </w:pPr>
                  <w:r>
                    <w:rPr>
                      <w:rFonts w:hint="eastAsia" w:ascii="宋体" w:hAnsi="宋体" w:cs="宋体"/>
                      <w:color w:val="FF0000"/>
                      <w:kern w:val="0"/>
                      <w:sz w:val="20"/>
                      <w:szCs w:val="20"/>
                    </w:rPr>
                    <w:t>4</w:t>
                  </w:r>
                </w:p>
              </w:tc>
              <w:tc>
                <w:tcPr>
                  <w:tcW w:w="445" w:type="pct"/>
                  <w:tcBorders>
                    <w:top w:val="nil"/>
                    <w:left w:val="nil"/>
                    <w:bottom w:val="single" w:color="auto" w:sz="4" w:space="0"/>
                    <w:right w:val="single" w:color="auto" w:sz="4" w:space="0"/>
                  </w:tcBorders>
                  <w:shd w:val="clear" w:color="auto" w:fill="auto"/>
                  <w:vAlign w:val="center"/>
                </w:tcPr>
                <w:p w14:paraId="7D59F8AA">
                  <w:pPr>
                    <w:jc w:val="center"/>
                    <w:rPr>
                      <w:rFonts w:ascii="宋体" w:hAnsi="宋体" w:cs="宋体"/>
                      <w:color w:val="FF0000"/>
                      <w:kern w:val="0"/>
                      <w:sz w:val="20"/>
                      <w:szCs w:val="20"/>
                    </w:rPr>
                  </w:pPr>
                  <w:r>
                    <w:rPr>
                      <w:rFonts w:hint="eastAsia" w:ascii="宋体" w:hAnsi="宋体" w:cs="宋体"/>
                      <w:color w:val="FF0000"/>
                      <w:kern w:val="0"/>
                      <w:sz w:val="20"/>
                      <w:szCs w:val="20"/>
                    </w:rPr>
                    <w:t>机柜</w:t>
                  </w:r>
                </w:p>
              </w:tc>
              <w:tc>
                <w:tcPr>
                  <w:tcW w:w="4248" w:type="pct"/>
                  <w:tcBorders>
                    <w:top w:val="nil"/>
                    <w:left w:val="nil"/>
                    <w:bottom w:val="single" w:color="auto" w:sz="4" w:space="0"/>
                    <w:right w:val="single" w:color="auto" w:sz="4" w:space="0"/>
                  </w:tcBorders>
                  <w:shd w:val="clear" w:color="auto" w:fill="auto"/>
                  <w:vAlign w:val="center"/>
                </w:tcPr>
                <w:p w14:paraId="78C45629">
                  <w:pPr>
                    <w:rPr>
                      <w:rFonts w:ascii="宋体" w:hAnsi="宋体" w:cs="宋体"/>
                      <w:color w:val="FF0000"/>
                      <w:kern w:val="0"/>
                      <w:sz w:val="20"/>
                      <w:szCs w:val="20"/>
                    </w:rPr>
                  </w:pPr>
                  <w:r>
                    <w:rPr>
                      <w:rFonts w:hint="eastAsia" w:ascii="宋体" w:hAnsi="宋体" w:cs="宋体"/>
                      <w:color w:val="FF0000"/>
                      <w:kern w:val="0"/>
                      <w:sz w:val="20"/>
                      <w:szCs w:val="20"/>
                    </w:rPr>
                    <w:t>1、42U ≥600*600 网络机柜，含8位铝合金PDU</w:t>
                  </w:r>
                </w:p>
              </w:tc>
            </w:tr>
          </w:tbl>
          <w:p w14:paraId="10DE3CFC">
            <w:pPr>
              <w:pStyle w:val="2"/>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Times New Roman"/>
                <w:b/>
                <w:color w:val="FF0000"/>
                <w:kern w:val="0"/>
                <w:sz w:val="28"/>
                <w:szCs w:val="28"/>
                <w:highlight w:val="none"/>
                <w:lang w:val="en-US" w:eastAsia="zh-CN" w:bidi="ar-SA"/>
              </w:rPr>
            </w:pPr>
          </w:p>
        </w:tc>
      </w:tr>
    </w:tbl>
    <w:p w14:paraId="7F0F1FA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Times New Roman"/>
          <w:b/>
          <w:bCs/>
          <w:color w:val="FF0000"/>
          <w:szCs w:val="21"/>
          <w:lang w:val="en-US" w:eastAsia="zh-CN"/>
        </w:rPr>
      </w:pPr>
    </w:p>
    <w:p w14:paraId="57990AE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六</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3"/>
        <w:tblpPr w:leftFromText="180" w:rightFromText="180" w:vertAnchor="text" w:horzAnchor="page" w:tblpX="937" w:tblpY="256"/>
        <w:tblOverlap w:val="never"/>
        <w:tblW w:w="976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9081"/>
      </w:tblGrid>
      <w:tr w14:paraId="633F13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trPr>
        <w:tc>
          <w:tcPr>
            <w:tcW w:w="686" w:type="dxa"/>
            <w:tcBorders>
              <w:right w:val="single" w:color="auto" w:sz="4" w:space="0"/>
            </w:tcBorders>
            <w:noWrap w:val="0"/>
            <w:vAlign w:val="top"/>
          </w:tcPr>
          <w:p w14:paraId="3437FE47">
            <w:pPr>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9081" w:type="dxa"/>
            <w:tcBorders>
              <w:left w:val="single" w:color="auto" w:sz="4" w:space="0"/>
            </w:tcBorders>
            <w:noWrap w:val="0"/>
            <w:vAlign w:val="top"/>
          </w:tcPr>
          <w:p w14:paraId="5BDB8F37">
            <w:pPr>
              <w:spacing w:line="240" w:lineRule="auto"/>
              <w:jc w:val="center"/>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招标商务要求</w:t>
            </w:r>
          </w:p>
        </w:tc>
      </w:tr>
      <w:tr w14:paraId="0C1265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686" w:type="dxa"/>
            <w:noWrap w:val="0"/>
            <w:vAlign w:val="center"/>
          </w:tcPr>
          <w:p w14:paraId="45BFDDB8">
            <w:pPr>
              <w:jc w:val="center"/>
              <w:rPr>
                <w:rFonts w:hint="eastAsia" w:ascii="宋体" w:hAnsi="宋体" w:eastAsia="宋体" w:cs="宋体"/>
                <w:b/>
                <w:bCs/>
                <w:color w:val="FF0000"/>
                <w:kern w:val="0"/>
                <w:sz w:val="20"/>
                <w:szCs w:val="20"/>
                <w:highlight w:val="none"/>
                <w:lang w:val="en-US" w:eastAsia="zh-CN"/>
              </w:rPr>
            </w:pPr>
            <w:r>
              <w:rPr>
                <w:rFonts w:hint="eastAsia" w:ascii="宋体" w:hAnsi="宋体" w:cs="宋体"/>
                <w:color w:val="FF0000"/>
                <w:spacing w:val="1"/>
                <w:sz w:val="20"/>
                <w:szCs w:val="20"/>
              </w:rPr>
              <w:t>★交货</w:t>
            </w:r>
          </w:p>
        </w:tc>
        <w:tc>
          <w:tcPr>
            <w:tcW w:w="9081" w:type="dxa"/>
            <w:shd w:val="clear" w:color="auto" w:fill="auto"/>
            <w:noWrap w:val="0"/>
            <w:vAlign w:val="center"/>
          </w:tcPr>
          <w:p w14:paraId="6FF6CFF0">
            <w:pPr>
              <w:pStyle w:val="8"/>
              <w:jc w:val="left"/>
              <w:rPr>
                <w:rFonts w:hint="eastAsia" w:ascii="宋体" w:hAnsi="宋体" w:eastAsia="宋体" w:cs="宋体"/>
                <w:bCs/>
                <w:color w:val="FF0000"/>
                <w:kern w:val="2"/>
                <w:sz w:val="20"/>
                <w:szCs w:val="20"/>
                <w:highlight w:val="none"/>
                <w:lang w:val="en-US" w:eastAsia="zh-Hans" w:bidi="ar-SA"/>
              </w:rPr>
            </w:pPr>
            <w:r>
              <w:rPr>
                <w:rFonts w:hint="eastAsia"/>
                <w:color w:val="FF0000"/>
              </w:rPr>
              <w:t>采购人指定地点。</w:t>
            </w:r>
          </w:p>
        </w:tc>
      </w:tr>
      <w:tr w14:paraId="76DC86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686" w:type="dxa"/>
            <w:noWrap w:val="0"/>
            <w:vAlign w:val="center"/>
          </w:tcPr>
          <w:p w14:paraId="6F276547">
            <w:pPr>
              <w:jc w:val="center"/>
              <w:rPr>
                <w:rFonts w:hint="eastAsia" w:ascii="宋体" w:hAnsi="宋体" w:eastAsia="宋体" w:cs="宋体"/>
                <w:b/>
                <w:bCs/>
                <w:color w:val="FF0000"/>
                <w:kern w:val="0"/>
                <w:sz w:val="20"/>
                <w:szCs w:val="20"/>
                <w:highlight w:val="none"/>
                <w:lang w:val="en-US" w:eastAsia="zh-CN"/>
              </w:rPr>
            </w:pPr>
            <w:r>
              <w:rPr>
                <w:rFonts w:hint="eastAsia" w:ascii="宋体" w:hAnsi="宋体" w:cs="宋体"/>
                <w:color w:val="FF0000"/>
                <w:spacing w:val="1"/>
                <w:sz w:val="20"/>
                <w:szCs w:val="20"/>
              </w:rPr>
              <w:t>★交货期</w:t>
            </w:r>
          </w:p>
        </w:tc>
        <w:tc>
          <w:tcPr>
            <w:tcW w:w="9081" w:type="dxa"/>
            <w:noWrap w:val="0"/>
            <w:vAlign w:val="center"/>
          </w:tcPr>
          <w:p w14:paraId="7376DFDB">
            <w:pPr>
              <w:rPr>
                <w:rFonts w:hint="eastAsia" w:ascii="宋体" w:hAnsi="宋体" w:eastAsia="宋体" w:cs="宋体"/>
                <w:b/>
                <w:bCs/>
                <w:color w:val="FF0000"/>
                <w:sz w:val="20"/>
                <w:szCs w:val="20"/>
                <w:highlight w:val="none"/>
                <w:lang w:val="en-US" w:eastAsia="zh-CN"/>
              </w:rPr>
            </w:pPr>
            <w:r>
              <w:rPr>
                <w:color w:val="FF0000"/>
              </w:rPr>
              <w:t>合同签订之日起</w:t>
            </w:r>
            <w:r>
              <w:rPr>
                <w:rFonts w:hint="eastAsia"/>
                <w:color w:val="FF0000"/>
              </w:rPr>
              <w:t>30天(日历日)</w:t>
            </w:r>
            <w:r>
              <w:rPr>
                <w:color w:val="FF0000"/>
              </w:rPr>
              <w:t>内完成设备供货及安装</w:t>
            </w:r>
            <w:r>
              <w:rPr>
                <w:rFonts w:hint="eastAsia"/>
                <w:color w:val="FF0000"/>
              </w:rPr>
              <w:t>调试</w:t>
            </w:r>
            <w:r>
              <w:rPr>
                <w:color w:val="FF0000"/>
              </w:rPr>
              <w:t>。</w:t>
            </w:r>
          </w:p>
        </w:tc>
      </w:tr>
      <w:tr w14:paraId="5878D9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6" w:hRule="atLeast"/>
        </w:trPr>
        <w:tc>
          <w:tcPr>
            <w:tcW w:w="686" w:type="dxa"/>
            <w:noWrap w:val="0"/>
            <w:vAlign w:val="center"/>
          </w:tcPr>
          <w:p w14:paraId="1C913385">
            <w:pPr>
              <w:jc w:val="center"/>
              <w:rPr>
                <w:rFonts w:hint="eastAsia" w:ascii="宋体" w:hAnsi="宋体" w:eastAsia="宋体" w:cs="宋体"/>
                <w:b/>
                <w:bCs/>
                <w:color w:val="FF0000"/>
                <w:kern w:val="0"/>
                <w:sz w:val="20"/>
                <w:szCs w:val="20"/>
                <w:highlight w:val="none"/>
                <w:lang w:val="en-US" w:eastAsia="zh-CN" w:bidi="ar-SA"/>
              </w:rPr>
            </w:pPr>
            <w:r>
              <w:rPr>
                <w:rFonts w:hint="eastAsia" w:ascii="宋体" w:hAnsi="宋体" w:cs="宋体"/>
                <w:color w:val="FF0000"/>
                <w:spacing w:val="1"/>
                <w:sz w:val="20"/>
                <w:szCs w:val="20"/>
              </w:rPr>
              <w:t>★</w:t>
            </w:r>
            <w:r>
              <w:rPr>
                <w:rFonts w:hint="eastAsia" w:ascii="宋体" w:hAnsi="宋体" w:cs="宋体"/>
                <w:color w:val="FF0000"/>
                <w:spacing w:val="1"/>
                <w:sz w:val="20"/>
                <w:szCs w:val="20"/>
              </w:rPr>
              <w:br w:type="textWrapping"/>
            </w:r>
            <w:r>
              <w:rPr>
                <w:rFonts w:hint="eastAsia" w:ascii="宋体" w:hAnsi="宋体" w:cs="宋体"/>
                <w:color w:val="FF0000"/>
                <w:spacing w:val="3"/>
                <w:sz w:val="20"/>
                <w:szCs w:val="20"/>
              </w:rPr>
              <w:t>履约保证金及付款方式</w:t>
            </w:r>
          </w:p>
        </w:tc>
        <w:tc>
          <w:tcPr>
            <w:tcW w:w="9081" w:type="dxa"/>
            <w:noWrap w:val="0"/>
            <w:vAlign w:val="center"/>
          </w:tcPr>
          <w:p w14:paraId="1F31308A">
            <w:pPr>
              <w:rPr>
                <w:color w:val="FF0000"/>
              </w:rPr>
            </w:pPr>
            <w:r>
              <w:rPr>
                <w:rFonts w:hint="eastAsia"/>
                <w:color w:val="FF0000"/>
              </w:rPr>
              <w:t>1、付款方式：</w:t>
            </w:r>
          </w:p>
          <w:p w14:paraId="41FF226C">
            <w:pPr>
              <w:rPr>
                <w:color w:val="FF0000"/>
              </w:rPr>
            </w:pPr>
            <w:r>
              <w:rPr>
                <w:rFonts w:hint="eastAsia"/>
                <w:color w:val="FF0000"/>
              </w:rPr>
              <w:t>凭双方共同签署的设备验收合格报告，中标人提供合法全额发票，采购人确认已收到发票后10个工作日内，向中标人支付合同100%全款。</w:t>
            </w:r>
          </w:p>
          <w:p w14:paraId="0531F621">
            <w:pPr>
              <w:rPr>
                <w:color w:val="FF0000"/>
              </w:rPr>
            </w:pPr>
            <w:r>
              <w:rPr>
                <w:rFonts w:hint="eastAsia"/>
                <w:color w:val="FF0000"/>
                <w:lang w:val="en-US" w:eastAsia="zh-CN"/>
              </w:rPr>
              <w:t>2</w:t>
            </w:r>
            <w:r>
              <w:rPr>
                <w:rFonts w:hint="eastAsia"/>
                <w:color w:val="FF0000"/>
              </w:rPr>
              <w:t>.如果采购人对中标人提供的货物有质量异议的，可以视具体情况暂时中止支付争议款项或其他相关款项，直到争议解除。</w:t>
            </w:r>
          </w:p>
          <w:p w14:paraId="3C86CF37">
            <w:pPr>
              <w:rPr>
                <w:color w:val="FF0000"/>
              </w:rPr>
            </w:pPr>
            <w:r>
              <w:rPr>
                <w:rFonts w:hint="eastAsia"/>
                <w:color w:val="FF0000"/>
                <w:lang w:val="en-US" w:eastAsia="zh-CN"/>
              </w:rPr>
              <w:t>3</w:t>
            </w:r>
            <w:r>
              <w:rPr>
                <w:rFonts w:hint="eastAsia"/>
                <w:color w:val="FF0000"/>
              </w:rPr>
              <w:t>.中标人应在采购人付款前开具合法有效的发票，采购人收到中标人合法的增值税发票或增值税专用发票后，根据双方约定时间支付货款。由于中标人逾期未提供合法有效的增值税发票，采购人有权拒绝付款，直至票据齐全，且不视为采购人违约。</w:t>
            </w:r>
          </w:p>
          <w:p w14:paraId="69667474">
            <w:pPr>
              <w:rPr>
                <w:color w:val="FF0000"/>
              </w:rPr>
            </w:pPr>
            <w:r>
              <w:rPr>
                <w:rFonts w:hint="eastAsia"/>
                <w:color w:val="FF0000"/>
                <w:lang w:val="en-US" w:eastAsia="zh-CN"/>
              </w:rPr>
              <w:t>4</w:t>
            </w:r>
            <w:r>
              <w:rPr>
                <w:rFonts w:hint="eastAsia"/>
                <w:color w:val="FF0000"/>
              </w:rPr>
              <w:t>.中标人应向采购人提供真实有效的银行账户，银行账户如有变更，应立即书面通知采购人，如中标人银行账户变更未书面通知采购人，采购人向本合同约定的收款账户付款造成中标人实际未收到货款的，该责任由中标人自行承担。未经采购人书面认可，中标人不得将应收款项转让给任何第三方或让任何第三方代收，否则采购人有权拒绝付款。</w:t>
            </w:r>
          </w:p>
          <w:p w14:paraId="1B89ABDA">
            <w:pPr>
              <w:rPr>
                <w:rFonts w:hint="eastAsia" w:ascii="宋体" w:hAnsi="宋体" w:eastAsia="宋体" w:cs="宋体"/>
                <w:bCs/>
                <w:color w:val="FF0000"/>
                <w:kern w:val="2"/>
                <w:sz w:val="20"/>
                <w:szCs w:val="20"/>
                <w:highlight w:val="none"/>
                <w:u w:color="000000"/>
                <w:lang w:val="en-US" w:eastAsia="zh-CN" w:bidi="ar-SA"/>
              </w:rPr>
            </w:pPr>
            <w:r>
              <w:rPr>
                <w:rFonts w:hint="eastAsia"/>
                <w:color w:val="FF0000"/>
                <w:lang w:val="en-US" w:eastAsia="zh-CN"/>
              </w:rPr>
              <w:t>5</w:t>
            </w:r>
            <w:r>
              <w:rPr>
                <w:rFonts w:hint="eastAsia"/>
                <w:color w:val="FF0000"/>
              </w:rPr>
              <w:t>.若本合同付款涉及采购人内部或财政审批迟延的特殊情况，采购人未能保证按约付款的，中标人对此表示理解，采购人应向中标人进行说明并明确新的付款期限。</w:t>
            </w:r>
          </w:p>
        </w:tc>
      </w:tr>
      <w:tr w14:paraId="4128B7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686" w:type="dxa"/>
            <w:noWrap w:val="0"/>
            <w:vAlign w:val="center"/>
          </w:tcPr>
          <w:p w14:paraId="5880C7EB">
            <w:pPr>
              <w:jc w:val="center"/>
              <w:rPr>
                <w:rFonts w:hint="eastAsia" w:ascii="宋体" w:hAnsi="宋体" w:eastAsia="宋体" w:cs="宋体"/>
                <w:b/>
                <w:bCs/>
                <w:color w:val="FF0000"/>
                <w:kern w:val="0"/>
                <w:sz w:val="20"/>
                <w:szCs w:val="20"/>
                <w:highlight w:val="none"/>
                <w:lang w:val="en-US" w:eastAsia="zh-CN" w:bidi="ar-SA"/>
              </w:rPr>
            </w:pPr>
            <w:r>
              <w:rPr>
                <w:rFonts w:hint="eastAsia" w:ascii="宋体" w:hAnsi="宋体" w:cs="宋体"/>
                <w:color w:val="FF0000"/>
                <w:spacing w:val="1"/>
                <w:sz w:val="20"/>
                <w:szCs w:val="20"/>
              </w:rPr>
              <w:t>★</w:t>
            </w:r>
            <w:r>
              <w:rPr>
                <w:rFonts w:hint="eastAsia" w:ascii="宋体" w:hAnsi="宋体" w:cs="宋体"/>
                <w:color w:val="FF0000"/>
                <w:spacing w:val="3"/>
                <w:sz w:val="20"/>
                <w:szCs w:val="20"/>
              </w:rPr>
              <w:t>报价要求</w:t>
            </w:r>
          </w:p>
        </w:tc>
        <w:tc>
          <w:tcPr>
            <w:tcW w:w="9081" w:type="dxa"/>
            <w:noWrap w:val="0"/>
            <w:vAlign w:val="center"/>
          </w:tcPr>
          <w:p w14:paraId="428C09DB">
            <w:pPr>
              <w:rPr>
                <w:color w:val="FF0000"/>
              </w:rPr>
            </w:pPr>
            <w:r>
              <w:rPr>
                <w:rFonts w:hint="eastAsia"/>
                <w:color w:val="FF0000"/>
              </w:rPr>
              <w:t>1</w:t>
            </w:r>
            <w:r>
              <w:rPr>
                <w:rFonts w:hint="eastAsia" w:ascii="宋体" w:hAnsi="宋体" w:cs="宋体"/>
                <w:color w:val="FF0000"/>
                <w:kern w:val="0"/>
                <w:szCs w:val="21"/>
              </w:rPr>
              <w:t>.</w:t>
            </w:r>
            <w:r>
              <w:rPr>
                <w:rFonts w:hint="eastAsia"/>
                <w:color w:val="FF0000"/>
              </w:rPr>
              <w:t>投标报价为全包价，以人民币为结算单位，包括但不限于投标费、设备费、设备安装辅助材料费、安装费、软件费、运输费、装卸费、人工费、保险费、管理费、调试费、技术培训费、售后服务费</w:t>
            </w:r>
            <w:r>
              <w:rPr>
                <w:rFonts w:hint="eastAsia"/>
                <w:color w:val="FF0000"/>
                <w:lang w:eastAsia="zh-CN"/>
              </w:rPr>
              <w:t>、</w:t>
            </w:r>
            <w:r>
              <w:rPr>
                <w:rFonts w:hint="eastAsia"/>
                <w:color w:val="FF0000"/>
                <w:lang w:val="en-US" w:eastAsia="zh-CN"/>
              </w:rPr>
              <w:t>业务系统接口费</w:t>
            </w:r>
            <w:r>
              <w:rPr>
                <w:rFonts w:hint="eastAsia"/>
                <w:color w:val="FF0000"/>
              </w:rPr>
              <w:t>等，投标人承诺项目所产生的费用及国家规定的各项税费等全部费用，除此之外，采购人不需要向投标人支付其他任何费用。</w:t>
            </w:r>
          </w:p>
          <w:p w14:paraId="3ADE2D02">
            <w:pPr>
              <w:rPr>
                <w:rFonts w:hint="eastAsia" w:ascii="宋体" w:hAnsi="宋体" w:eastAsia="宋体" w:cs="宋体"/>
                <w:color w:val="FF0000"/>
                <w:sz w:val="20"/>
                <w:szCs w:val="20"/>
                <w:highlight w:val="none"/>
                <w:lang w:val="en-US" w:eastAsia="zh-CN"/>
              </w:rPr>
            </w:pPr>
            <w:r>
              <w:rPr>
                <w:rFonts w:hint="eastAsia"/>
                <w:color w:val="FF0000"/>
              </w:rPr>
              <w:t>2</w:t>
            </w:r>
            <w:r>
              <w:rPr>
                <w:rFonts w:hint="eastAsia" w:ascii="宋体" w:hAnsi="宋体" w:cs="宋体"/>
                <w:color w:val="FF0000"/>
                <w:kern w:val="0"/>
                <w:szCs w:val="21"/>
              </w:rPr>
              <w:t>.</w:t>
            </w:r>
            <w:r>
              <w:rPr>
                <w:rFonts w:hint="eastAsia"/>
                <w:color w:val="FF0000"/>
              </w:rPr>
              <w:t>投标人的投标报价不得超出项目采购预算价</w:t>
            </w:r>
            <w:r>
              <w:rPr>
                <w:rFonts w:hint="eastAsia"/>
                <w:color w:val="FF0000"/>
                <w:highlight w:val="yellow"/>
              </w:rPr>
              <w:t>135200.00</w:t>
            </w:r>
            <w:r>
              <w:rPr>
                <w:rFonts w:hint="eastAsia"/>
                <w:color w:val="FF0000"/>
              </w:rPr>
              <w:t>元，否则视作无效投标。</w:t>
            </w:r>
          </w:p>
        </w:tc>
      </w:tr>
      <w:tr w14:paraId="09265C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686" w:type="dxa"/>
            <w:noWrap w:val="0"/>
            <w:vAlign w:val="center"/>
          </w:tcPr>
          <w:p w14:paraId="5821D45D">
            <w:pPr>
              <w:topLinePunct/>
              <w:spacing w:line="360" w:lineRule="auto"/>
              <w:jc w:val="center"/>
              <w:rPr>
                <w:rFonts w:hint="eastAsia" w:ascii="宋体" w:hAnsi="宋体" w:eastAsia="宋体" w:cs="宋体"/>
                <w:b/>
                <w:bCs/>
                <w:color w:val="FF0000"/>
                <w:kern w:val="0"/>
                <w:sz w:val="20"/>
                <w:szCs w:val="20"/>
                <w:highlight w:val="none"/>
                <w:lang w:val="en-US" w:eastAsia="zh-CN"/>
              </w:rPr>
            </w:pPr>
            <w:r>
              <w:rPr>
                <w:rFonts w:hint="eastAsia" w:ascii="宋体" w:hAnsi="宋体" w:cs="宋体"/>
                <w:color w:val="FF0000"/>
                <w:spacing w:val="1"/>
                <w:sz w:val="20"/>
                <w:szCs w:val="20"/>
              </w:rPr>
              <w:t>★</w:t>
            </w:r>
            <w:r>
              <w:rPr>
                <w:rFonts w:hint="eastAsia" w:ascii="宋体" w:hAnsi="宋体" w:cs="宋体"/>
                <w:color w:val="FF0000"/>
                <w:spacing w:val="1"/>
                <w:sz w:val="20"/>
                <w:szCs w:val="20"/>
              </w:rPr>
              <w:br w:type="textWrapping"/>
            </w:r>
            <w:r>
              <w:rPr>
                <w:rFonts w:hint="eastAsia" w:ascii="宋体" w:hAnsi="宋体" w:cs="宋体"/>
                <w:color w:val="FF0000"/>
                <w:spacing w:val="3"/>
                <w:sz w:val="20"/>
                <w:szCs w:val="20"/>
              </w:rPr>
              <w:t>维保</w:t>
            </w:r>
          </w:p>
        </w:tc>
        <w:tc>
          <w:tcPr>
            <w:tcW w:w="9081" w:type="dxa"/>
            <w:noWrap w:val="0"/>
            <w:vAlign w:val="center"/>
          </w:tcPr>
          <w:p w14:paraId="2BF60504">
            <w:pPr>
              <w:rPr>
                <w:color w:val="FF0000"/>
              </w:rPr>
            </w:pPr>
            <w:r>
              <w:rPr>
                <w:rFonts w:hint="eastAsia"/>
                <w:color w:val="FF0000"/>
              </w:rPr>
              <w:t>1</w:t>
            </w:r>
            <w:r>
              <w:rPr>
                <w:rFonts w:hint="eastAsia" w:ascii="宋体" w:hAnsi="宋体" w:cs="宋体"/>
                <w:color w:val="FF0000"/>
                <w:kern w:val="0"/>
                <w:szCs w:val="21"/>
              </w:rPr>
              <w:t>.</w:t>
            </w:r>
            <w:r>
              <w:rPr>
                <w:rFonts w:hint="eastAsia"/>
                <w:color w:val="FF0000"/>
              </w:rPr>
              <w:t>所有产品需在原厂预装出厂，不接受组装产品，保证完整包装不开封，具备产品合格证，提供原厂证明加盖公章。</w:t>
            </w:r>
            <w:r>
              <w:rPr>
                <w:rFonts w:hint="eastAsia" w:ascii="宋体" w:hAnsi="宋体" w:cs="宋体"/>
                <w:color w:val="FF0000"/>
                <w:kern w:val="0"/>
                <w:szCs w:val="21"/>
              </w:rPr>
              <w:t>【投标时投标人只需响应此条款，供货时提供相关证明材料】</w:t>
            </w:r>
          </w:p>
          <w:p w14:paraId="16DD503D">
            <w:pPr>
              <w:rPr>
                <w:color w:val="FF0000"/>
              </w:rPr>
            </w:pPr>
            <w:r>
              <w:rPr>
                <w:rFonts w:hint="eastAsia"/>
                <w:color w:val="FF0000"/>
              </w:rPr>
              <w:t>2</w:t>
            </w:r>
            <w:r>
              <w:rPr>
                <w:rFonts w:hint="eastAsia" w:ascii="宋体" w:hAnsi="宋体" w:cs="宋体"/>
                <w:color w:val="FF0000"/>
                <w:kern w:val="0"/>
                <w:szCs w:val="21"/>
              </w:rPr>
              <w:t>.</w:t>
            </w:r>
            <w:r>
              <w:rPr>
                <w:rFonts w:hint="eastAsia"/>
                <w:color w:val="FF0000"/>
              </w:rPr>
              <w:t>中标人保证提供的设备为未拆封、未使用的全新设备。中标人应保证设备无设计、材料和制造工艺方面的瑕疵，符合国家质量标准、行业标准、产品说明书或和双方约定的标准。如设备质量有多重标准的，以较为严格的标准作为本合同项下的设备标准。</w:t>
            </w:r>
          </w:p>
          <w:p w14:paraId="2E3B5E20">
            <w:pPr>
              <w:rPr>
                <w:rFonts w:hint="eastAsia" w:ascii="宋体" w:hAnsi="宋体" w:eastAsia="宋体" w:cs="宋体"/>
                <w:color w:val="FF0000"/>
                <w:sz w:val="20"/>
                <w:szCs w:val="20"/>
                <w:highlight w:val="none"/>
                <w:lang w:val="en-US" w:eastAsia="zh-CN"/>
              </w:rPr>
            </w:pPr>
            <w:r>
              <w:rPr>
                <w:rFonts w:hint="eastAsia"/>
                <w:color w:val="FF0000"/>
              </w:rPr>
              <w:t>3</w:t>
            </w:r>
            <w:r>
              <w:rPr>
                <w:rFonts w:hint="eastAsia" w:ascii="宋体" w:hAnsi="宋体" w:cs="宋体"/>
                <w:color w:val="FF0000"/>
                <w:kern w:val="0"/>
                <w:szCs w:val="21"/>
              </w:rPr>
              <w:t>.</w:t>
            </w:r>
            <w:r>
              <w:rPr>
                <w:rFonts w:hint="eastAsia"/>
                <w:color w:val="FF0000"/>
              </w:rPr>
              <w:t>中标人向采购人提供的设备维保期为</w:t>
            </w:r>
            <w:r>
              <w:rPr>
                <w:rFonts w:hint="eastAsia"/>
                <w:color w:val="FF0000"/>
                <w:lang w:val="en-US" w:eastAsia="zh-CN"/>
              </w:rPr>
              <w:t>三</w:t>
            </w:r>
            <w:r>
              <w:rPr>
                <w:rFonts w:hint="eastAsia"/>
                <w:color w:val="FF0000"/>
              </w:rPr>
              <w:t>年(中标人或国家有更长质量保证期限的从其规定执行)，从验收合格之日起算，</w:t>
            </w:r>
            <w:r>
              <w:rPr>
                <w:rFonts w:hint="eastAsia" w:ascii="宋体" w:hAnsi="宋体" w:cs="宋体"/>
                <w:color w:val="FF0000"/>
                <w:kern w:val="0"/>
                <w:szCs w:val="21"/>
              </w:rPr>
              <w:t>三年内免费升级（含硬件固件、软件、系统接口）</w:t>
            </w:r>
            <w:r>
              <w:rPr>
                <w:rFonts w:hint="eastAsia"/>
                <w:color w:val="FF0000"/>
              </w:rPr>
              <w:t>。维保期内设备的任何质量问题，中标人需及时负责解决，且承担因此产生的全部费用。此处的维保期指的是设备存在质量瑕疵或在使用过程中出现故障需要维修维护的，如果产品存在缺陷造成人身财产损害或安全事故的，维保期应当按照相关法律法规的规定计算，不受此处的期限限制。</w:t>
            </w:r>
          </w:p>
        </w:tc>
      </w:tr>
      <w:tr w14:paraId="377364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686" w:type="dxa"/>
            <w:noWrap w:val="0"/>
            <w:vAlign w:val="center"/>
          </w:tcPr>
          <w:p w14:paraId="652B799A">
            <w:pPr>
              <w:jc w:val="center"/>
              <w:rPr>
                <w:rFonts w:hint="eastAsia" w:ascii="宋体" w:hAnsi="宋体" w:eastAsia="宋体" w:cs="宋体"/>
                <w:b/>
                <w:bCs/>
                <w:color w:val="FF0000"/>
                <w:kern w:val="0"/>
                <w:sz w:val="20"/>
                <w:szCs w:val="20"/>
                <w:highlight w:val="none"/>
                <w:lang w:val="en-US" w:eastAsia="zh-CN"/>
              </w:rPr>
            </w:pPr>
            <w:r>
              <w:rPr>
                <w:rFonts w:hint="eastAsia" w:ascii="宋体" w:hAnsi="宋体" w:cs="宋体"/>
                <w:color w:val="FF0000"/>
                <w:spacing w:val="4"/>
                <w:sz w:val="20"/>
                <w:szCs w:val="20"/>
              </w:rPr>
              <w:t>售后服务</w:t>
            </w:r>
          </w:p>
        </w:tc>
        <w:tc>
          <w:tcPr>
            <w:tcW w:w="9081" w:type="dxa"/>
            <w:noWrap w:val="0"/>
            <w:vAlign w:val="center"/>
          </w:tcPr>
          <w:p w14:paraId="01BC1CC1">
            <w:pPr>
              <w:rPr>
                <w:rFonts w:ascii="宋体" w:hAnsi="宋体" w:cs="宋体"/>
                <w:color w:val="FF0000"/>
                <w:kern w:val="0"/>
                <w:szCs w:val="21"/>
              </w:rPr>
            </w:pPr>
            <w:r>
              <w:rPr>
                <w:rFonts w:hint="eastAsia" w:ascii="宋体" w:hAnsi="宋体" w:cs="宋体"/>
                <w:color w:val="FF0000"/>
                <w:kern w:val="0"/>
                <w:szCs w:val="21"/>
              </w:rPr>
              <w:t>1.为保障产品和服务质量，投标人应安排原厂工程师进行产品安装部署及调试服务，同时还应提供详细的售后服务方案，包括但不限于售后服务保障措施、售后服务机构及维护人员配置、应急响应时间、技术培训等。</w:t>
            </w:r>
          </w:p>
          <w:p w14:paraId="46CAC16B">
            <w:pPr>
              <w:pStyle w:val="2"/>
              <w:ind w:firstLine="0" w:firstLineChars="0"/>
              <w:rPr>
                <w:color w:val="FF0000"/>
              </w:rPr>
            </w:pPr>
            <w:r>
              <w:rPr>
                <w:rFonts w:hint="eastAsia" w:ascii="宋体" w:hAnsi="宋体" w:cs="宋体"/>
                <w:color w:val="FF0000"/>
                <w:spacing w:val="1"/>
                <w:szCs w:val="21"/>
              </w:rPr>
              <w:t>★</w:t>
            </w:r>
            <w:r>
              <w:rPr>
                <w:rFonts w:hint="eastAsia"/>
                <w:color w:val="FF0000"/>
              </w:rPr>
              <w:t>2</w:t>
            </w:r>
            <w:r>
              <w:rPr>
                <w:rFonts w:hint="eastAsia" w:ascii="宋体" w:hAnsi="宋体" w:cs="宋体"/>
                <w:color w:val="FF0000"/>
                <w:kern w:val="0"/>
                <w:szCs w:val="21"/>
              </w:rPr>
              <w:t>.</w:t>
            </w:r>
            <w:r>
              <w:rPr>
                <w:rFonts w:hint="eastAsia"/>
                <w:color w:val="FF0000"/>
              </w:rPr>
              <w:t>中标人应按生产厂家的保修规定承诺或双方协商的约定提供设备原厂保修等免费服务，售后服务的响应时间不超过【20】分钟。否则，采购人可自行组织维修，费用由中标人承担。</w:t>
            </w:r>
          </w:p>
          <w:p w14:paraId="6AD35442">
            <w:pPr>
              <w:pStyle w:val="2"/>
              <w:ind w:firstLine="0" w:firstLineChars="0"/>
              <w:rPr>
                <w:color w:val="FF0000"/>
              </w:rPr>
            </w:pPr>
            <w:r>
              <w:rPr>
                <w:rFonts w:hint="eastAsia" w:ascii="宋体" w:hAnsi="宋体"/>
                <w:color w:val="FF0000"/>
                <w:szCs w:val="21"/>
              </w:rPr>
              <w:t>▲</w:t>
            </w:r>
            <w:r>
              <w:rPr>
                <w:rFonts w:hint="eastAsia"/>
                <w:color w:val="FF0000"/>
              </w:rPr>
              <w:t>3</w:t>
            </w:r>
            <w:r>
              <w:rPr>
                <w:rFonts w:hint="eastAsia" w:ascii="宋体" w:hAnsi="宋体" w:cs="宋体"/>
                <w:color w:val="FF0000"/>
                <w:kern w:val="0"/>
                <w:szCs w:val="21"/>
              </w:rPr>
              <w:t>.</w:t>
            </w:r>
            <w:r>
              <w:rPr>
                <w:rFonts w:hint="eastAsia"/>
                <w:color w:val="FF0000"/>
              </w:rPr>
              <w:t>技术指导及技术支持支援：</w:t>
            </w:r>
            <w:r>
              <w:rPr>
                <w:rFonts w:hint="eastAsia" w:ascii="宋体" w:hAnsi="宋体" w:cs="宋体"/>
                <w:color w:val="FF0000"/>
                <w:kern w:val="0"/>
                <w:szCs w:val="21"/>
              </w:rPr>
              <w:t>设备发生任何故障，</w:t>
            </w:r>
            <w:r>
              <w:rPr>
                <w:rFonts w:hint="eastAsia"/>
                <w:color w:val="FF0000"/>
              </w:rPr>
              <w:t>中标人提供原厂售后服务，维保期内提供7×24小时的运维服务响应，【20】分钟内电话响应，不能通过电话、网络等方式远程协助解决问题时，必须【4】小时内到达现场，到达现场后【2】小时内处理完毕</w:t>
            </w:r>
            <w:r>
              <w:rPr>
                <w:rFonts w:hint="eastAsia" w:ascii="宋体" w:hAnsi="宋体" w:cs="宋体"/>
                <w:color w:val="FF0000"/>
                <w:kern w:val="0"/>
                <w:szCs w:val="21"/>
              </w:rPr>
              <w:t>（包括但不限于硬件维保服务和软件版本升级服务、配置服务、配合第三方调试服务）</w:t>
            </w:r>
            <w:r>
              <w:rPr>
                <w:rFonts w:hint="eastAsia"/>
                <w:color w:val="FF0000"/>
              </w:rPr>
              <w:t>。若故障在【2】小时内仍未处理完毕，中标人必须采取应急措施解决，消耗品和零配件供应及时，特殊情况下可提供备用机给</w:t>
            </w:r>
            <w:r>
              <w:rPr>
                <w:rFonts w:hint="eastAsia" w:ascii="宋体" w:hAnsi="宋体" w:cs="宋体"/>
                <w:color w:val="FF0000"/>
                <w:kern w:val="0"/>
                <w:szCs w:val="21"/>
              </w:rPr>
              <w:t>采购人短期使用</w:t>
            </w:r>
            <w:r>
              <w:rPr>
                <w:rFonts w:hint="eastAsia"/>
                <w:color w:val="FF0000"/>
              </w:rPr>
              <w:t>，不得影响采购人的正常工作业务。</w:t>
            </w:r>
          </w:p>
          <w:p w14:paraId="1B7E1CE5">
            <w:pPr>
              <w:pStyle w:val="2"/>
              <w:ind w:firstLine="0" w:firstLineChars="0"/>
              <w:rPr>
                <w:color w:val="FF0000"/>
              </w:rPr>
            </w:pPr>
            <w:r>
              <w:rPr>
                <w:rFonts w:hint="eastAsia" w:ascii="宋体" w:hAnsi="宋体" w:cs="宋体"/>
                <w:color w:val="FF0000"/>
                <w:spacing w:val="1"/>
                <w:szCs w:val="21"/>
              </w:rPr>
              <w:t>★</w:t>
            </w:r>
            <w:r>
              <w:rPr>
                <w:rFonts w:hint="eastAsia"/>
                <w:color w:val="FF0000"/>
              </w:rPr>
              <w:t>4</w:t>
            </w:r>
            <w:r>
              <w:rPr>
                <w:rFonts w:hint="eastAsia" w:ascii="宋体" w:hAnsi="宋体" w:cs="宋体"/>
                <w:color w:val="FF0000"/>
                <w:kern w:val="0"/>
                <w:szCs w:val="21"/>
              </w:rPr>
              <w:t>.</w:t>
            </w:r>
            <w:r>
              <w:rPr>
                <w:rFonts w:hint="eastAsia"/>
                <w:color w:val="FF0000"/>
              </w:rPr>
              <w:t>中标人在安装调试过程中涉及到与其它第三方厂商对接时，接口的协调工作与产生的费用，由中标人负责并费用自理。</w:t>
            </w:r>
          </w:p>
          <w:p w14:paraId="0C46A780">
            <w:pPr>
              <w:pStyle w:val="2"/>
              <w:ind w:firstLine="0" w:firstLineChars="0"/>
              <w:rPr>
                <w:color w:val="FF0000"/>
              </w:rPr>
            </w:pPr>
            <w:r>
              <w:rPr>
                <w:rFonts w:hint="eastAsia" w:ascii="宋体" w:hAnsi="宋体"/>
                <w:color w:val="FF0000"/>
                <w:szCs w:val="21"/>
              </w:rPr>
              <w:t>▲</w:t>
            </w:r>
            <w:r>
              <w:rPr>
                <w:rFonts w:hint="eastAsia"/>
                <w:color w:val="FF0000"/>
              </w:rPr>
              <w:t>5</w:t>
            </w:r>
            <w:r>
              <w:rPr>
                <w:rFonts w:hint="eastAsia" w:ascii="宋体" w:hAnsi="宋体" w:cs="宋体"/>
                <w:color w:val="FF0000"/>
                <w:kern w:val="0"/>
                <w:szCs w:val="21"/>
              </w:rPr>
              <w:t>.</w:t>
            </w:r>
            <w:r>
              <w:rPr>
                <w:rFonts w:hint="eastAsia"/>
                <w:color w:val="FF0000"/>
              </w:rPr>
              <w:t>在维保期内，中标人需及时提供设备相应的升级、更新服务；如果采购人的【HIS/LIS/PACS/自助机系统/公众号/小程序/医院网站/病案系统】系统升级，中标人应免费提供对接改造服务，以确保中标人的产品能和以上系统的升级版协同工作。</w:t>
            </w:r>
          </w:p>
          <w:p w14:paraId="2447E58B">
            <w:pPr>
              <w:pStyle w:val="2"/>
              <w:ind w:firstLine="0" w:firstLineChars="0"/>
              <w:rPr>
                <w:rFonts w:hint="eastAsia" w:ascii="宋体" w:hAnsi="宋体" w:eastAsia="宋体" w:cs="宋体"/>
                <w:color w:val="FF0000"/>
                <w:sz w:val="20"/>
                <w:szCs w:val="20"/>
                <w:highlight w:val="none"/>
                <w:lang w:val="en-US" w:eastAsia="zh-CN"/>
              </w:rPr>
            </w:pPr>
            <w:r>
              <w:rPr>
                <w:rFonts w:hint="eastAsia"/>
                <w:color w:val="FF0000"/>
              </w:rPr>
              <w:t>6</w:t>
            </w:r>
            <w:r>
              <w:rPr>
                <w:rFonts w:hint="eastAsia" w:ascii="宋体" w:hAnsi="宋体" w:cs="宋体"/>
                <w:color w:val="FF0000"/>
                <w:kern w:val="0"/>
                <w:szCs w:val="21"/>
              </w:rPr>
              <w:t>.</w:t>
            </w:r>
            <w:r>
              <w:rPr>
                <w:rFonts w:hint="eastAsia"/>
                <w:color w:val="FF0000"/>
              </w:rPr>
              <w:t>维保期内，中标人协调设备制造商无偿并迅速更换由于元件缺陷及制造工艺等问题而发生故障的产品。</w:t>
            </w:r>
          </w:p>
        </w:tc>
      </w:tr>
      <w:tr w14:paraId="3B562D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686" w:type="dxa"/>
            <w:noWrap w:val="0"/>
            <w:vAlign w:val="center"/>
          </w:tcPr>
          <w:p w14:paraId="0C02E4E6">
            <w:pPr>
              <w:jc w:val="center"/>
              <w:rPr>
                <w:rFonts w:hint="eastAsia" w:ascii="宋体" w:hAnsi="宋体" w:eastAsia="宋体" w:cs="宋体"/>
                <w:b/>
                <w:bCs/>
                <w:color w:val="FF0000"/>
                <w:kern w:val="0"/>
                <w:sz w:val="20"/>
                <w:szCs w:val="20"/>
                <w:highlight w:val="none"/>
                <w:lang w:val="en-US" w:eastAsia="zh-CN"/>
              </w:rPr>
            </w:pPr>
            <w:r>
              <w:rPr>
                <w:rFonts w:hint="eastAsia" w:ascii="宋体" w:hAnsi="宋体" w:cs="宋体"/>
                <w:color w:val="FF0000"/>
                <w:spacing w:val="1"/>
                <w:sz w:val="20"/>
                <w:szCs w:val="20"/>
              </w:rPr>
              <w:t>★</w:t>
            </w:r>
            <w:r>
              <w:rPr>
                <w:rFonts w:hint="eastAsia" w:ascii="宋体" w:hAnsi="宋体" w:cs="宋体"/>
                <w:color w:val="FF0000"/>
                <w:spacing w:val="1"/>
                <w:sz w:val="20"/>
                <w:szCs w:val="20"/>
              </w:rPr>
              <w:br w:type="textWrapping"/>
            </w:r>
            <w:r>
              <w:rPr>
                <w:rFonts w:hint="eastAsia" w:ascii="宋体" w:hAnsi="宋体" w:cs="宋体"/>
                <w:color w:val="FF0000"/>
                <w:spacing w:val="2"/>
                <w:sz w:val="20"/>
                <w:szCs w:val="20"/>
              </w:rPr>
              <w:t>验收方式</w:t>
            </w:r>
          </w:p>
        </w:tc>
        <w:tc>
          <w:tcPr>
            <w:tcW w:w="9081" w:type="dxa"/>
            <w:noWrap w:val="0"/>
            <w:vAlign w:val="center"/>
          </w:tcPr>
          <w:p w14:paraId="1775A947">
            <w:pPr>
              <w:rPr>
                <w:rFonts w:ascii="宋体" w:hAnsi="宋体" w:cs="宋体"/>
                <w:color w:val="FF0000"/>
                <w:kern w:val="0"/>
                <w:szCs w:val="21"/>
              </w:rPr>
            </w:pPr>
            <w:r>
              <w:rPr>
                <w:rFonts w:hint="eastAsia" w:ascii="宋体" w:hAnsi="宋体" w:cs="宋体"/>
                <w:color w:val="FF0000"/>
                <w:kern w:val="0"/>
                <w:szCs w:val="21"/>
              </w:rPr>
              <w:t>1.合同中所有的货物均需由中标人自行运往设备安装场所，不论设备从何处购置、采用何种方式运输，采购人不承担任何责任及相关费用。投标人应当自行处理货物质量和数量短缺问题。包装以保证货物的完好无损为标准。</w:t>
            </w:r>
          </w:p>
          <w:p w14:paraId="761361B0">
            <w:pPr>
              <w:rPr>
                <w:rFonts w:ascii="宋体" w:hAnsi="宋体" w:cs="宋体"/>
                <w:color w:val="FF0000"/>
                <w:kern w:val="0"/>
                <w:szCs w:val="21"/>
              </w:rPr>
            </w:pPr>
            <w:r>
              <w:rPr>
                <w:rFonts w:hint="eastAsia" w:ascii="宋体" w:hAnsi="宋体" w:cs="宋体"/>
                <w:color w:val="FF0000"/>
                <w:kern w:val="0"/>
                <w:szCs w:val="21"/>
              </w:rPr>
              <w:t>2.投标人需派经验丰富工程师进行货物的现场安装和调试，提供货物安装、调试和维修所需的专用工具和辅助材料，直至设备正常使用。</w:t>
            </w:r>
          </w:p>
          <w:p w14:paraId="06CA458A">
            <w:pPr>
              <w:rPr>
                <w:rFonts w:ascii="宋体" w:hAnsi="宋体" w:cs="宋体"/>
                <w:color w:val="FF0000"/>
                <w:kern w:val="0"/>
                <w:szCs w:val="21"/>
              </w:rPr>
            </w:pPr>
            <w:r>
              <w:rPr>
                <w:rFonts w:hint="eastAsia" w:ascii="宋体" w:hAnsi="宋体" w:cs="宋体"/>
                <w:color w:val="FF0000"/>
                <w:kern w:val="0"/>
                <w:szCs w:val="21"/>
              </w:rPr>
              <w:t>3.由采购人按合同和采购文件、响应文件约定的要求和标准及中华人民共和国现行的验收规范和评定标准进行交货验收。</w:t>
            </w:r>
          </w:p>
          <w:p w14:paraId="085E10AD">
            <w:pPr>
              <w:rPr>
                <w:rFonts w:ascii="宋体" w:hAnsi="宋体" w:cs="宋体"/>
                <w:color w:val="FF0000"/>
                <w:kern w:val="0"/>
                <w:szCs w:val="21"/>
              </w:rPr>
            </w:pPr>
            <w:r>
              <w:rPr>
                <w:rFonts w:hint="eastAsia" w:ascii="宋体" w:hAnsi="宋体" w:cs="宋体"/>
                <w:color w:val="FF0000"/>
                <w:kern w:val="0"/>
                <w:szCs w:val="21"/>
              </w:rPr>
              <w:t>4.验收要求：货物需满足以下条件后方可被采购人接受；</w:t>
            </w:r>
          </w:p>
          <w:p w14:paraId="03E7D4B5">
            <w:pPr>
              <w:rPr>
                <w:rFonts w:ascii="宋体" w:hAnsi="宋体" w:cs="宋体"/>
                <w:color w:val="FF0000"/>
                <w:kern w:val="0"/>
                <w:szCs w:val="21"/>
              </w:rPr>
            </w:pPr>
            <w:r>
              <w:rPr>
                <w:rFonts w:hint="eastAsia" w:ascii="宋体" w:hAnsi="宋体" w:cs="宋体"/>
                <w:color w:val="FF0000"/>
                <w:kern w:val="0"/>
                <w:szCs w:val="21"/>
              </w:rPr>
              <w:t>（1）设备全新,外观无伤痕变形或明显修饰痕迹。</w:t>
            </w:r>
          </w:p>
          <w:p w14:paraId="16740E19">
            <w:pPr>
              <w:rPr>
                <w:rFonts w:ascii="宋体" w:hAnsi="宋体" w:cs="宋体"/>
                <w:color w:val="FF0000"/>
                <w:kern w:val="0"/>
                <w:szCs w:val="21"/>
              </w:rPr>
            </w:pPr>
            <w:r>
              <w:rPr>
                <w:rFonts w:hint="eastAsia" w:ascii="宋体" w:hAnsi="宋体" w:cs="宋体"/>
                <w:color w:val="FF0000"/>
                <w:kern w:val="0"/>
                <w:szCs w:val="21"/>
              </w:rPr>
              <w:t>（2）必须符合有关国标的规定。响应文件提供的技术数据经实测证实是真实的。检验及质量保证期内达到的性能指标与要求一致，达到或优于相应标准。</w:t>
            </w:r>
          </w:p>
          <w:p w14:paraId="6A4A9804">
            <w:pPr>
              <w:rPr>
                <w:rFonts w:ascii="宋体" w:hAnsi="宋体" w:cs="宋体"/>
                <w:color w:val="FF0000"/>
                <w:kern w:val="0"/>
                <w:szCs w:val="21"/>
              </w:rPr>
            </w:pPr>
            <w:r>
              <w:rPr>
                <w:rFonts w:hint="eastAsia" w:ascii="宋体" w:hAnsi="宋体" w:cs="宋体"/>
                <w:color w:val="FF0000"/>
                <w:kern w:val="0"/>
                <w:szCs w:val="21"/>
              </w:rPr>
              <w:t>（3）技术文件资料、备件已按规定数量移交完毕。</w:t>
            </w:r>
          </w:p>
          <w:p w14:paraId="6400A58C">
            <w:pPr>
              <w:rPr>
                <w:rFonts w:ascii="宋体" w:hAnsi="宋体" w:cs="宋体"/>
                <w:color w:val="FF0000"/>
                <w:kern w:val="0"/>
                <w:szCs w:val="21"/>
              </w:rPr>
            </w:pPr>
            <w:r>
              <w:rPr>
                <w:rFonts w:hint="eastAsia" w:ascii="宋体" w:hAnsi="宋体" w:cs="宋体"/>
                <w:color w:val="FF0000"/>
                <w:kern w:val="0"/>
                <w:szCs w:val="21"/>
              </w:rPr>
              <w:t>（4）按照采购文件要求及响应文件提供合格的技术参数。</w:t>
            </w:r>
          </w:p>
          <w:p w14:paraId="7E20A6CB">
            <w:pPr>
              <w:rPr>
                <w:rFonts w:hint="eastAsia" w:ascii="宋体" w:hAnsi="宋体" w:eastAsia="宋体" w:cs="宋体"/>
                <w:color w:val="FF0000"/>
                <w:sz w:val="20"/>
                <w:szCs w:val="20"/>
                <w:highlight w:val="none"/>
                <w:lang w:val="en-US" w:eastAsia="zh-CN"/>
              </w:rPr>
            </w:pPr>
            <w:r>
              <w:rPr>
                <w:rFonts w:hint="eastAsia" w:ascii="宋体" w:hAnsi="宋体" w:cs="宋体"/>
                <w:color w:val="FF0000"/>
                <w:kern w:val="0"/>
                <w:szCs w:val="21"/>
              </w:rPr>
              <w:t>（5）在货物安装调试合格后，所有技术指标达到技术规范书要求，试运行7天后经验收合格，双方共同签署验收报告。</w:t>
            </w:r>
          </w:p>
        </w:tc>
      </w:tr>
      <w:tr w14:paraId="143A2B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686" w:type="dxa"/>
            <w:noWrap w:val="0"/>
            <w:vAlign w:val="center"/>
          </w:tcPr>
          <w:p w14:paraId="71A460AB">
            <w:pPr>
              <w:jc w:val="center"/>
              <w:rPr>
                <w:rFonts w:hint="eastAsia" w:ascii="宋体" w:hAnsi="宋体" w:eastAsia="宋体" w:cs="宋体"/>
                <w:b/>
                <w:bCs/>
                <w:color w:val="FF0000"/>
                <w:kern w:val="0"/>
                <w:sz w:val="20"/>
                <w:szCs w:val="20"/>
                <w:highlight w:val="none"/>
                <w:lang w:val="en-US" w:eastAsia="zh-CN"/>
              </w:rPr>
            </w:pPr>
            <w:r>
              <w:rPr>
                <w:rFonts w:hint="eastAsia" w:ascii="宋体" w:hAnsi="宋体" w:cs="宋体"/>
                <w:color w:val="FF0000"/>
                <w:spacing w:val="1"/>
                <w:sz w:val="20"/>
                <w:szCs w:val="20"/>
              </w:rPr>
              <w:t>★</w:t>
            </w:r>
            <w:r>
              <w:rPr>
                <w:rFonts w:hint="eastAsia" w:ascii="宋体" w:hAnsi="宋体" w:cs="宋体"/>
                <w:color w:val="FF0000"/>
                <w:spacing w:val="1"/>
                <w:sz w:val="20"/>
                <w:szCs w:val="20"/>
              </w:rPr>
              <w:br w:type="textWrapping"/>
            </w:r>
            <w:r>
              <w:rPr>
                <w:rFonts w:hint="eastAsia" w:ascii="宋体" w:hAnsi="宋体" w:cs="宋体"/>
                <w:color w:val="FF0000"/>
                <w:spacing w:val="2"/>
                <w:sz w:val="20"/>
                <w:szCs w:val="20"/>
              </w:rPr>
              <w:t>违约责任</w:t>
            </w:r>
          </w:p>
        </w:tc>
        <w:tc>
          <w:tcPr>
            <w:tcW w:w="9081" w:type="dxa"/>
            <w:noWrap w:val="0"/>
            <w:vAlign w:val="center"/>
          </w:tcPr>
          <w:p w14:paraId="0210C70E">
            <w:pPr>
              <w:rPr>
                <w:rFonts w:ascii="宋体" w:hAnsi="宋体" w:cs="宋体"/>
                <w:color w:val="FF0000"/>
                <w:kern w:val="0"/>
                <w:szCs w:val="21"/>
              </w:rPr>
            </w:pPr>
            <w:r>
              <w:rPr>
                <w:rFonts w:hint="eastAsia" w:ascii="宋体" w:hAnsi="宋体" w:cs="宋体"/>
                <w:color w:val="FF0000"/>
                <w:kern w:val="0"/>
                <w:szCs w:val="21"/>
              </w:rPr>
              <w:t>1.双方均应忠实履行合同约定的各项内容，任何一方违反本合同，均应承担违约责任。双方约定如一方违反合同约定，则违约方应向守约方支付违约金，违约金的金额为合同总价款的【10%】，因一方违约给另一方造成经济损失的，违约方应在支付违约金以外另行根据守约方遭受损失的实际情况进行赔偿，赔偿范围包括直接损失、间接损失、守约方因维权而产生的律师费、鉴定费、差旅费、诉讼费等合理支出。</w:t>
            </w:r>
          </w:p>
          <w:p w14:paraId="2ECDC6BB">
            <w:pPr>
              <w:rPr>
                <w:rFonts w:ascii="宋体" w:hAnsi="宋体" w:cs="宋体"/>
                <w:color w:val="FF0000"/>
                <w:kern w:val="0"/>
                <w:szCs w:val="21"/>
              </w:rPr>
            </w:pPr>
            <w:r>
              <w:rPr>
                <w:rFonts w:hint="eastAsia" w:ascii="宋体" w:hAnsi="宋体" w:cs="宋体"/>
                <w:color w:val="FF0000"/>
                <w:kern w:val="0"/>
                <w:szCs w:val="21"/>
              </w:rPr>
              <w:t>2.采购人无正当理由拒收货物的，采购人向中标人支付合同总价【5%】的违约金。</w:t>
            </w:r>
          </w:p>
          <w:p w14:paraId="33D21230">
            <w:pPr>
              <w:rPr>
                <w:rFonts w:ascii="宋体" w:hAnsi="宋体" w:cs="宋体"/>
                <w:color w:val="FF0000"/>
                <w:kern w:val="0"/>
                <w:szCs w:val="21"/>
              </w:rPr>
            </w:pPr>
            <w:r>
              <w:rPr>
                <w:rFonts w:hint="eastAsia" w:ascii="宋体" w:hAnsi="宋体" w:cs="宋体"/>
                <w:color w:val="FF0000"/>
                <w:kern w:val="0"/>
                <w:szCs w:val="21"/>
              </w:rPr>
              <w:t>3.采购人未按合同规定的期限向中标人支付货款的，每逾期1天采购人向中标人偿付欠款总额的【0.01%】违约金，违约金上限不超过合同总价的【5%】。如中标人迟延交货，每延期一天，采购人有权要求中标人支付延期交付产品价值总额的【0.01%】的违约金。如违约金不足以支付因交货延迟给采购人造成的损失，中标人还应承担相应的赔偿责任。中标人逾期交货超过【15】天的，采购人有权解除合同，中标人则应按合同总价的【10%】向采购人支付违约金，还应向采购人赔偿由此遭受的一切经济损失，并全额退还采购人已支付给中标人的货款及相应利息。且采购人向第三方采购所产生的差价亦由中标人承担。</w:t>
            </w:r>
          </w:p>
          <w:p w14:paraId="2F539B93">
            <w:pPr>
              <w:rPr>
                <w:rFonts w:ascii="宋体" w:hAnsi="宋体" w:cs="宋体"/>
                <w:color w:val="FF0000"/>
                <w:kern w:val="0"/>
                <w:szCs w:val="21"/>
              </w:rPr>
            </w:pPr>
            <w:r>
              <w:rPr>
                <w:rFonts w:hint="eastAsia" w:ascii="宋体" w:hAnsi="宋体" w:cs="宋体"/>
                <w:color w:val="FF0000"/>
                <w:kern w:val="0"/>
                <w:szCs w:val="21"/>
              </w:rPr>
              <w:t>4.中标人交付货物的品质、性能、技术标准、质量要求不符合合同约定的，采购人有权向中标人提出更换货物及索赔，中标人应在采购人提出之日起的【10】天内免费更换合格的货物，由此造成的时间延误视作中标人未按时交货，如经两次更换，货物质量仍不符合合同规定的，采购人有权解除合同，中标人则应按合同总价的【10%】向采购人支付违约金，还应向采购人赔偿由此遭受的一切经济损失，并全额退还采购人已支付给中标人的货款及相应利息。造成严重后果的，根据《深圳经济特区政府采购条例》第五十七条第（二）款规定，由主管部门对中标方进行处罚；</w:t>
            </w:r>
          </w:p>
          <w:p w14:paraId="50C914CF">
            <w:pPr>
              <w:rPr>
                <w:rFonts w:ascii="宋体" w:hAnsi="宋体" w:cs="宋体"/>
                <w:color w:val="FF0000"/>
                <w:kern w:val="0"/>
                <w:szCs w:val="21"/>
              </w:rPr>
            </w:pPr>
            <w:r>
              <w:rPr>
                <w:rFonts w:hint="eastAsia" w:ascii="宋体" w:hAnsi="宋体" w:cs="宋体"/>
                <w:color w:val="FF0000"/>
                <w:kern w:val="0"/>
                <w:szCs w:val="21"/>
              </w:rPr>
              <w:t>5.如中标人原因导致提供的产品存在侵犯第三方知识产权或合法权益的情形，中标人除了承担全部赔偿责任之外，还应按照合同总价款【10】%支付违约金。</w:t>
            </w:r>
          </w:p>
          <w:p w14:paraId="289BFB90">
            <w:pPr>
              <w:rPr>
                <w:rFonts w:ascii="宋体" w:hAnsi="宋体" w:cs="宋体"/>
                <w:color w:val="FF0000"/>
                <w:kern w:val="0"/>
                <w:szCs w:val="21"/>
              </w:rPr>
            </w:pPr>
            <w:r>
              <w:rPr>
                <w:rFonts w:hint="eastAsia" w:ascii="宋体" w:hAnsi="宋体" w:cs="宋体"/>
                <w:color w:val="FF0000"/>
                <w:kern w:val="0"/>
                <w:szCs w:val="21"/>
              </w:rPr>
              <w:t>6.中标人不能交付设备的，中标人向采购人偿付项目采购金额【10%】违约金；造成严重后果的，根据《深圳经济特区政府采购条例》第五十七条第（二）款规定，由主管部门对中标方进行处罚。</w:t>
            </w:r>
          </w:p>
          <w:p w14:paraId="35AA2C57">
            <w:pPr>
              <w:rPr>
                <w:rFonts w:ascii="宋体" w:hAnsi="宋体" w:cs="宋体"/>
                <w:color w:val="FF0000"/>
                <w:kern w:val="0"/>
                <w:szCs w:val="21"/>
              </w:rPr>
            </w:pPr>
            <w:r>
              <w:rPr>
                <w:rFonts w:hint="eastAsia" w:ascii="宋体" w:hAnsi="宋体" w:cs="宋体"/>
                <w:color w:val="FF0000"/>
                <w:kern w:val="0"/>
                <w:szCs w:val="21"/>
              </w:rPr>
              <w:t>7.如中标人违约，采购人有权将中标人的违约情况向当地纠正医药购销和医疗服务中不正之风工作领导小组办公室通报。</w:t>
            </w:r>
          </w:p>
          <w:p w14:paraId="54C60411">
            <w:pPr>
              <w:rPr>
                <w:rFonts w:hint="eastAsia" w:ascii="宋体" w:hAnsi="宋体" w:eastAsia="宋体" w:cs="宋体"/>
                <w:color w:val="FF0000"/>
                <w:sz w:val="20"/>
                <w:szCs w:val="20"/>
                <w:highlight w:val="none"/>
                <w:lang w:val="en-US" w:eastAsia="zh-CN"/>
              </w:rPr>
            </w:pPr>
            <w:r>
              <w:rPr>
                <w:rFonts w:hint="eastAsia" w:ascii="宋体" w:hAnsi="宋体" w:cs="宋体"/>
                <w:color w:val="FF0000"/>
                <w:kern w:val="0"/>
                <w:szCs w:val="21"/>
              </w:rPr>
              <w:t>8.采购人有权自应支付给中标人的货款中径行扣除各种索赔款项，包括但不限于质量赔偿款、延期交货赔偿款、代付运费、律师费、诉讼费、鉴定费等。</w:t>
            </w:r>
          </w:p>
        </w:tc>
      </w:tr>
      <w:tr w14:paraId="3AE2A0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686" w:type="dxa"/>
            <w:noWrap w:val="0"/>
            <w:vAlign w:val="center"/>
          </w:tcPr>
          <w:p w14:paraId="5AAC7A9A">
            <w:pPr>
              <w:jc w:val="center"/>
              <w:rPr>
                <w:rFonts w:hint="eastAsia" w:ascii="宋体" w:hAnsi="宋体" w:eastAsia="宋体" w:cs="宋体"/>
                <w:b/>
                <w:bCs/>
                <w:color w:val="FF0000"/>
                <w:kern w:val="0"/>
                <w:sz w:val="20"/>
                <w:szCs w:val="20"/>
                <w:highlight w:val="none"/>
                <w:lang w:val="en-US" w:eastAsia="zh-CN"/>
              </w:rPr>
            </w:pPr>
            <w:r>
              <w:rPr>
                <w:rFonts w:hint="eastAsia" w:ascii="宋体" w:hAnsi="宋体" w:cs="宋体"/>
                <w:color w:val="FF0000"/>
                <w:spacing w:val="1"/>
                <w:sz w:val="20"/>
                <w:szCs w:val="20"/>
              </w:rPr>
              <w:t>★</w:t>
            </w:r>
            <w:r>
              <w:rPr>
                <w:rFonts w:hint="eastAsia" w:ascii="宋体" w:hAnsi="宋体" w:cs="宋体"/>
                <w:color w:val="FF0000"/>
                <w:spacing w:val="1"/>
                <w:sz w:val="20"/>
                <w:szCs w:val="20"/>
              </w:rPr>
              <w:br w:type="textWrapping"/>
            </w:r>
            <w:r>
              <w:rPr>
                <w:rFonts w:hint="eastAsia" w:ascii="宋体" w:hAnsi="宋体" w:cs="宋体"/>
                <w:color w:val="FF0000"/>
                <w:sz w:val="20"/>
                <w:szCs w:val="20"/>
              </w:rPr>
              <w:t>其他</w:t>
            </w:r>
          </w:p>
        </w:tc>
        <w:tc>
          <w:tcPr>
            <w:tcW w:w="9081" w:type="dxa"/>
            <w:noWrap w:val="0"/>
            <w:vAlign w:val="center"/>
          </w:tcPr>
          <w:p w14:paraId="02FDE2BE">
            <w:pPr>
              <w:pStyle w:val="7"/>
              <w:rPr>
                <w:color w:val="FF0000"/>
              </w:rPr>
            </w:pPr>
            <w:r>
              <w:rPr>
                <w:rFonts w:hint="eastAsia"/>
                <w:color w:val="FF0000"/>
              </w:rPr>
              <w:t>1</w:t>
            </w:r>
            <w:r>
              <w:rPr>
                <w:rFonts w:hint="eastAsia" w:ascii="宋体" w:hAnsi="宋体" w:cs="宋体"/>
                <w:color w:val="FF0000"/>
                <w:sz w:val="20"/>
                <w:szCs w:val="20"/>
              </w:rPr>
              <w:t>.</w:t>
            </w:r>
            <w:r>
              <w:rPr>
                <w:rFonts w:hint="eastAsia"/>
                <w:color w:val="FF0000"/>
              </w:rPr>
              <w:t>产品质量：</w:t>
            </w:r>
          </w:p>
          <w:p w14:paraId="670C30C6">
            <w:pPr>
              <w:pStyle w:val="7"/>
              <w:rPr>
                <w:color w:val="FF0000"/>
              </w:rPr>
            </w:pPr>
            <w:r>
              <w:rPr>
                <w:rFonts w:hint="eastAsia"/>
                <w:color w:val="FF0000"/>
              </w:rPr>
              <w:t>（1）投标产品质量保证期不得低于国家“三包”规定；</w:t>
            </w:r>
          </w:p>
          <w:p w14:paraId="33887902">
            <w:pPr>
              <w:pStyle w:val="7"/>
              <w:rPr>
                <w:color w:val="FF0000"/>
              </w:rPr>
            </w:pPr>
            <w:r>
              <w:rPr>
                <w:rFonts w:hint="eastAsia"/>
                <w:color w:val="FF0000"/>
              </w:rPr>
              <w:t>（2）投标质量保证期承诺优于国家“三包”规定的，按投标人实际承诺执行。</w:t>
            </w:r>
          </w:p>
          <w:p w14:paraId="1F5F958C">
            <w:pPr>
              <w:pStyle w:val="7"/>
              <w:rPr>
                <w:color w:val="FF0000"/>
              </w:rPr>
            </w:pPr>
            <w:r>
              <w:rPr>
                <w:rFonts w:hint="eastAsia"/>
                <w:color w:val="FF0000"/>
              </w:rPr>
              <w:t>2</w:t>
            </w:r>
            <w:r>
              <w:rPr>
                <w:rFonts w:hint="eastAsia" w:ascii="宋体" w:hAnsi="宋体" w:cs="宋体"/>
                <w:color w:val="FF0000"/>
                <w:sz w:val="20"/>
                <w:szCs w:val="20"/>
              </w:rPr>
              <w:t>.</w:t>
            </w:r>
            <w:r>
              <w:rPr>
                <w:rFonts w:hint="eastAsia"/>
                <w:color w:val="FF0000"/>
              </w:rPr>
              <w:t>培训：</w:t>
            </w:r>
          </w:p>
          <w:p w14:paraId="75765E6B">
            <w:pPr>
              <w:pStyle w:val="7"/>
              <w:rPr>
                <w:color w:val="FF0000"/>
              </w:rPr>
            </w:pPr>
            <w:r>
              <w:rPr>
                <w:rFonts w:hint="eastAsia"/>
                <w:color w:val="FF0000"/>
              </w:rPr>
              <w:t>（1）投标人应按采购人的要求派专业技术人员对采购人指定人员进行设备使用及维护培训，直至其完全掌握设备的基本故障处理技术；</w:t>
            </w:r>
          </w:p>
          <w:p w14:paraId="112B1E93">
            <w:pPr>
              <w:pStyle w:val="7"/>
              <w:rPr>
                <w:color w:val="FF0000"/>
              </w:rPr>
            </w:pPr>
            <w:r>
              <w:rPr>
                <w:rFonts w:hint="eastAsia"/>
                <w:color w:val="FF0000"/>
              </w:rPr>
              <w:t>（2）投标人需负责培训采购人的使用人员，直至完全掌握设备的操作、配置、日常维护保养及简单维修方法。</w:t>
            </w:r>
          </w:p>
          <w:p w14:paraId="1B81DC64">
            <w:pPr>
              <w:pStyle w:val="7"/>
              <w:rPr>
                <w:color w:val="FF0000"/>
              </w:rPr>
            </w:pPr>
            <w:r>
              <w:rPr>
                <w:rFonts w:hint="eastAsia" w:ascii="宋体" w:hAnsi="宋体" w:cs="宋体"/>
                <w:color w:val="FF0000"/>
                <w:spacing w:val="1"/>
                <w:szCs w:val="21"/>
              </w:rPr>
              <w:t>3</w:t>
            </w:r>
            <w:r>
              <w:rPr>
                <w:rFonts w:hint="eastAsia" w:ascii="宋体" w:hAnsi="宋体" w:cs="宋体"/>
                <w:color w:val="FF0000"/>
                <w:sz w:val="20"/>
                <w:szCs w:val="20"/>
              </w:rPr>
              <w:t>.</w:t>
            </w:r>
            <w:r>
              <w:rPr>
                <w:rFonts w:hint="eastAsia"/>
                <w:color w:val="FF0000"/>
              </w:rPr>
              <w:t>保密及安全责任：</w:t>
            </w:r>
          </w:p>
          <w:p w14:paraId="56948965">
            <w:pPr>
              <w:pStyle w:val="7"/>
              <w:rPr>
                <w:color w:val="FF0000"/>
              </w:rPr>
            </w:pPr>
            <w:r>
              <w:rPr>
                <w:rFonts w:hint="eastAsia"/>
                <w:color w:val="FF0000"/>
              </w:rPr>
              <w:t>（1）乙方在服务过程中从甲方获知的技术秘密、商业秘密等一切信息负有保密责任。未经甲方事先书面授权，不得以任何方式向任何其他组织或个人泄露、转让、许可使用、交换、赠与该信息或与任何其他组织或个人共同使用或不正当使用该信息；</w:t>
            </w:r>
          </w:p>
          <w:p w14:paraId="692F7009">
            <w:pPr>
              <w:pStyle w:val="7"/>
              <w:rPr>
                <w:color w:val="FF0000"/>
              </w:rPr>
            </w:pPr>
            <w:r>
              <w:rPr>
                <w:rFonts w:hint="eastAsia"/>
                <w:color w:val="FF0000"/>
              </w:rPr>
              <w:t>（2）乙方有义务保证售后服务工程师严格按照医院管理规定和工作纪律行事，并有责任为售后服务工程师提供人身安全保障。乙方应为售后服务工程师违规操作及其他非医院原因导致的事故负责解决善后事宜，服务过程中如造成医院场所及设施损坏、工作人员人身伤害或第三方人身伤害、财产损失，承担赔偿责任，并支付相关费用，医院不承担任何责任；</w:t>
            </w:r>
          </w:p>
          <w:p w14:paraId="68E826A9">
            <w:pPr>
              <w:pStyle w:val="7"/>
              <w:rPr>
                <w:rFonts w:hint="eastAsia"/>
                <w:color w:val="FF0000"/>
                <w:sz w:val="20"/>
                <w:szCs w:val="20"/>
                <w:lang w:val="en-US" w:eastAsia="zh-CN"/>
              </w:rPr>
            </w:pPr>
            <w:r>
              <w:rPr>
                <w:rFonts w:hint="eastAsia"/>
                <w:color w:val="FF0000"/>
              </w:rPr>
              <w:t>（3）乙方应按照国家规定为工程师提供合理的工作条件与保护设施，工程师在医院场地内发生的一切意外、事故等均自行承担，与医院无关。</w:t>
            </w:r>
          </w:p>
        </w:tc>
      </w:tr>
    </w:tbl>
    <w:p w14:paraId="1D6BEF30">
      <w:pPr>
        <w:spacing w:after="60"/>
        <w:rPr>
          <w:rFonts w:hint="eastAsia" w:ascii="宋体" w:hAnsi="宋体" w:cs="Arial"/>
          <w:b/>
          <w:color w:val="000000"/>
          <w:kern w:val="0"/>
          <w:sz w:val="20"/>
          <w:szCs w:val="20"/>
        </w:rPr>
      </w:pPr>
      <w:bookmarkStart w:id="2" w:name="_GoBack"/>
    </w:p>
    <w:bookmarkEnd w:id="2"/>
    <w:p w14:paraId="6AFBE7CB">
      <w:pPr>
        <w:pStyle w:val="18"/>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400069EE"/>
    <w:multiLevelType w:val="singleLevel"/>
    <w:tmpl w:val="400069E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8D7439C"/>
    <w:rsid w:val="7B4F00BE"/>
    <w:rsid w:val="7DBC4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autoRedefine/>
    <w:qFormat/>
    <w:uiPriority w:val="0"/>
    <w:pPr>
      <w:spacing w:after="120"/>
    </w:p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paragraph" w:styleId="11">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olor w:val="FF0000"/>
      <w:kern w:val="0"/>
      <w:szCs w:val="21"/>
    </w:rPr>
  </w:style>
  <w:style w:type="paragraph" w:styleId="12">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4">
    <w:name w:val="Table Grid"/>
    <w:basedOn w:val="1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Hyperlink"/>
    <w:basedOn w:val="15"/>
    <w:autoRedefine/>
    <w:qFormat/>
    <w:uiPriority w:val="0"/>
    <w:rPr>
      <w:color w:val="0000FF"/>
      <w:u w:val="single"/>
    </w:rPr>
  </w:style>
  <w:style w:type="paragraph" w:customStyle="1" w:styleId="17">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9">
    <w:name w:val="标题 1 Char"/>
    <w:autoRedefine/>
    <w:qFormat/>
    <w:uiPriority w:val="0"/>
    <w:rPr>
      <w:rFonts w:ascii="宋体" w:hAnsi="宋体" w:eastAsia="黑体"/>
      <w:b/>
      <w:bCs/>
      <w:kern w:val="44"/>
      <w:sz w:val="28"/>
      <w:szCs w:val="44"/>
      <w:lang w:val="en-US" w:eastAsia="zh-CN" w:bidi="ar-SA"/>
    </w:rPr>
  </w:style>
  <w:style w:type="paragraph" w:customStyle="1" w:styleId="20">
    <w:name w:val="列出段落1"/>
    <w:basedOn w:val="1"/>
    <w:autoRedefine/>
    <w:qFormat/>
    <w:uiPriority w:val="34"/>
    <w:pPr>
      <w:ind w:firstLine="420" w:firstLineChars="200"/>
    </w:p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9933</Words>
  <Characters>10420</Characters>
  <Lines>0</Lines>
  <Paragraphs>0</Paragraphs>
  <TotalTime>1</TotalTime>
  <ScaleCrop>false</ScaleCrop>
  <LinksUpToDate>false</LinksUpToDate>
  <CharactersWithSpaces>11157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2024-12-27T07:38:08Z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39D450BF6A9F4995B9A31FEBF48FCC15_13</vt:lpwstr>
  </property>
  <property fmtid="{D5CDD505-2E9C-101B-9397-08002B2CF9AE}" pid="4" name="KSOTemplateDocerSaveRecord">
    <vt:lpwstr>eyJoZGlkIjoiOThjZmM4N2U2MTk5MGY4OGVlNDAxYTY3YWUwY2I3OWIiLCJ1c2VySWQiOiI3MDY2NjE5NTkifQ==</vt:lpwstr>
  </property>
</Properties>
</file>