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BD0D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default" w:ascii="方正小标宋_GBK" w:hAnsi="方正小标宋_GBK" w:eastAsia="方正小标宋_GBK" w:cs="方正小标宋_GBK"/>
          <w:sz w:val="32"/>
          <w:szCs w:val="32"/>
          <w:shd w:val="clear" w:color="auto" w:fill="auto"/>
          <w:lang w:val="en-US" w:eastAsia="zh-CN"/>
        </w:rPr>
      </w:pPr>
      <w:bookmarkStart w:id="0" w:name="_GoBack"/>
      <w:bookmarkEnd w:id="0"/>
    </w:p>
    <w:p w14:paraId="16AE71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9"/>
        <w:rPr>
          <w:rFonts w:hint="eastAsia" w:ascii="方正小标宋_GBK" w:hAnsi="方正小标宋_GBK" w:eastAsia="方正小标宋_GBK" w:cs="方正小标宋_GBK"/>
          <w:sz w:val="32"/>
          <w:szCs w:val="32"/>
          <w:shd w:val="clear" w:color="auto" w:fill="auto"/>
          <w:lang w:val="en-US" w:eastAsia="zh-CN"/>
        </w:rPr>
      </w:pPr>
    </w:p>
    <w:p w14:paraId="51BF5D68">
      <w:pPr>
        <w:pStyle w:val="3"/>
        <w:spacing w:after="0" w:line="560" w:lineRule="exact"/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shd w:val="clear" w:color="auto" w:fill="auto"/>
          <w:lang w:val="en-US" w:eastAsia="zh-CN"/>
        </w:rPr>
      </w:pPr>
    </w:p>
    <w:p w14:paraId="26638669">
      <w:pPr>
        <w:pStyle w:val="3"/>
        <w:spacing w:after="0" w:line="560" w:lineRule="exact"/>
        <w:jc w:val="left"/>
        <w:rPr>
          <w:rFonts w:hint="eastAsia" w:ascii="方正小标宋_GBK" w:hAnsi="方正小标宋_GBK" w:eastAsia="方正小标宋_GBK" w:cs="方正小标宋_GBK"/>
          <w:sz w:val="32"/>
          <w:szCs w:val="32"/>
          <w:shd w:val="clear" w:color="auto" w:fill="auto"/>
          <w:lang w:val="en-US" w:eastAsia="zh-CN"/>
        </w:rPr>
      </w:pPr>
    </w:p>
    <w:p w14:paraId="092558C0">
      <w:pPr>
        <w:pStyle w:val="3"/>
        <w:spacing w:after="0" w:line="560" w:lineRule="exact"/>
        <w:jc w:val="left"/>
        <w:rPr>
          <w:rFonts w:hint="eastAsia"/>
          <w:szCs w:val="32"/>
          <w:lang w:val="en-US" w:eastAsia="zh-CN"/>
        </w:rPr>
      </w:pPr>
    </w:p>
    <w:p w14:paraId="5EC82833">
      <w:pPr>
        <w:spacing w:line="560" w:lineRule="exact"/>
        <w:jc w:val="left"/>
        <w:rPr>
          <w:rFonts w:hint="eastAsia"/>
          <w:lang w:val="en-US" w:eastAsia="zh-CN"/>
        </w:rPr>
      </w:pPr>
    </w:p>
    <w:p w14:paraId="2A1722F3">
      <w:pPr>
        <w:spacing w:line="560" w:lineRule="exact"/>
        <w:jc w:val="left"/>
        <w:rPr>
          <w:rFonts w:hint="eastAsia"/>
          <w:lang w:val="en-US" w:eastAsia="zh-CN"/>
        </w:rPr>
      </w:pPr>
    </w:p>
    <w:p w14:paraId="76C0299A">
      <w:pPr>
        <w:keepNext w:val="0"/>
        <w:keepLines w:val="0"/>
        <w:pageBreakBefore w:val="0"/>
        <w:kinsoku/>
        <w:wordWrap/>
        <w:autoSpaceDE/>
        <w:autoSpaceDN/>
        <w:bidi w:val="0"/>
        <w:snapToGrid/>
        <w:spacing w:line="560" w:lineRule="exact"/>
        <w:jc w:val="center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 w:cs="仿宋_GB2312"/>
          <w:sz w:val="32"/>
          <w:szCs w:val="32"/>
        </w:rPr>
        <w:t>深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医保发</w:t>
      </w:r>
      <w:r>
        <w:rPr>
          <w:rFonts w:hint="eastAsia" w:ascii="仿宋_GB2312" w:eastAsia="仿宋_GB2312" w:cs="仿宋_GB2312"/>
          <w:sz w:val="32"/>
          <w:szCs w:val="32"/>
        </w:rPr>
        <w:t>〔</w:t>
      </w:r>
      <w:r>
        <w:rPr>
          <w:rFonts w:ascii="仿宋_GB2312" w:eastAsia="仿宋_GB2312" w:cs="仿宋_GB2312"/>
          <w:sz w:val="32"/>
          <w:szCs w:val="32"/>
        </w:rPr>
        <w:t>20</w:t>
      </w:r>
      <w:r>
        <w:rPr>
          <w:rFonts w:hint="eastAsia" w:ascii="仿宋_GB2312" w:eastAsia="仿宋_GB2312" w:cs="仿宋_GB2312"/>
          <w:sz w:val="32"/>
          <w:szCs w:val="32"/>
          <w:lang w:val="en-US" w:eastAsia="zh-CN"/>
        </w:rPr>
        <w:t>24</w:t>
      </w:r>
      <w:r>
        <w:rPr>
          <w:rFonts w:hint="eastAsia" w:ascii="仿宋_GB2312" w:eastAsia="仿宋_GB2312" w:cs="仿宋_GB2312"/>
          <w:sz w:val="32"/>
          <w:szCs w:val="32"/>
        </w:rPr>
        <w:t>〕</w:t>
      </w:r>
      <w:r>
        <w:rPr>
          <w:rFonts w:hint="default" w:ascii="仿宋_GB2312" w:eastAsia="仿宋_GB2312" w:cs="仿宋_GB2312"/>
          <w:sz w:val="32"/>
          <w:szCs w:val="32"/>
          <w:lang w:val="en-US"/>
        </w:rPr>
        <w:t>13</w:t>
      </w:r>
      <w:r>
        <w:rPr>
          <w:rFonts w:hint="eastAsia" w:ascii="仿宋_GB2312" w:eastAsia="仿宋_GB2312"/>
          <w:sz w:val="32"/>
          <w:szCs w:val="32"/>
          <w:lang w:eastAsia="zh-CN"/>
        </w:rPr>
        <w:t>号</w:t>
      </w:r>
    </w:p>
    <w:p w14:paraId="5AAD470B">
      <w:pPr>
        <w:keepNext w:val="0"/>
        <w:keepLines w:val="0"/>
        <w:pageBreakBefore w:val="0"/>
        <w:kinsoku/>
        <w:wordWrap/>
        <w:autoSpaceDE/>
        <w:autoSpaceDN/>
        <w:bidi w:val="0"/>
        <w:snapToGrid/>
        <w:spacing w:line="560" w:lineRule="exact"/>
        <w:jc w:val="center"/>
        <w:textAlignment w:val="auto"/>
        <w:rPr>
          <w:rFonts w:hint="eastAsia" w:ascii="仿宋_GB2312" w:hAnsi="宋体" w:eastAsia="仿宋_GB2312" w:cs="仿宋_GB2312"/>
          <w:sz w:val="32"/>
          <w:szCs w:val="32"/>
        </w:rPr>
      </w:pPr>
    </w:p>
    <w:p w14:paraId="3BDDA229">
      <w:pPr>
        <w:pStyle w:val="5"/>
        <w:keepNext w:val="0"/>
        <w:keepLines w:val="0"/>
        <w:pageBreakBefore w:val="0"/>
        <w:widowControl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  <w:shd w:val="clear" w:color="auto" w:fill="FFFFFF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  <w:shd w:val="clear" w:color="auto" w:fill="FFFFFF"/>
        </w:rPr>
        <w:t>深圳市医疗保障局转发</w:t>
      </w:r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  <w:shd w:val="clear" w:color="auto" w:fill="FFFFFF"/>
          <w:lang w:eastAsia="zh-CN"/>
        </w:rPr>
        <w:t>广东省医疗保障局</w:t>
      </w:r>
    </w:p>
    <w:p w14:paraId="0C5CE960">
      <w:pPr>
        <w:pStyle w:val="5"/>
        <w:keepNext w:val="0"/>
        <w:keepLines w:val="0"/>
        <w:pageBreakBefore w:val="0"/>
        <w:widowControl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  <w:shd w:val="clear" w:color="auto" w:fill="FFFFFF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  <w:shd w:val="clear" w:color="auto" w:fill="FFFFFF"/>
          <w:lang w:eastAsia="zh-CN"/>
        </w:rPr>
        <w:t>关于开展医疗服务价格规范治理</w:t>
      </w:r>
    </w:p>
    <w:p w14:paraId="2C70DB56">
      <w:pPr>
        <w:pStyle w:val="5"/>
        <w:keepNext w:val="0"/>
        <w:keepLines w:val="0"/>
        <w:pageBreakBefore w:val="0"/>
        <w:widowControl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sz w:val="44"/>
          <w:szCs w:val="44"/>
          <w:shd w:val="clear" w:color="auto" w:fill="FFFFFF"/>
          <w:lang w:eastAsia="zh-CN"/>
        </w:rPr>
        <w:t>（第三批）的通知</w:t>
      </w:r>
    </w:p>
    <w:p w14:paraId="5A82F683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beforeLines="0" w:afterLines="0" w:line="560" w:lineRule="exact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</w:p>
    <w:p w14:paraId="2EF04CA4">
      <w:pPr>
        <w:pStyle w:val="5"/>
        <w:keepNext w:val="0"/>
        <w:keepLines w:val="0"/>
        <w:pageBreakBefore w:val="0"/>
        <w:widowControl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beforeAutospacing="0" w:after="0" w:afterLines="0" w:afterAutospacing="0"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  <w:t>相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auto"/>
          <w:lang w:eastAsia="zh-CN"/>
        </w:rPr>
        <w:t>关医疗机构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auto"/>
        </w:rPr>
        <w:t>：</w:t>
      </w:r>
    </w:p>
    <w:p w14:paraId="26BDBBC6">
      <w:pPr>
        <w:pStyle w:val="5"/>
        <w:keepNext w:val="0"/>
        <w:keepLines w:val="0"/>
        <w:pageBreakBefore w:val="0"/>
        <w:widowControl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firstLine="628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auto"/>
          <w:lang w:eastAsia="zh-CN"/>
        </w:rPr>
        <w:t>现将《广东省医疗保障局关于开展医疗服务价格规范治理（第三批）的通知》（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粤医保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函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〔2024〕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281</w:t>
      </w:r>
      <w:r>
        <w:rPr>
          <w:rFonts w:hint="eastAsia" w:ascii="仿宋_GB2312" w:hAnsi="仿宋_GB2312" w:eastAsia="仿宋_GB2312" w:cs="仿宋_GB2312"/>
          <w:sz w:val="32"/>
          <w:szCs w:val="32"/>
          <w:lang w:val="en-US"/>
        </w:rPr>
        <w:t>号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，见附件1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auto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转发给你们，我市“镇痛泵体内置入术”等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8项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医疗服务价格项目的政府指导价详见附件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2，请一并遵照执行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。</w:t>
      </w:r>
    </w:p>
    <w:p w14:paraId="659DFDFB">
      <w:pPr>
        <w:pStyle w:val="5"/>
        <w:keepNext w:val="0"/>
        <w:keepLines w:val="0"/>
        <w:pageBreakBefore w:val="0"/>
        <w:widowControl/>
        <w:shd w:val="clear" w:color="auto" w:fill="auto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Autospacing="0" w:line="560" w:lineRule="exact"/>
        <w:ind w:firstLine="628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本通知自2024年12月30日起执行。</w:t>
      </w:r>
    </w:p>
    <w:p w14:paraId="6D5A7D3A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25D54271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60" w:lineRule="exact"/>
        <w:ind w:left="1902" w:leftChars="206" w:hanging="1256" w:hangingChars="400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  <w:t>广东省医疗保障局关于开展医疗服务价格规范治理（第三批）的通知（粤医保函〔2024〕2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81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eastAsia="zh-CN"/>
        </w:rPr>
        <w:t>号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）</w:t>
      </w:r>
    </w:p>
    <w:p w14:paraId="099BFF9B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 w:val="0"/>
        <w:snapToGrid w:val="0"/>
        <w:spacing w:line="560" w:lineRule="exact"/>
        <w:ind w:left="1931" w:leftChars="515" w:hanging="314" w:hangingChars="1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000000"/>
          <w:spacing w:val="-11"/>
          <w:sz w:val="32"/>
          <w:szCs w:val="32"/>
          <w:shd w:val="clear" w:color="auto" w:fill="FFFFFF"/>
          <w:lang w:val="en-US" w:eastAsia="zh-CN"/>
        </w:rPr>
        <w:t>.深圳市“</w:t>
      </w:r>
      <w:r>
        <w:rPr>
          <w:rFonts w:hint="eastAsia" w:ascii="仿宋_GB2312" w:hAnsi="仿宋_GB2312" w:eastAsia="仿宋_GB2312" w:cs="仿宋_GB2312"/>
          <w:color w:val="auto"/>
          <w:spacing w:val="-11"/>
          <w:sz w:val="32"/>
          <w:szCs w:val="32"/>
          <w:highlight w:val="none"/>
          <w:lang w:eastAsia="zh-CN"/>
        </w:rPr>
        <w:t>镇痛泵体内置入术”</w:t>
      </w:r>
      <w:r>
        <w:rPr>
          <w:rFonts w:hint="eastAsia" w:ascii="仿宋_GB2312" w:hAnsi="仿宋_GB2312" w:eastAsia="仿宋_GB2312" w:cs="仿宋_GB2312"/>
          <w:color w:val="000000"/>
          <w:spacing w:val="-11"/>
          <w:sz w:val="32"/>
          <w:szCs w:val="32"/>
          <w:shd w:val="clear" w:color="auto" w:fill="FFFFFF"/>
          <w:lang w:val="en-US" w:eastAsia="zh-CN"/>
        </w:rPr>
        <w:t>等医疗服务项目价格表</w:t>
      </w:r>
    </w:p>
    <w:p w14:paraId="6C0D8D9F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588" w:leftChars="206" w:hanging="942" w:hanging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2350020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588" w:leftChars="206" w:hanging="942" w:hanging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6A6A53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30" w:lineRule="exact"/>
        <w:ind w:right="628" w:rightChars="200" w:firstLine="0" w:firstLineChars="0"/>
        <w:jc w:val="right"/>
        <w:textAlignment w:val="auto"/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" w:eastAsia="zh-CN"/>
        </w:rPr>
        <w:t>深圳市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医疗保障局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</w:t>
      </w:r>
    </w:p>
    <w:p w14:paraId="722D98B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530" w:lineRule="exact"/>
        <w:ind w:right="628" w:rightChars="200"/>
        <w:jc w:val="right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日</w:t>
      </w:r>
      <w:r>
        <w:rPr>
          <w:rFonts w:hint="default" w:ascii="仿宋_GB2312" w:hAnsi="仿宋_GB2312" w:eastAsia="仿宋_GB2312" w:cs="仿宋_GB2312"/>
          <w:color w:val="000000"/>
          <w:sz w:val="32"/>
          <w:szCs w:val="32"/>
          <w:lang w:val="en-US"/>
        </w:rPr>
        <w:t xml:space="preserve">  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 xml:space="preserve">  </w:t>
      </w:r>
    </w:p>
    <w:p w14:paraId="55D4EF08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3651AB6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F26A961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F1BE96B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3CA0DFF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9B39B35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5F59E47B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670FC33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07007165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6E3A7E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br w:type="page"/>
      </w:r>
    </w:p>
    <w:p w14:paraId="4AE10CBA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textAlignment w:val="auto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-287655</wp:posOffset>
            </wp:positionH>
            <wp:positionV relativeFrom="page">
              <wp:posOffset>1724660</wp:posOffset>
            </wp:positionV>
            <wp:extent cx="6120130" cy="8207375"/>
            <wp:effectExtent l="0" t="0" r="13970" b="3175"/>
            <wp:wrapTopAndBottom/>
            <wp:docPr id="1" name="图片 2" descr="广东省医疗保障局关于开展医疗服务价格规范治理（第三批）的通知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广东省医疗保障局关于开展医疗服务价格规范治理（第三批）的通知_page_1"/>
                    <pic:cNvPicPr>
                      <a:picLocks noChangeAspect="1"/>
                    </pic:cNvPicPr>
                  </pic:nvPicPr>
                  <pic:blipFill>
                    <a:blip r:embed="rId7"/>
                    <a:srcRect l="4358" t="10150" r="5292" b="506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0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 w14:paraId="5135002C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153670</wp:posOffset>
            </wp:positionV>
            <wp:extent cx="6120130" cy="7401560"/>
            <wp:effectExtent l="0" t="0" r="13970" b="8890"/>
            <wp:wrapTopAndBottom/>
            <wp:docPr id="2" name="图片 3" descr="广东省医疗保障局关于开展医疗服务价格规范治理（第三批）的通知_p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广东省医疗保障局关于开展医疗服务价格规范治理（第三批）的通知_page_2"/>
                    <pic:cNvPicPr>
                      <a:picLocks noChangeAspect="1"/>
                    </pic:cNvPicPr>
                  </pic:nvPicPr>
                  <pic:blipFill>
                    <a:blip r:embed="rId8"/>
                    <a:srcRect l="5063" t="10242" r="4669" b="1310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59DD80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  <w:sectPr>
          <w:footerReference r:id="rId5" w:type="default"/>
          <w:pgSz w:w="11906" w:h="16838"/>
          <w:pgMar w:top="2098" w:right="1474" w:bottom="1984" w:left="1587" w:header="851" w:footer="1049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type="linesAndChars" w:linePitch="592" w:charSpace="1229"/>
        </w:sectPr>
      </w:pPr>
    </w:p>
    <w:p w14:paraId="17CA49B6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357505</wp:posOffset>
            </wp:positionV>
            <wp:extent cx="8999855" cy="3234055"/>
            <wp:effectExtent l="0" t="0" r="10795" b="4445"/>
            <wp:wrapTopAndBottom/>
            <wp:docPr id="3" name="图片 4" descr="广东省医疗保障局关于开展医疗服务价格规范治理（第三批）的通知_p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广东省医疗保障局关于开展医疗服务价格规范治理（第三批）的通知_page_3"/>
                    <pic:cNvPicPr>
                      <a:picLocks noChangeAspect="1"/>
                    </pic:cNvPicPr>
                  </pic:nvPicPr>
                  <pic:blipFill>
                    <a:blip r:embed="rId9"/>
                    <a:srcRect b="49197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81597A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588" w:leftChars="206" w:hanging="942" w:hanging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ectPr>
          <w:pgSz w:w="16838" w:h="11906" w:orient="landscape"/>
          <w:pgMar w:top="1587" w:right="1962" w:bottom="1474" w:left="1848" w:header="851" w:footer="1049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type="linesAndChars" w:linePitch="592" w:charSpace="1229"/>
        </w:sectPr>
      </w:pPr>
    </w:p>
    <w:p w14:paraId="63A0332F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588" w:leftChars="206" w:hanging="942" w:hanging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E00AF80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588" w:leftChars="206" w:hanging="942" w:hanging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sectPr>
          <w:pgSz w:w="11906" w:h="16838"/>
          <w:pgMar w:top="1962" w:right="1474" w:bottom="1848" w:left="1587" w:header="851" w:footer="1049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type="linesAndChars" w:linePitch="592" w:charSpace="1229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-467360</wp:posOffset>
            </wp:positionH>
            <wp:positionV relativeFrom="page">
              <wp:posOffset>8001000</wp:posOffset>
            </wp:positionV>
            <wp:extent cx="6480175" cy="1363345"/>
            <wp:effectExtent l="0" t="0" r="15875" b="8255"/>
            <wp:wrapTopAndBottom/>
            <wp:docPr id="4" name="图片 5" descr="广东省医疗保障局关于开展医疗服务价格规范治理（第三批）的通知_p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广东省医疗保障局关于开展医疗服务价格规范治理（第三批）的通知_page_4"/>
                    <pic:cNvPicPr>
                      <a:picLocks noChangeAspect="1"/>
                    </pic:cNvPicPr>
                  </pic:nvPicPr>
                  <pic:blipFill>
                    <a:blip r:embed="rId10"/>
                    <a:srcRect t="72400" b="127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6B3CD7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</w:t>
      </w:r>
      <w:commentRangeStart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  <w:commentRangeEnd w:id="0"/>
      <w:r>
        <w:commentReference w:id="0"/>
      </w:r>
    </w:p>
    <w:p w14:paraId="09FDF6EC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 w14:paraId="7E12133E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-327025</wp:posOffset>
            </wp:positionH>
            <wp:positionV relativeFrom="page">
              <wp:posOffset>2238375</wp:posOffset>
            </wp:positionV>
            <wp:extent cx="8999855" cy="3209925"/>
            <wp:effectExtent l="0" t="0" r="10795" b="9525"/>
            <wp:wrapTopAndBottom/>
            <wp:docPr id="5" name="图片 6" descr="附件2 深圳市“镇痛泵体内置入术”等医疗服务项目价格表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附件2 深圳市“镇痛泵体内置入术”等医疗服务项目价格表_page_1"/>
                    <pic:cNvPicPr>
                      <a:picLocks noChangeAspect="1"/>
                    </pic:cNvPicPr>
                  </pic:nvPicPr>
                  <pic:blipFill>
                    <a:blip r:embed="rId11"/>
                    <a:srcRect l="3983" t="7907" r="4181" b="45547"/>
                    <a:stretch>
                      <a:fillRect/>
                    </a:stretch>
                  </pic:blipFill>
                  <pic:spPr>
                    <a:xfrm>
                      <a:off x="0" y="0"/>
                      <a:ext cx="899985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深圳市“镇痛泵体内置入术”等医疗服务项目价格表</w:t>
      </w:r>
    </w:p>
    <w:p w14:paraId="2573424E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948" w:leftChars="206" w:hanging="1302" w:hangingChars="30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sectPr>
          <w:pgSz w:w="16838" w:h="11906" w:orient="landscape"/>
          <w:pgMar w:top="1587" w:right="1962" w:bottom="1474" w:left="1848" w:header="851" w:footer="1049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720" w:num="1"/>
          <w:rtlGutter w:val="0"/>
          <w:docGrid w:type="linesAndChars" w:linePitch="592" w:charSpace="1229"/>
        </w:sectPr>
      </w:pPr>
    </w:p>
    <w:p w14:paraId="514EBE16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588" w:leftChars="206" w:hanging="942" w:hanging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6750A72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588" w:leftChars="206" w:hanging="942" w:hanging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EA15E5E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588" w:leftChars="206" w:hanging="942" w:hanging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A083B45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588" w:leftChars="206" w:hanging="942" w:hanging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B1CF490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588" w:leftChars="206" w:hanging="942" w:hanging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F10D312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588" w:leftChars="206" w:hanging="942" w:hanging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319673B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588" w:leftChars="206" w:hanging="942" w:hanging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6A662B9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588" w:leftChars="206" w:hanging="942" w:hanging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7E65685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588" w:leftChars="206" w:hanging="942" w:hanging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7FEE816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588" w:leftChars="206" w:hanging="942" w:hanging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23AC722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588" w:leftChars="206" w:hanging="942" w:hanging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4CFD4C3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588" w:leftChars="206" w:hanging="942" w:hanging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4D50D72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588" w:leftChars="206" w:hanging="942" w:hanging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63F5DDC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588" w:leftChars="206" w:hanging="942" w:hanging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E8E2D35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0DFD412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588" w:leftChars="206" w:hanging="942" w:hanging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4A8E212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588" w:leftChars="206" w:hanging="942" w:hanging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CDD86FE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1588" w:leftChars="206" w:hanging="942" w:hangingChars="3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FC5A0E5">
      <w:pPr>
        <w:spacing w:line="560" w:lineRule="exact"/>
        <w:rPr>
          <w:rFonts w:eastAsia="黑体"/>
          <w:sz w:val="32"/>
        </w:rPr>
      </w:pPr>
      <w:r>
        <w:rPr>
          <w:rFonts w:hint="eastAsia" w:eastAsia="黑体"/>
          <w:sz w:val="32"/>
        </w:rPr>
        <w:t>公开方式：主动公开</w:t>
      </w:r>
    </w:p>
    <w:tbl>
      <w:tblPr>
        <w:tblStyle w:val="6"/>
        <w:tblpPr w:leftFromText="180" w:rightFromText="180" w:vertAnchor="text" w:horzAnchor="page" w:tblpXSpec="center" w:tblpY="582"/>
        <w:tblOverlap w:val="never"/>
        <w:tblW w:w="87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42"/>
        <w:gridCol w:w="3595"/>
      </w:tblGrid>
      <w:tr w14:paraId="6C693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737" w:type="dxa"/>
            <w:gridSpan w:val="2"/>
            <w:tcBorders>
              <w:left w:val="single" w:color="FFFFFF" w:sz="4" w:space="0"/>
              <w:right w:val="single" w:color="FFFFFF" w:sz="4" w:space="0"/>
            </w:tcBorders>
            <w:noWrap w:val="0"/>
            <w:vAlign w:val="top"/>
          </w:tcPr>
          <w:p w14:paraId="0FEB22B2">
            <w:pPr>
              <w:autoSpaceDN w:val="0"/>
              <w:adjustRightInd w:val="0"/>
              <w:snapToGrid w:val="0"/>
              <w:spacing w:line="560" w:lineRule="exact"/>
              <w:ind w:left="1116" w:leftChars="90" w:hanging="834" w:hangingChars="300"/>
              <w:jc w:val="both"/>
              <w:rPr>
                <w:rFonts w:ascii="仿宋_GB2312" w:hAnsi="仿宋_GB2312" w:eastAsia="仿宋_GB2312" w:cs="仿宋_GB2312"/>
                <w:spacing w:val="-4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sz w:val="28"/>
                <w:szCs w:val="28"/>
              </w:rPr>
              <w:t>抄送：</w:t>
            </w:r>
            <w:r>
              <w:rPr>
                <w:rFonts w:hint="eastAsia" w:ascii="仿宋_GB2312" w:hAnsi="仿宋_GB2312" w:eastAsia="仿宋_GB2312" w:cs="仿宋_GB2312"/>
                <w:spacing w:val="-4"/>
                <w:sz w:val="28"/>
                <w:szCs w:val="28"/>
                <w:lang w:eastAsia="zh-CN"/>
              </w:rPr>
              <w:t>省医疗保障局，</w:t>
            </w:r>
            <w:r>
              <w:rPr>
                <w:rFonts w:hint="eastAsia" w:ascii="仿宋_GB2312" w:hAnsi="仿宋_GB2312" w:eastAsia="仿宋_GB2312" w:cs="仿宋_GB2312"/>
                <w:kern w:val="0"/>
                <w:sz w:val="28"/>
                <w:szCs w:val="28"/>
              </w:rPr>
              <w:t>市人力资源保障局、市卫生健康委、市市场监管局。</w:t>
            </w:r>
          </w:p>
        </w:tc>
      </w:tr>
      <w:tr w14:paraId="73FBA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5142" w:type="dxa"/>
            <w:tcBorders>
              <w:left w:val="single" w:color="FFFFFF" w:sz="4" w:space="0"/>
              <w:right w:val="single" w:color="FFFFFF" w:sz="4" w:space="0"/>
            </w:tcBorders>
            <w:noWrap w:val="0"/>
            <w:vAlign w:val="top"/>
          </w:tcPr>
          <w:p w14:paraId="4097E68B">
            <w:pPr>
              <w:autoSpaceDN w:val="0"/>
              <w:adjustRightInd w:val="0"/>
              <w:snapToGrid w:val="0"/>
              <w:spacing w:line="560" w:lineRule="exact"/>
              <w:ind w:firstLine="278" w:firstLineChars="100"/>
              <w:rPr>
                <w:rFonts w:ascii="仿宋_GB2312" w:hAnsi="仿宋_GB2312" w:eastAsia="仿宋_GB2312" w:cs="仿宋_GB2312"/>
                <w:spacing w:val="-4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sz w:val="28"/>
                <w:szCs w:val="28"/>
              </w:rPr>
              <w:t>深圳市医疗保障局办公室</w:t>
            </w:r>
          </w:p>
        </w:tc>
        <w:tc>
          <w:tcPr>
            <w:tcW w:w="3595" w:type="dxa"/>
            <w:tcBorders>
              <w:left w:val="single" w:color="FFFFFF" w:sz="4" w:space="0"/>
              <w:right w:val="single" w:color="FFFFFF" w:sz="4" w:space="0"/>
            </w:tcBorders>
            <w:noWrap w:val="0"/>
            <w:vAlign w:val="top"/>
          </w:tcPr>
          <w:p w14:paraId="5916FB26">
            <w:pPr>
              <w:wordWrap w:val="0"/>
              <w:autoSpaceDN w:val="0"/>
              <w:adjustRightInd w:val="0"/>
              <w:snapToGrid w:val="0"/>
              <w:spacing w:line="560" w:lineRule="exact"/>
              <w:jc w:val="center"/>
              <w:rPr>
                <w:rFonts w:ascii="仿宋_GB2312" w:hAnsi="仿宋_GB2312" w:eastAsia="仿宋_GB2312" w:cs="仿宋_GB2312"/>
                <w:spacing w:val="-4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pacing w:val="-4"/>
                <w:sz w:val="28"/>
                <w:szCs w:val="28"/>
              </w:rPr>
              <w:t xml:space="preserve"> </w:t>
            </w:r>
            <w:r>
              <w:rPr>
                <w:rFonts w:hint="eastAsia" w:ascii="仿宋_GB2312" w:hAnsi="宋体" w:eastAsia="仿宋_GB2312" w:cs="仿宋_GB2312"/>
                <w:spacing w:val="-4"/>
                <w:sz w:val="28"/>
                <w:szCs w:val="28"/>
              </w:rPr>
              <w:t xml:space="preserve">    </w:t>
            </w:r>
            <w:r>
              <w:rPr>
                <w:rFonts w:hint="eastAsia" w:ascii="仿宋_GB2312" w:hAnsi="宋体" w:eastAsia="仿宋_GB2312" w:cs="仿宋_GB2312"/>
                <w:spacing w:val="-4"/>
                <w:sz w:val="28"/>
                <w:szCs w:val="28"/>
                <w:highlight w:val="none"/>
                <w:shd w:val="clear" w:color="auto" w:fill="auto"/>
              </w:rPr>
              <w:t>202</w:t>
            </w:r>
            <w:r>
              <w:rPr>
                <w:rFonts w:hint="eastAsia" w:ascii="仿宋_GB2312" w:hAnsi="宋体" w:eastAsia="仿宋_GB2312" w:cs="仿宋_GB2312"/>
                <w:spacing w:val="-4"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  <w:t>4</w:t>
            </w:r>
            <w:r>
              <w:rPr>
                <w:rFonts w:hint="eastAsia" w:ascii="仿宋_GB2312" w:hAnsi="宋体" w:eastAsia="仿宋_GB2312" w:cs="仿宋_GB2312"/>
                <w:spacing w:val="-4"/>
                <w:sz w:val="28"/>
                <w:szCs w:val="28"/>
                <w:highlight w:val="none"/>
                <w:shd w:val="clear" w:color="auto" w:fill="auto"/>
              </w:rPr>
              <w:t>年</w:t>
            </w:r>
            <w:r>
              <w:rPr>
                <w:rFonts w:hint="eastAsia" w:ascii="仿宋_GB2312" w:hAnsi="宋体" w:eastAsia="仿宋_GB2312" w:cs="仿宋_GB2312"/>
                <w:spacing w:val="-4"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  <w:t>12</w:t>
            </w:r>
            <w:r>
              <w:rPr>
                <w:rFonts w:hint="eastAsia" w:ascii="仿宋_GB2312" w:hAnsi="宋体" w:eastAsia="仿宋_GB2312" w:cs="仿宋_GB2312"/>
                <w:spacing w:val="-4"/>
                <w:sz w:val="28"/>
                <w:szCs w:val="28"/>
                <w:highlight w:val="none"/>
                <w:shd w:val="clear" w:color="auto" w:fill="auto"/>
              </w:rPr>
              <w:t>月</w:t>
            </w:r>
            <w:r>
              <w:rPr>
                <w:rFonts w:hint="eastAsia" w:ascii="仿宋_GB2312" w:hAnsi="宋体" w:eastAsia="仿宋_GB2312" w:cs="仿宋_GB2312"/>
                <w:spacing w:val="-4"/>
                <w:sz w:val="28"/>
                <w:szCs w:val="28"/>
                <w:highlight w:val="none"/>
                <w:shd w:val="clear" w:color="auto" w:fill="auto"/>
                <w:lang w:val="en-US" w:eastAsia="zh-CN"/>
              </w:rPr>
              <w:t>13</w:t>
            </w:r>
            <w:r>
              <w:rPr>
                <w:rFonts w:hint="eastAsia" w:ascii="仿宋_GB2312" w:hAnsi="宋体" w:eastAsia="仿宋_GB2312" w:cs="仿宋_GB2312"/>
                <w:spacing w:val="-4"/>
                <w:sz w:val="28"/>
                <w:szCs w:val="28"/>
                <w:highlight w:val="none"/>
                <w:shd w:val="clear" w:color="auto" w:fill="auto"/>
              </w:rPr>
              <w:t>日</w:t>
            </w:r>
            <w:r>
              <w:rPr>
                <w:rFonts w:hint="eastAsia" w:ascii="仿宋_GB2312" w:hAnsi="仿宋_GB2312" w:eastAsia="仿宋_GB2312" w:cs="仿宋_GB2312"/>
                <w:spacing w:val="-4"/>
                <w:sz w:val="28"/>
                <w:szCs w:val="28"/>
                <w:highlight w:val="none"/>
                <w:shd w:val="clear" w:color="auto" w:fill="auto"/>
              </w:rPr>
              <w:t>印发</w:t>
            </w:r>
          </w:p>
        </w:tc>
      </w:tr>
    </w:tbl>
    <w:p w14:paraId="6CB7C546">
      <w:pPr>
        <w:keepNext w:val="0"/>
        <w:keepLines w:val="0"/>
        <w:pageBreakBefore w:val="0"/>
        <w:widowControl w:val="0"/>
        <w:kinsoku/>
        <w:wordWrap/>
        <w:overflowPunct w:val="0"/>
        <w:topLinePunct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BD6D5BB"/>
    <w:sectPr>
      <w:pgSz w:w="11906" w:h="16838"/>
      <w:pgMar w:top="1962" w:right="1474" w:bottom="1848" w:left="1587" w:header="851" w:footer="1049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  <w:rtlGutter w:val="0"/>
      <w:docGrid w:type="linesAndChars" w:linePitch="592" w:charSpace="1229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陈海涵" w:date="2024-12-04T22:06:00Z" w:initials="陈">
    <w:p w14:paraId="21D418E6">
      <w:pPr>
        <w:pStyle w:val="2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标题加上引号，不用截图的方式。价格保留一位小数。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21D418E6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altName w:val="Arial Unicode MS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5495BC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4F988CE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elEVo3AgAAbw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BnpRFa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4F988CE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陈海涵">
    <w15:presenceInfo w15:providerId="None" w15:userId="陈海涵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9BDF4F3B"/>
    <w:rsid w:val="44985B95"/>
    <w:rsid w:val="6EB50637"/>
    <w:rsid w:val="9BDF4F3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overflowPunct w:val="0"/>
      <w:topLinePunct/>
      <w:adjustRightInd w:val="0"/>
      <w:jc w:val="both"/>
    </w:pPr>
    <w:rPr>
      <w:rFonts w:ascii="Times New Roman" w:hAnsi="Calibri" w:eastAsia="仿宋" w:cs="Times New Roman"/>
      <w:spacing w:val="-6"/>
      <w:kern w:val="2"/>
      <w:sz w:val="32"/>
      <w:szCs w:val="32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Style w:val="6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ody Text"/>
    <w:basedOn w:val="1"/>
    <w:next w:val="1"/>
    <w:qFormat/>
    <w:uiPriority w:val="0"/>
    <w:pPr>
      <w:spacing w:after="120"/>
    </w:pPr>
    <w:rPr>
      <w:szCs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4" Type="http://schemas.microsoft.com/office/2011/relationships/people" Target="people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342</Words>
  <Characters>373</Characters>
  <Lines>0</Lines>
  <Paragraphs>0</Paragraphs>
  <TotalTime>0</TotalTime>
  <ScaleCrop>false</ScaleCrop>
  <LinksUpToDate>false</LinksUpToDate>
  <CharactersWithSpaces>386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2024-12-16T10:56:00Z</dcterms:created>
  <dc:creator>zwz</dc:creator>
  <cp:lastModifiedBy>赵刚</cp:lastModifiedBy>
  <dcterms:modified xsi:type="dcterms:W3CDTF">2024-12-25T08:57:32Z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F5361C8E4F1A4A718189786921C4DC76_13</vt:lpwstr>
  </property>
</Properties>
</file>