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9"/>
        <w:jc w:val="center"/>
        <w:rPr>
          <w:rFonts w:hint="eastAsia" w:ascii="宋体" w:hAnsi="宋体"/>
          <w:b/>
          <w:bCs/>
          <w:szCs w:val="21"/>
        </w:rPr>
      </w:pPr>
    </w:p>
    <w:p w14:paraId="2971CD1E">
      <w:pPr>
        <w:pStyle w:val="9"/>
        <w:jc w:val="center"/>
        <w:rPr>
          <w:rFonts w:hint="eastAsia" w:ascii="宋体" w:hAnsi="宋体"/>
          <w:b/>
          <w:bCs/>
          <w:szCs w:val="21"/>
        </w:rPr>
      </w:pPr>
    </w:p>
    <w:p w14:paraId="44124856">
      <w:pPr>
        <w:pStyle w:val="9"/>
        <w:jc w:val="center"/>
        <w:rPr>
          <w:rFonts w:hint="eastAsia" w:ascii="宋体" w:hAnsi="宋体"/>
          <w:b/>
          <w:bCs/>
          <w:szCs w:val="21"/>
        </w:rPr>
      </w:pPr>
    </w:p>
    <w:p w14:paraId="08AA2683">
      <w:pPr>
        <w:pStyle w:val="9"/>
        <w:jc w:val="center"/>
        <w:rPr>
          <w:rFonts w:hint="eastAsia" w:ascii="宋体" w:hAnsi="宋体"/>
          <w:b/>
          <w:bCs/>
          <w:szCs w:val="21"/>
        </w:rPr>
      </w:pPr>
    </w:p>
    <w:p w14:paraId="2F161ADF">
      <w:pPr>
        <w:pStyle w:val="9"/>
        <w:jc w:val="center"/>
        <w:rPr>
          <w:rFonts w:hint="eastAsia" w:ascii="宋体" w:hAnsi="宋体"/>
          <w:b/>
          <w:bCs/>
          <w:szCs w:val="21"/>
        </w:rPr>
      </w:pPr>
    </w:p>
    <w:p w14:paraId="0B63A0AE">
      <w:pPr>
        <w:pStyle w:val="9"/>
        <w:jc w:val="center"/>
        <w:rPr>
          <w:rFonts w:hint="eastAsia" w:ascii="宋体" w:hAnsi="宋体"/>
          <w:b/>
          <w:bCs/>
          <w:szCs w:val="21"/>
        </w:rPr>
      </w:pPr>
    </w:p>
    <w:p w14:paraId="21390DA8">
      <w:pPr>
        <w:pStyle w:val="9"/>
        <w:jc w:val="center"/>
        <w:rPr>
          <w:rFonts w:hint="eastAsia" w:ascii="宋体" w:hAnsi="宋体"/>
          <w:b/>
          <w:bCs/>
          <w:szCs w:val="21"/>
        </w:rPr>
      </w:pPr>
    </w:p>
    <w:p w14:paraId="6EDBB49F">
      <w:pPr>
        <w:pStyle w:val="9"/>
        <w:jc w:val="center"/>
        <w:rPr>
          <w:rFonts w:hint="eastAsia" w:ascii="宋体" w:hAnsi="宋体"/>
          <w:b/>
          <w:bCs/>
          <w:szCs w:val="21"/>
        </w:rPr>
      </w:pPr>
    </w:p>
    <w:p w14:paraId="1432072E">
      <w:pPr>
        <w:pStyle w:val="9"/>
        <w:jc w:val="center"/>
        <w:rPr>
          <w:rFonts w:hint="eastAsia" w:ascii="宋体" w:hAnsi="宋体"/>
          <w:b/>
          <w:bCs/>
          <w:szCs w:val="21"/>
        </w:rPr>
      </w:pPr>
    </w:p>
    <w:p w14:paraId="738F9BB8">
      <w:pPr>
        <w:pStyle w:val="9"/>
        <w:jc w:val="center"/>
        <w:rPr>
          <w:rFonts w:hint="eastAsia" w:ascii="宋体" w:hAnsi="宋体"/>
          <w:b/>
          <w:bCs/>
          <w:szCs w:val="21"/>
        </w:rPr>
      </w:pPr>
    </w:p>
    <w:p w14:paraId="2BA73101">
      <w:pPr>
        <w:pStyle w:val="9"/>
        <w:jc w:val="center"/>
        <w:rPr>
          <w:rFonts w:hint="eastAsia" w:ascii="宋体" w:hAnsi="宋体"/>
          <w:b/>
          <w:bCs/>
          <w:szCs w:val="21"/>
        </w:rPr>
      </w:pPr>
    </w:p>
    <w:p w14:paraId="631484CB">
      <w:pPr>
        <w:pStyle w:val="9"/>
        <w:jc w:val="center"/>
        <w:rPr>
          <w:rFonts w:hint="eastAsia" w:ascii="宋体" w:hAnsi="宋体"/>
          <w:b/>
          <w:bCs/>
          <w:szCs w:val="21"/>
        </w:rPr>
      </w:pPr>
    </w:p>
    <w:p w14:paraId="3DB033DB">
      <w:pPr>
        <w:pStyle w:val="9"/>
        <w:jc w:val="center"/>
        <w:rPr>
          <w:rFonts w:hint="eastAsia" w:ascii="宋体" w:hAnsi="宋体"/>
          <w:b/>
          <w:bCs/>
          <w:szCs w:val="21"/>
        </w:rPr>
      </w:pPr>
    </w:p>
    <w:p w14:paraId="20D42745">
      <w:pPr>
        <w:pStyle w:val="9"/>
        <w:jc w:val="center"/>
        <w:rPr>
          <w:rFonts w:hint="eastAsia" w:ascii="宋体" w:hAnsi="宋体"/>
          <w:b/>
          <w:bCs/>
          <w:szCs w:val="21"/>
        </w:rPr>
      </w:pPr>
    </w:p>
    <w:p w14:paraId="1AA65312">
      <w:pPr>
        <w:pStyle w:val="9"/>
        <w:jc w:val="center"/>
        <w:rPr>
          <w:rFonts w:hint="eastAsia" w:ascii="宋体" w:hAnsi="宋体"/>
          <w:b/>
          <w:bCs/>
          <w:szCs w:val="21"/>
        </w:rPr>
      </w:pPr>
    </w:p>
    <w:p w14:paraId="70224C5F">
      <w:pPr>
        <w:pStyle w:val="9"/>
        <w:jc w:val="center"/>
        <w:rPr>
          <w:rFonts w:hint="eastAsia" w:ascii="宋体" w:hAnsi="宋体"/>
          <w:b/>
          <w:bCs/>
          <w:szCs w:val="21"/>
        </w:rPr>
      </w:pPr>
    </w:p>
    <w:p w14:paraId="772B0D78">
      <w:pPr>
        <w:pStyle w:val="9"/>
        <w:jc w:val="center"/>
        <w:rPr>
          <w:rFonts w:hint="eastAsia" w:ascii="宋体" w:hAnsi="宋体"/>
          <w:b/>
          <w:bCs/>
          <w:szCs w:val="21"/>
        </w:rPr>
      </w:pPr>
    </w:p>
    <w:p w14:paraId="60817AD1">
      <w:pPr>
        <w:pStyle w:val="9"/>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9"/>
        <w:rPr>
          <w:rStyle w:val="17"/>
          <w:rFonts w:hint="default"/>
          <w:color w:val="000000"/>
          <w:szCs w:val="28"/>
          <w:lang w:val="en-US" w:eastAsia="zh-CN"/>
        </w:rPr>
      </w:pPr>
    </w:p>
    <w:p w14:paraId="47AEEB51">
      <w:pPr>
        <w:pStyle w:val="9"/>
        <w:rPr>
          <w:rStyle w:val="17"/>
          <w:color w:val="000000"/>
          <w:szCs w:val="28"/>
        </w:rPr>
      </w:pPr>
    </w:p>
    <w:p w14:paraId="65A0EA51">
      <w:pPr>
        <w:pStyle w:val="9"/>
        <w:rPr>
          <w:rStyle w:val="17"/>
          <w:color w:val="000000"/>
          <w:szCs w:val="28"/>
        </w:rPr>
      </w:pPr>
    </w:p>
    <w:p w14:paraId="4B2F013C">
      <w:pPr>
        <w:pStyle w:val="9"/>
        <w:rPr>
          <w:rStyle w:val="17"/>
          <w:color w:val="000000"/>
          <w:szCs w:val="28"/>
        </w:rPr>
      </w:pPr>
    </w:p>
    <w:p w14:paraId="481E1B8E">
      <w:pPr>
        <w:pStyle w:val="9"/>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9"/>
        <w:jc w:val="center"/>
        <w:rPr>
          <w:rFonts w:hint="eastAsia" w:ascii="宋体" w:hAnsi="宋体"/>
          <w:b/>
          <w:bCs/>
          <w:szCs w:val="21"/>
        </w:rPr>
      </w:pPr>
    </w:p>
    <w:p w14:paraId="173FE59F">
      <w:pPr>
        <w:pStyle w:val="9"/>
        <w:jc w:val="center"/>
        <w:rPr>
          <w:rFonts w:hint="eastAsia" w:ascii="宋体" w:hAnsi="宋体"/>
          <w:b/>
          <w:bCs/>
          <w:szCs w:val="21"/>
        </w:rPr>
      </w:pPr>
    </w:p>
    <w:p w14:paraId="2C555EDF">
      <w:pPr>
        <w:pStyle w:val="9"/>
        <w:jc w:val="center"/>
        <w:rPr>
          <w:rFonts w:hint="eastAsia" w:ascii="宋体" w:hAnsi="宋体"/>
          <w:b/>
          <w:bCs/>
          <w:szCs w:val="21"/>
        </w:rPr>
      </w:pPr>
    </w:p>
    <w:p w14:paraId="21C50F1C">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8863D25">
      <w:pPr>
        <w:wordWrap w:val="0"/>
        <w:adjustRightInd w:val="0"/>
        <w:snapToGrid w:val="0"/>
        <w:spacing w:line="240" w:lineRule="auto"/>
        <w:jc w:val="left"/>
        <w:rPr>
          <w:rFonts w:hint="eastAsia" w:ascii="宋体" w:hAnsi="宋体"/>
          <w:b/>
          <w:bCs/>
          <w:color w:val="auto"/>
          <w:szCs w:val="21"/>
          <w:lang w:eastAsia="zh-CN"/>
        </w:rPr>
      </w:pPr>
      <w:r>
        <w:rPr>
          <w:rFonts w:hint="eastAsia" w:ascii="宋体" w:hAnsi="宋体"/>
          <w:b/>
          <w:bCs/>
          <w:color w:val="auto"/>
          <w:szCs w:val="21"/>
          <w:lang w:eastAsia="zh-CN"/>
        </w:rPr>
        <w:t>四、用途：</w:t>
      </w:r>
    </w:p>
    <w:p w14:paraId="76BD2546">
      <w:pPr>
        <w:wordWrap w:val="0"/>
        <w:adjustRightInd w:val="0"/>
        <w:snapToGrid w:val="0"/>
        <w:spacing w:line="24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（1）气管、支气管粘膜下病灶（了解肿瘤在黏膜下的扩散范围、与隆突的距离，预测手术切缘，避免手术切除不全）；</w:t>
      </w:r>
    </w:p>
    <w:p w14:paraId="731A1589">
      <w:pPr>
        <w:wordWrap w:val="0"/>
        <w:adjustRightInd w:val="0"/>
        <w:snapToGrid w:val="0"/>
        <w:spacing w:line="24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(2)气管、支气管狭窄；     </w:t>
      </w:r>
    </w:p>
    <w:p w14:paraId="417DC459">
      <w:pPr>
        <w:wordWrap w:val="0"/>
        <w:adjustRightInd w:val="0"/>
        <w:snapToGrid w:val="0"/>
        <w:spacing w:line="24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(3)表面粘膜正常但疑有管壁或管外浸润性病（评估肿瘤气管支气管壁浸润的深度）；</w:t>
      </w:r>
    </w:p>
    <w:p w14:paraId="79E89ADC">
      <w:pPr>
        <w:wordWrap w:val="0"/>
        <w:adjustRightInd w:val="0"/>
        <w:snapToGrid w:val="0"/>
        <w:spacing w:line="24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(4)纵膈内病变：主要是淋巴结肿大性质鉴别（肺门和纵隔肿物或肿大淋巴结的性质）</w:t>
      </w:r>
    </w:p>
    <w:p w14:paraId="70828D95">
      <w:pPr>
        <w:wordWrap w:val="0"/>
        <w:adjustRightInd w:val="0"/>
        <w:snapToGrid w:val="0"/>
        <w:spacing w:line="24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(5)纵膈、气管、支气管病变需要穿刺定位者；</w:t>
      </w:r>
    </w:p>
    <w:p w14:paraId="2A060F38">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eastAsia="宋体" w:cs="宋体"/>
          <w:color w:val="000000"/>
          <w:kern w:val="2"/>
          <w:sz w:val="21"/>
          <w:szCs w:val="21"/>
          <w:highlight w:val="none"/>
          <w:lang w:val="en-US" w:eastAsia="zh-CN" w:bidi="ar-SA"/>
        </w:rPr>
        <w:t>(6)气管、支气管病变治疗后疗效评估；</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spacing w:line="240" w:lineRule="auto"/>
              <w:jc w:val="center"/>
              <w:textAlignment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内容</w:t>
            </w:r>
          </w:p>
        </w:tc>
        <w:tc>
          <w:tcPr>
            <w:tcW w:w="8683" w:type="dxa"/>
            <w:vAlign w:val="center"/>
          </w:tcPr>
          <w:p w14:paraId="1C85351F">
            <w:pPr>
              <w:widowControl/>
              <w:spacing w:line="240" w:lineRule="auto"/>
              <w:jc w:val="center"/>
              <w:textAlignment w:val="center"/>
              <w:rPr>
                <w:rFonts w:hint="eastAsia" w:ascii="宋体" w:hAnsi="宋体" w:eastAsia="宋体" w:cs="宋体"/>
                <w:b/>
                <w:bCs/>
                <w:color w:val="FF0000"/>
                <w:sz w:val="21"/>
                <w:szCs w:val="21"/>
              </w:rPr>
            </w:pPr>
            <w:r>
              <w:rPr>
                <w:rFonts w:hint="eastAsia" w:ascii="宋体" w:hAnsi="宋体" w:eastAsia="宋体" w:cs="宋体"/>
                <w:b/>
                <w:color w:val="FF0000"/>
                <w:kern w:val="0"/>
                <w:sz w:val="21"/>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spacing w:line="24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w:t>
            </w:r>
            <w:r>
              <w:rPr>
                <w:rFonts w:hint="eastAsia" w:ascii="宋体" w:hAnsi="宋体" w:eastAsia="宋体" w:cs="宋体"/>
                <w:b/>
                <w:bCs/>
                <w:color w:val="FF0000"/>
                <w:sz w:val="21"/>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1E3A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63D5FFFF">
                  <w:pPr>
                    <w:spacing w:line="24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序号</w:t>
                  </w:r>
                </w:p>
              </w:tc>
              <w:tc>
                <w:tcPr>
                  <w:tcW w:w="3061" w:type="dxa"/>
                  <w:noWrap w:val="0"/>
                  <w:vAlign w:val="center"/>
                </w:tcPr>
                <w:p w14:paraId="527EB480">
                  <w:pPr>
                    <w:spacing w:line="24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配置</w:t>
                  </w:r>
                  <w:r>
                    <w:rPr>
                      <w:rFonts w:hint="eastAsia" w:ascii="宋体" w:hAnsi="宋体" w:eastAsia="宋体" w:cs="宋体"/>
                      <w:color w:val="FF0000"/>
                      <w:sz w:val="21"/>
                      <w:szCs w:val="21"/>
                    </w:rPr>
                    <w:t>名称</w:t>
                  </w:r>
                </w:p>
              </w:tc>
              <w:tc>
                <w:tcPr>
                  <w:tcW w:w="1300" w:type="dxa"/>
                  <w:noWrap w:val="0"/>
                  <w:vAlign w:val="center"/>
                </w:tcPr>
                <w:p w14:paraId="308AE89A">
                  <w:pPr>
                    <w:spacing w:line="240" w:lineRule="auto"/>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数量</w:t>
                  </w:r>
                </w:p>
              </w:tc>
              <w:tc>
                <w:tcPr>
                  <w:tcW w:w="1316" w:type="dxa"/>
                  <w:noWrap w:val="0"/>
                  <w:vAlign w:val="center"/>
                </w:tcPr>
                <w:p w14:paraId="18B70B73">
                  <w:pPr>
                    <w:spacing w:line="24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单位</w:t>
                  </w:r>
                </w:p>
              </w:tc>
            </w:tr>
            <w:tr w14:paraId="2CB1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3343A48">
                  <w:pPr>
                    <w:spacing w:line="240" w:lineRule="auto"/>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3061" w:type="dxa"/>
                  <w:shd w:val="clear" w:color="auto" w:fill="auto"/>
                  <w:noWrap w:val="0"/>
                  <w:vAlign w:val="top"/>
                </w:tcPr>
                <w:p w14:paraId="7CB2D3DD">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val="en-US" w:eastAsia="zh-CN"/>
                    </w:rPr>
                    <w:t>电子气管镜</w:t>
                  </w:r>
                </w:p>
              </w:tc>
              <w:tc>
                <w:tcPr>
                  <w:tcW w:w="1300" w:type="dxa"/>
                  <w:shd w:val="clear" w:color="auto" w:fill="auto"/>
                  <w:noWrap w:val="0"/>
                  <w:vAlign w:val="top"/>
                </w:tcPr>
                <w:p w14:paraId="63FB22B8">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val="en-US" w:eastAsia="zh-CN"/>
                    </w:rPr>
                    <w:t>1</w:t>
                  </w:r>
                </w:p>
              </w:tc>
              <w:tc>
                <w:tcPr>
                  <w:tcW w:w="1316" w:type="dxa"/>
                  <w:shd w:val="clear" w:color="auto" w:fill="auto"/>
                  <w:noWrap w:val="0"/>
                  <w:vAlign w:val="top"/>
                </w:tcPr>
                <w:p w14:paraId="6065ADEF">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val="en-US" w:eastAsia="zh-CN"/>
                    </w:rPr>
                    <w:t>条</w:t>
                  </w:r>
                </w:p>
              </w:tc>
            </w:tr>
            <w:tr w14:paraId="6819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EE9CD0A">
                  <w:pPr>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p>
              </w:tc>
              <w:tc>
                <w:tcPr>
                  <w:tcW w:w="3061" w:type="dxa"/>
                  <w:shd w:val="clear" w:color="auto" w:fill="auto"/>
                  <w:noWrap w:val="0"/>
                  <w:vAlign w:val="top"/>
                </w:tcPr>
                <w:p w14:paraId="42552BAC">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val="en-US" w:eastAsia="zh-CN"/>
                    </w:rPr>
                    <w:t>镜箱</w:t>
                  </w:r>
                </w:p>
              </w:tc>
              <w:tc>
                <w:tcPr>
                  <w:tcW w:w="1300" w:type="dxa"/>
                  <w:shd w:val="clear" w:color="auto" w:fill="auto"/>
                  <w:noWrap w:val="0"/>
                  <w:vAlign w:val="top"/>
                </w:tcPr>
                <w:p w14:paraId="3A1DDCA6">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val="en-US" w:eastAsia="zh-CN"/>
                    </w:rPr>
                    <w:t>1</w:t>
                  </w:r>
                </w:p>
              </w:tc>
              <w:tc>
                <w:tcPr>
                  <w:tcW w:w="1316" w:type="dxa"/>
                  <w:shd w:val="clear" w:color="auto" w:fill="auto"/>
                  <w:noWrap w:val="0"/>
                  <w:vAlign w:val="top"/>
                </w:tcPr>
                <w:p w14:paraId="02B6ABD1">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val="en-US" w:eastAsia="zh-CN"/>
                    </w:rPr>
                    <w:t>个</w:t>
                  </w:r>
                </w:p>
              </w:tc>
            </w:tr>
          </w:tbl>
          <w:p w14:paraId="4C6D7ED4">
            <w:pPr>
              <w:pStyle w:val="2"/>
              <w:spacing w:line="240" w:lineRule="auto"/>
              <w:rPr>
                <w:rFonts w:hint="eastAsia" w:ascii="宋体" w:hAnsi="宋体" w:eastAsia="宋体" w:cs="宋体"/>
                <w:color w:val="FF0000"/>
                <w:sz w:val="21"/>
                <w:szCs w:val="21"/>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40" w:lineRule="auto"/>
              <w:jc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功能要求</w:t>
            </w:r>
          </w:p>
        </w:tc>
        <w:tc>
          <w:tcPr>
            <w:tcW w:w="8683" w:type="dxa"/>
          </w:tcPr>
          <w:p w14:paraId="32A74DB8">
            <w:pPr>
              <w:numPr>
                <w:ilvl w:val="0"/>
                <w:numId w:val="0"/>
              </w:numPr>
              <w:spacing w:line="240" w:lineRule="auto"/>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sz w:val="21"/>
                <w:szCs w:val="21"/>
                <w:highlight w:val="none"/>
              </w:rPr>
              <w:t>彩色CCD，无彩虹症现象</w:t>
            </w:r>
            <w:r>
              <w:rPr>
                <w:rFonts w:hint="eastAsia" w:ascii="宋体" w:hAnsi="宋体" w:eastAsia="宋体" w:cs="宋体"/>
                <w:bCs/>
                <w:color w:val="FF0000"/>
                <w:sz w:val="21"/>
                <w:szCs w:val="21"/>
                <w:highlight w:val="none"/>
                <w:lang w:val="en-US" w:eastAsia="zh-CN"/>
              </w:rPr>
              <w:t>,140°广角</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40" w:lineRule="auto"/>
              <w:jc w:val="center"/>
              <w:rPr>
                <w:rFonts w:hint="eastAsia" w:ascii="宋体" w:hAnsi="宋体" w:eastAsia="宋体" w:cs="宋体"/>
                <w:color w:val="FF0000"/>
                <w:sz w:val="21"/>
                <w:szCs w:val="21"/>
              </w:rPr>
            </w:pPr>
            <w:r>
              <w:rPr>
                <w:rFonts w:hint="eastAsia" w:ascii="宋体" w:hAnsi="宋体" w:eastAsia="宋体" w:cs="宋体"/>
                <w:b/>
                <w:color w:val="FF0000"/>
                <w:kern w:val="0"/>
                <w:sz w:val="21"/>
                <w:szCs w:val="21"/>
              </w:rPr>
              <w:t>技术参数</w:t>
            </w:r>
          </w:p>
        </w:tc>
        <w:tc>
          <w:tcPr>
            <w:tcW w:w="8683" w:type="dxa"/>
          </w:tcPr>
          <w:p w14:paraId="243F9914">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lang w:val="en-US" w:eastAsia="zh-CN"/>
              </w:rPr>
              <w:t>1</w:t>
            </w:r>
            <w:r>
              <w:rPr>
                <w:rFonts w:hint="eastAsia" w:ascii="宋体" w:hAnsi="宋体" w:eastAsia="宋体" w:cs="宋体"/>
                <w:bCs/>
                <w:color w:val="FF0000"/>
                <w:sz w:val="21"/>
                <w:szCs w:val="21"/>
              </w:rPr>
              <w:t>、观察方向：0°</w:t>
            </w:r>
          </w:p>
          <w:p w14:paraId="4E3EB810">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2、▲视野角：≥140°。</w:t>
            </w:r>
          </w:p>
          <w:p w14:paraId="538EAAE8">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3、观察距离：3-100mm（产品参数区间小于招标要求的均视为负偏离）。</w:t>
            </w:r>
          </w:p>
          <w:p w14:paraId="5611AC69">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4、▲头端部直径：≤5.4mm，弯曲部直径：≤4.9mm，钳道内径：≥2.0 mm。</w:t>
            </w:r>
          </w:p>
          <w:p w14:paraId="79E2436C">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5、弯曲角度：上≥180°，下≥130°</w:t>
            </w:r>
          </w:p>
          <w:p w14:paraId="1F0F8BE4">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6、有效长度：≥600mm</w:t>
            </w:r>
          </w:p>
          <w:p w14:paraId="5A2C504B">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7、全长：≥870mm</w:t>
            </w:r>
          </w:p>
          <w:p w14:paraId="7613BF3F">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8、画质：高清画质</w:t>
            </w:r>
          </w:p>
          <w:p w14:paraId="1AA93BA4">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9、▲彩色CCD，无彩虹症现象</w:t>
            </w:r>
          </w:p>
          <w:p w14:paraId="24C6777B">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10、特殊光模式：同时具备光学染色和电子分光染色（FICE）等技术</w:t>
            </w:r>
          </w:p>
          <w:p w14:paraId="444F7341">
            <w:pPr>
              <w:pStyle w:val="7"/>
              <w:numPr>
                <w:ilvl w:val="0"/>
                <w:numId w:val="0"/>
              </w:numPr>
              <w:spacing w:line="240" w:lineRule="auto"/>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rPr>
              <w:t>11、▲与科室现有主机兼容，提高设备的周转率和最大使用率；</w:t>
            </w:r>
          </w:p>
          <w:p w14:paraId="52A7D4C8">
            <w:pPr>
              <w:numPr>
                <w:ilvl w:val="0"/>
                <w:numId w:val="0"/>
              </w:numPr>
              <w:spacing w:line="240" w:lineRule="auto"/>
              <w:ind w:leftChars="0"/>
              <w:rPr>
                <w:rFonts w:hint="eastAsia" w:ascii="宋体" w:hAnsi="宋体" w:eastAsia="宋体" w:cs="宋体"/>
                <w:bCs/>
                <w:color w:val="FF0000"/>
                <w:kern w:val="0"/>
                <w:sz w:val="21"/>
                <w:szCs w:val="21"/>
                <w:lang w:val="en-US" w:eastAsia="zh-CN" w:bidi="ar-SA"/>
              </w:rPr>
            </w:pP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596C61A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34481C58">
            <w:pPr>
              <w:pStyle w:val="8"/>
              <w:rPr>
                <w:color w:val="FF0000"/>
                <w:highlight w:val="yellow"/>
              </w:rPr>
            </w:pPr>
            <w:r>
              <w:rPr>
                <w:rFonts w:hint="eastAsia"/>
                <w:color w:val="FF0000"/>
                <w:highlight w:val="yellow"/>
              </w:rPr>
              <w:t>12、如为特种设备，乙方须按照相关法律法规要求完成特种设备使用登记手续，并取得《特种设备使用登记证》，办理完成后需整套资料移交甲方管理。</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color w:val="FF0000"/>
                <w:highlight w:val="yellow"/>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553A2249">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99A3960"/>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autoRedefine/>
    <w:qFormat/>
    <w:uiPriority w:val="0"/>
    <w:pPr>
      <w:spacing w:after="120"/>
    </w:pPr>
  </w:style>
  <w:style w:type="paragraph" w:styleId="8">
    <w:name w:val="Plain Text"/>
    <w:basedOn w:val="1"/>
    <w:qFormat/>
    <w:uiPriority w:val="0"/>
    <w:rPr>
      <w:rFonts w:ascii="宋体" w:hAnsi="Courier New" w:cs="宋体"/>
      <w:szCs w:val="21"/>
    </w:r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3584</Words>
  <Characters>3711</Characters>
  <Lines>0</Lines>
  <Paragraphs>0</Paragraphs>
  <TotalTime>0</TotalTime>
  <ScaleCrop>false</ScaleCrop>
  <LinksUpToDate>false</LinksUpToDate>
  <CharactersWithSpaces>4405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2024-12-19T06:51:00Z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ies>
</file>