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FF0000"/>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FF0000"/>
          <w:szCs w:val="21"/>
        </w:rPr>
        <w:t>主要是用于治疗盆底方面的疾病，如尿失禁、脱垂、阴道松弛及产后康复等。</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内容</w:t>
            </w:r>
          </w:p>
        </w:tc>
        <w:tc>
          <w:tcPr>
            <w:tcW w:w="8683" w:type="dxa"/>
            <w:vAlign w:val="center"/>
          </w:tcPr>
          <w:p w14:paraId="1C85351F">
            <w:pPr>
              <w:widowControl/>
              <w:jc w:val="center"/>
              <w:textAlignment w:val="center"/>
              <w:rPr>
                <w:rFonts w:hint="eastAsia" w:ascii="宋体" w:hAnsi="宋体" w:eastAsia="宋体" w:cs="宋体"/>
                <w:b/>
                <w:bCs/>
                <w:color w:val="FF0000"/>
                <w:sz w:val="21"/>
                <w:szCs w:val="21"/>
              </w:rPr>
            </w:pPr>
            <w:r>
              <w:rPr>
                <w:rFonts w:hint="eastAsia" w:ascii="宋体" w:hAnsi="宋体" w:eastAsia="宋体" w:cs="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w:t>
            </w:r>
            <w:r>
              <w:rPr>
                <w:rFonts w:hint="eastAsia" w:ascii="宋体" w:hAnsi="宋体" w:eastAsia="宋体" w:cs="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7FD1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21784794">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3061" w:type="dxa"/>
                  <w:vAlign w:val="center"/>
                </w:tcPr>
                <w:p w14:paraId="7D91E1BA">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配置名称</w:t>
                  </w:r>
                </w:p>
              </w:tc>
              <w:tc>
                <w:tcPr>
                  <w:tcW w:w="1300" w:type="dxa"/>
                  <w:vAlign w:val="center"/>
                </w:tcPr>
                <w:p w14:paraId="31AFBC8A">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数量</w:t>
                  </w:r>
                </w:p>
              </w:tc>
              <w:tc>
                <w:tcPr>
                  <w:tcW w:w="1316" w:type="dxa"/>
                  <w:vAlign w:val="center"/>
                </w:tcPr>
                <w:p w14:paraId="0C8A7BCE">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单位</w:t>
                  </w:r>
                </w:p>
              </w:tc>
            </w:tr>
            <w:tr w14:paraId="74C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5026F16">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3061" w:type="dxa"/>
                  <w:vAlign w:val="center"/>
                </w:tcPr>
                <w:p w14:paraId="01BA4DF3">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磁刺激仪主机</w:t>
                  </w:r>
                </w:p>
              </w:tc>
              <w:tc>
                <w:tcPr>
                  <w:tcW w:w="1300" w:type="dxa"/>
                  <w:vAlign w:val="center"/>
                </w:tcPr>
                <w:p w14:paraId="1B4BF3F3">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0F735E5A">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台</w:t>
                  </w:r>
                </w:p>
              </w:tc>
            </w:tr>
            <w:tr w14:paraId="424D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084096C">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3061" w:type="dxa"/>
                  <w:vAlign w:val="center"/>
                </w:tcPr>
                <w:p w14:paraId="67FEF0B3">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电源线</w:t>
                  </w:r>
                </w:p>
              </w:tc>
              <w:tc>
                <w:tcPr>
                  <w:tcW w:w="1300" w:type="dxa"/>
                  <w:vAlign w:val="center"/>
                </w:tcPr>
                <w:p w14:paraId="2445533A">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78193125">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根</w:t>
                  </w:r>
                </w:p>
              </w:tc>
            </w:tr>
            <w:tr w14:paraId="76B3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E5D52EA">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3061" w:type="dxa"/>
                  <w:vAlign w:val="center"/>
                </w:tcPr>
                <w:p w14:paraId="484AF71A">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刺激线圈</w:t>
                  </w:r>
                </w:p>
              </w:tc>
              <w:tc>
                <w:tcPr>
                  <w:tcW w:w="1300" w:type="dxa"/>
                  <w:vAlign w:val="center"/>
                </w:tcPr>
                <w:p w14:paraId="334CB5E6">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25FF359A">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个</w:t>
                  </w:r>
                </w:p>
              </w:tc>
            </w:tr>
            <w:tr w14:paraId="0283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49B2037F">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3061" w:type="dxa"/>
                  <w:vAlign w:val="center"/>
                </w:tcPr>
                <w:p w14:paraId="0BC6EFF5">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座椅</w:t>
                  </w:r>
                </w:p>
              </w:tc>
              <w:tc>
                <w:tcPr>
                  <w:tcW w:w="1300" w:type="dxa"/>
                  <w:vAlign w:val="center"/>
                </w:tcPr>
                <w:p w14:paraId="155B7A9D">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48427F49">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张</w:t>
                  </w:r>
                </w:p>
              </w:tc>
            </w:tr>
            <w:tr w14:paraId="22DD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72DC7563">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3061" w:type="dxa"/>
                  <w:vAlign w:val="center"/>
                </w:tcPr>
                <w:p w14:paraId="1630EF82">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压力控制盒</w:t>
                  </w:r>
                </w:p>
              </w:tc>
              <w:tc>
                <w:tcPr>
                  <w:tcW w:w="1300" w:type="dxa"/>
                  <w:vAlign w:val="center"/>
                </w:tcPr>
                <w:p w14:paraId="56DC4E3E">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1AFF9960">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个</w:t>
                  </w:r>
                </w:p>
              </w:tc>
            </w:tr>
            <w:tr w14:paraId="4EED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18F5A5B">
                  <w:pPr>
                    <w:spacing w:line="288"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3061" w:type="dxa"/>
                  <w:vAlign w:val="center"/>
                </w:tcPr>
                <w:p w14:paraId="33E54E3E">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磁刺激仪系列软件</w:t>
                  </w:r>
                </w:p>
              </w:tc>
              <w:tc>
                <w:tcPr>
                  <w:tcW w:w="1300" w:type="dxa"/>
                  <w:vAlign w:val="center"/>
                </w:tcPr>
                <w:p w14:paraId="67F3FD5B">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2F0872A6">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套</w:t>
                  </w:r>
                </w:p>
              </w:tc>
            </w:tr>
            <w:tr w14:paraId="249A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77BED77">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7</w:t>
                  </w:r>
                </w:p>
              </w:tc>
              <w:tc>
                <w:tcPr>
                  <w:tcW w:w="3061" w:type="dxa"/>
                  <w:vAlign w:val="center"/>
                </w:tcPr>
                <w:p w14:paraId="17DD9AD8">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磁刺激仪快速操作指南</w:t>
                  </w:r>
                </w:p>
              </w:tc>
              <w:tc>
                <w:tcPr>
                  <w:tcW w:w="1300" w:type="dxa"/>
                  <w:vAlign w:val="center"/>
                </w:tcPr>
                <w:p w14:paraId="66D00A7C">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5DD1EDBF">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套</w:t>
                  </w:r>
                </w:p>
              </w:tc>
            </w:tr>
            <w:tr w14:paraId="2763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6D3EACB7">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8</w:t>
                  </w:r>
                </w:p>
              </w:tc>
              <w:tc>
                <w:tcPr>
                  <w:tcW w:w="3061" w:type="dxa"/>
                  <w:vAlign w:val="center"/>
                </w:tcPr>
                <w:p w14:paraId="533E40CB">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压力气垫</w:t>
                  </w:r>
                </w:p>
              </w:tc>
              <w:tc>
                <w:tcPr>
                  <w:tcW w:w="1300" w:type="dxa"/>
                  <w:vAlign w:val="center"/>
                </w:tcPr>
                <w:p w14:paraId="073496E1">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13B52818">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个</w:t>
                  </w:r>
                </w:p>
              </w:tc>
            </w:tr>
            <w:tr w14:paraId="594D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361738AC">
                  <w:pPr>
                    <w:spacing w:line="288"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9</w:t>
                  </w:r>
                </w:p>
              </w:tc>
              <w:tc>
                <w:tcPr>
                  <w:tcW w:w="3061" w:type="dxa"/>
                  <w:vAlign w:val="center"/>
                </w:tcPr>
                <w:p w14:paraId="5725A758">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副屏显示器</w:t>
                  </w:r>
                </w:p>
              </w:tc>
              <w:tc>
                <w:tcPr>
                  <w:tcW w:w="1300" w:type="dxa"/>
                  <w:vAlign w:val="center"/>
                </w:tcPr>
                <w:p w14:paraId="00D53356">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112D0258">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台</w:t>
                  </w:r>
                </w:p>
              </w:tc>
            </w:tr>
            <w:tr w14:paraId="6E9E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1E89D728">
                  <w:pPr>
                    <w:spacing w:line="288"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w:t>
                  </w:r>
                </w:p>
              </w:tc>
              <w:tc>
                <w:tcPr>
                  <w:tcW w:w="3061" w:type="dxa"/>
                  <w:vAlign w:val="center"/>
                </w:tcPr>
                <w:p w14:paraId="09BB8470">
                  <w:pPr>
                    <w:widowControl/>
                    <w:jc w:val="left"/>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数据连接线</w:t>
                  </w:r>
                </w:p>
              </w:tc>
              <w:tc>
                <w:tcPr>
                  <w:tcW w:w="1300" w:type="dxa"/>
                  <w:vAlign w:val="center"/>
                </w:tcPr>
                <w:p w14:paraId="5A04403A">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1316" w:type="dxa"/>
                  <w:vAlign w:val="center"/>
                </w:tcPr>
                <w:p w14:paraId="4B638195">
                  <w:pPr>
                    <w:widowControl/>
                    <w:jc w:val="center"/>
                    <w:rPr>
                      <w:rFonts w:hint="eastAsia" w:ascii="宋体" w:hAnsi="宋体" w:eastAsia="宋体" w:cs="宋体"/>
                      <w:color w:val="FF0000"/>
                      <w:sz w:val="21"/>
                      <w:szCs w:val="21"/>
                    </w:rPr>
                  </w:pPr>
                  <w:r>
                    <w:rPr>
                      <w:rFonts w:hint="eastAsia" w:ascii="宋体" w:hAnsi="宋体" w:eastAsia="宋体" w:cs="宋体"/>
                      <w:color w:val="FF0000"/>
                      <w:kern w:val="0"/>
                      <w:sz w:val="21"/>
                      <w:szCs w:val="21"/>
                      <w:lang w:bidi="ar"/>
                    </w:rPr>
                    <w:t>根</w:t>
                  </w:r>
                </w:p>
              </w:tc>
            </w:tr>
          </w:tbl>
          <w:p w14:paraId="5957920C">
            <w:pPr>
              <w:pStyle w:val="2"/>
              <w:spacing w:line="240" w:lineRule="auto"/>
              <w:rPr>
                <w:rFonts w:hint="eastAsia" w:ascii="宋体" w:hAnsi="宋体" w:eastAsia="宋体" w:cs="宋体"/>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功能要求</w:t>
            </w:r>
          </w:p>
        </w:tc>
        <w:tc>
          <w:tcPr>
            <w:tcW w:w="8683" w:type="dxa"/>
          </w:tcPr>
          <w:p w14:paraId="1FA26F57">
            <w:pPr>
              <w:numPr>
                <w:ilvl w:val="0"/>
                <w:numId w:val="1"/>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具备软件控制治疗座椅进行盆底和骶神经双模式一键自动切换；</w:t>
            </w:r>
          </w:p>
          <w:p w14:paraId="635883F9">
            <w:pPr>
              <w:numPr>
                <w:ilvl w:val="0"/>
                <w:numId w:val="1"/>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软件具有磁刺激、触发磁刺激、Kegel训练等多种主动和被动训练功能；</w:t>
            </w:r>
          </w:p>
          <w:p w14:paraId="6236A3D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 w:val="21"/>
                <w:szCs w:val="21"/>
              </w:rPr>
              <w:t>设备软件具有实时坐姿监测功能，出现错误坐姿，软件自动报警，指导患者进行正确坐姿，保证疗效；</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hint="eastAsia" w:ascii="宋体" w:hAnsi="宋体" w:eastAsia="宋体" w:cs="宋体"/>
                <w:color w:val="FF0000"/>
                <w:sz w:val="21"/>
                <w:szCs w:val="21"/>
              </w:rPr>
            </w:pPr>
            <w:r>
              <w:rPr>
                <w:rFonts w:hint="eastAsia" w:ascii="宋体" w:hAnsi="宋体" w:eastAsia="宋体" w:cs="宋体"/>
                <w:b/>
                <w:color w:val="FF0000"/>
                <w:kern w:val="0"/>
                <w:sz w:val="21"/>
                <w:szCs w:val="21"/>
              </w:rPr>
              <w:t>技术参数</w:t>
            </w:r>
          </w:p>
        </w:tc>
        <w:tc>
          <w:tcPr>
            <w:tcW w:w="8683" w:type="dxa"/>
          </w:tcPr>
          <w:p w14:paraId="044389A7">
            <w:pPr>
              <w:pStyle w:val="19"/>
              <w:numPr>
                <w:ilvl w:val="0"/>
                <w:numId w:val="0"/>
              </w:numPr>
              <w:spacing w:line="400" w:lineRule="exact"/>
              <w:ind w:leftChars="0"/>
              <w:rPr>
                <w:rStyle w:val="20"/>
                <w:rFonts w:hint="eastAsia" w:ascii="宋体" w:hAnsi="宋体" w:eastAsia="宋体" w:cs="宋体"/>
                <w:b/>
                <w:bCs/>
                <w:color w:val="FF0000"/>
                <w:sz w:val="21"/>
                <w:szCs w:val="21"/>
              </w:rPr>
            </w:pPr>
            <w:r>
              <w:rPr>
                <w:rStyle w:val="20"/>
                <w:rFonts w:hint="eastAsia" w:ascii="宋体" w:hAnsi="宋体" w:eastAsia="宋体" w:cs="宋体"/>
                <w:b/>
                <w:bCs/>
                <w:color w:val="FF0000"/>
                <w:sz w:val="21"/>
                <w:szCs w:val="21"/>
                <w:lang w:eastAsia="zh-CN"/>
              </w:rPr>
              <w:t>（一）硬</w:t>
            </w:r>
            <w:r>
              <w:rPr>
                <w:rStyle w:val="20"/>
                <w:rFonts w:hint="eastAsia" w:ascii="宋体" w:hAnsi="宋体" w:eastAsia="宋体" w:cs="宋体"/>
                <w:b/>
                <w:bCs/>
                <w:color w:val="FF0000"/>
                <w:sz w:val="21"/>
                <w:szCs w:val="21"/>
              </w:rPr>
              <w:t>件</w:t>
            </w:r>
          </w:p>
          <w:p w14:paraId="3DDB0567">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整机通过YY/T 0994-2015 磁刺激设备行业标准；</w:t>
            </w:r>
          </w:p>
          <w:p w14:paraId="3A1F6899">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整机通过电磁兼容性EMC测试；</w:t>
            </w:r>
          </w:p>
          <w:p w14:paraId="368E4F2D">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注册证产品结构及组成包含座椅；</w:t>
            </w:r>
          </w:p>
          <w:p w14:paraId="2A6FB5E3">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液冷散热，满足临床日常工作所需；</w:t>
            </w:r>
          </w:p>
          <w:p w14:paraId="1980B9E0">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铁芯线圈配置，同时适用于盆底刺激和骶神经刺激；</w:t>
            </w:r>
          </w:p>
          <w:p w14:paraId="0269F739">
            <w:pPr>
              <w:pStyle w:val="19"/>
              <w:numPr>
                <w:ilvl w:val="0"/>
                <w:numId w:val="2"/>
              </w:numPr>
              <w:spacing w:line="400" w:lineRule="exact"/>
              <w:ind w:left="420" w:hanging="420" w:firstLineChars="0"/>
              <w:rPr>
                <w:rFonts w:hint="eastAsia" w:ascii="宋体" w:hAnsi="宋体" w:eastAsia="宋体" w:cs="宋体"/>
                <w:color w:val="FF0000"/>
                <w:sz w:val="21"/>
                <w:szCs w:val="21"/>
              </w:rPr>
            </w:pPr>
            <w:bookmarkStart w:id="2" w:name="_Hlk25225669"/>
            <w:r>
              <w:rPr>
                <w:rFonts w:hint="eastAsia" w:ascii="宋体" w:hAnsi="宋体" w:eastAsia="宋体" w:cs="宋体"/>
                <w:color w:val="FF0000"/>
                <w:sz w:val="21"/>
                <w:szCs w:val="21"/>
              </w:rPr>
              <w:t>磁刺激主机和治疗座椅采用分体式设计，方便进行日常维护保养；</w:t>
            </w:r>
          </w:p>
          <w:p w14:paraId="2122FE92">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kern w:val="0"/>
                <w:sz w:val="21"/>
                <w:szCs w:val="21"/>
              </w:rPr>
              <w:t>▲</w:t>
            </w:r>
            <w:r>
              <w:rPr>
                <w:rFonts w:hint="eastAsia" w:ascii="宋体" w:hAnsi="宋体" w:eastAsia="宋体" w:cs="宋体"/>
                <w:color w:val="FF0000"/>
                <w:sz w:val="21"/>
                <w:szCs w:val="21"/>
              </w:rPr>
              <w:t>软件控制治疗座椅进行盆底和骶神经双模式一键自动切换</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w:t>
            </w:r>
            <w:bookmarkEnd w:id="2"/>
          </w:p>
          <w:p w14:paraId="5B56482F">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盆底和骶神经联合治疗时，无需患者调整治疗体位，座椅自动翻转；</w:t>
            </w:r>
          </w:p>
          <w:p w14:paraId="4CDE34BC">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kern w:val="0"/>
                <w:sz w:val="21"/>
                <w:szCs w:val="21"/>
              </w:rPr>
              <w:t>▲</w:t>
            </w:r>
            <w:r>
              <w:rPr>
                <w:rFonts w:hint="eastAsia" w:ascii="宋体" w:hAnsi="宋体" w:eastAsia="宋体" w:cs="宋体"/>
                <w:color w:val="FF0000"/>
                <w:sz w:val="21"/>
                <w:szCs w:val="21"/>
              </w:rPr>
              <w:t>主副双屏配置，主屏医护操作，副屏患者观看，医患实时互动</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w:t>
            </w:r>
          </w:p>
          <w:p w14:paraId="5E569C5F">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主屏为触控式操作屏，尺寸≥15寸，无需键盘、鼠标，方便操作；</w:t>
            </w:r>
          </w:p>
          <w:p w14:paraId="1A5DF9A8">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设备一键开机，直接进入操作软件，无需操作多个开关按键；</w:t>
            </w:r>
          </w:p>
          <w:p w14:paraId="453A7B86">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开放式设计平台，具备触发输入输出通用接口，可兼容肌电图等设备；</w:t>
            </w:r>
          </w:p>
          <w:p w14:paraId="5C5D4BC4">
            <w:pPr>
              <w:pStyle w:val="19"/>
              <w:numPr>
                <w:ilvl w:val="0"/>
                <w:numId w:val="2"/>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磁刺激强度可进行电脑软件与磁刺激主机旋钮双模式调节；</w:t>
            </w:r>
          </w:p>
          <w:p w14:paraId="5F9D848D">
            <w:pPr>
              <w:pStyle w:val="19"/>
              <w:numPr>
                <w:ilvl w:val="0"/>
                <w:numId w:val="3"/>
              </w:numPr>
              <w:spacing w:line="400" w:lineRule="exact"/>
              <w:ind w:left="420" w:hanging="420" w:firstLineChars="0"/>
              <w:rPr>
                <w:rStyle w:val="20"/>
                <w:rFonts w:hint="eastAsia" w:ascii="宋体" w:hAnsi="宋体" w:eastAsia="宋体" w:cs="宋体"/>
                <w:b/>
                <w:bCs/>
                <w:color w:val="FF0000"/>
                <w:sz w:val="21"/>
                <w:szCs w:val="21"/>
              </w:rPr>
            </w:pPr>
            <w:r>
              <w:rPr>
                <w:rStyle w:val="20"/>
                <w:rFonts w:hint="eastAsia" w:ascii="宋体" w:hAnsi="宋体" w:eastAsia="宋体" w:cs="宋体"/>
                <w:b/>
                <w:bCs/>
                <w:color w:val="FF0000"/>
                <w:sz w:val="21"/>
                <w:szCs w:val="21"/>
              </w:rPr>
              <w:t>技术指标</w:t>
            </w:r>
          </w:p>
          <w:p w14:paraId="09598EBD">
            <w:pPr>
              <w:pStyle w:val="19"/>
              <w:numPr>
                <w:ilvl w:val="0"/>
                <w:numId w:val="4"/>
              </w:numPr>
              <w:spacing w:line="400" w:lineRule="exact"/>
              <w:ind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脉冲上升时间：50μs ±10μs；</w:t>
            </w:r>
          </w:p>
          <w:p w14:paraId="019E1B9F">
            <w:pPr>
              <w:pStyle w:val="19"/>
              <w:numPr>
                <w:ilvl w:val="0"/>
                <w:numId w:val="4"/>
              </w:numPr>
              <w:spacing w:line="400" w:lineRule="exact"/>
              <w:ind w:firstLineChars="0"/>
              <w:rPr>
                <w:rStyle w:val="20"/>
                <w:rFonts w:hint="eastAsia" w:ascii="宋体" w:hAnsi="宋体" w:eastAsia="宋体" w:cs="宋体"/>
                <w:b/>
                <w:bCs/>
                <w:color w:val="FF0000"/>
                <w:sz w:val="21"/>
                <w:szCs w:val="21"/>
                <w:lang w:eastAsia="zh-Hans"/>
              </w:rPr>
            </w:pPr>
            <w:r>
              <w:rPr>
                <w:rFonts w:hint="eastAsia" w:ascii="宋体" w:hAnsi="宋体" w:eastAsia="宋体" w:cs="宋体"/>
                <w:color w:val="FF0000"/>
                <w:spacing w:val="3"/>
                <w:sz w:val="21"/>
                <w:szCs w:val="21"/>
              </w:rPr>
              <w:t>输出脉冲重复频率：0-100</w:t>
            </w:r>
            <w:r>
              <w:rPr>
                <w:rFonts w:hint="eastAsia" w:ascii="宋体" w:hAnsi="宋体" w:eastAsia="宋体" w:cs="宋体"/>
                <w:color w:val="FF0000"/>
                <w:sz w:val="21"/>
                <w:szCs w:val="21"/>
              </w:rPr>
              <w:t>Hz</w:t>
            </w:r>
            <w:r>
              <w:rPr>
                <w:rFonts w:hint="eastAsia" w:ascii="宋体" w:hAnsi="宋体" w:eastAsia="宋体" w:cs="宋体"/>
                <w:color w:val="FF0000"/>
                <w:spacing w:val="-46"/>
                <w:sz w:val="21"/>
                <w:szCs w:val="21"/>
              </w:rPr>
              <w:t xml:space="preserve"> </w:t>
            </w:r>
            <w:r>
              <w:rPr>
                <w:rFonts w:hint="eastAsia" w:ascii="宋体" w:hAnsi="宋体" w:eastAsia="宋体" w:cs="宋体"/>
                <w:color w:val="FF0000"/>
                <w:spacing w:val="3"/>
                <w:sz w:val="21"/>
                <w:szCs w:val="21"/>
              </w:rPr>
              <w:t>可调，允差±3%;最小可调步长为0.01</w:t>
            </w:r>
            <w:r>
              <w:rPr>
                <w:rFonts w:hint="eastAsia" w:ascii="宋体" w:hAnsi="宋体" w:eastAsia="宋体" w:cs="宋体"/>
                <w:color w:val="FF0000"/>
                <w:sz w:val="21"/>
                <w:szCs w:val="21"/>
              </w:rPr>
              <w:t>Hz</w:t>
            </w:r>
            <w:r>
              <w:rPr>
                <w:rFonts w:hint="eastAsia" w:ascii="宋体" w:hAnsi="宋体" w:eastAsia="宋体" w:cs="宋体"/>
                <w:color w:val="FF0000"/>
                <w:spacing w:val="3"/>
                <w:sz w:val="21"/>
                <w:szCs w:val="21"/>
              </w:rPr>
              <w:t>;</w:t>
            </w:r>
          </w:p>
          <w:p w14:paraId="263E8B71">
            <w:pPr>
              <w:pStyle w:val="19"/>
              <w:numPr>
                <w:ilvl w:val="0"/>
                <w:numId w:val="4"/>
              </w:numPr>
              <w:spacing w:line="400" w:lineRule="exact"/>
              <w:ind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磁感应强度最大变化率范围：60kT/s～90kT/s；</w:t>
            </w:r>
          </w:p>
          <w:p w14:paraId="0EE9FD05">
            <w:pPr>
              <w:pStyle w:val="19"/>
              <w:numPr>
                <w:ilvl w:val="0"/>
                <w:numId w:val="4"/>
              </w:numPr>
              <w:spacing w:line="400" w:lineRule="exact"/>
              <w:ind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脉冲持续时间：340μs ±20μs。</w:t>
            </w:r>
          </w:p>
          <w:p w14:paraId="0666B586">
            <w:pPr>
              <w:pStyle w:val="19"/>
              <w:numPr>
                <w:ilvl w:val="0"/>
                <w:numId w:val="3"/>
              </w:numPr>
              <w:spacing w:line="400" w:lineRule="exact"/>
              <w:ind w:left="420" w:hanging="420" w:firstLineChars="0"/>
              <w:rPr>
                <w:rStyle w:val="20"/>
                <w:rFonts w:hint="eastAsia" w:ascii="宋体" w:hAnsi="宋体" w:eastAsia="宋体" w:cs="宋体"/>
                <w:b/>
                <w:bCs/>
                <w:color w:val="FF0000"/>
                <w:sz w:val="21"/>
                <w:szCs w:val="21"/>
              </w:rPr>
            </w:pPr>
            <w:r>
              <w:rPr>
                <w:rStyle w:val="20"/>
                <w:rFonts w:hint="eastAsia" w:ascii="宋体" w:hAnsi="宋体" w:eastAsia="宋体" w:cs="宋体"/>
                <w:b/>
                <w:bCs/>
                <w:color w:val="FF0000"/>
                <w:sz w:val="21"/>
                <w:szCs w:val="21"/>
              </w:rPr>
              <w:t>软件</w:t>
            </w:r>
          </w:p>
          <w:p w14:paraId="020B1FDA">
            <w:pPr>
              <w:pStyle w:val="19"/>
              <w:numPr>
                <w:ilvl w:val="0"/>
                <w:numId w:val="5"/>
              </w:numPr>
              <w:spacing w:line="400" w:lineRule="exact"/>
              <w:ind w:left="420" w:hanging="420" w:firstLineChars="0"/>
              <w:rPr>
                <w:rFonts w:hint="eastAsia" w:ascii="宋体" w:hAnsi="宋体" w:eastAsia="宋体" w:cs="宋体"/>
                <w:color w:val="FF0000"/>
                <w:sz w:val="21"/>
                <w:szCs w:val="21"/>
              </w:rPr>
            </w:pPr>
            <w:r>
              <w:rPr>
                <w:rFonts w:hint="eastAsia" w:ascii="宋体" w:hAnsi="宋体" w:eastAsia="宋体" w:cs="宋体"/>
                <w:color w:val="FF0000"/>
                <w:sz w:val="21"/>
                <w:szCs w:val="21"/>
              </w:rPr>
              <w:t>上位机软件通过GB/T 25000.51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或更高标准</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 xml:space="preserve"> 软件工程产品质量要求与评价；</w:t>
            </w:r>
          </w:p>
          <w:p w14:paraId="32FADD76">
            <w:pPr>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rPr>
              <w:t>2.</w:t>
            </w:r>
            <w:r>
              <w:rPr>
                <w:rFonts w:hint="eastAsia" w:ascii="宋体" w:hAnsi="宋体" w:eastAsia="宋体" w:cs="宋体"/>
                <w:color w:val="FF0000"/>
                <w:kern w:val="0"/>
                <w:sz w:val="21"/>
                <w:szCs w:val="21"/>
              </w:rPr>
              <w:t>▲</w:t>
            </w:r>
            <w:r>
              <w:rPr>
                <w:rFonts w:hint="eastAsia" w:ascii="宋体" w:hAnsi="宋体" w:eastAsia="宋体" w:cs="宋体"/>
                <w:color w:val="FF0000"/>
                <w:sz w:val="21"/>
                <w:szCs w:val="21"/>
              </w:rPr>
              <w:t>软件具有标准模式、调频模式、调幅模式等多种脉冲输出模式，满足不同脉冲输出要求；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w:t>
            </w:r>
          </w:p>
          <w:p w14:paraId="5EA7DABC">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rPr>
              <w:t>3.</w:t>
            </w:r>
            <w:r>
              <w:rPr>
                <w:rFonts w:hint="eastAsia" w:ascii="宋体" w:hAnsi="宋体" w:eastAsia="宋体" w:cs="宋体"/>
                <w:color w:val="FF0000"/>
                <w:kern w:val="0"/>
                <w:sz w:val="21"/>
                <w:szCs w:val="21"/>
              </w:rPr>
              <w:t>▲</w:t>
            </w:r>
            <w:r>
              <w:rPr>
                <w:rFonts w:hint="eastAsia" w:ascii="宋体" w:hAnsi="宋体" w:eastAsia="宋体" w:cs="宋体"/>
                <w:color w:val="FF0000"/>
                <w:sz w:val="21"/>
                <w:szCs w:val="21"/>
              </w:rPr>
              <w:t>软件具有磁刺激、触发磁刺激、Kegel训练等多种主动和被动训练功能；（</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w:t>
            </w:r>
          </w:p>
          <w:p w14:paraId="21BF87BA">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kern w:val="0"/>
                <w:sz w:val="21"/>
                <w:szCs w:val="21"/>
                <w:lang w:val="en-US" w:eastAsia="zh-CN"/>
              </w:rPr>
              <w:t>4.</w:t>
            </w:r>
            <w:r>
              <w:rPr>
                <w:rFonts w:hint="eastAsia" w:ascii="宋体" w:hAnsi="宋体" w:eastAsia="宋体" w:cs="宋体"/>
                <w:color w:val="FF0000"/>
                <w:kern w:val="0"/>
                <w:sz w:val="21"/>
                <w:szCs w:val="21"/>
              </w:rPr>
              <w:t>▲</w:t>
            </w:r>
            <w:r>
              <w:rPr>
                <w:rFonts w:hint="eastAsia" w:ascii="宋体" w:hAnsi="宋体" w:eastAsia="宋体" w:cs="宋体"/>
                <w:color w:val="FF0000"/>
                <w:sz w:val="21"/>
                <w:szCs w:val="21"/>
              </w:rPr>
              <w:t>设备软件具有实时坐姿监测功能，出现错误坐姿，软件自动报警，指导患者进行正确坐姿，保证疗效；（</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投标时需提供检验检测报告或产品技术白皮书或说明书扫描件，注：对应参数在技术说明书中进行标注，原件备查。检验检测报告要求：①由第三方检验检测机构出具并加盖（或带有）CMA 标志的检验检测报告扫描件，原件备查；②上述检验检测报告在全国认证认可信息公共服务平台（认e 云）（http://cx.cnca.cn/）的信息查询记录截图。如检验检测报告中明确备注说明相关检验检测项不在检验检测机构CMA 资质许可（认定）范围内的，不符合招标文件要求。</w:t>
            </w:r>
            <w:r>
              <w:rPr>
                <w:rFonts w:hint="eastAsia" w:ascii="宋体" w:hAnsi="宋体" w:eastAsia="宋体" w:cs="宋体"/>
                <w:color w:val="FF0000"/>
                <w:kern w:val="0"/>
                <w:sz w:val="21"/>
                <w:szCs w:val="21"/>
                <w:lang w:eastAsia="zh-CN" w:bidi="ar"/>
              </w:rPr>
              <w:t>）</w:t>
            </w:r>
            <w:r>
              <w:rPr>
                <w:rFonts w:hint="eastAsia" w:ascii="宋体" w:hAnsi="宋体" w:eastAsia="宋体" w:cs="宋体"/>
                <w:color w:val="FF0000"/>
                <w:sz w:val="21"/>
                <w:szCs w:val="21"/>
              </w:rPr>
              <w:t>）</w:t>
            </w:r>
          </w:p>
          <w:p w14:paraId="4537DBE8">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软件具有处方治疗功能，可进行多个方案联合，然后一键开启治疗；</w:t>
            </w:r>
          </w:p>
          <w:p w14:paraId="7E4DD9DC">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内置治疗方案库，多种临床方案供医生选择，包含压力性尿失禁、膀胱过度活动症、大便失禁、盆底痛等，可以一键开启治疗；</w:t>
            </w:r>
          </w:p>
          <w:p w14:paraId="6FF95ADB">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方案可自定义编辑，频率、刺激时间、间歇时间等参数可调，满足更多临床需求；</w:t>
            </w:r>
          </w:p>
          <w:p w14:paraId="153E9C19">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治疗开始前刺激可输出，可根据患者感受预设置刺激强度，治疗过程中，无需暂停即可根据患者感受更改刺激强度；</w:t>
            </w:r>
          </w:p>
          <w:p w14:paraId="28AB9B47">
            <w:pPr>
              <w:pStyle w:val="19"/>
              <w:numPr>
                <w:ilvl w:val="0"/>
                <w:numId w:val="0"/>
              </w:numPr>
              <w:spacing w:line="400" w:lineRule="exact"/>
              <w:ind w:leftChars="0"/>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患者基本信息、临床方案、诊疗记录等信息海量存储，并可实时查询、编辑；</w:t>
            </w:r>
          </w:p>
          <w:p w14:paraId="57A6FA3E">
            <w:pPr>
              <w:pStyle w:val="19"/>
              <w:numPr>
                <w:ilvl w:val="0"/>
                <w:numId w:val="0"/>
              </w:numPr>
              <w:spacing w:line="400" w:lineRule="exact"/>
              <w:ind w:leftChars="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可兼容云互联及电子病历系统，实现设备间的数据互联互通，信息共享</w:t>
            </w:r>
            <w:r>
              <w:rPr>
                <w:rFonts w:hint="eastAsia" w:ascii="宋体" w:hAnsi="宋体" w:eastAsia="宋体" w:cs="宋体"/>
                <w:color w:val="FF0000"/>
                <w:sz w:val="21"/>
                <w:szCs w:val="21"/>
                <w:lang w:eastAsia="zh-CN"/>
              </w:rPr>
              <w:t>；</w:t>
            </w:r>
          </w:p>
          <w:p w14:paraId="43BAF329">
            <w:pPr>
              <w:pStyle w:val="19"/>
              <w:numPr>
                <w:ilvl w:val="0"/>
                <w:numId w:val="0"/>
              </w:numPr>
              <w:spacing w:line="400" w:lineRule="exact"/>
              <w:ind w:leftChars="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11.</w:t>
            </w:r>
            <w:r>
              <w:rPr>
                <w:rFonts w:hint="eastAsia" w:ascii="宋体" w:hAnsi="宋体" w:eastAsia="宋体" w:cs="宋体"/>
                <w:color w:val="FF0000"/>
                <w:sz w:val="21"/>
                <w:szCs w:val="21"/>
              </w:rPr>
              <w:t>具有智能温度保护功能，刺激线圈温度达到40℃会自动停止输出</w:t>
            </w:r>
            <w:r>
              <w:rPr>
                <w:rFonts w:hint="eastAsia" w:ascii="宋体" w:hAnsi="宋体" w:eastAsia="宋体" w:cs="宋体"/>
                <w:color w:val="FF0000"/>
                <w:sz w:val="21"/>
                <w:szCs w:val="21"/>
                <w:lang w:eastAsia="zh-CN"/>
              </w:rPr>
              <w:t>。</w:t>
            </w:r>
          </w:p>
          <w:p w14:paraId="6502CC48">
            <w:pPr>
              <w:numPr>
                <w:ilvl w:val="0"/>
                <w:numId w:val="0"/>
              </w:numPr>
              <w:ind w:leftChars="0"/>
              <w:rPr>
                <w:rFonts w:hint="eastAsia" w:ascii="宋体" w:hAnsi="宋体" w:eastAsia="宋体" w:cs="宋体"/>
                <w:bCs/>
                <w:color w:val="FF0000"/>
                <w:kern w:val="0"/>
                <w:sz w:val="21"/>
                <w:szCs w:val="21"/>
                <w:lang w:val="en-US" w:eastAsia="zh-CN" w:bidi="ar-SA"/>
              </w:rPr>
            </w:pP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37458621">
            <w:pPr>
              <w:numPr>
                <w:ilvl w:val="0"/>
                <w:numId w:val="0"/>
              </w:numPr>
              <w:ind w:leftChars="0"/>
              <w:rPr>
                <w:rFonts w:hint="eastAsia" w:ascii="宋体" w:hAnsi="宋体" w:eastAsia="宋体" w:cs="宋体"/>
                <w:bCs/>
                <w:color w:val="FF0000"/>
                <w:kern w:val="0"/>
                <w:sz w:val="21"/>
                <w:szCs w:val="21"/>
                <w:lang w:val="en-US" w:eastAsia="zh-CN" w:bidi="ar-SA"/>
              </w:rPr>
            </w:pPr>
            <w:bookmarkStart w:id="3" w:name="_GoBack"/>
            <w:r>
              <w:rPr>
                <w:rFonts w:hint="eastAsia" w:ascii="宋体" w:hAnsi="宋体" w:eastAsia="宋体" w:cs="宋体"/>
                <w:bCs/>
                <w:color w:val="FF0000"/>
                <w:kern w:val="0"/>
                <w:sz w:val="21"/>
                <w:szCs w:val="21"/>
                <w:lang w:val="en-US" w:eastAsia="zh-CN" w:bidi="ar-SA"/>
              </w:rPr>
              <w:t>★1、设备安装调试验收合格后原厂质保6年。投标方中标后需提供与设备生产厂家签订的该设备6年质保协议原件或厂家/授权的中国总代理代针对该项目的原厂质保6年的承诺。在质保期内，设备零配件及其维修的有关费用及软件终身升级皆不得额外收取费用，并保证终身负责维修。</w:t>
            </w:r>
          </w:p>
          <w:bookmarkEnd w:id="3"/>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9"/>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48464BCE">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A1604"/>
    <w:multiLevelType w:val="singleLevel"/>
    <w:tmpl w:val="D07A1604"/>
    <w:lvl w:ilvl="0" w:tentative="0">
      <w:start w:val="1"/>
      <w:numFmt w:val="decimal"/>
      <w:suff w:val="nothing"/>
      <w:lvlText w:val="%1、"/>
      <w:lvlJc w:val="left"/>
    </w:lvl>
  </w:abstractNum>
  <w:abstractNum w:abstractNumId="1">
    <w:nsid w:val="F2FF96CE"/>
    <w:multiLevelType w:val="singleLevel"/>
    <w:tmpl w:val="F2FF96CE"/>
    <w:lvl w:ilvl="0" w:tentative="0">
      <w:start w:val="1"/>
      <w:numFmt w:val="decimal"/>
      <w:lvlText w:val="%1."/>
      <w:lvlJc w:val="left"/>
      <w:pPr>
        <w:ind w:left="425" w:hanging="425"/>
      </w:pPr>
      <w:rPr>
        <w:rFonts w:hint="default" w:ascii="Times New Roman" w:hAnsi="Times New Roman" w:cs="Times New Roman"/>
        <w:b w:val="0"/>
        <w:bCs w:val="0"/>
        <w:color w:val="000000" w:themeColor="text1"/>
        <w14:textFill>
          <w14:solidFill>
            <w14:schemeClr w14:val="tx1"/>
          </w14:solidFill>
        </w14:textFill>
      </w:rPr>
    </w:lvl>
  </w:abstractNum>
  <w:abstractNum w:abstractNumId="2">
    <w:nsid w:val="154A2E7D"/>
    <w:multiLevelType w:val="singleLevel"/>
    <w:tmpl w:val="154A2E7D"/>
    <w:lvl w:ilvl="0" w:tentative="0">
      <w:start w:val="1"/>
      <w:numFmt w:val="chineseCounting"/>
      <w:suff w:val="nothing"/>
      <w:lvlText w:val="（%1）"/>
      <w:lvlJc w:val="left"/>
      <w:pPr>
        <w:ind w:left="0" w:firstLine="420"/>
      </w:pPr>
      <w:rPr>
        <w:rFonts w:hint="eastAsia"/>
      </w:rPr>
    </w:lvl>
  </w:abstractNum>
  <w:abstractNum w:abstractNumId="3">
    <w:nsid w:val="1F02FA52"/>
    <w:multiLevelType w:val="singleLevel"/>
    <w:tmpl w:val="1F02FA52"/>
    <w:lvl w:ilvl="0" w:tentative="0">
      <w:start w:val="1"/>
      <w:numFmt w:val="decimal"/>
      <w:lvlText w:val="%1."/>
      <w:lvlJc w:val="left"/>
      <w:pPr>
        <w:ind w:left="425" w:hanging="425"/>
      </w:pPr>
      <w:rPr>
        <w:rFonts w:hint="default"/>
      </w:rPr>
    </w:lvl>
  </w:abstractNum>
  <w:abstractNum w:abstractNumId="4">
    <w:nsid w:val="70B57D2F"/>
    <w:multiLevelType w:val="singleLevel"/>
    <w:tmpl w:val="70B57D2F"/>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BE83503"/>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A305F1C"/>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character" w:customStyle="1" w:styleId="20">
    <w:name w:val="font11"/>
    <w:basedOn w:val="13"/>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8738</Words>
  <Characters>9107</Characters>
  <Lines>0</Lines>
  <Paragraphs>0</Paragraphs>
  <TotalTime>0</TotalTime>
  <ScaleCrop>false</ScaleCrop>
  <LinksUpToDate>false</LinksUpToDate>
  <CharactersWithSpaces>9826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2024-12-18T08:44:15Z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