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8"/>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8"/>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3"/>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3"/>
        <w:jc w:val="center"/>
        <w:rPr>
          <w:rFonts w:hint="eastAsia" w:ascii="宋体" w:hAnsi="宋体"/>
          <w:b/>
          <w:bCs/>
          <w:szCs w:val="21"/>
        </w:rPr>
      </w:pPr>
    </w:p>
    <w:p w14:paraId="2971CD1E">
      <w:pPr>
        <w:pStyle w:val="3"/>
        <w:jc w:val="center"/>
        <w:rPr>
          <w:rFonts w:hint="eastAsia" w:ascii="宋体" w:hAnsi="宋体"/>
          <w:b/>
          <w:bCs/>
          <w:szCs w:val="21"/>
        </w:rPr>
      </w:pPr>
    </w:p>
    <w:p w14:paraId="44124856">
      <w:pPr>
        <w:pStyle w:val="3"/>
        <w:jc w:val="center"/>
        <w:rPr>
          <w:rFonts w:hint="eastAsia" w:ascii="宋体" w:hAnsi="宋体"/>
          <w:b/>
          <w:bCs/>
          <w:szCs w:val="21"/>
        </w:rPr>
      </w:pPr>
    </w:p>
    <w:p w14:paraId="08AA2683">
      <w:pPr>
        <w:pStyle w:val="3"/>
        <w:jc w:val="center"/>
        <w:rPr>
          <w:rFonts w:hint="eastAsia" w:ascii="宋体" w:hAnsi="宋体"/>
          <w:b/>
          <w:bCs/>
          <w:szCs w:val="21"/>
        </w:rPr>
      </w:pPr>
    </w:p>
    <w:p w14:paraId="2F161ADF">
      <w:pPr>
        <w:pStyle w:val="3"/>
        <w:jc w:val="center"/>
        <w:rPr>
          <w:rFonts w:hint="eastAsia" w:ascii="宋体" w:hAnsi="宋体"/>
          <w:b/>
          <w:bCs/>
          <w:szCs w:val="21"/>
        </w:rPr>
      </w:pPr>
    </w:p>
    <w:p w14:paraId="0B63A0AE">
      <w:pPr>
        <w:pStyle w:val="3"/>
        <w:jc w:val="center"/>
        <w:rPr>
          <w:rFonts w:hint="eastAsia" w:ascii="宋体" w:hAnsi="宋体"/>
          <w:b/>
          <w:bCs/>
          <w:szCs w:val="21"/>
        </w:rPr>
      </w:pPr>
    </w:p>
    <w:p w14:paraId="21390DA8">
      <w:pPr>
        <w:pStyle w:val="3"/>
        <w:jc w:val="center"/>
        <w:rPr>
          <w:rFonts w:hint="eastAsia" w:ascii="宋体" w:hAnsi="宋体"/>
          <w:b/>
          <w:bCs/>
          <w:szCs w:val="21"/>
        </w:rPr>
      </w:pPr>
    </w:p>
    <w:p w14:paraId="6EDBB49F">
      <w:pPr>
        <w:pStyle w:val="3"/>
        <w:jc w:val="center"/>
        <w:rPr>
          <w:rFonts w:hint="eastAsia" w:ascii="宋体" w:hAnsi="宋体"/>
          <w:b/>
          <w:bCs/>
          <w:szCs w:val="21"/>
        </w:rPr>
      </w:pPr>
    </w:p>
    <w:p w14:paraId="1432072E">
      <w:pPr>
        <w:pStyle w:val="3"/>
        <w:jc w:val="center"/>
        <w:rPr>
          <w:rFonts w:hint="eastAsia" w:ascii="宋体" w:hAnsi="宋体"/>
          <w:b/>
          <w:bCs/>
          <w:szCs w:val="21"/>
        </w:rPr>
      </w:pPr>
    </w:p>
    <w:p w14:paraId="738F9BB8">
      <w:pPr>
        <w:pStyle w:val="3"/>
        <w:jc w:val="center"/>
        <w:rPr>
          <w:rFonts w:hint="eastAsia" w:ascii="宋体" w:hAnsi="宋体"/>
          <w:b/>
          <w:bCs/>
          <w:szCs w:val="21"/>
        </w:rPr>
      </w:pPr>
    </w:p>
    <w:p w14:paraId="2BA73101">
      <w:pPr>
        <w:pStyle w:val="3"/>
        <w:jc w:val="center"/>
        <w:rPr>
          <w:rFonts w:hint="eastAsia" w:ascii="宋体" w:hAnsi="宋体"/>
          <w:b/>
          <w:bCs/>
          <w:szCs w:val="21"/>
        </w:rPr>
      </w:pPr>
    </w:p>
    <w:p w14:paraId="631484CB">
      <w:pPr>
        <w:pStyle w:val="3"/>
        <w:jc w:val="center"/>
        <w:rPr>
          <w:rFonts w:hint="eastAsia" w:ascii="宋体" w:hAnsi="宋体"/>
          <w:b/>
          <w:bCs/>
          <w:szCs w:val="21"/>
        </w:rPr>
      </w:pPr>
    </w:p>
    <w:p w14:paraId="3DB033DB">
      <w:pPr>
        <w:pStyle w:val="3"/>
        <w:jc w:val="center"/>
        <w:rPr>
          <w:rFonts w:hint="eastAsia" w:ascii="宋体" w:hAnsi="宋体"/>
          <w:b/>
          <w:bCs/>
          <w:szCs w:val="21"/>
        </w:rPr>
      </w:pPr>
    </w:p>
    <w:p w14:paraId="20D42745">
      <w:pPr>
        <w:pStyle w:val="3"/>
        <w:jc w:val="center"/>
        <w:rPr>
          <w:rFonts w:hint="eastAsia" w:ascii="宋体" w:hAnsi="宋体"/>
          <w:b/>
          <w:bCs/>
          <w:szCs w:val="21"/>
        </w:rPr>
      </w:pPr>
    </w:p>
    <w:p w14:paraId="1AA65312">
      <w:pPr>
        <w:pStyle w:val="3"/>
        <w:jc w:val="center"/>
        <w:rPr>
          <w:rFonts w:hint="eastAsia" w:ascii="宋体" w:hAnsi="宋体"/>
          <w:b/>
          <w:bCs/>
          <w:szCs w:val="21"/>
        </w:rPr>
      </w:pPr>
    </w:p>
    <w:p w14:paraId="70224C5F">
      <w:pPr>
        <w:pStyle w:val="3"/>
        <w:jc w:val="center"/>
        <w:rPr>
          <w:rFonts w:hint="eastAsia" w:ascii="宋体" w:hAnsi="宋体"/>
          <w:b/>
          <w:bCs/>
          <w:szCs w:val="21"/>
        </w:rPr>
      </w:pPr>
    </w:p>
    <w:p w14:paraId="772B0D78">
      <w:pPr>
        <w:pStyle w:val="3"/>
        <w:jc w:val="center"/>
        <w:rPr>
          <w:rFonts w:hint="eastAsia" w:ascii="宋体" w:hAnsi="宋体"/>
          <w:b/>
          <w:bCs/>
          <w:szCs w:val="21"/>
        </w:rPr>
      </w:pPr>
    </w:p>
    <w:p w14:paraId="60817AD1">
      <w:pPr>
        <w:pStyle w:val="3"/>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3"/>
        <w:rPr>
          <w:rStyle w:val="17"/>
          <w:rFonts w:hint="default"/>
          <w:color w:val="000000"/>
          <w:szCs w:val="28"/>
          <w:lang w:val="en-US" w:eastAsia="zh-CN"/>
        </w:rPr>
      </w:pPr>
    </w:p>
    <w:p w14:paraId="47AEEB51">
      <w:pPr>
        <w:pStyle w:val="3"/>
        <w:rPr>
          <w:rStyle w:val="17"/>
          <w:color w:val="000000"/>
          <w:szCs w:val="28"/>
        </w:rPr>
      </w:pPr>
    </w:p>
    <w:p w14:paraId="65A0EA51">
      <w:pPr>
        <w:pStyle w:val="3"/>
        <w:rPr>
          <w:rStyle w:val="17"/>
          <w:color w:val="000000"/>
          <w:szCs w:val="28"/>
        </w:rPr>
      </w:pPr>
    </w:p>
    <w:p w14:paraId="4B2F013C">
      <w:pPr>
        <w:pStyle w:val="3"/>
        <w:rPr>
          <w:rStyle w:val="17"/>
          <w:color w:val="000000"/>
          <w:szCs w:val="28"/>
        </w:rPr>
      </w:pPr>
    </w:p>
    <w:p w14:paraId="481E1B8E">
      <w:pPr>
        <w:pStyle w:val="3"/>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2"/>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3"/>
        <w:jc w:val="center"/>
        <w:rPr>
          <w:rFonts w:hint="eastAsia" w:ascii="宋体" w:hAnsi="宋体"/>
          <w:b/>
          <w:bCs/>
          <w:szCs w:val="21"/>
        </w:rPr>
      </w:pPr>
    </w:p>
    <w:p w14:paraId="173FE59F">
      <w:pPr>
        <w:pStyle w:val="3"/>
        <w:jc w:val="center"/>
        <w:rPr>
          <w:rFonts w:hint="eastAsia" w:ascii="宋体" w:hAnsi="宋体"/>
          <w:b/>
          <w:bCs/>
          <w:szCs w:val="21"/>
        </w:rPr>
      </w:pPr>
    </w:p>
    <w:p w14:paraId="2C555EDF">
      <w:pPr>
        <w:pStyle w:val="3"/>
        <w:jc w:val="center"/>
        <w:rPr>
          <w:rFonts w:hint="eastAsia" w:ascii="宋体" w:hAnsi="宋体"/>
          <w:b/>
          <w:bCs/>
          <w:szCs w:val="21"/>
        </w:rPr>
      </w:pPr>
    </w:p>
    <w:p w14:paraId="21C50F1C">
      <w:pPr>
        <w:pStyle w:val="3"/>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3"/>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8"/>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000000" w:themeColor="text1"/>
          <w:szCs w:val="21"/>
          <w:highlight w:val="none"/>
          <w14:textFill>
            <w14:solidFill>
              <w14:schemeClr w14:val="tx1"/>
            </w14:solidFill>
          </w14:textFill>
        </w:rPr>
        <w:t>用于医疗监护下患者的诊断、治疗或监护时使用，电动调节体位，提升患者舒适度，辅助日常护理，促进康复，同时减轻医护人员工作负担，作为患者的护理设备。</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6ECA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34936693">
                  <w:pPr>
                    <w:spacing w:line="288" w:lineRule="auto"/>
                    <w:jc w:val="center"/>
                    <w:rPr>
                      <w:rFonts w:hint="eastAsia"/>
                      <w:color w:val="FF0000"/>
                      <w:sz w:val="21"/>
                      <w:szCs w:val="21"/>
                    </w:rPr>
                  </w:pPr>
                  <w:r>
                    <w:rPr>
                      <w:rFonts w:hint="eastAsia"/>
                      <w:color w:val="FF0000"/>
                      <w:sz w:val="21"/>
                      <w:szCs w:val="21"/>
                    </w:rPr>
                    <w:t>序号</w:t>
                  </w:r>
                </w:p>
              </w:tc>
              <w:tc>
                <w:tcPr>
                  <w:tcW w:w="3061" w:type="dxa"/>
                  <w:vAlign w:val="center"/>
                </w:tcPr>
                <w:p w14:paraId="03BA006D">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vAlign w:val="center"/>
                </w:tcPr>
                <w:p w14:paraId="62CBE3D8">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vAlign w:val="center"/>
                </w:tcPr>
                <w:p w14:paraId="40912FBC">
                  <w:pPr>
                    <w:spacing w:line="288" w:lineRule="auto"/>
                    <w:jc w:val="center"/>
                    <w:rPr>
                      <w:rFonts w:hint="eastAsia"/>
                      <w:color w:val="FF0000"/>
                      <w:sz w:val="21"/>
                      <w:szCs w:val="21"/>
                    </w:rPr>
                  </w:pPr>
                  <w:r>
                    <w:rPr>
                      <w:rFonts w:hint="eastAsia"/>
                      <w:color w:val="FF0000"/>
                      <w:sz w:val="21"/>
                      <w:szCs w:val="21"/>
                      <w:lang w:eastAsia="zh-CN"/>
                    </w:rPr>
                    <w:t>单位</w:t>
                  </w:r>
                </w:p>
              </w:tc>
            </w:tr>
            <w:tr w14:paraId="7E76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F9F83C5">
                  <w:pPr>
                    <w:spacing w:line="288" w:lineRule="auto"/>
                    <w:jc w:val="center"/>
                    <w:rPr>
                      <w:rFonts w:hint="eastAsia"/>
                      <w:color w:val="FF0000"/>
                      <w:sz w:val="21"/>
                      <w:szCs w:val="21"/>
                    </w:rPr>
                  </w:pPr>
                  <w:r>
                    <w:rPr>
                      <w:rFonts w:hint="eastAsia"/>
                      <w:color w:val="FF0000"/>
                      <w:sz w:val="21"/>
                      <w:szCs w:val="21"/>
                    </w:rPr>
                    <w:t>1</w:t>
                  </w:r>
                </w:p>
              </w:tc>
              <w:tc>
                <w:tcPr>
                  <w:tcW w:w="3061" w:type="dxa"/>
                  <w:vAlign w:val="top"/>
                </w:tcPr>
                <w:p w14:paraId="24C6F316">
                  <w:pPr>
                    <w:spacing w:beforeLines="50" w:afterLines="50"/>
                    <w:rPr>
                      <w:rFonts w:hint="eastAsia"/>
                      <w:color w:val="FF0000"/>
                    </w:rPr>
                  </w:pPr>
                  <w:r>
                    <w:rPr>
                      <w:rFonts w:hint="eastAsia"/>
                      <w:color w:val="FF0000"/>
                    </w:rPr>
                    <w:t xml:space="preserve">喷涂床架     </w:t>
                  </w:r>
                </w:p>
              </w:tc>
              <w:tc>
                <w:tcPr>
                  <w:tcW w:w="1300" w:type="dxa"/>
                  <w:vAlign w:val="top"/>
                </w:tcPr>
                <w:p w14:paraId="7799216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35</w:t>
                  </w:r>
                </w:p>
              </w:tc>
              <w:tc>
                <w:tcPr>
                  <w:tcW w:w="1316" w:type="dxa"/>
                  <w:vAlign w:val="top"/>
                </w:tcPr>
                <w:p w14:paraId="7963D5C4">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张</w:t>
                  </w:r>
                </w:p>
              </w:tc>
            </w:tr>
            <w:tr w14:paraId="6FBE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54A25F8D">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vAlign w:val="top"/>
                </w:tcPr>
                <w:p w14:paraId="07F8E115">
                  <w:pPr>
                    <w:spacing w:beforeLines="50" w:afterLines="50"/>
                    <w:rPr>
                      <w:rFonts w:hint="eastAsia"/>
                      <w:color w:val="FF0000"/>
                    </w:rPr>
                  </w:pPr>
                  <w:r>
                    <w:rPr>
                      <w:rFonts w:hint="eastAsia"/>
                      <w:color w:val="FF0000"/>
                    </w:rPr>
                    <w:t xml:space="preserve">可拆卸床头、尾板 </w:t>
                  </w:r>
                </w:p>
              </w:tc>
              <w:tc>
                <w:tcPr>
                  <w:tcW w:w="1300" w:type="dxa"/>
                  <w:vAlign w:val="top"/>
                </w:tcPr>
                <w:p w14:paraId="11D8B7D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35</w:t>
                  </w:r>
                </w:p>
              </w:tc>
              <w:tc>
                <w:tcPr>
                  <w:tcW w:w="1316" w:type="dxa"/>
                  <w:vAlign w:val="top"/>
                </w:tcPr>
                <w:p w14:paraId="5A1ED87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副</w:t>
                  </w:r>
                </w:p>
              </w:tc>
            </w:tr>
            <w:tr w14:paraId="0196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8B6815C">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vAlign w:val="top"/>
                </w:tcPr>
                <w:p w14:paraId="50897797">
                  <w:pPr>
                    <w:spacing w:beforeLines="50" w:afterLines="50"/>
                    <w:rPr>
                      <w:rFonts w:hint="eastAsia"/>
                      <w:color w:val="FF0000"/>
                    </w:rPr>
                  </w:pPr>
                  <w:r>
                    <w:rPr>
                      <w:rFonts w:hint="eastAsia"/>
                      <w:color w:val="FF0000"/>
                    </w:rPr>
                    <w:t>分体式升降护栏</w:t>
                  </w:r>
                </w:p>
              </w:tc>
              <w:tc>
                <w:tcPr>
                  <w:tcW w:w="1300" w:type="dxa"/>
                  <w:vAlign w:val="top"/>
                </w:tcPr>
                <w:p w14:paraId="4A01F491">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35</w:t>
                  </w:r>
                </w:p>
              </w:tc>
              <w:tc>
                <w:tcPr>
                  <w:tcW w:w="1316" w:type="dxa"/>
                  <w:vAlign w:val="top"/>
                </w:tcPr>
                <w:p w14:paraId="6EC8403C">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套</w:t>
                  </w:r>
                </w:p>
              </w:tc>
            </w:tr>
            <w:tr w14:paraId="49D6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E7E1973">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vAlign w:val="top"/>
                </w:tcPr>
                <w:p w14:paraId="71F837EE">
                  <w:pPr>
                    <w:spacing w:beforeLines="50" w:afterLines="50"/>
                    <w:rPr>
                      <w:rFonts w:hint="eastAsia"/>
                      <w:color w:val="FF0000"/>
                    </w:rPr>
                  </w:pPr>
                  <w:r>
                    <w:rPr>
                      <w:rFonts w:hint="eastAsia"/>
                      <w:color w:val="FF0000"/>
                    </w:rPr>
                    <w:t>手持遥控器</w:t>
                  </w:r>
                </w:p>
              </w:tc>
              <w:tc>
                <w:tcPr>
                  <w:tcW w:w="1300" w:type="dxa"/>
                  <w:vAlign w:val="top"/>
                </w:tcPr>
                <w:p w14:paraId="531F8411">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35</w:t>
                  </w:r>
                </w:p>
              </w:tc>
              <w:tc>
                <w:tcPr>
                  <w:tcW w:w="1316" w:type="dxa"/>
                  <w:vAlign w:val="top"/>
                </w:tcPr>
                <w:p w14:paraId="36390473">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个</w:t>
                  </w:r>
                </w:p>
              </w:tc>
            </w:tr>
            <w:tr w14:paraId="1F6D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8781725">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vAlign w:val="top"/>
                </w:tcPr>
                <w:p w14:paraId="7E13FE02">
                  <w:pPr>
                    <w:spacing w:beforeLines="50" w:afterLines="50"/>
                    <w:rPr>
                      <w:rFonts w:hint="eastAsia"/>
                      <w:color w:val="FF0000"/>
                    </w:rPr>
                  </w:pPr>
                  <w:r>
                    <w:rPr>
                      <w:rFonts w:hint="eastAsia"/>
                      <w:color w:val="FF0000"/>
                    </w:rPr>
                    <w:t>步进电机</w:t>
                  </w:r>
                </w:p>
              </w:tc>
              <w:tc>
                <w:tcPr>
                  <w:tcW w:w="1300" w:type="dxa"/>
                  <w:vAlign w:val="top"/>
                </w:tcPr>
                <w:p w14:paraId="6995BBE2">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35</w:t>
                  </w:r>
                </w:p>
              </w:tc>
              <w:tc>
                <w:tcPr>
                  <w:tcW w:w="1316" w:type="dxa"/>
                  <w:vAlign w:val="top"/>
                </w:tcPr>
                <w:p w14:paraId="477D701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套</w:t>
                  </w:r>
                </w:p>
              </w:tc>
            </w:tr>
            <w:tr w14:paraId="7520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vAlign w:val="top"/>
                </w:tcPr>
                <w:p w14:paraId="18E947B5">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vAlign w:val="top"/>
                </w:tcPr>
                <w:p w14:paraId="6933CD28">
                  <w:pPr>
                    <w:spacing w:beforeLines="50" w:afterLines="50"/>
                    <w:rPr>
                      <w:rFonts w:hint="eastAsia"/>
                      <w:color w:val="FF0000"/>
                    </w:rPr>
                  </w:pPr>
                  <w:r>
                    <w:rPr>
                      <w:rFonts w:hint="eastAsia"/>
                      <w:color w:val="FF0000"/>
                    </w:rPr>
                    <w:t>蓄电池组</w:t>
                  </w:r>
                </w:p>
              </w:tc>
              <w:tc>
                <w:tcPr>
                  <w:tcW w:w="1300" w:type="dxa"/>
                  <w:vAlign w:val="top"/>
                </w:tcPr>
                <w:p w14:paraId="5BF15E6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35</w:t>
                  </w:r>
                </w:p>
              </w:tc>
              <w:tc>
                <w:tcPr>
                  <w:tcW w:w="1316" w:type="dxa"/>
                  <w:vAlign w:val="top"/>
                </w:tcPr>
                <w:p w14:paraId="2E9B9081">
                  <w:pPr>
                    <w:pStyle w:val="2"/>
                    <w:jc w:val="center"/>
                    <w:rPr>
                      <w:rFonts w:hint="default" w:eastAsia="宋体"/>
                      <w:color w:val="FF0000"/>
                      <w:lang w:val="en-US" w:eastAsia="zh-CN"/>
                    </w:rPr>
                  </w:pPr>
                  <w:r>
                    <w:rPr>
                      <w:rFonts w:hint="eastAsia"/>
                      <w:color w:val="FF0000"/>
                      <w:sz w:val="21"/>
                      <w:szCs w:val="21"/>
                      <w:lang w:val="en-US" w:eastAsia="zh-CN"/>
                    </w:rPr>
                    <w:t>套</w:t>
                  </w:r>
                </w:p>
              </w:tc>
            </w:tr>
            <w:tr w14:paraId="4C7A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BD20587">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061" w:type="dxa"/>
                  <w:vAlign w:val="top"/>
                </w:tcPr>
                <w:p w14:paraId="2FF429AD">
                  <w:pPr>
                    <w:spacing w:beforeLines="50" w:afterLines="50"/>
                    <w:rPr>
                      <w:rFonts w:hint="eastAsia"/>
                      <w:color w:val="FF0000"/>
                    </w:rPr>
                  </w:pPr>
                  <w:r>
                    <w:rPr>
                      <w:rFonts w:hint="eastAsia"/>
                      <w:color w:val="FF0000"/>
                    </w:rPr>
                    <w:t>引流袋挂钩</w:t>
                  </w:r>
                </w:p>
              </w:tc>
              <w:tc>
                <w:tcPr>
                  <w:tcW w:w="1300" w:type="dxa"/>
                  <w:vAlign w:val="top"/>
                </w:tcPr>
                <w:p w14:paraId="5C7DBC16">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35</w:t>
                  </w:r>
                </w:p>
              </w:tc>
              <w:tc>
                <w:tcPr>
                  <w:tcW w:w="1316" w:type="dxa"/>
                  <w:vAlign w:val="top"/>
                </w:tcPr>
                <w:p w14:paraId="69F6FBF5">
                  <w:pPr>
                    <w:widowControl w:val="0"/>
                    <w:numPr>
                      <w:ilvl w:val="0"/>
                      <w:numId w:val="0"/>
                    </w:numPr>
                    <w:jc w:val="center"/>
                    <w:rPr>
                      <w:rFonts w:hint="eastAsia"/>
                      <w:color w:val="FF0000"/>
                      <w:sz w:val="21"/>
                      <w:szCs w:val="21"/>
                    </w:rPr>
                  </w:pPr>
                  <w:r>
                    <w:rPr>
                      <w:rFonts w:hint="eastAsia"/>
                      <w:color w:val="FF0000"/>
                      <w:sz w:val="21"/>
                      <w:szCs w:val="21"/>
                      <w:lang w:val="en-US" w:eastAsia="zh-CN"/>
                    </w:rPr>
                    <w:t>套</w:t>
                  </w:r>
                </w:p>
              </w:tc>
            </w:tr>
            <w:tr w14:paraId="0E7B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81B2E64">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061" w:type="dxa"/>
                  <w:vAlign w:val="top"/>
                </w:tcPr>
                <w:p w14:paraId="338457EA">
                  <w:pPr>
                    <w:spacing w:beforeLines="50" w:afterLines="50"/>
                    <w:rPr>
                      <w:rFonts w:hint="eastAsia"/>
                      <w:color w:val="FF0000"/>
                    </w:rPr>
                  </w:pPr>
                  <w:r>
                    <w:rPr>
                      <w:rFonts w:hint="eastAsia"/>
                      <w:color w:val="FF0000"/>
                    </w:rPr>
                    <w:t xml:space="preserve">床板角度显示装置  </w:t>
                  </w:r>
                </w:p>
              </w:tc>
              <w:tc>
                <w:tcPr>
                  <w:tcW w:w="1300" w:type="dxa"/>
                  <w:vAlign w:val="top"/>
                </w:tcPr>
                <w:p w14:paraId="4739029B">
                  <w:pPr>
                    <w:spacing w:line="288" w:lineRule="auto"/>
                    <w:jc w:val="center"/>
                    <w:rPr>
                      <w:rFonts w:hint="eastAsia"/>
                      <w:color w:val="FF0000"/>
                      <w:sz w:val="21"/>
                      <w:szCs w:val="21"/>
                      <w:lang w:val="en-US" w:eastAsia="zh-CN"/>
                    </w:rPr>
                  </w:pPr>
                  <w:r>
                    <w:rPr>
                      <w:rFonts w:hint="eastAsia"/>
                      <w:color w:val="FF0000"/>
                      <w:sz w:val="21"/>
                      <w:szCs w:val="21"/>
                      <w:lang w:val="en-US" w:eastAsia="zh-CN"/>
                    </w:rPr>
                    <w:t>35</w:t>
                  </w:r>
                </w:p>
              </w:tc>
              <w:tc>
                <w:tcPr>
                  <w:tcW w:w="1316" w:type="dxa"/>
                  <w:vAlign w:val="top"/>
                </w:tcPr>
                <w:p w14:paraId="6AC43BFD">
                  <w:pPr>
                    <w:spacing w:line="288" w:lineRule="auto"/>
                    <w:jc w:val="center"/>
                    <w:rPr>
                      <w:rFonts w:hint="eastAsia" w:eastAsia="宋体"/>
                      <w:color w:val="FF0000"/>
                      <w:sz w:val="21"/>
                      <w:szCs w:val="21"/>
                      <w:lang w:val="en-US" w:eastAsia="zh-CN"/>
                    </w:rPr>
                  </w:pPr>
                  <w:r>
                    <w:rPr>
                      <w:rFonts w:hint="eastAsia"/>
                      <w:color w:val="FF0000"/>
                      <w:szCs w:val="21"/>
                      <w:lang w:val="en-US" w:eastAsia="zh-CN"/>
                    </w:rPr>
                    <w:t>套</w:t>
                  </w:r>
                </w:p>
              </w:tc>
            </w:tr>
            <w:tr w14:paraId="027F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9852FDA">
                  <w:pPr>
                    <w:spacing w:line="288" w:lineRule="auto"/>
                    <w:jc w:val="center"/>
                    <w:rPr>
                      <w:rFonts w:hint="default"/>
                      <w:color w:val="FF0000"/>
                      <w:sz w:val="21"/>
                      <w:szCs w:val="21"/>
                      <w:lang w:val="en-US" w:eastAsia="zh-CN"/>
                    </w:rPr>
                  </w:pPr>
                  <w:r>
                    <w:rPr>
                      <w:rFonts w:hint="eastAsia"/>
                      <w:color w:val="FF0000"/>
                      <w:sz w:val="21"/>
                      <w:szCs w:val="21"/>
                      <w:lang w:val="en-US" w:eastAsia="zh-CN"/>
                    </w:rPr>
                    <w:t>9</w:t>
                  </w:r>
                </w:p>
              </w:tc>
              <w:tc>
                <w:tcPr>
                  <w:tcW w:w="3061" w:type="dxa"/>
                  <w:vAlign w:val="top"/>
                </w:tcPr>
                <w:p w14:paraId="2228E54D">
                  <w:pPr>
                    <w:spacing w:beforeLines="50" w:afterLines="50"/>
                    <w:rPr>
                      <w:rFonts w:hint="eastAsia"/>
                      <w:color w:val="FF0000"/>
                    </w:rPr>
                  </w:pPr>
                  <w:r>
                    <w:rPr>
                      <w:rFonts w:hint="eastAsia"/>
                      <w:color w:val="FF0000"/>
                    </w:rPr>
                    <w:t>中控锁脚轮</w:t>
                  </w:r>
                </w:p>
              </w:tc>
              <w:tc>
                <w:tcPr>
                  <w:tcW w:w="1300" w:type="dxa"/>
                  <w:vAlign w:val="top"/>
                </w:tcPr>
                <w:p w14:paraId="3F04769C">
                  <w:pPr>
                    <w:spacing w:line="288" w:lineRule="auto"/>
                    <w:jc w:val="center"/>
                    <w:rPr>
                      <w:rFonts w:hint="eastAsia"/>
                      <w:color w:val="FF0000"/>
                      <w:sz w:val="21"/>
                      <w:szCs w:val="21"/>
                      <w:highlight w:val="none"/>
                      <w:lang w:val="en-US" w:eastAsia="zh-CN"/>
                    </w:rPr>
                  </w:pPr>
                  <w:r>
                    <w:rPr>
                      <w:rFonts w:hint="eastAsia"/>
                      <w:color w:val="FF0000"/>
                      <w:sz w:val="21"/>
                      <w:szCs w:val="21"/>
                      <w:lang w:val="en-US" w:eastAsia="zh-CN"/>
                    </w:rPr>
                    <w:t>35</w:t>
                  </w:r>
                </w:p>
              </w:tc>
              <w:tc>
                <w:tcPr>
                  <w:tcW w:w="1316" w:type="dxa"/>
                  <w:vAlign w:val="top"/>
                </w:tcPr>
                <w:p w14:paraId="219D0BCA">
                  <w:pPr>
                    <w:spacing w:line="288" w:lineRule="auto"/>
                    <w:jc w:val="center"/>
                    <w:rPr>
                      <w:rFonts w:hint="eastAsia" w:eastAsia="宋体"/>
                      <w:color w:val="FF0000"/>
                      <w:sz w:val="21"/>
                      <w:szCs w:val="21"/>
                      <w:highlight w:val="none"/>
                      <w:lang w:val="en-US" w:eastAsia="zh-CN"/>
                    </w:rPr>
                  </w:pPr>
                  <w:r>
                    <w:rPr>
                      <w:rFonts w:hint="eastAsia"/>
                      <w:color w:val="FF0000"/>
                      <w:szCs w:val="21"/>
                      <w:lang w:val="en-US" w:eastAsia="zh-CN"/>
                    </w:rPr>
                    <w:t>套</w:t>
                  </w:r>
                </w:p>
              </w:tc>
            </w:tr>
            <w:tr w14:paraId="5FD1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3DB672B0">
                  <w:pPr>
                    <w:spacing w:line="288" w:lineRule="auto"/>
                    <w:jc w:val="center"/>
                    <w:rPr>
                      <w:rFonts w:hint="default"/>
                      <w:color w:val="FF0000"/>
                      <w:sz w:val="21"/>
                      <w:szCs w:val="21"/>
                      <w:lang w:val="en-US" w:eastAsia="zh-CN"/>
                    </w:rPr>
                  </w:pPr>
                  <w:r>
                    <w:rPr>
                      <w:rFonts w:hint="eastAsia"/>
                      <w:color w:val="FF0000"/>
                      <w:sz w:val="21"/>
                      <w:szCs w:val="21"/>
                      <w:lang w:val="en-US" w:eastAsia="zh-CN"/>
                    </w:rPr>
                    <w:t>10</w:t>
                  </w:r>
                </w:p>
              </w:tc>
              <w:tc>
                <w:tcPr>
                  <w:tcW w:w="3061" w:type="dxa"/>
                  <w:vAlign w:val="top"/>
                </w:tcPr>
                <w:p w14:paraId="7EA56ABF">
                  <w:pPr>
                    <w:spacing w:beforeLines="50" w:afterLines="50"/>
                    <w:rPr>
                      <w:rFonts w:hint="eastAsia"/>
                      <w:color w:val="FF0000"/>
                    </w:rPr>
                  </w:pPr>
                  <w:r>
                    <w:rPr>
                      <w:rFonts w:hint="eastAsia"/>
                      <w:color w:val="FF0000"/>
                    </w:rPr>
                    <w:t>手动CPR装置</w:t>
                  </w:r>
                </w:p>
              </w:tc>
              <w:tc>
                <w:tcPr>
                  <w:tcW w:w="1300" w:type="dxa"/>
                  <w:vAlign w:val="top"/>
                </w:tcPr>
                <w:p w14:paraId="73BE6E3B">
                  <w:pPr>
                    <w:spacing w:line="288" w:lineRule="auto"/>
                    <w:jc w:val="center"/>
                    <w:rPr>
                      <w:rFonts w:hint="eastAsia"/>
                      <w:color w:val="FF0000"/>
                      <w:sz w:val="21"/>
                      <w:szCs w:val="21"/>
                      <w:lang w:val="en-US" w:eastAsia="zh-CN"/>
                    </w:rPr>
                  </w:pPr>
                  <w:r>
                    <w:rPr>
                      <w:rFonts w:hint="eastAsia"/>
                      <w:color w:val="FF0000"/>
                      <w:sz w:val="21"/>
                      <w:szCs w:val="21"/>
                      <w:lang w:val="en-US" w:eastAsia="zh-CN"/>
                    </w:rPr>
                    <w:t>35</w:t>
                  </w:r>
                </w:p>
              </w:tc>
              <w:tc>
                <w:tcPr>
                  <w:tcW w:w="1316" w:type="dxa"/>
                  <w:vAlign w:val="top"/>
                </w:tcPr>
                <w:p w14:paraId="60D0006C">
                  <w:pPr>
                    <w:spacing w:line="288" w:lineRule="auto"/>
                    <w:jc w:val="center"/>
                    <w:rPr>
                      <w:rFonts w:hint="eastAsia" w:eastAsia="宋体"/>
                      <w:color w:val="FF0000"/>
                      <w:sz w:val="21"/>
                      <w:szCs w:val="21"/>
                      <w:lang w:val="en-US" w:eastAsia="zh-CN"/>
                    </w:rPr>
                  </w:pPr>
                  <w:r>
                    <w:rPr>
                      <w:rFonts w:hint="eastAsia"/>
                      <w:color w:val="FF0000"/>
                      <w:szCs w:val="21"/>
                      <w:lang w:val="en-US" w:eastAsia="zh-CN"/>
                    </w:rPr>
                    <w:t>套</w:t>
                  </w:r>
                </w:p>
              </w:tc>
            </w:tr>
            <w:tr w14:paraId="3248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18F387A8">
                  <w:pPr>
                    <w:spacing w:line="288" w:lineRule="auto"/>
                    <w:jc w:val="center"/>
                    <w:rPr>
                      <w:rFonts w:hint="eastAsia"/>
                      <w:color w:val="FF0000"/>
                      <w:sz w:val="21"/>
                      <w:szCs w:val="21"/>
                      <w:lang w:val="en-US" w:eastAsia="zh-CN"/>
                    </w:rPr>
                  </w:pPr>
                  <w:r>
                    <w:rPr>
                      <w:rFonts w:hint="eastAsia"/>
                      <w:color w:val="FF0000"/>
                      <w:sz w:val="21"/>
                      <w:szCs w:val="21"/>
                      <w:lang w:val="en-US" w:eastAsia="zh-CN"/>
                    </w:rPr>
                    <w:t>11</w:t>
                  </w:r>
                </w:p>
              </w:tc>
              <w:tc>
                <w:tcPr>
                  <w:tcW w:w="3061" w:type="dxa"/>
                  <w:vAlign w:val="top"/>
                </w:tcPr>
                <w:p w14:paraId="3848FE61">
                  <w:pPr>
                    <w:spacing w:beforeLines="50" w:afterLines="50"/>
                    <w:rPr>
                      <w:rFonts w:hint="eastAsia"/>
                      <w:color w:val="FF0000"/>
                      <w:lang w:val="en-US" w:eastAsia="zh-CN"/>
                    </w:rPr>
                  </w:pPr>
                  <w:r>
                    <w:rPr>
                      <w:rFonts w:hint="eastAsia"/>
                      <w:color w:val="FF0000"/>
                    </w:rPr>
                    <w:t>防水透气静态床垫</w:t>
                  </w:r>
                </w:p>
              </w:tc>
              <w:tc>
                <w:tcPr>
                  <w:tcW w:w="1300" w:type="dxa"/>
                  <w:vAlign w:val="top"/>
                </w:tcPr>
                <w:p w14:paraId="1A913F3D">
                  <w:pPr>
                    <w:spacing w:line="288" w:lineRule="auto"/>
                    <w:jc w:val="center"/>
                    <w:rPr>
                      <w:rFonts w:hint="eastAsia"/>
                      <w:color w:val="FF0000"/>
                      <w:szCs w:val="21"/>
                    </w:rPr>
                  </w:pPr>
                  <w:r>
                    <w:rPr>
                      <w:rFonts w:hint="eastAsia"/>
                      <w:color w:val="FF0000"/>
                      <w:sz w:val="21"/>
                      <w:szCs w:val="21"/>
                      <w:lang w:val="en-US" w:eastAsia="zh-CN"/>
                    </w:rPr>
                    <w:t>35</w:t>
                  </w:r>
                </w:p>
              </w:tc>
              <w:tc>
                <w:tcPr>
                  <w:tcW w:w="1316" w:type="dxa"/>
                  <w:vAlign w:val="top"/>
                </w:tcPr>
                <w:p w14:paraId="173E3F55">
                  <w:pPr>
                    <w:spacing w:line="288" w:lineRule="auto"/>
                    <w:jc w:val="center"/>
                    <w:rPr>
                      <w:rFonts w:hint="eastAsia"/>
                      <w:color w:val="FF0000"/>
                      <w:szCs w:val="21"/>
                      <w:lang w:val="en-US" w:eastAsia="zh-CN"/>
                    </w:rPr>
                  </w:pPr>
                  <w:r>
                    <w:rPr>
                      <w:rFonts w:hint="eastAsia"/>
                      <w:color w:val="FF0000"/>
                      <w:szCs w:val="21"/>
                      <w:lang w:val="en-US" w:eastAsia="zh-CN"/>
                    </w:rPr>
                    <w:t>套</w:t>
                  </w:r>
                </w:p>
              </w:tc>
            </w:tr>
            <w:tr w14:paraId="6474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1" w:type="dxa"/>
                  <w:vAlign w:val="top"/>
                </w:tcPr>
                <w:p w14:paraId="615CD061">
                  <w:pPr>
                    <w:spacing w:line="288" w:lineRule="auto"/>
                    <w:jc w:val="center"/>
                    <w:rPr>
                      <w:rFonts w:hint="eastAsia"/>
                      <w:color w:val="FF0000"/>
                      <w:sz w:val="21"/>
                      <w:szCs w:val="21"/>
                      <w:lang w:val="en-US" w:eastAsia="zh-CN"/>
                    </w:rPr>
                  </w:pPr>
                  <w:r>
                    <w:rPr>
                      <w:rFonts w:hint="eastAsia"/>
                      <w:color w:val="FF0000"/>
                      <w:sz w:val="21"/>
                      <w:szCs w:val="21"/>
                      <w:lang w:val="en-US" w:eastAsia="zh-CN"/>
                    </w:rPr>
                    <w:t>12</w:t>
                  </w:r>
                </w:p>
              </w:tc>
              <w:tc>
                <w:tcPr>
                  <w:tcW w:w="3061" w:type="dxa"/>
                  <w:vAlign w:val="top"/>
                </w:tcPr>
                <w:p w14:paraId="1445C22C">
                  <w:pPr>
                    <w:spacing w:beforeLines="50" w:afterLines="50"/>
                    <w:rPr>
                      <w:rFonts w:hint="eastAsia"/>
                      <w:color w:val="FF0000"/>
                      <w:lang w:val="en-US" w:eastAsia="zh-CN"/>
                    </w:rPr>
                  </w:pPr>
                  <w:r>
                    <w:rPr>
                      <w:rFonts w:hint="eastAsia"/>
                      <w:color w:val="FF0000"/>
                    </w:rPr>
                    <w:t>输液架</w:t>
                  </w:r>
                </w:p>
              </w:tc>
              <w:tc>
                <w:tcPr>
                  <w:tcW w:w="1300" w:type="dxa"/>
                  <w:vAlign w:val="top"/>
                </w:tcPr>
                <w:p w14:paraId="16DBE74C">
                  <w:pPr>
                    <w:spacing w:line="288" w:lineRule="auto"/>
                    <w:jc w:val="center"/>
                    <w:rPr>
                      <w:rFonts w:hint="eastAsia"/>
                      <w:color w:val="FF0000"/>
                      <w:szCs w:val="21"/>
                    </w:rPr>
                  </w:pPr>
                  <w:r>
                    <w:rPr>
                      <w:rFonts w:hint="eastAsia"/>
                      <w:color w:val="FF0000"/>
                      <w:sz w:val="21"/>
                      <w:szCs w:val="21"/>
                      <w:lang w:val="en-US" w:eastAsia="zh-CN"/>
                    </w:rPr>
                    <w:t>35</w:t>
                  </w:r>
                </w:p>
              </w:tc>
              <w:tc>
                <w:tcPr>
                  <w:tcW w:w="1316" w:type="dxa"/>
                  <w:vAlign w:val="top"/>
                </w:tcPr>
                <w:p w14:paraId="124CC7BE">
                  <w:pPr>
                    <w:spacing w:line="288" w:lineRule="auto"/>
                    <w:jc w:val="center"/>
                    <w:rPr>
                      <w:rFonts w:hint="eastAsia"/>
                      <w:color w:val="FF0000"/>
                      <w:szCs w:val="21"/>
                      <w:lang w:val="en-US" w:eastAsia="zh-CN"/>
                    </w:rPr>
                  </w:pPr>
                  <w:r>
                    <w:rPr>
                      <w:rFonts w:hint="eastAsia"/>
                      <w:color w:val="FF0000"/>
                      <w:szCs w:val="21"/>
                      <w:lang w:val="en-US" w:eastAsia="zh-CN"/>
                    </w:rPr>
                    <w:t>根</w:t>
                  </w:r>
                </w:p>
              </w:tc>
            </w:tr>
            <w:tr w14:paraId="3816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1440A2B">
                  <w:pPr>
                    <w:spacing w:line="288" w:lineRule="auto"/>
                    <w:jc w:val="center"/>
                    <w:rPr>
                      <w:rFonts w:hint="eastAsia"/>
                      <w:color w:val="FF0000"/>
                      <w:sz w:val="21"/>
                      <w:szCs w:val="21"/>
                      <w:lang w:val="en-US" w:eastAsia="zh-CN"/>
                    </w:rPr>
                  </w:pPr>
                  <w:r>
                    <w:rPr>
                      <w:rFonts w:hint="eastAsia"/>
                      <w:color w:val="FF0000"/>
                      <w:sz w:val="21"/>
                      <w:szCs w:val="21"/>
                      <w:lang w:val="en-US" w:eastAsia="zh-CN"/>
                    </w:rPr>
                    <w:t>13</w:t>
                  </w:r>
                </w:p>
              </w:tc>
              <w:tc>
                <w:tcPr>
                  <w:tcW w:w="3061" w:type="dxa"/>
                  <w:vAlign w:val="top"/>
                </w:tcPr>
                <w:p w14:paraId="1FEC7596">
                  <w:pPr>
                    <w:spacing w:beforeLines="50" w:afterLines="50"/>
                    <w:rPr>
                      <w:rFonts w:hint="eastAsia"/>
                      <w:color w:val="FF0000"/>
                      <w:lang w:val="en-US" w:eastAsia="zh-CN"/>
                    </w:rPr>
                  </w:pPr>
                  <w:r>
                    <w:rPr>
                      <w:rFonts w:hint="eastAsia"/>
                      <w:color w:val="FF0000"/>
                    </w:rPr>
                    <w:t>餐板</w:t>
                  </w:r>
                </w:p>
              </w:tc>
              <w:tc>
                <w:tcPr>
                  <w:tcW w:w="1300" w:type="dxa"/>
                  <w:vAlign w:val="top"/>
                </w:tcPr>
                <w:p w14:paraId="43B29D63">
                  <w:pPr>
                    <w:spacing w:line="288" w:lineRule="auto"/>
                    <w:jc w:val="center"/>
                    <w:rPr>
                      <w:rFonts w:hint="eastAsia"/>
                      <w:color w:val="FF0000"/>
                      <w:szCs w:val="21"/>
                    </w:rPr>
                  </w:pPr>
                  <w:r>
                    <w:rPr>
                      <w:rFonts w:hint="eastAsia"/>
                      <w:color w:val="FF0000"/>
                      <w:sz w:val="21"/>
                      <w:szCs w:val="21"/>
                      <w:lang w:val="en-US" w:eastAsia="zh-CN"/>
                    </w:rPr>
                    <w:t>35</w:t>
                  </w:r>
                </w:p>
              </w:tc>
              <w:tc>
                <w:tcPr>
                  <w:tcW w:w="1316" w:type="dxa"/>
                  <w:vAlign w:val="top"/>
                </w:tcPr>
                <w:p w14:paraId="193BB7B3">
                  <w:pPr>
                    <w:spacing w:line="288" w:lineRule="auto"/>
                    <w:jc w:val="center"/>
                    <w:rPr>
                      <w:rFonts w:hint="eastAsia"/>
                      <w:color w:val="FF0000"/>
                      <w:szCs w:val="21"/>
                      <w:lang w:val="en-US" w:eastAsia="zh-CN"/>
                    </w:rPr>
                  </w:pPr>
                  <w:r>
                    <w:rPr>
                      <w:rFonts w:hint="eastAsia"/>
                      <w:color w:val="FF0000"/>
                      <w:szCs w:val="21"/>
                      <w:lang w:val="en-US" w:eastAsia="zh-CN"/>
                    </w:rPr>
                    <w:t>个</w:t>
                  </w:r>
                </w:p>
              </w:tc>
            </w:tr>
            <w:tr w14:paraId="619A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723CBD8B">
                  <w:pPr>
                    <w:spacing w:line="288" w:lineRule="auto"/>
                    <w:jc w:val="center"/>
                    <w:rPr>
                      <w:rFonts w:hint="eastAsia"/>
                      <w:color w:val="FF0000"/>
                      <w:sz w:val="21"/>
                      <w:szCs w:val="21"/>
                      <w:lang w:val="en-US" w:eastAsia="zh-CN"/>
                    </w:rPr>
                  </w:pPr>
                  <w:r>
                    <w:rPr>
                      <w:rFonts w:hint="eastAsia"/>
                      <w:color w:val="FF0000"/>
                      <w:sz w:val="21"/>
                      <w:szCs w:val="21"/>
                      <w:lang w:val="en-US" w:eastAsia="zh-CN"/>
                    </w:rPr>
                    <w:t>14</w:t>
                  </w:r>
                </w:p>
              </w:tc>
              <w:tc>
                <w:tcPr>
                  <w:tcW w:w="3061" w:type="dxa"/>
                  <w:vAlign w:val="top"/>
                </w:tcPr>
                <w:p w14:paraId="6CDBEF66">
                  <w:pPr>
                    <w:spacing w:beforeLines="50" w:afterLines="50"/>
                    <w:rPr>
                      <w:rFonts w:hint="eastAsia"/>
                      <w:color w:val="FF0000"/>
                      <w:lang w:val="en-US" w:eastAsia="zh-CN"/>
                    </w:rPr>
                  </w:pPr>
                  <w:r>
                    <w:rPr>
                      <w:rFonts w:hint="eastAsia"/>
                      <w:color w:val="FF0000"/>
                    </w:rPr>
                    <w:t>床头柜（带水壶座）</w:t>
                  </w:r>
                </w:p>
              </w:tc>
              <w:tc>
                <w:tcPr>
                  <w:tcW w:w="1300" w:type="dxa"/>
                  <w:vAlign w:val="top"/>
                </w:tcPr>
                <w:p w14:paraId="5EA11FCB">
                  <w:pPr>
                    <w:spacing w:line="288" w:lineRule="auto"/>
                    <w:jc w:val="center"/>
                    <w:rPr>
                      <w:rFonts w:hint="eastAsia"/>
                      <w:color w:val="FF0000"/>
                      <w:szCs w:val="21"/>
                    </w:rPr>
                  </w:pPr>
                  <w:r>
                    <w:rPr>
                      <w:rFonts w:hint="eastAsia"/>
                      <w:color w:val="FF0000"/>
                      <w:sz w:val="21"/>
                      <w:szCs w:val="21"/>
                      <w:lang w:val="en-US" w:eastAsia="zh-CN"/>
                    </w:rPr>
                    <w:t>35</w:t>
                  </w:r>
                </w:p>
              </w:tc>
              <w:tc>
                <w:tcPr>
                  <w:tcW w:w="1316" w:type="dxa"/>
                  <w:vAlign w:val="top"/>
                </w:tcPr>
                <w:p w14:paraId="6A3AAA7B">
                  <w:pPr>
                    <w:spacing w:line="288" w:lineRule="auto"/>
                    <w:jc w:val="center"/>
                    <w:rPr>
                      <w:rFonts w:hint="eastAsia"/>
                      <w:color w:val="FF0000"/>
                      <w:szCs w:val="21"/>
                      <w:lang w:val="en-US" w:eastAsia="zh-CN"/>
                    </w:rPr>
                  </w:pPr>
                  <w:r>
                    <w:rPr>
                      <w:rFonts w:hint="eastAsia"/>
                      <w:color w:val="FF0000"/>
                      <w:szCs w:val="21"/>
                      <w:lang w:val="en-US" w:eastAsia="zh-CN"/>
                    </w:rPr>
                    <w:t>个</w:t>
                  </w:r>
                </w:p>
              </w:tc>
            </w:tr>
          </w:tbl>
          <w:p w14:paraId="2F0EB347">
            <w:pPr>
              <w:pStyle w:val="4"/>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kern w:val="0"/>
                <w:szCs w:val="21"/>
                <w:highlight w:val="none"/>
                <w:lang w:val="en-US" w:eastAsia="zh-CN"/>
              </w:rPr>
              <w:t>多向调节、结构强固，材料符合医疗设备安全标准，舒适耐用、易清洁维护，配备遥控系统，易于操作，具有后备电源，提升护理效率与质量，满足护理需求。</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07E57FA1">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1.规格：</w:t>
            </w:r>
          </w:p>
          <w:p w14:paraId="44F39688">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1.1．床板长≥2000mm；全长≥2200mm；</w:t>
            </w:r>
          </w:p>
          <w:p w14:paraId="2F4E37FE">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1.2．床板宽≥860mm；护栏使用时，整体宽度≤980mm；（提供带广审编号的产品彩页作为证明，相关参数在彩页中标注）</w:t>
            </w:r>
          </w:p>
          <w:p w14:paraId="60FAF4EB">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2.结构及材质：</w:t>
            </w:r>
          </w:p>
          <w:p w14:paraId="76E7401B">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2.1．床面板为冷轧钢一次性冲压成型；；采用（电泳＋粉末）复式喷涂，经过耐挤压性、耐重物落下性、耐开水性、耐盐水喷雾性（盐雾≥500小时）、耐湿性等相关测试。</w:t>
            </w:r>
          </w:p>
          <w:p w14:paraId="71C84974">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2.2.床头尾板采用高密度聚乙烯（HDPE）材料一体吹塑成型，床头尾板上有模压成型的原材料（HDPE）标识，原材料可以证明为环保材料。（提供相关佐证资料）</w:t>
            </w:r>
          </w:p>
          <w:p w14:paraId="357DCB4C">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2.3.床头尾板内侧分别设计≥2处锁定装置，锁定装置为梅花手拧螺栓设计，在紧急时能徒手拆卸；</w:t>
            </w:r>
          </w:p>
          <w:p w14:paraId="642AE710">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 xml:space="preserve">2.4.床头尾板均有方便推行的把握手柄，分别设计≥2处推行防滑坡度设计；（提供实物图片） </w:t>
            </w:r>
          </w:p>
          <w:p w14:paraId="208D3B32">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2.5.床尾板设置安全指示标签，最大限度防止医疗安全事故的发生。</w:t>
            </w:r>
          </w:p>
          <w:p w14:paraId="382CEE45">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2.6.采用符合安全标准的护栏，四片分体式结构，头侧护栏可随床体的功能同时动作；</w:t>
            </w:r>
          </w:p>
          <w:p w14:paraId="4ADFE1E8">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2.7.护栏具有解锁防护设计，在受由内向外压力时无法打开（即患者从床内自主解锁时，自身体重压在护栏上，护栏无法打开护栏），需从外向内压力方可打开。防止坠床的风险；</w:t>
            </w:r>
          </w:p>
          <w:p w14:paraId="36AB182E">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2.8.头侧护栏上设置易于抓握的离床辅助把手，非镂空设计（防止卡住造成伤害）可用作病人起立时的助力棒。（提供相关实物图片）</w:t>
            </w:r>
          </w:p>
          <w:p w14:paraId="148F3A15">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2.9.前后护栏均内置滚珠式角度显示器，可清晰显示背部床板升起角度及床体倾斜角度；</w:t>
            </w:r>
          </w:p>
          <w:p w14:paraId="3AC997CF">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2.10.腿部护栏底部设置多功能孔，可用于悬挂引流袋尿袋等，也可根据临床实际需求悬挂其他配件；</w:t>
            </w:r>
          </w:p>
          <w:p w14:paraId="1292914B">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2.11.床体降到最低位时，护栏底部离地距离≥140mm，避免放下护栏时对医护等操作人员造成不必要的伤害，同时也方便其它治疗设备移入病床操作，提高安全性；（提供实测图片）</w:t>
            </w:r>
          </w:p>
          <w:p w14:paraId="0FE6AC9F">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2.12.采用直径≥125mm树脂脚轮，具有锁定、自由、直行三段式跷跷板中央控制锁定装，防腐蚀，耐酸性佳，静音，防缠绕；</w:t>
            </w:r>
          </w:p>
          <w:p w14:paraId="2C184C89">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2.13.床尾侧设置刹车踏板≥2个，踏板上有操作标识；</w:t>
            </w:r>
          </w:p>
          <w:p w14:paraId="6E503A80">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2.14.刹车踏板平板式设计，外侧软胶包覆，踩踏平稳舒适，不伤鞋，内衬为金属材质，质量稳定可靠。（提供实物图片）</w:t>
            </w:r>
          </w:p>
          <w:p w14:paraId="16C1AAA1">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2.15.采用符合IEC医用认证标准的医用电机，数量≥4个，具有静音、恒速、抗电磁、抗干扰等特点。（投标时提供加盖CMA标识的有效检验检测报告扫描件，对应参数在检测报告中标注，原件备查。检验检测报告中型号需与投标人所投产品型号一致）</w:t>
            </w:r>
          </w:p>
          <w:p w14:paraId="0B375072">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2.16.采用手持遥控器控制病床的各项功能，大图标按键操作，并可悬挂在护栏上，操作自如。</w:t>
            </w:r>
          </w:p>
          <w:p w14:paraId="127CB5EB">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2.17.手持遥控器经久耐用、耐摔，在≥1米的高度下自由摔落应无任何损坏，无安全危险，无绝缘击穿。（投标时提供加盖CMA标识的有效检验检测报告扫描件，对应参数在检测报告中标注，原件备查。检验检测报告中型号需与投标人所投产品型号一致）</w:t>
            </w:r>
          </w:p>
          <w:p w14:paraId="5B82099D">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2.18.床体配备手动CPR装置，置于床体背板后侧，可快速将背部恢复到水平位置。</w:t>
            </w:r>
          </w:p>
          <w:p w14:paraId="3AF851D4">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2.19.床板上配有束缚带孔≥10个。（提供带广审编号的产品彩页作为证明，相关参数在彩页中标注）</w:t>
            </w:r>
          </w:p>
          <w:p w14:paraId="4E197E56">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2.10.床板两侧设引流袋挂钩（≥4个）。</w:t>
            </w:r>
          </w:p>
          <w:p w14:paraId="4DE027BA">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2.11.蓄电池接头为快插快拔设计。（提供实物照片）</w:t>
            </w:r>
          </w:p>
          <w:p w14:paraId="2F6BF158">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2.12.医用电动床经久耐用，通过机械强度测试（如推力、冲击、粗鲁搬运等），测试结果应无任何损坏、无安全风险，无绝缘击穿。（投标时提供加盖CMA标识的有效检验检测报告扫描件，对应参数在检测报告中标注，原件备查。检验检测报告中型号需与投标人所投产品型号一致）</w:t>
            </w:r>
          </w:p>
          <w:p w14:paraId="151C29B7">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3.电动床电动控制功能：</w:t>
            </w:r>
          </w:p>
          <w:p w14:paraId="16A2073C">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3.1.背部升降0-70°；</w:t>
            </w:r>
          </w:p>
          <w:p w14:paraId="6C395363">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3.2.膝部升降0-25°；</w:t>
            </w:r>
          </w:p>
          <w:p w14:paraId="56FD85D7">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3.3.整体高低升降范围≥350mm，床板离地最低距离≤435mm, 床板离地最高距离≥785mm；</w:t>
            </w:r>
          </w:p>
          <w:p w14:paraId="518DCFCE">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3.4.头低脚高0-12°；</w:t>
            </w:r>
          </w:p>
          <w:p w14:paraId="726AC855">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3.5.头高脚低0-12°；</w:t>
            </w:r>
          </w:p>
          <w:p w14:paraId="10AFEEAD">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3.6.配有蓄电池电量指示器，可以清晰提示电池用量状态；（提供带广审编号的产品彩页作为证明，相关参数在彩页中标注）</w:t>
            </w:r>
          </w:p>
          <w:p w14:paraId="4B7B7D9D">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4.配套床垫技术要求：</w:t>
            </w:r>
          </w:p>
          <w:p w14:paraId="24065FB4">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4.1．尺寸要求：长2000±20mm,宽860±20mm;</w:t>
            </w:r>
          </w:p>
          <w:p w14:paraId="43C6A48F">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4.2.上层采用波浪形高回弹海绵设计，波浪部分深度≥35mm。</w:t>
            </w:r>
          </w:p>
          <w:p w14:paraId="0AABB2D1">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4.3.下层为平板式高回弹海绵，床垫两面可用。</w:t>
            </w:r>
          </w:p>
          <w:p w14:paraId="29C8305A">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▲4.4.床垫经过反复辗压测试不易变形，特殊的波纹设计可提高病人卧床的舒适度,可有效分解人体压力，海绵原材料符合ROHS环境安全指令标准。（提供证明资料）</w:t>
            </w:r>
          </w:p>
          <w:p w14:paraId="43B56B76">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4.5.床罩材料为PU，柔软舒适，防水透气，拉链设计，方便拆卸清洗消毒。</w:t>
            </w:r>
          </w:p>
          <w:p w14:paraId="006A7DDA">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5.配套床头柜技术要求：</w:t>
            </w:r>
          </w:p>
          <w:p w14:paraId="5FE2909B">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5.1.全钢制床头柜,柜体钢板厚度≥0.5mm，采用冷扎钢板冲压成型，静电粉末喷涂，颜色可与病床颜色搭配。</w:t>
            </w:r>
          </w:p>
          <w:p w14:paraId="131918DE">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5.2.带可拉出式ABS桌板，桌板自带放置茶杯和体温计的凹槽。</w:t>
            </w:r>
          </w:p>
          <w:p w14:paraId="27D9343B">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5.3.两侧自带可收藏式毛巾架；配4个40mm脚轮；</w:t>
            </w:r>
          </w:p>
          <w:p w14:paraId="3EFEAF78">
            <w:pPr>
              <w:pStyle w:val="19"/>
              <w:numPr>
                <w:ilvl w:val="0"/>
                <w:numId w:val="0"/>
              </w:numPr>
              <w:spacing w:line="300" w:lineRule="exact"/>
              <w:ind w:leftChars="0"/>
              <w:jc w:val="left"/>
              <w:rPr>
                <w:rFonts w:hint="eastAsia"/>
                <w:b w:val="0"/>
                <w:bCs w:val="0"/>
                <w:color w:val="FF0000"/>
                <w:sz w:val="21"/>
                <w:szCs w:val="21"/>
                <w:lang w:val="en-US" w:eastAsia="zh-CN"/>
              </w:rPr>
            </w:pPr>
            <w:r>
              <w:rPr>
                <w:rFonts w:hint="eastAsia"/>
                <w:b w:val="0"/>
                <w:bCs w:val="0"/>
                <w:color w:val="FF0000"/>
                <w:sz w:val="21"/>
                <w:szCs w:val="21"/>
                <w:lang w:val="en-US" w:eastAsia="zh-CN"/>
              </w:rPr>
              <w:t>5.4.柜门内有隔板，可将≥1.4升或≥1.6升暖水瓶放于柜内。隔板高度可根据使用者需求，进行三档高度调节，可根据需求划分柜内空间。</w:t>
            </w:r>
          </w:p>
          <w:p w14:paraId="331AB670">
            <w:pPr>
              <w:pStyle w:val="19"/>
              <w:numPr>
                <w:ilvl w:val="0"/>
                <w:numId w:val="0"/>
              </w:numPr>
              <w:spacing w:line="300" w:lineRule="exact"/>
              <w:ind w:leftChars="0"/>
              <w:jc w:val="left"/>
              <w:rPr>
                <w:rFonts w:hint="eastAsia" w:ascii="宋体" w:hAnsi="宋体" w:eastAsia="宋体" w:cs="宋体"/>
                <w:bCs/>
                <w:color w:val="FF0000"/>
                <w:kern w:val="0"/>
                <w:sz w:val="21"/>
                <w:szCs w:val="21"/>
                <w:lang w:val="en-US" w:eastAsia="zh-CN" w:bidi="ar-SA"/>
              </w:rPr>
            </w:pPr>
            <w:r>
              <w:rPr>
                <w:rFonts w:hint="eastAsia"/>
                <w:b w:val="0"/>
                <w:bCs w:val="0"/>
                <w:color w:val="FF0000"/>
                <w:sz w:val="21"/>
                <w:szCs w:val="21"/>
                <w:lang w:val="en-US" w:eastAsia="zh-CN"/>
              </w:rPr>
              <w:t>5.5.床头柜柜面配备水壶座。</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9EB3B7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★1、设备安装调试验收合格后原厂质保6年。投标方中标后需提供与设备生产厂家签订的该设备5年质保协议原件或厂家/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4481C58">
            <w:pPr>
              <w:pStyle w:val="9"/>
              <w:rPr>
                <w:color w:val="FF0000"/>
                <w:highlight w:val="yellow"/>
              </w:rPr>
            </w:pPr>
            <w:r>
              <w:rPr>
                <w:rFonts w:hint="eastAsia"/>
                <w:color w:val="FF0000"/>
                <w:highlight w:val="yellow"/>
              </w:rPr>
              <w:t>12、如为特种设备，乙方须按照相关法律法规要求完成特种设备使用登记手续，并取得《特种设备使用登记证》，办理完成后需整套资料移交甲方管理。</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highlight w:val="yellow"/>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p w14:paraId="34A3C2FD">
            <w:pPr>
              <w:numPr>
                <w:ilvl w:val="0"/>
                <w:numId w:val="0"/>
              </w:numPr>
              <w:ind w:left="0" w:leftChars="0" w:firstLine="0" w:firstLineChars="0"/>
              <w:rPr>
                <w:rFonts w:hint="eastAsia"/>
                <w:lang w:val="en-US" w:eastAsia="zh-CN"/>
              </w:rPr>
            </w:pPr>
            <w:r>
              <w:rPr>
                <w:rFonts w:hint="eastAsia" w:ascii="宋体" w:hAnsi="宋体" w:eastAsia="宋体" w:cs="宋体"/>
                <w:bCs/>
                <w:color w:val="FF0000"/>
                <w:kern w:val="0"/>
                <w:sz w:val="21"/>
                <w:szCs w:val="21"/>
                <w:lang w:val="en-US" w:eastAsia="zh-CN" w:bidi="ar-SA"/>
              </w:rPr>
              <w:t>5、</w:t>
            </w:r>
            <w:r>
              <w:rPr>
                <w:rFonts w:hint="default" w:ascii="宋体" w:hAnsi="宋体" w:eastAsia="宋体" w:cs="宋体"/>
                <w:bCs/>
                <w:color w:val="FF0000"/>
                <w:kern w:val="0"/>
                <w:sz w:val="21"/>
                <w:szCs w:val="21"/>
                <w:lang w:val="en-US" w:eastAsia="zh-CN" w:bidi="ar-SA"/>
              </w:rPr>
              <w:t>若所投产品为进口，则投标人投标时必须提供设备制造商或授权的中国总代理签署的合法有效的保修维修承诺函；若所投产品为国产产品，则无需提供。</w:t>
            </w:r>
          </w:p>
        </w:tc>
      </w:tr>
    </w:tbl>
    <w:p w14:paraId="600EB440">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AAC76E1"/>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autoRedefine/>
    <w:qFormat/>
    <w:uiPriority w:val="0"/>
    <w:pPr>
      <w:spacing w:after="120" w:line="480" w:lineRule="auto"/>
    </w:pPr>
  </w:style>
  <w:style w:type="paragraph" w:styleId="8">
    <w:name w:val="Normal Indent"/>
    <w:basedOn w:val="1"/>
    <w:autoRedefine/>
    <w:qFormat/>
    <w:uiPriority w:val="0"/>
    <w:pPr>
      <w:ind w:firstLine="420"/>
    </w:pPr>
    <w:rPr>
      <w:szCs w:val="20"/>
    </w:r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3579</Words>
  <Characters>3706</Characters>
  <Lines>0</Lines>
  <Paragraphs>0</Paragraphs>
  <TotalTime>0</TotalTime>
  <ScaleCrop>false</ScaleCrop>
  <LinksUpToDate>false</LinksUpToDate>
  <CharactersWithSpaces>4400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2024-11-08T01:59:58Z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39D450BF6A9F4995B9A31FEBF48FCC15_13</vt:lpwstr>
  </property>
</Properties>
</file>