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tLeast"/>
        <w:jc w:val="center"/>
        <w:rPr>
          <w:rFonts w:asciiTheme="minorEastAsia" w:hAnsiTheme="minorEastAsia" w:eastAsiaTheme="minorEastAsia"/>
          <w:b/>
          <w:bCs/>
          <w:color w:val="003368"/>
          <w:sz w:val="36"/>
          <w:szCs w:val="36"/>
        </w:rPr>
      </w:pPr>
    </w:p>
    <w:p>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60期</w:t>
      </w:r>
      <w:bookmarkStart w:id="14" w:name="_GoBack"/>
      <w:bookmarkEnd w:id="14"/>
      <w:r>
        <w:rPr>
          <w:rFonts w:hint="eastAsia" w:asciiTheme="minorEastAsia" w:hAnsiTheme="minorEastAsia" w:eastAsiaTheme="minorEastAsia"/>
          <w:b/>
          <w:bCs/>
          <w:color w:val="003368"/>
          <w:sz w:val="32"/>
          <w:szCs w:val="32"/>
          <w:lang w:val="en-US" w:eastAsia="zh-CN"/>
        </w:rPr>
        <w:t>干眼雾化治疗仪采购公告</w:t>
      </w:r>
    </w:p>
    <w:p>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60</w:t>
      </w:r>
    </w:p>
    <w:p>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2"/>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638"/>
        <w:gridCol w:w="726"/>
        <w:gridCol w:w="963"/>
        <w:gridCol w:w="151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315"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38"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315"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szCs w:val="21"/>
                <w:lang w:val="en-US" w:eastAsia="zh-CN"/>
              </w:rPr>
              <w:t>干眼雾化治疗仪</w:t>
            </w:r>
          </w:p>
        </w:tc>
        <w:tc>
          <w:tcPr>
            <w:tcW w:w="638"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否</w:t>
            </w:r>
          </w:p>
        </w:tc>
        <w:tc>
          <w:tcPr>
            <w:tcW w:w="726"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4</w:t>
            </w:r>
          </w:p>
        </w:tc>
        <w:tc>
          <w:tcPr>
            <w:tcW w:w="963"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512"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眼科</w:t>
            </w:r>
          </w:p>
        </w:tc>
        <w:tc>
          <w:tcPr>
            <w:tcW w:w="205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11</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11</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p>
    <w:p>
      <w:pPr>
        <w:widowControl/>
        <w:jc w:val="left"/>
        <w:rPr>
          <w:rFonts w:cs="Arial" w:asciiTheme="minorEastAsia" w:hAnsiTheme="minorEastAsia" w:eastAsiaTheme="minorEastAsia"/>
          <w:color w:val="000000"/>
          <w:kern w:val="0"/>
          <w:szCs w:val="21"/>
        </w:rPr>
      </w:pPr>
    </w:p>
    <w:p>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pPr>
        <w:widowControl/>
        <w:ind w:firstLine="420" w:firstLineChars="200"/>
        <w:jc w:val="right"/>
        <w:rPr>
          <w:rFonts w:cs="宋体-18030" w:asciiTheme="minorEastAsia" w:hAnsiTheme="minorEastAsia" w:eastAsiaTheme="minorEastAsia"/>
          <w:b/>
          <w:bCs/>
          <w:color w:val="000000"/>
          <w:szCs w:val="21"/>
        </w:rPr>
      </w:pPr>
    </w:p>
    <w:p>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11</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1</w:t>
      </w:r>
      <w:r>
        <w:rPr>
          <w:rFonts w:cs="Arial" w:asciiTheme="minorEastAsia" w:hAnsiTheme="minorEastAsia" w:eastAsiaTheme="minorEastAsia"/>
          <w:color w:val="000000" w:themeColor="text1"/>
          <w:kern w:val="0"/>
          <w:szCs w:val="21"/>
        </w:rPr>
        <w:t>日</w:t>
      </w:r>
    </w:p>
    <w:p>
      <w:pPr>
        <w:widowControl/>
        <w:ind w:firstLine="420" w:firstLineChars="200"/>
        <w:jc w:val="right"/>
        <w:rPr>
          <w:rFonts w:cs="Arial" w:asciiTheme="minorEastAsia" w:hAnsiTheme="minorEastAsia" w:eastAsiaTheme="minorEastAsia"/>
          <w:color w:val="000000" w:themeColor="text1"/>
          <w:kern w:val="0"/>
          <w:szCs w:val="21"/>
        </w:rPr>
      </w:pPr>
    </w:p>
    <w:p>
      <w:pPr>
        <w:rPr>
          <w:rFonts w:cs="Arial" w:asciiTheme="minorEastAsia" w:hAnsiTheme="minorEastAsia" w:eastAsiaTheme="minorEastAsia"/>
          <w:color w:val="000000"/>
          <w:kern w:val="0"/>
          <w:szCs w:val="21"/>
        </w:rPr>
      </w:pP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snapToGrid w:val="0"/>
          <w:color w:val="auto"/>
          <w:sz w:val="21"/>
          <w:szCs w:val="21"/>
          <w:lang w:val="en-US" w:eastAsia="zh-CN"/>
        </w:rPr>
        <w:t>必须提供进口医疗器械注册证</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､投标人必须在其投标文件中</w:t>
      </w:r>
      <w:r>
        <w:rPr>
          <w:rFonts w:hint="eastAsia" w:ascii="宋体" w:hAnsi="宋体" w:eastAsia="宋体" w:cs="宋体"/>
          <w:color w:val="000000"/>
          <w:kern w:val="0"/>
          <w:sz w:val="21"/>
          <w:szCs w:val="21"/>
          <w:lang w:val="en-US" w:eastAsia="zh-CN"/>
        </w:rPr>
        <w:t>提供产品彩页，</w:t>
      </w:r>
      <w:r>
        <w:rPr>
          <w:rFonts w:hint="eastAsia" w:ascii="宋体" w:hAnsi="宋体" w:eastAsia="宋体" w:cs="宋体"/>
          <w:color w:val="000000"/>
          <w:kern w:val="0"/>
          <w:sz w:val="21"/>
          <w:szCs w:val="21"/>
        </w:rPr>
        <w:t>根据产品特点提供产品使用培训等技术服务的详细内容,技术服务的价格计入投标总价｡</w:t>
      </w:r>
    </w:p>
    <w:p>
      <w:pPr>
        <w:widowControl/>
        <w:jc w:val="left"/>
        <w:rPr>
          <w:rFonts w:hint="eastAsia" w:ascii="宋体" w:hAnsi="宋体" w:eastAsia="宋体" w:cs="宋体"/>
          <w:kern w:val="0"/>
          <w:sz w:val="21"/>
          <w:szCs w:val="21"/>
        </w:rPr>
      </w:pPr>
      <w:r>
        <w:rPr>
          <w:rFonts w:hint="eastAsia" w:ascii="宋体" w:hAnsi="宋体" w:cs="宋体"/>
          <w:kern w:val="0"/>
          <w:sz w:val="21"/>
          <w:szCs w:val="21"/>
          <w:lang w:val="en-US" w:eastAsia="zh-CN"/>
        </w:rPr>
        <w:t>5</w:t>
      </w:r>
      <w:r>
        <w:rPr>
          <w:rFonts w:hint="eastAsia" w:ascii="宋体" w:hAnsi="宋体" w:eastAsia="宋体" w:cs="宋体"/>
          <w:kern w:val="0"/>
          <w:sz w:val="21"/>
          <w:szCs w:val="21"/>
        </w:rPr>
        <w:t>､投标人须免费提供产品使用过程中所需的一切专用辅助工具,配备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6</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､标价应为含税实际供货价,包括设备验收合格前所发生的保险､运输(到指定场地)､检验､安装就位以及调试等一切费用｡</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9</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0</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11</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8"/>
          <w:rFonts w:asciiTheme="minorEastAsia" w:hAnsiTheme="minorEastAsia" w:eastAsiaTheme="minorEastAsia"/>
          <w:color w:val="auto"/>
          <w:sz w:val="21"/>
          <w:szCs w:val="21"/>
        </w:rPr>
        <w:t>www.creditchina.gov.cn</w:t>
      </w:r>
      <w:r>
        <w:rPr>
          <w:rStyle w:val="28"/>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cs="宋体"/>
          <w:color w:val="000000"/>
          <w:kern w:val="0"/>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13.</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4</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5</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pPr>
        <w:tabs>
          <w:tab w:val="left" w:pos="425"/>
        </w:tabs>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､服务要求:</w:t>
      </w:r>
      <w:r>
        <w:rPr>
          <w:rFonts w:hint="eastAsia" w:ascii="宋体" w:hAnsi="宋体" w:eastAsia="宋体" w:cs="宋体"/>
          <w:b/>
          <w:color w:val="FF0000"/>
          <w:kern w:val="0"/>
          <w:sz w:val="21"/>
          <w:szCs w:val="21"/>
        </w:rPr>
        <w:t>设备须提供</w:t>
      </w:r>
      <w:r>
        <w:rPr>
          <w:rFonts w:hint="eastAsia" w:ascii="宋体" w:hAnsi="宋体" w:cs="宋体"/>
          <w:b/>
          <w:color w:val="FF0000"/>
          <w:kern w:val="0"/>
          <w:sz w:val="21"/>
          <w:szCs w:val="21"/>
          <w:lang w:val="en-US" w:eastAsia="zh-CN"/>
        </w:rPr>
        <w:t>5</w:t>
      </w:r>
      <w:r>
        <w:rPr>
          <w:rFonts w:hint="eastAsia" w:ascii="宋体" w:hAnsi="宋体" w:eastAsia="宋体" w:cs="宋体"/>
          <w:b/>
          <w:color w:val="FF0000"/>
          <w:kern w:val="0"/>
          <w:sz w:val="21"/>
          <w:szCs w:val="21"/>
        </w:rPr>
        <w:t>年整机原厂免费全保</w:t>
      </w:r>
      <w:r>
        <w:rPr>
          <w:rFonts w:hint="eastAsia" w:ascii="宋体" w:hAnsi="宋体" w:eastAsia="宋体" w:cs="宋体"/>
          <w:color w:val="FF0000"/>
          <w:kern w:val="0"/>
          <w:sz w:val="21"/>
          <w:szCs w:val="21"/>
        </w:rPr>
        <w:t>,</w:t>
      </w:r>
      <w:r>
        <w:rPr>
          <w:rFonts w:hint="eastAsia" w:ascii="宋体" w:hAnsi="宋体" w:eastAsia="宋体" w:cs="宋体"/>
          <w:color w:val="000000" w:themeColor="text1"/>
          <w:sz w:val="21"/>
          <w:szCs w:val="21"/>
        </w:rPr>
        <w:t>维修响应时间为24小时 *365天,接到报修电话后工程师必须在4小时内赶到现场处理故障｡</w:t>
      </w:r>
      <w:r>
        <w:rPr>
          <w:rFonts w:hint="eastAsia" w:ascii="宋体" w:hAnsi="宋体" w:eastAsia="宋体" w:cs="宋体"/>
          <w:color w:val="000000" w:themeColor="text1"/>
          <w:kern w:val="0"/>
          <w:sz w:val="21"/>
          <w:szCs w:val="21"/>
        </w:rPr>
        <w:t>凡带检查､检验项目的设备和系统,须免费实现与医院信息化系统无缝衔接｡</w:t>
      </w:r>
    </w:p>
    <w:p>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､除买方事先书面同意外,卖方不得将自己应履行的全部或部分合同义务转让给他人｡</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19</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rPr>
        <w:t>､本项目不得转包､拆包,不接受联合体投标人｡</w:t>
      </w:r>
    </w:p>
    <w:p>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技术商务(65分)</w:t>
            </w:r>
          </w:p>
        </w:tc>
        <w:tc>
          <w:tcPr>
            <w:tcW w:w="1742"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rPr>
              <w:t>响应情况评价</w:t>
            </w:r>
          </w:p>
        </w:tc>
        <w:tc>
          <w:tcPr>
            <w:tcW w:w="84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29</w:t>
            </w:r>
            <w:r>
              <w:rPr>
                <w:rFonts w:hint="default" w:asciiTheme="minorEastAsia" w:hAnsiTheme="minorEastAsia" w:eastAsiaTheme="minorEastAsia"/>
                <w:color w:val="000000"/>
                <w:szCs w:val="21"/>
                <w:lang w:val="zh-CN"/>
              </w:rPr>
              <w:t>分</w:t>
            </w:r>
          </w:p>
        </w:tc>
        <w:tc>
          <w:tcPr>
            <w:tcW w:w="5115" w:type="dxa"/>
            <w:vAlign w:val="center"/>
          </w:tcPr>
          <w:p>
            <w:pPr>
              <w:keepNext w:val="0"/>
              <w:keepLines w:val="0"/>
              <w:suppressLineNumbers w:val="0"/>
              <w:tabs>
                <w:tab w:val="left" w:pos="425"/>
              </w:tabs>
              <w:spacing w:before="0" w:beforeAutospacing="0" w:after="0" w:afterAutospacing="0"/>
              <w:ind w:left="0" w:right="0"/>
              <w:rPr>
                <w:rFonts w:hint="default" w:ascii="Times New Roman" w:hAnsi="Times New Roman" w:eastAsia="宋体" w:cs="Times New Roman"/>
                <w:color w:val="auto"/>
                <w:lang w:val="zh-CN"/>
              </w:rPr>
            </w:pPr>
            <w:r>
              <w:rPr>
                <w:rFonts w:hint="eastAsia" w:ascii="Times New Roman" w:hAnsi="Times New Roman" w:eastAsia="宋体" w:cs="Times New Roman"/>
                <w:color w:val="auto"/>
              </w:rPr>
              <w:t>投标人须对本项目的【技术参数】</w:t>
            </w:r>
            <w:r>
              <w:rPr>
                <w:rFonts w:hint="eastAsia" w:cs="Times New Roman"/>
                <w:color w:val="auto"/>
                <w:lang w:val="en-US" w:eastAsia="zh-CN"/>
              </w:rPr>
              <w:t>要求</w:t>
            </w:r>
            <w:r>
              <w:rPr>
                <w:rFonts w:hint="eastAsia" w:ascii="Times New Roman" w:hAnsi="Times New Roman" w:eastAsia="宋体" w:cs="Times New Roman"/>
                <w:color w:val="auto"/>
              </w:rPr>
              <w:t>进行逐条响应</w:t>
            </w:r>
            <w:r>
              <w:rPr>
                <w:rFonts w:hint="eastAsia" w:ascii="Times New Roman" w:hAnsi="Times New Roman" w:eastAsia="宋体" w:cs="Times New Roman"/>
                <w:color w:val="auto"/>
                <w:lang w:val="zh-CN"/>
              </w:rPr>
              <w:t>｡</w:t>
            </w:r>
          </w:p>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Times New Roman" w:hAnsi="Times New Roman" w:eastAsia="宋体" w:cs="Times New Roman"/>
                <w:color w:val="auto"/>
              </w:rPr>
              <w:t>评分依据：以投标文件《</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条款</w:t>
            </w:r>
            <w:r>
              <w:rPr>
                <w:rFonts w:hint="eastAsia" w:ascii="宋体" w:hAnsi="宋体" w:eastAsia="宋体" w:cs="宋体"/>
                <w:color w:val="auto"/>
                <w:szCs w:val="21"/>
              </w:rPr>
              <w:t>偏离表</w:t>
            </w:r>
            <w:r>
              <w:rPr>
                <w:rFonts w:hint="eastAsia" w:ascii="Times New Roman" w:hAnsi="Times New Roman" w:eastAsia="宋体" w:cs="Times New Roman"/>
                <w:color w:val="auto"/>
              </w:rPr>
              <w:t>》为评分依据，按招标文件要求提供相应的证明材料复印件或扫描件加盖投标人公章（原件备查）</w:t>
            </w:r>
            <w:r>
              <w:rPr>
                <w:rFonts w:hint="default" w:asciiTheme="minorEastAsia" w:hAnsiTheme="minorEastAsia" w:eastAsiaTheme="minorEastAsia"/>
              </w:rPr>
              <w:t>,</w:t>
            </w:r>
            <w:r>
              <w:rPr>
                <w:rFonts w:hint="default" w:asciiTheme="minorEastAsia" w:hAnsiTheme="minorEastAsia" w:eastAsiaTheme="minorEastAsia"/>
                <w:szCs w:val="21"/>
              </w:rPr>
              <w:t>完全符合招标要求的,得满分;</w:t>
            </w:r>
            <w:r>
              <w:rPr>
                <w:rFonts w:hint="default" w:asciiTheme="minorEastAsia" w:hAnsiTheme="minorEastAsia" w:eastAsiaTheme="minorEastAsia"/>
              </w:rPr>
              <w:t>注有▲的重要技术要求每1项负偏离,扣</w:t>
            </w:r>
            <w:r>
              <w:rPr>
                <w:rFonts w:hint="default" w:asciiTheme="minorEastAsia" w:hAnsiTheme="minorEastAsia" w:eastAsiaTheme="minorEastAsia"/>
                <w:u w:val="single"/>
              </w:rPr>
              <w:t xml:space="preserve">  </w:t>
            </w:r>
            <w:r>
              <w:rPr>
                <w:rFonts w:hint="eastAsia" w:asciiTheme="minorEastAsia" w:hAnsiTheme="minorEastAsia" w:eastAsiaTheme="minorEastAsia"/>
                <w:color w:val="FF0000"/>
                <w:u w:val="single"/>
                <w:lang w:val="en-US" w:eastAsia="zh-CN"/>
              </w:rPr>
              <w:t>3</w:t>
            </w:r>
            <w:r>
              <w:rPr>
                <w:rFonts w:hint="default" w:asciiTheme="minorEastAsia" w:hAnsiTheme="minorEastAsia" w:eastAsiaTheme="minorEastAsia"/>
                <w:color w:val="FF0000"/>
                <w:u w:val="single"/>
              </w:rPr>
              <w:t>分</w:t>
            </w:r>
            <w:r>
              <w:rPr>
                <w:rFonts w:hint="default" w:asciiTheme="minorEastAsia" w:hAnsiTheme="minorEastAsia" w:eastAsiaTheme="minorEastAsia"/>
              </w:rPr>
              <w:t>;其他一般技术要求每1项负偏离,扣</w:t>
            </w:r>
            <w:r>
              <w:rPr>
                <w:rFonts w:hint="default" w:asciiTheme="minorEastAsia" w:hAnsiTheme="minorEastAsia" w:eastAsiaTheme="minorEastAsia"/>
                <w:color w:val="FF0000"/>
                <w:u w:val="single"/>
              </w:rPr>
              <w:t xml:space="preserve"> </w:t>
            </w:r>
            <w:r>
              <w:rPr>
                <w:rFonts w:hint="eastAsia" w:asciiTheme="minorEastAsia" w:hAnsiTheme="minorEastAsia" w:eastAsiaTheme="minorEastAsia"/>
                <w:color w:val="FF0000"/>
                <w:u w:val="single"/>
                <w:lang w:val="en-US" w:eastAsia="zh-CN"/>
              </w:rPr>
              <w:t>1</w:t>
            </w:r>
            <w:r>
              <w:rPr>
                <w:rFonts w:hint="default" w:asciiTheme="minorEastAsia" w:hAnsiTheme="minorEastAsia" w:eastAsiaTheme="minorEastAsia"/>
                <w:color w:val="FF0000"/>
                <w:u w:val="single"/>
              </w:rPr>
              <w:t>分</w:t>
            </w:r>
            <w:r>
              <w:rPr>
                <w:rFonts w:hint="default" w:asciiTheme="minorEastAsia" w:hAnsiTheme="minorEastAsia" w:eastAsiaTheme="minorEastAsia"/>
              </w:rPr>
              <w:t>;扣完为止</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ind w:left="0" w:right="0"/>
              <w:rPr>
                <w:rFonts w:hint="default" w:ascii="宋体" w:hAnsi="宋体" w:eastAsia="宋体" w:cs="Times New Roman"/>
                <w:szCs w:val="21"/>
                <w:lang w:val="zh-CN"/>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847"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szCs w:val="21"/>
                <w:lang w:val="zh-CN"/>
              </w:rPr>
            </w:pPr>
            <w:r>
              <w:rPr>
                <w:rFonts w:hint="eastAsia" w:ascii="宋体" w:hAnsi="宋体" w:cs="Times New Roman"/>
                <w:szCs w:val="21"/>
                <w:lang w:val="en-US" w:eastAsia="zh-CN"/>
              </w:rPr>
              <w:t>13</w:t>
            </w:r>
            <w:r>
              <w:rPr>
                <w:rFonts w:hint="default" w:ascii="宋体" w:hAnsi="宋体" w:eastAsia="宋体" w:cs="Times New Roman"/>
                <w:szCs w:val="21"/>
                <w:lang w:val="zh-CN"/>
              </w:rPr>
              <w:t>分</w:t>
            </w:r>
          </w:p>
        </w:tc>
        <w:tc>
          <w:tcPr>
            <w:tcW w:w="5115" w:type="dxa"/>
          </w:tcPr>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每满足一项内容得2分</w:t>
            </w:r>
            <w:r>
              <w:rPr>
                <w:rFonts w:hint="eastAsia" w:ascii="宋体" w:hAnsi="宋体" w:eastAsia="宋体" w:cs="Times New Roman"/>
                <w:b/>
                <w:bCs/>
                <w:szCs w:val="21"/>
              </w:rPr>
              <w:t>，</w:t>
            </w:r>
            <w:r>
              <w:rPr>
                <w:rFonts w:hint="eastAsia" w:ascii="宋体" w:hAnsi="宋体" w:cs="Times New Roman"/>
                <w:b/>
                <w:bCs/>
                <w:szCs w:val="21"/>
                <w:lang w:val="en-US" w:eastAsia="zh-CN"/>
              </w:rPr>
              <w:t>最高得6分</w:t>
            </w:r>
            <w:r>
              <w:rPr>
                <w:rFonts w:hint="eastAsia" w:ascii="宋体" w:hAnsi="宋体" w:eastAsia="宋体" w:cs="Times New Roman"/>
                <w:b/>
                <w:bCs/>
                <w:szCs w:val="21"/>
              </w:rPr>
              <w:t>。</w:t>
            </w:r>
          </w:p>
          <w:p>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7</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pPr>
              <w:pStyle w:val="19"/>
              <w:keepNext w:val="0"/>
              <w:keepLines w:val="0"/>
              <w:widowControl w:val="0"/>
              <w:suppressLineNumbers w:val="0"/>
              <w:spacing w:before="0" w:beforeAutospacing="0" w:after="0" w:afterAutospacing="0"/>
              <w:ind w:left="0" w:right="0"/>
              <w:rPr>
                <w:rFonts w:hint="default" w:ascii="宋体" w:hAnsi="宋体" w:eastAsia="宋体" w:cs="Times New Roman"/>
                <w:szCs w:val="21"/>
                <w:lang w:val="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ind w:left="0" w:right="0"/>
              <w:jc w:val="left"/>
              <w:rPr>
                <w:rFonts w:hint="default" w:asciiTheme="minorEastAsia" w:hAnsiTheme="minorEastAsia" w:eastAsiaTheme="minorEastAsia"/>
                <w:color w:val="000000"/>
                <w:szCs w:val="21"/>
                <w:lang w:val="en-US" w:eastAsia="zh-CN"/>
              </w:rPr>
            </w:pPr>
            <w:r>
              <w:rPr>
                <w:rFonts w:hint="eastAsia" w:ascii="宋体" w:hAnsi="宋体" w:eastAsiaTheme="minorEastAsia"/>
                <w:szCs w:val="21"/>
                <w:lang w:val="en-US" w:eastAsia="zh-CN"/>
              </w:rPr>
              <w:t>售后服务方案</w:t>
            </w:r>
          </w:p>
        </w:tc>
        <w:tc>
          <w:tcPr>
            <w:tcW w:w="84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宋体" w:hAnsi="宋体"/>
                <w:color w:val="000000"/>
                <w:szCs w:val="21"/>
                <w:lang w:val="en-US" w:eastAsia="zh-CN"/>
              </w:rPr>
              <w:t>12</w:t>
            </w:r>
            <w:r>
              <w:rPr>
                <w:rFonts w:hint="eastAsia" w:ascii="宋体" w:hAnsi="宋体"/>
                <w:color w:val="000000"/>
                <w:szCs w:val="21"/>
                <w:lang w:val="zh-CN"/>
              </w:rPr>
              <w:t>分</w:t>
            </w:r>
          </w:p>
        </w:tc>
        <w:tc>
          <w:tcPr>
            <w:tcW w:w="5115" w:type="dxa"/>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cs="Times New Roman"/>
                <w:szCs w:val="21"/>
                <w:lang w:val="en-US" w:eastAsia="zh-CN"/>
              </w:rPr>
              <w:t>根据投标人提供</w:t>
            </w:r>
            <w:r>
              <w:rPr>
                <w:rFonts w:hint="eastAsia" w:ascii="宋体" w:hAnsi="宋体" w:eastAsiaTheme="minorEastAsia"/>
                <w:szCs w:val="21"/>
                <w:lang w:val="en-US" w:eastAsia="zh-CN"/>
              </w:rPr>
              <w:t>售后服务方案</w:t>
            </w:r>
            <w:r>
              <w:rPr>
                <w:rFonts w:hint="eastAsia" w:ascii="宋体" w:hAnsi="宋体" w:cs="Times New Roman"/>
                <w:szCs w:val="21"/>
                <w:lang w:val="en-US" w:eastAsia="zh-CN"/>
              </w:rPr>
              <w:t>进行评审，包括但不限于</w:t>
            </w:r>
            <w:r>
              <w:rPr>
                <w:rFonts w:hint="eastAsia" w:ascii="宋体" w:hAnsi="宋体" w:eastAsia="宋体" w:cs="Times New Roman"/>
                <w:szCs w:val="21"/>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交货及培训方案</w:t>
            </w:r>
            <w:r>
              <w:rPr>
                <w:rFonts w:hint="eastAsia" w:ascii="宋体" w:hAnsi="宋体" w:eastAsia="宋体" w:cs="宋体"/>
                <w:color w:val="auto"/>
                <w:sz w:val="21"/>
                <w:szCs w:val="21"/>
                <w:highlight w:val="none"/>
                <w:lang w:val="en-US" w:eastAsia="zh-CN"/>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售后服务及维护人员配置</w:t>
            </w:r>
            <w:r>
              <w:rPr>
                <w:rFonts w:hint="eastAsia" w:ascii="宋体" w:hAnsi="宋体" w:eastAsia="宋体" w:cs="宋体"/>
                <w:color w:val="auto"/>
                <w:sz w:val="21"/>
                <w:szCs w:val="21"/>
                <w:highlight w:val="none"/>
                <w:lang w:val="en-US" w:eastAsia="zh-CN"/>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安装、调试方案。</w:t>
            </w:r>
          </w:p>
          <w:p>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最高得6分</w:t>
            </w:r>
            <w:r>
              <w:rPr>
                <w:rFonts w:hint="eastAsia" w:ascii="宋体" w:hAnsi="宋体" w:eastAsia="宋体" w:cs="Times New Roman"/>
                <w:b/>
                <w:bCs/>
                <w:szCs w:val="21"/>
              </w:rPr>
              <w:t>。</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sz w:val="21"/>
                <w:szCs w:val="21"/>
                <w:lang w:val="en-US" w:eastAsia="zh-CN"/>
              </w:rPr>
              <w:t>1.</w:t>
            </w: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pPr>
              <w:pStyle w:val="19"/>
              <w:keepNext w:val="0"/>
              <w:keepLines w:val="0"/>
              <w:widowControl w:val="0"/>
              <w:suppressLineNumbers w:val="0"/>
              <w:spacing w:before="0" w:beforeAutospacing="0" w:after="0" w:afterAutospacing="0"/>
              <w:ind w:left="0" w:right="0"/>
              <w:rPr>
                <w:rFonts w:hint="eastAsia" w:eastAsia="宋体"/>
                <w:lang w:val="en-US" w:eastAsia="zh-CN"/>
              </w:rPr>
            </w:pPr>
            <w:r>
              <w:rPr>
                <w:rFonts w:hint="eastAsia"/>
                <w:lang w:val="zh-CN"/>
              </w:rPr>
              <w:t>（</w:t>
            </w:r>
            <w:r>
              <w:rPr>
                <w:rFonts w:hint="eastAsia"/>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color w:val="000000"/>
                <w:szCs w:val="21"/>
                <w:lang w:val="en-US" w:eastAsia="zh-CN"/>
              </w:rPr>
            </w:pPr>
            <w:r>
              <w:rPr>
                <w:rFonts w:hint="eastAsia"/>
                <w:color w:val="auto"/>
              </w:rPr>
              <w:t>同类项目业绩</w:t>
            </w:r>
          </w:p>
        </w:tc>
        <w:tc>
          <w:tcPr>
            <w:tcW w:w="847" w:type="dxa"/>
            <w:vAlign w:val="center"/>
          </w:tcPr>
          <w:p>
            <w:pPr>
              <w:keepNext w:val="0"/>
              <w:keepLines w:val="0"/>
              <w:widowControl/>
              <w:suppressLineNumbers w:val="0"/>
              <w:spacing w:before="0" w:beforeAutospacing="0" w:after="0" w:afterAutospacing="0" w:line="24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eastAsia="宋体" w:cs="Arial"/>
                <w:color w:val="auto"/>
                <w:kern w:val="0"/>
                <w:szCs w:val="21"/>
                <w:lang w:val="en-US" w:eastAsia="zh-CN"/>
              </w:rPr>
              <w:t>6分</w:t>
            </w:r>
          </w:p>
        </w:tc>
        <w:tc>
          <w:tcPr>
            <w:tcW w:w="5115" w:type="dxa"/>
            <w:vAlign w:val="center"/>
          </w:tcPr>
          <w:p>
            <w:pPr>
              <w:pStyle w:val="38"/>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年1月1日至本项目开标之日（以合同签订日期为准），</w:t>
            </w:r>
            <w:r>
              <w:rPr>
                <w:rFonts w:hint="eastAsia" w:ascii="Times New Roman" w:hAnsi="Times New Roman" w:eastAsia="宋体" w:cs="Times New Roman"/>
                <w:color w:val="auto"/>
                <w:lang w:val="en-US" w:eastAsia="zh-CN"/>
              </w:rPr>
              <w:t>提供</w:t>
            </w:r>
            <w:r>
              <w:rPr>
                <w:rFonts w:hint="eastAsia" w:ascii="Times New Roman" w:hAnsi="Times New Roman" w:eastAsia="宋体" w:cs="Times New Roman"/>
                <w:color w:val="auto"/>
              </w:rPr>
              <w:t>同类项目业绩的，每提供1个项目得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分，最高得</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分。</w:t>
            </w:r>
          </w:p>
          <w:p>
            <w:pPr>
              <w:pStyle w:val="38"/>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szCs w:val="21"/>
              </w:rPr>
            </w:pPr>
            <w:r>
              <w:rPr>
                <w:rFonts w:hint="eastAsia" w:ascii="Times New Roman" w:hAnsi="Times New Roman" w:eastAsia="宋体" w:cs="Times New Roman"/>
                <w:color w:val="auto"/>
              </w:rPr>
              <w:t>【提供合同关键页（需体现合同签订日期）复印件或扫描件加盖投标人公章，原件备查。】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r>
              <w:rPr>
                <w:rFonts w:hint="default" w:asciiTheme="minorEastAsia" w:hAnsiTheme="minorEastAsia" w:eastAsiaTheme="minorEastAsia"/>
                <w:color w:val="000000"/>
                <w:szCs w:val="21"/>
                <w:lang w:val="zh-CN"/>
              </w:rPr>
              <w:t>分</w:t>
            </w:r>
          </w:p>
        </w:tc>
        <w:tc>
          <w:tcPr>
            <w:tcW w:w="5115" w:type="dxa"/>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报价(35分)</w:t>
            </w:r>
          </w:p>
        </w:tc>
        <w:tc>
          <w:tcPr>
            <w:tcW w:w="7704" w:type="dxa"/>
            <w:gridSpan w:val="3"/>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szCs w:val="21"/>
                <w:lang w:val="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投标报价得分=(评标基准价/投标报价)×35</w:t>
            </w:r>
          </w:p>
        </w:tc>
      </w:tr>
    </w:tbl>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pPr>
        <w:widowControl/>
        <w:jc w:val="left"/>
        <w:rPr>
          <w:rFonts w:ascii="MS Gothic" w:hAnsi="MS Gothic" w:eastAsia="MS Gothic" w:cs="MS Gothic"/>
          <w:color w:val="000000"/>
          <w:kern w:val="0"/>
          <w:szCs w:val="21"/>
        </w:rPr>
      </w:pPr>
    </w:p>
    <w:p>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pPr>
        <w:pStyle w:val="29"/>
        <w:rPr>
          <w:rFonts w:hint="eastAsia"/>
          <w:lang w:val="en-US" w:eastAsia="zh-CN"/>
        </w:rPr>
      </w:pPr>
    </w:p>
    <w:p>
      <w:pPr>
        <w:pStyle w:val="68"/>
        <w:ind w:left="723" w:hanging="723"/>
        <w:jc w:val="center"/>
        <w:rPr>
          <w:rFonts w:hint="default" w:ascii="宋体" w:hAnsi="宋体" w:eastAsia="宋体" w:cs="宋体"/>
          <w:sz w:val="30"/>
          <w:szCs w:val="30"/>
          <w:lang w:val="en-US" w:eastAsia="zh-CN"/>
        </w:rPr>
      </w:pPr>
      <w:r>
        <w:rPr>
          <w:rFonts w:hint="eastAsia" w:cs="宋体"/>
          <w:sz w:val="30"/>
          <w:szCs w:val="30"/>
          <w:lang w:val="en-US" w:eastAsia="zh-CN"/>
        </w:rPr>
        <w:t>干眼雾化治疗仪</w:t>
      </w:r>
    </w:p>
    <w:p>
      <w:pPr>
        <w:tabs>
          <w:tab w:val="left" w:pos="425"/>
        </w:tabs>
        <w:rPr>
          <w:rFonts w:asciiTheme="minorEastAsia" w:hAnsiTheme="minorEastAsia" w:eastAsiaTheme="minorEastAsia"/>
          <w:b/>
          <w:szCs w:val="21"/>
          <w:lang w:val="en-US"/>
        </w:rPr>
      </w:pPr>
      <w:r>
        <w:rPr>
          <w:rFonts w:asciiTheme="minorEastAsia" w:hAnsiTheme="minorEastAsia" w:eastAsiaTheme="minorEastAsia"/>
          <w:b/>
          <w:szCs w:val="21"/>
        </w:rPr>
        <w:t>【</w:t>
      </w:r>
      <w:r>
        <w:rPr>
          <w:rFonts w:hint="eastAsia" w:asciiTheme="minorEastAsia" w:hAnsiTheme="minorEastAsia" w:eastAsiaTheme="minorEastAsia"/>
          <w:b/>
          <w:szCs w:val="21"/>
          <w:lang w:val="en-US" w:eastAsia="zh-CN"/>
        </w:rPr>
        <w:t>预算单价</w:t>
      </w:r>
      <w:r>
        <w:rPr>
          <w:rFonts w:asciiTheme="minorEastAsia" w:hAnsiTheme="minorEastAsia" w:eastAsiaTheme="minorEastAsia"/>
          <w:b/>
          <w:szCs w:val="21"/>
        </w:rPr>
        <w:t>】</w:t>
      </w:r>
    </w:p>
    <w:p>
      <w:pPr>
        <w:tabs>
          <w:tab w:val="left" w:pos="425"/>
        </w:tabs>
        <w:ind w:firstLine="420" w:firstLineChars="200"/>
        <w:rPr>
          <w:rFonts w:hint="default" w:asciiTheme="minorEastAsia" w:hAnsiTheme="minorEastAsia" w:eastAsiaTheme="minorEastAsia"/>
          <w:b w:val="0"/>
          <w:bCs/>
          <w:szCs w:val="21"/>
          <w:lang w:val="en-US" w:eastAsia="zh-CN"/>
        </w:rPr>
      </w:pPr>
      <w:r>
        <w:rPr>
          <w:rFonts w:hint="eastAsia" w:asciiTheme="minorEastAsia" w:hAnsiTheme="minorEastAsia" w:eastAsiaTheme="minorEastAsia"/>
          <w:b w:val="0"/>
          <w:bCs/>
          <w:szCs w:val="21"/>
          <w:lang w:val="en-US" w:eastAsia="zh-CN"/>
        </w:rPr>
        <w:t>4.3万元/套。</w:t>
      </w:r>
    </w:p>
    <w:p>
      <w:pPr>
        <w:tabs>
          <w:tab w:val="left" w:pos="425"/>
        </w:tabs>
        <w:rPr>
          <w:rFonts w:asciiTheme="minorEastAsia" w:hAnsiTheme="minorEastAsia" w:eastAsiaTheme="minorEastAsia"/>
          <w:b/>
          <w:szCs w:val="21"/>
        </w:rPr>
      </w:pPr>
      <w:r>
        <w:rPr>
          <w:rFonts w:hint="eastAsia" w:asciiTheme="minorEastAsia" w:hAnsiTheme="minorEastAsia" w:eastAsiaTheme="minorEastAsia"/>
          <w:b/>
          <w:szCs w:val="21"/>
          <w:lang w:val="en-US" w:eastAsia="zh-CN"/>
        </w:rPr>
        <w:t>★</w:t>
      </w:r>
      <w:r>
        <w:rPr>
          <w:rFonts w:asciiTheme="minorEastAsia" w:hAnsiTheme="minorEastAsia" w:eastAsiaTheme="minorEastAsia"/>
          <w:b/>
          <w:szCs w:val="21"/>
        </w:rPr>
        <w:t>【配置清单】</w:t>
      </w:r>
    </w:p>
    <w:tbl>
      <w:tblPr>
        <w:tblStyle w:val="22"/>
        <w:tblW w:w="0" w:type="auto"/>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79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8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279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名称</w:t>
            </w:r>
          </w:p>
        </w:tc>
        <w:tc>
          <w:tcPr>
            <w:tcW w:w="156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8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279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主机</w:t>
            </w:r>
          </w:p>
        </w:tc>
        <w:tc>
          <w:tcPr>
            <w:tcW w:w="156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8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279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电源线</w:t>
            </w:r>
          </w:p>
        </w:tc>
        <w:tc>
          <w:tcPr>
            <w:tcW w:w="156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8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79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管路</w:t>
            </w:r>
          </w:p>
        </w:tc>
        <w:tc>
          <w:tcPr>
            <w:tcW w:w="156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38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279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温控线</w:t>
            </w:r>
          </w:p>
        </w:tc>
        <w:tc>
          <w:tcPr>
            <w:tcW w:w="156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8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279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保险丝</w:t>
            </w:r>
          </w:p>
        </w:tc>
        <w:tc>
          <w:tcPr>
            <w:tcW w:w="156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8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279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制氧机</w:t>
            </w:r>
          </w:p>
        </w:tc>
        <w:tc>
          <w:tcPr>
            <w:tcW w:w="1560"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r>
    </w:tbl>
    <w:p>
      <w:pPr>
        <w:tabs>
          <w:tab w:val="left" w:pos="425"/>
        </w:tabs>
        <w:ind w:firstLine="420" w:firstLineChars="20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注：以上配置为单套配置清单。</w:t>
      </w:r>
    </w:p>
    <w:p>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pPr>
        <w:tabs>
          <w:tab w:val="left" w:pos="425"/>
        </w:tabs>
        <w:ind w:firstLine="420" w:firstLineChars="200"/>
        <w:rPr>
          <w:rFonts w:hint="eastAsia" w:ascii="宋体" w:hAnsi="宋体" w:eastAsia="宋体" w:cs="Times New Roman"/>
          <w:sz w:val="21"/>
          <w:szCs w:val="21"/>
          <w:lang w:eastAsia="zh-CN"/>
        </w:rPr>
      </w:pPr>
      <w:r>
        <w:rPr>
          <w:rFonts w:hint="eastAsia" w:ascii="宋体" w:hAnsi="宋体"/>
          <w:sz w:val="21"/>
          <w:szCs w:val="21"/>
          <w:lang w:val="en-US" w:eastAsia="zh-CN"/>
        </w:rPr>
        <w:t>眼部雾化熏蒸（带制氧机）。</w:t>
      </w:r>
      <w:r>
        <w:rPr>
          <w:rFonts w:hint="eastAsia" w:ascii="宋体" w:hAnsi="宋体" w:eastAsia="宋体" w:cs="Times New Roman"/>
          <w:sz w:val="21"/>
          <w:szCs w:val="21"/>
        </w:rPr>
        <w:t>对干眼患者进行熏蒸雾化理疗，疗效佳。</w:t>
      </w:r>
    </w:p>
    <w:p>
      <w:pPr>
        <w:tabs>
          <w:tab w:val="left" w:pos="425"/>
        </w:tabs>
        <w:rPr>
          <w:rFonts w:hint="eastAsia" w:asciiTheme="minorEastAsia" w:hAnsiTheme="minorEastAsia" w:eastAsiaTheme="minorEastAsia"/>
          <w:b/>
          <w:szCs w:val="21"/>
          <w:lang w:eastAsia="zh-CN"/>
        </w:rPr>
      </w:pPr>
      <w:r>
        <w:rPr>
          <w:rFonts w:asciiTheme="minorEastAsia" w:hAnsiTheme="minorEastAsia" w:eastAsiaTheme="minorEastAsia"/>
          <w:b/>
          <w:szCs w:val="21"/>
        </w:rPr>
        <w:t>【技术参数】</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一、干眼雾化治疗仪</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▲1.参数记忆功能：设置参数后自动记忆，下次无需调试（</w:t>
      </w:r>
      <w:r>
        <w:rPr>
          <w:rFonts w:hint="eastAsia" w:ascii="宋体" w:hAnsi="宋体" w:eastAsia="宋体" w:cs="Times New Roman"/>
          <w:color w:val="FF0000"/>
          <w:szCs w:val="21"/>
          <w:lang w:val="en-US" w:eastAsia="zh-CN"/>
        </w:rPr>
        <w:t>投标时提供产品说明书或技术白皮书扫描件，原件备查；注：对应参数在证明材料中进行标注）。</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2</w:t>
      </w:r>
      <w:r>
        <w:rPr>
          <w:rFonts w:hint="eastAsia" w:ascii="宋体" w:hAnsi="宋体" w:eastAsia="宋体" w:cs="Times New Roman"/>
          <w:szCs w:val="21"/>
          <w:lang w:val="en-US" w:eastAsia="zh-CN"/>
        </w:rPr>
        <w:t>.模式切换：常温雾化、加热雾化及薰蒸模式自由切换；</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w:t>
      </w:r>
      <w:r>
        <w:rPr>
          <w:rFonts w:hint="eastAsia" w:ascii="宋体" w:hAnsi="宋体" w:cs="Times New Roman"/>
          <w:szCs w:val="21"/>
          <w:lang w:val="en-US" w:eastAsia="zh-CN"/>
        </w:rPr>
        <w:t>3</w:t>
      </w:r>
      <w:r>
        <w:rPr>
          <w:rFonts w:hint="eastAsia" w:ascii="宋体" w:hAnsi="宋体" w:eastAsia="宋体" w:cs="Times New Roman"/>
          <w:szCs w:val="21"/>
          <w:lang w:val="en-US" w:eastAsia="zh-CN"/>
        </w:rPr>
        <w:t>.温度设置及控制范围：30~45℃（可调节）</w:t>
      </w:r>
      <w:r>
        <w:rPr>
          <w:rFonts w:hint="eastAsia" w:ascii="宋体" w:hAnsi="宋体" w:eastAsia="宋体" w:cs="Times New Roman"/>
          <w:color w:val="FF0000"/>
          <w:szCs w:val="21"/>
          <w:lang w:val="en-US" w:eastAsia="zh-CN"/>
        </w:rPr>
        <w:t>（投标时提供产品说明书或技术白皮书扫描件，原件备查；注：对应参数在证明材料中进行标注）。</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lang w:val="en-US" w:eastAsia="zh-CN"/>
        </w:rPr>
        <w:t>.温度异常语音报警功能：有。</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w:t>
      </w:r>
      <w:r>
        <w:rPr>
          <w:rFonts w:hint="eastAsia" w:ascii="宋体" w:hAnsi="宋体" w:cs="Times New Roman"/>
          <w:szCs w:val="21"/>
          <w:lang w:val="en-US" w:eastAsia="zh-CN"/>
        </w:rPr>
        <w:t>5</w:t>
      </w:r>
      <w:r>
        <w:rPr>
          <w:rFonts w:hint="eastAsia" w:ascii="宋体" w:hAnsi="宋体" w:eastAsia="宋体" w:cs="Times New Roman"/>
          <w:szCs w:val="21"/>
          <w:lang w:val="en-US" w:eastAsia="zh-CN"/>
        </w:rPr>
        <w:t>.管路出雾口检测温度，保证出雾温度与实际显示温度相同</w:t>
      </w:r>
      <w:r>
        <w:rPr>
          <w:rFonts w:hint="eastAsia" w:ascii="宋体" w:hAnsi="宋体" w:eastAsia="宋体" w:cs="Times New Roman"/>
          <w:color w:val="FF0000"/>
          <w:szCs w:val="21"/>
          <w:lang w:val="en-US" w:eastAsia="zh-CN"/>
        </w:rPr>
        <w:t>（投标时提供产品说明书或技术白皮书扫描件，原件备查；注：对应参数在证明材料中进行标注）。</w:t>
      </w:r>
    </w:p>
    <w:p>
      <w:pPr>
        <w:numPr>
          <w:ilvl w:val="0"/>
          <w:numId w:val="0"/>
        </w:numPr>
        <w:ind w:leftChars="200"/>
        <w:rPr>
          <w:rFonts w:hint="eastAsia" w:ascii="宋体" w:hAnsi="宋体" w:eastAsia="宋体" w:cs="Times New Roman"/>
          <w:szCs w:val="21"/>
          <w:lang w:val="en-US" w:eastAsia="zh-CN"/>
        </w:rPr>
      </w:pPr>
      <w:r>
        <w:rPr>
          <w:rFonts w:hint="eastAsia" w:ascii="宋体" w:hAnsi="宋体" w:cs="Times New Roman"/>
          <w:szCs w:val="21"/>
          <w:lang w:val="en-US" w:eastAsia="zh-CN"/>
        </w:rPr>
        <w:t>6</w:t>
      </w:r>
      <w:r>
        <w:rPr>
          <w:rFonts w:hint="eastAsia" w:ascii="宋体" w:hAnsi="宋体" w:eastAsia="宋体" w:cs="Times New Roman"/>
          <w:szCs w:val="21"/>
          <w:lang w:val="en-US" w:eastAsia="zh-CN"/>
        </w:rPr>
        <w:t>.整机噪声：≤50dB（A）（距离主机1m）。</w:t>
      </w:r>
    </w:p>
    <w:p>
      <w:pPr>
        <w:ind w:left="420" w:leftChars="200" w:firstLine="0" w:firstLineChars="0"/>
        <w:rPr>
          <w:rFonts w:hint="eastAsia" w:ascii="宋体" w:hAnsi="宋体" w:eastAsia="宋体" w:cs="Times New Roman"/>
          <w:szCs w:val="21"/>
          <w:lang w:val="en-US" w:eastAsia="zh-CN"/>
        </w:rPr>
      </w:pPr>
      <w:r>
        <w:rPr>
          <w:rFonts w:hint="eastAsia" w:ascii="宋体" w:hAnsi="宋体" w:cs="Times New Roman"/>
          <w:szCs w:val="21"/>
          <w:lang w:val="en-US" w:eastAsia="zh-CN"/>
        </w:rPr>
        <w:t>7</w:t>
      </w:r>
      <w:r>
        <w:rPr>
          <w:rFonts w:hint="eastAsia" w:ascii="宋体" w:hAnsi="宋体" w:eastAsia="宋体" w:cs="Times New Roman"/>
          <w:szCs w:val="21"/>
          <w:lang w:val="en-US" w:eastAsia="zh-CN"/>
        </w:rPr>
        <w:t xml:space="preserve">.雾粒中位直径：4μm，直径小于5μm的雾粒百分比大于65%。 </w:t>
      </w:r>
      <w:r>
        <w:rPr>
          <w:rFonts w:hint="eastAsia" w:ascii="宋体" w:hAnsi="宋体" w:eastAsia="宋体" w:cs="Times New Roman"/>
          <w:szCs w:val="21"/>
          <w:lang w:val="en-US" w:eastAsia="zh-CN"/>
        </w:rPr>
        <w:br w:type="textWrapping"/>
      </w:r>
      <w:r>
        <w:rPr>
          <w:rFonts w:hint="eastAsia" w:ascii="宋体" w:hAnsi="宋体" w:cs="Times New Roman"/>
          <w:szCs w:val="21"/>
          <w:lang w:val="en-US" w:eastAsia="zh-CN"/>
        </w:rPr>
        <w:t>8</w:t>
      </w:r>
      <w:r>
        <w:rPr>
          <w:rFonts w:hint="eastAsia" w:ascii="宋体" w:hAnsi="宋体" w:eastAsia="宋体" w:cs="Times New Roman"/>
          <w:szCs w:val="21"/>
          <w:lang w:val="en-US" w:eastAsia="zh-CN"/>
        </w:rPr>
        <w:t xml:space="preserve">.最大雾化率：≥1ml/min。  </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9</w:t>
      </w:r>
      <w:r>
        <w:rPr>
          <w:rFonts w:hint="eastAsia" w:ascii="宋体" w:hAnsi="宋体" w:eastAsia="宋体" w:cs="Times New Roman"/>
          <w:szCs w:val="21"/>
          <w:lang w:val="en-US" w:eastAsia="zh-CN"/>
        </w:rPr>
        <w:t>.可以加中药、也可以加西药，机器内部自主升温降温，无需外置加热管路（加热丝等），管路为一次性管路，无管路消毒问题。</w:t>
      </w:r>
      <w:r>
        <w:rPr>
          <w:rFonts w:hint="eastAsia" w:ascii="宋体" w:hAnsi="宋体" w:eastAsia="宋体" w:cs="Times New Roman"/>
          <w:szCs w:val="21"/>
          <w:lang w:val="en-US" w:eastAsia="zh-CN"/>
        </w:rPr>
        <w:br w:type="textWrapping"/>
      </w:r>
      <w:r>
        <w:rPr>
          <w:rFonts w:hint="eastAsia" w:ascii="宋体" w:hAnsi="宋体" w:eastAsia="宋体" w:cs="Times New Roman"/>
          <w:szCs w:val="21"/>
          <w:lang w:val="en-US" w:eastAsia="zh-CN"/>
        </w:rPr>
        <w:t xml:space="preserve">    ▲1</w:t>
      </w:r>
      <w:r>
        <w:rPr>
          <w:rFonts w:hint="eastAsia" w:ascii="宋体" w:hAnsi="宋体" w:cs="Times New Roman"/>
          <w:szCs w:val="21"/>
          <w:lang w:val="en-US" w:eastAsia="zh-CN"/>
        </w:rPr>
        <w:t>0</w:t>
      </w:r>
      <w:r>
        <w:rPr>
          <w:rFonts w:hint="eastAsia" w:ascii="宋体" w:hAnsi="宋体" w:eastAsia="宋体" w:cs="Times New Roman"/>
          <w:szCs w:val="21"/>
          <w:lang w:val="en-US" w:eastAsia="zh-CN"/>
        </w:rPr>
        <w:t>.温度过高、缺水保护功能</w:t>
      </w:r>
      <w:r>
        <w:rPr>
          <w:rFonts w:hint="eastAsia" w:ascii="宋体" w:hAnsi="宋体" w:eastAsia="宋体" w:cs="Times New Roman"/>
          <w:color w:val="FF0000"/>
          <w:szCs w:val="21"/>
          <w:lang w:val="en-US" w:eastAsia="zh-CN"/>
        </w:rPr>
        <w:t>（投标时提供产品说明书或技术白皮书扫描件，原件备查；注：对应参数在证明材料中进行标注）。</w:t>
      </w:r>
      <w:r>
        <w:rPr>
          <w:rFonts w:hint="eastAsia" w:ascii="宋体" w:hAnsi="宋体" w:eastAsia="宋体" w:cs="Times New Roman"/>
          <w:szCs w:val="21"/>
          <w:lang w:val="en-US" w:eastAsia="zh-CN"/>
        </w:rPr>
        <w:br w:type="textWrapping"/>
      </w:r>
      <w:r>
        <w:rPr>
          <w:rFonts w:hint="eastAsia" w:ascii="宋体" w:hAnsi="宋体" w:eastAsia="宋体" w:cs="Times New Roman"/>
          <w:szCs w:val="21"/>
          <w:lang w:val="en-US" w:eastAsia="zh-CN"/>
        </w:rPr>
        <w:t xml:space="preserve">    1</w:t>
      </w:r>
      <w:r>
        <w:rPr>
          <w:rFonts w:hint="eastAsia" w:ascii="宋体" w:hAnsi="宋体" w:cs="Times New Roman"/>
          <w:szCs w:val="21"/>
          <w:lang w:val="en-US" w:eastAsia="zh-CN"/>
        </w:rPr>
        <w:t>1</w:t>
      </w:r>
      <w:r>
        <w:rPr>
          <w:rFonts w:hint="eastAsia" w:ascii="宋体" w:hAnsi="宋体" w:eastAsia="宋体" w:cs="Times New Roman"/>
          <w:szCs w:val="21"/>
          <w:lang w:val="en-US" w:eastAsia="zh-CN"/>
        </w:rPr>
        <w:t>.具有雾量、治疗时间调试功能。</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2</w:t>
      </w:r>
      <w:r>
        <w:rPr>
          <w:rFonts w:hint="eastAsia" w:ascii="宋体" w:hAnsi="宋体" w:eastAsia="宋体" w:cs="Times New Roman"/>
          <w:szCs w:val="21"/>
          <w:lang w:val="en-US" w:eastAsia="zh-CN"/>
        </w:rPr>
        <w:t>.有预留气体接口，可外接氧气等安全气体输入</w:t>
      </w:r>
      <w:r>
        <w:rPr>
          <w:rFonts w:hint="eastAsia" w:ascii="宋体" w:hAnsi="宋体" w:eastAsia="宋体" w:cs="Times New Roman"/>
          <w:color w:val="FF0000"/>
          <w:szCs w:val="21"/>
          <w:lang w:val="en-US" w:eastAsia="zh-CN"/>
        </w:rPr>
        <w:t>（投标时提供产品说明书或技术白皮书扫描件，原件备查；注：对应参数在证明材料中进行标注）。</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二、制氧机</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3</w:t>
      </w:r>
      <w:r>
        <w:rPr>
          <w:rFonts w:hint="eastAsia" w:ascii="宋体" w:hAnsi="宋体" w:eastAsia="宋体" w:cs="Times New Roman"/>
          <w:szCs w:val="21"/>
          <w:lang w:val="en-US" w:eastAsia="zh-CN"/>
        </w:rPr>
        <w:t>.最大推荐流量不少于:3L/min出口标称压力为不少于7kpa时的流量范围：0~3L/min。</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.当施加7kpa的背压时，最大推荐流量的变化应在±10%范围内。</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.出口标称压力为零时的氧浓度（在初始开机15Min内，达到规定的浓度水平）：氧流量0~3L/Min时，氧浓度为93%±3%。</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16</w:t>
      </w:r>
      <w:r>
        <w:rPr>
          <w:rFonts w:hint="eastAsia" w:ascii="宋体" w:hAnsi="宋体" w:eastAsia="宋体" w:cs="Times New Roman"/>
          <w:szCs w:val="21"/>
          <w:lang w:val="en-US" w:eastAsia="zh-CN"/>
        </w:rPr>
        <w:t>.输出压力:0.02mpa~0.05mpa。</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17</w:t>
      </w:r>
      <w:r>
        <w:rPr>
          <w:rFonts w:hint="eastAsia" w:ascii="宋体" w:hAnsi="宋体" w:eastAsia="宋体" w:cs="Times New Roman"/>
          <w:szCs w:val="21"/>
          <w:lang w:val="en-US" w:eastAsia="zh-CN"/>
        </w:rPr>
        <w:t>.压缩机安全阀释放压力：250kpa±50kpa。</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18</w:t>
      </w:r>
      <w:r>
        <w:rPr>
          <w:rFonts w:hint="eastAsia" w:ascii="宋体" w:hAnsi="宋体" w:eastAsia="宋体" w:cs="Times New Roman"/>
          <w:szCs w:val="21"/>
          <w:lang w:val="en-US" w:eastAsia="zh-CN"/>
        </w:rPr>
        <w:t>.整机噪声: ≤48dB(A)。</w:t>
      </w:r>
    </w:p>
    <w:p>
      <w:pPr>
        <w:ind w:firstLine="420" w:firstLineChars="200"/>
        <w:rPr>
          <w:rFonts w:hint="eastAsia" w:ascii="宋体" w:hAnsi="宋体" w:eastAsia="宋体" w:cs="Times New Roman"/>
          <w:szCs w:val="21"/>
          <w:lang w:val="en-US" w:eastAsia="zh-CN"/>
        </w:rPr>
      </w:pPr>
      <w:r>
        <w:rPr>
          <w:rFonts w:hint="eastAsia" w:ascii="宋体" w:hAnsi="宋体" w:cs="Times New Roman"/>
          <w:szCs w:val="21"/>
          <w:lang w:val="en-US" w:eastAsia="zh-CN"/>
        </w:rPr>
        <w:t>19</w:t>
      </w:r>
      <w:r>
        <w:rPr>
          <w:rFonts w:hint="eastAsia" w:ascii="宋体" w:hAnsi="宋体" w:eastAsia="宋体" w:cs="Times New Roman"/>
          <w:szCs w:val="21"/>
          <w:lang w:val="en-US" w:eastAsia="zh-CN"/>
        </w:rPr>
        <w:t>.氧气输出口温度：≤46℃。</w:t>
      </w:r>
    </w:p>
    <w:p>
      <w:pPr>
        <w:rPr>
          <w:rFonts w:ascii="宋体" w:hAnsi="宋体"/>
          <w:color w:val="FF0000"/>
          <w:szCs w:val="21"/>
        </w:rPr>
      </w:pPr>
      <w:r>
        <w:rPr>
          <w:rFonts w:hint="eastAsia" w:ascii="宋体" w:hAnsi="宋体" w:eastAsia="宋体" w:cs="Times New Roman"/>
          <w:color w:val="FF0000"/>
          <w:szCs w:val="21"/>
          <w:lang w:val="en-US" w:eastAsia="zh-CN"/>
        </w:rPr>
        <w:t>★</w:t>
      </w:r>
      <w:r>
        <w:rPr>
          <w:rFonts w:ascii="宋体" w:hAnsi="宋体"/>
          <w:color w:val="FF0000"/>
          <w:szCs w:val="21"/>
        </w:rPr>
        <w:t>【</w:t>
      </w:r>
      <w:r>
        <w:rPr>
          <w:rFonts w:ascii="宋体" w:hAnsi="宋体"/>
          <w:b/>
          <w:color w:val="FF0000"/>
          <w:szCs w:val="21"/>
        </w:rPr>
        <w:t>售后服务要求】</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提供技术资料、中英文操作手册（如进口设备及配件）</w:t>
      </w:r>
      <w:r>
        <w:rPr>
          <w:rFonts w:hint="eastAsia" w:ascii="宋体" w:hAnsi="宋体" w:cs="Times New Roman"/>
          <w:szCs w:val="21"/>
          <w:lang w:val="en-US" w:eastAsia="zh-CN"/>
        </w:rPr>
        <w:t>。</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专业工程师免费现场安装及调试。</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中标供应商必须免费对科室使用人员进行设备必要的操作培训，保证科室使用人员能够熟练掌握各种设备和软件等常规使用方法，以及小故障的判断与解决。</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提供不少于3个月做一次机器维护服务（服务期内协调安排巡检并出具巡检报告盖公司公章）。</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免费提供技术咨询</w:t>
      </w:r>
      <w:r>
        <w:rPr>
          <w:rFonts w:hint="eastAsia" w:ascii="宋体" w:hAnsi="宋体" w:cs="Times New Roman"/>
          <w:szCs w:val="21"/>
          <w:lang w:val="en-US" w:eastAsia="zh-CN"/>
        </w:rPr>
        <w:t>。</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终身免费提供用户系统软件升级，并免费提供升级所需的硬件。</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保证供应仪器的维修与配件。</w:t>
      </w:r>
    </w:p>
    <w:p>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维修响应时间为24小时 *365天，接到报修电话后工程师必须在4小时内赶到现场处理故障。需更换零部件的故障24小时内维修完毕；48小时内不能完成维修的，需提供备用机（并提供详细的解决方案说明）</w:t>
      </w:r>
      <w:r>
        <w:rPr>
          <w:rFonts w:hint="eastAsia" w:ascii="宋体" w:hAnsi="宋体" w:cs="Times New Roman"/>
          <w:szCs w:val="21"/>
          <w:lang w:val="en-US" w:eastAsia="zh-CN"/>
        </w:rPr>
        <w:t>。</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保证更换的零配件是全新且由原厂提供；保证设备维护达到符合厂家标准及相应的国家质量标准要求，并保证设备正常使用。</w:t>
      </w:r>
    </w:p>
    <w:p>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设备如涉及数据传输（与医院LIS、HIS等系统对接），中标方必须免费开放接口，并承担对接用户数据传输的所有相关费用。</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如设备涉及要开放维修密码，中标方必须免费开放。</w:t>
      </w:r>
    </w:p>
    <w:p>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中标人签订合同前须提供厂家或地区总代理出具的原厂整机免费质保5年的合同或售后服务承诺书并盖厂家公章。</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13.免费提供原厂整机质保期5年。在质保期内，提供原厂整机零配件及其进行维修（维护）、检查、检验、校准（按照厂家要求）、保养、并予以记录，人工等有关费用全免，从货物调试验收合法使用之日起计算；质保期满后终身免费维护、检查、检验、校准（按照厂家要求）、保养、并予以记录，采购方只承担更换零配件的费用。</w:t>
      </w:r>
    </w:p>
    <w:p>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w:t>
      </w:r>
      <w:r>
        <w:rPr>
          <w:rFonts w:hint="eastAsia" w:ascii="宋体" w:hAnsi="宋体" w:eastAsia="宋体" w:cs="宋体"/>
          <w:bCs/>
          <w:szCs w:val="21"/>
          <w:lang w:val="en-US" w:eastAsia="zh-CN"/>
        </w:rPr>
        <w:t>交货期：</w:t>
      </w:r>
      <w:r>
        <w:rPr>
          <w:rFonts w:hint="eastAsia" w:ascii="宋体" w:hAnsi="宋体" w:eastAsia="宋体" w:cs="宋体"/>
          <w:bCs/>
          <w:szCs w:val="21"/>
        </w:rPr>
        <w:t>签订合同后60个日历日内</w:t>
      </w:r>
      <w:r>
        <w:rPr>
          <w:rFonts w:hint="eastAsia" w:ascii="宋体" w:hAnsi="宋体" w:eastAsia="宋体" w:cs="宋体"/>
          <w:bCs/>
          <w:szCs w:val="21"/>
          <w:lang w:eastAsia="zh-CN"/>
        </w:rPr>
        <w:t>交</w:t>
      </w:r>
      <w:r>
        <w:rPr>
          <w:rFonts w:hint="eastAsia" w:ascii="宋体" w:hAnsi="宋体" w:eastAsia="宋体" w:cs="宋体"/>
          <w:bCs/>
          <w:szCs w:val="21"/>
        </w:rPr>
        <w:t>货</w:t>
      </w:r>
      <w:r>
        <w:rPr>
          <w:rFonts w:hint="eastAsia" w:ascii="宋体" w:hAnsi="宋体" w:eastAsia="宋体" w:cs="宋体"/>
          <w:bCs/>
          <w:szCs w:val="21"/>
          <w:lang w:val="en-US" w:eastAsia="zh-CN"/>
        </w:rPr>
        <w:t>。</w:t>
      </w:r>
    </w:p>
    <w:p>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ascii="宋体" w:hAnsi="宋体" w:cs="宋体"/>
          <w:bCs/>
          <w:szCs w:val="21"/>
        </w:rPr>
        <w:t>按照采购人指定地点，现场验收。</w:t>
      </w:r>
      <w:r>
        <w:rPr>
          <w:rFonts w:hint="eastAsia" w:ascii="宋体" w:hAnsi="宋体"/>
          <w:szCs w:val="21"/>
          <w:lang w:val="en-US" w:eastAsia="zh-CN"/>
        </w:rPr>
        <w:t xml:space="preserve">    </w:t>
      </w:r>
    </w:p>
    <w:p>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hAnsi="Times New Roman" w:eastAsia="宋体" w:cs="Times New Roman"/>
        </w:rPr>
        <w:t>设备</w:t>
      </w:r>
      <w:r>
        <w:rPr>
          <w:rFonts w:hint="eastAsia" w:ascii="Times New Roman" w:hAnsi="Times New Roman" w:eastAsia="宋体" w:cs="Times New Roman"/>
          <w:lang w:eastAsia="zh-CN"/>
        </w:rPr>
        <w:t>安装</w:t>
      </w:r>
      <w:r>
        <w:rPr>
          <w:rFonts w:hint="eastAsia" w:ascii="Times New Roman" w:hAnsi="Times New Roman" w:eastAsia="宋体" w:cs="Times New Roman"/>
        </w:rPr>
        <w:t>验收</w:t>
      </w:r>
      <w:r>
        <w:rPr>
          <w:rFonts w:hint="eastAsia" w:ascii="Times New Roman" w:hAnsi="Times New Roman" w:eastAsia="宋体" w:cs="Times New Roman"/>
          <w:lang w:eastAsia="zh-CN"/>
        </w:rPr>
        <w:t>合格使用后且发票及资料齐全</w:t>
      </w:r>
      <w:r>
        <w:rPr>
          <w:rFonts w:hint="eastAsia" w:ascii="Times New Roman" w:hAnsi="Times New Roman" w:eastAsia="宋体" w:cs="Times New Roman"/>
        </w:rPr>
        <w:t>后付全款</w:t>
      </w:r>
      <w:r>
        <w:rPr>
          <w:rFonts w:hint="eastAsia" w:ascii="Times New Roman" w:hAnsi="Times New Roman" w:eastAsia="宋体" w:cs="Times New Roman"/>
          <w:lang w:val="en-US" w:eastAsia="zh-CN"/>
        </w:rPr>
        <w:t>100</w:t>
      </w:r>
      <w:r>
        <w:rPr>
          <w:rFonts w:hint="eastAsia" w:ascii="Times New Roman" w:hAnsi="Times New Roman" w:eastAsia="宋体" w:cs="Times New Roman"/>
        </w:rPr>
        <w:t>%</w:t>
      </w:r>
      <w:r>
        <w:rPr>
          <w:rFonts w:hint="eastAsia" w:ascii="Times New Roman" w:hAnsi="Times New Roman" w:eastAsia="宋体" w:cs="Times New Roman"/>
          <w:lang w:eastAsia="zh-CN"/>
        </w:rPr>
        <w:t>。</w:t>
      </w:r>
    </w:p>
    <w:p>
      <w:pPr>
        <w:ind w:firstLine="420" w:firstLineChars="200"/>
        <w:rPr>
          <w:rFonts w:hint="eastAsia" w:ascii="宋体" w:hAnsi="宋体" w:eastAsia="宋体" w:cs="宋体"/>
          <w:sz w:val="21"/>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pPr>
        <w:pStyle w:val="29"/>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pPr>
        <w:widowControl/>
        <w:jc w:val="left"/>
        <w:rPr>
          <w:rFonts w:asciiTheme="minorEastAsia" w:hAnsiTheme="minorEastAsia" w:eastAsiaTheme="minorEastAsia"/>
          <w:szCs w:val="21"/>
        </w:rPr>
      </w:pPr>
    </w:p>
    <w:p>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60</w:t>
      </w:r>
      <w:r>
        <w:rPr>
          <w:rFonts w:asciiTheme="minorEastAsia" w:hAnsiTheme="minorEastAsia" w:eastAsiaTheme="minorEastAsia"/>
          <w:b/>
          <w:bCs/>
          <w:color w:val="000000"/>
          <w:sz w:val="24"/>
        </w:rPr>
        <w:t>期</w:t>
      </w:r>
    </w:p>
    <w:p>
      <w:pPr>
        <w:spacing w:after="60"/>
        <w:rPr>
          <w:rFonts w:asciiTheme="minorEastAsia" w:hAnsiTheme="minorEastAsia" w:eastAsiaTheme="minorEastAsia"/>
          <w:b/>
          <w:bCs/>
          <w:color w:val="003368"/>
          <w:sz w:val="24"/>
        </w:rPr>
      </w:pPr>
    </w:p>
    <w:p>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60</w:t>
      </w:r>
    </w:p>
    <w:p>
      <w:pPr>
        <w:widowControl/>
        <w:spacing w:line="360" w:lineRule="atLeast"/>
        <w:rPr>
          <w:rStyle w:val="32"/>
          <w:rFonts w:asciiTheme="minorEastAsia" w:hAnsiTheme="minorEastAsia" w:eastAsiaTheme="minorEastAsia"/>
          <w:color w:val="000000"/>
          <w:szCs w:val="28"/>
        </w:rPr>
      </w:pP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pPr>
        <w:pStyle w:val="29"/>
        <w:rPr>
          <w:rFonts w:hint="eastAsia"/>
        </w:rPr>
      </w:pP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9</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23</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25</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26</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8</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29</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30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pPr>
        <w:pStyle w:val="18"/>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pPr>
              <w:keepNext w:val="0"/>
              <w:keepLines w:val="0"/>
              <w:suppressLineNumbers w:val="0"/>
              <w:spacing w:before="0" w:beforeAutospacing="0" w:after="0" w:afterAutospacing="0"/>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pPr>
        <w:rPr>
          <w:rFonts w:hint="eastAsia" w:ascii="宋体" w:hAnsi="宋体" w:eastAsia="宋体" w:cs="宋体"/>
          <w:kern w:val="0"/>
          <w:sz w:val="24"/>
          <w:szCs w:val="20"/>
          <w:lang w:val="en-US" w:eastAsia="zh-CN"/>
        </w:rPr>
      </w:pPr>
    </w:p>
    <w:p>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6"/>
    <w:p>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pPr>
        <w:pStyle w:val="9"/>
        <w:tabs>
          <w:tab w:val="left" w:pos="562"/>
          <w:tab w:val="left" w:pos="3372"/>
          <w:tab w:val="left" w:pos="3653"/>
        </w:tabs>
        <w:rPr>
          <w:rFonts w:hint="eastAsia"/>
          <w:lang w:eastAsia="zh-CN"/>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jc w:val="center"/>
        <w:rPr>
          <w:rFonts w:hint="eastAsia" w:ascii="宋体" w:hAnsi="宋体" w:cs="Arial"/>
          <w:b/>
          <w:sz w:val="24"/>
        </w:rPr>
      </w:pPr>
      <w:r>
        <w:rPr>
          <w:rFonts w:hint="eastAsia" w:ascii="宋体" w:hAnsi="宋体" w:cs="Arial"/>
          <w:b/>
          <w:sz w:val="24"/>
        </w:rPr>
        <w:t xml:space="preserve">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pStyle w:val="29"/>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pPr>
        <w:rPr>
          <w:rFonts w:hint="eastAsia" w:ascii="宋体" w:hAnsi="宋体" w:eastAsia="宋体" w:cs="宋体"/>
          <w:szCs w:val="21"/>
        </w:rPr>
      </w:pPr>
    </w:p>
    <w:p>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pPr>
        <w:adjustRightInd w:val="0"/>
        <w:snapToGrid w:val="0"/>
        <w:spacing w:after="60" w:line="360" w:lineRule="auto"/>
        <w:rPr>
          <w:rFonts w:hint="eastAsia" w:ascii="宋体" w:hAnsi="宋体" w:eastAsia="宋体" w:cs="宋体"/>
          <w:szCs w:val="21"/>
        </w:rPr>
      </w:pP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pStyle w:val="8"/>
              <w:keepNext w:val="0"/>
              <w:keepLines w:val="0"/>
              <w:widowControl/>
              <w:suppressLineNumbers w:val="0"/>
              <w:bidi w:val="0"/>
              <w:spacing w:before="0" w:beforeAutospacing="0" w:after="0" w:afterAutospacing="0"/>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bl>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pPr>
        <w:rPr>
          <w:rFonts w:hint="eastAsia" w:ascii="宋体" w:hAnsi="宋体" w:eastAsia="宋体" w:cs="宋体"/>
          <w:color w:val="000000"/>
        </w:rPr>
      </w:pPr>
    </w:p>
    <w:p>
      <w:pPr>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pPr>
        <w:outlineLvl w:val="0"/>
        <w:rPr>
          <w:rFonts w:hint="eastAsia" w:ascii="宋体" w:hAnsi="宋体" w:eastAsia="宋体" w:cs="宋体"/>
          <w:color w:val="000000"/>
        </w:rPr>
      </w:pPr>
      <w:r>
        <w:rPr>
          <w:rFonts w:hint="eastAsia" w:ascii="宋体" w:hAnsi="宋体" w:eastAsia="宋体" w:cs="宋体"/>
          <w:color w:val="000000"/>
        </w:rPr>
        <w:t>职务:</w:t>
      </w: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pStyle w:val="29"/>
        <w:rPr>
          <w:rFonts w:hint="eastAsia" w:ascii="宋体" w:hAnsi="宋体" w:eastAsia="宋体" w:cs="宋体"/>
          <w:color w:val="000000"/>
        </w:rPr>
      </w:pPr>
    </w:p>
    <w:p>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jc w:val="center"/>
        </w:trPr>
        <w:tc>
          <w:tcPr>
            <w:tcW w:w="8661" w:type="dxa"/>
            <w:gridSpan w:val="5"/>
          </w:tcPr>
          <w:p>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61" w:type="dxa"/>
            <w:gridSpan w:val="5"/>
          </w:tcPr>
          <w:p>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pPr>
        <w:rPr>
          <w:rFonts w:hint="eastAsia" w:ascii="宋体" w:hAnsi="宋体" w:eastAsia="宋体" w:cs="宋体"/>
          <w:color w:val="000000"/>
        </w:rPr>
      </w:pPr>
    </w:p>
    <w:p>
      <w:pPr>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pPr>
        <w:outlineLvl w:val="0"/>
        <w:rPr>
          <w:rFonts w:hint="eastAsia" w:ascii="宋体" w:hAnsi="宋体" w:eastAsia="宋体" w:cs="宋体"/>
          <w:color w:val="000000"/>
        </w:rPr>
      </w:pPr>
      <w:r>
        <w:rPr>
          <w:rFonts w:hint="eastAsia" w:ascii="宋体" w:hAnsi="宋体" w:eastAsia="宋体" w:cs="宋体"/>
          <w:color w:val="000000"/>
        </w:rPr>
        <w:t>职务:</w:t>
      </w:r>
    </w:p>
    <w:p>
      <w:pPr>
        <w:pStyle w:val="29"/>
        <w:rPr>
          <w:rFonts w:hint="eastAsia" w:ascii="宋体" w:hAnsi="宋体" w:eastAsia="宋体" w:cs="宋体"/>
          <w:color w:val="000000"/>
        </w:rPr>
      </w:pPr>
    </w:p>
    <w:p>
      <w:pPr>
        <w:pStyle w:val="29"/>
        <w:rPr>
          <w:rFonts w:hint="eastAsia" w:ascii="宋体" w:hAnsi="宋体" w:eastAsia="宋体" w:cs="宋体"/>
          <w:color w:val="000000"/>
        </w:rPr>
      </w:pPr>
    </w:p>
    <w:p>
      <w:pPr>
        <w:pStyle w:val="29"/>
        <w:rPr>
          <w:rFonts w:hint="eastAsia" w:ascii="宋体" w:hAnsi="宋体" w:eastAsia="宋体" w:cs="宋体"/>
          <w:color w:val="000000"/>
        </w:rPr>
      </w:pPr>
    </w:p>
    <w:p>
      <w:pPr>
        <w:pStyle w:val="29"/>
        <w:rPr>
          <w:rFonts w:hint="eastAsia" w:ascii="宋体" w:hAnsi="宋体" w:eastAsia="宋体" w:cs="宋体"/>
          <w:color w:val="000000"/>
        </w:rPr>
      </w:pPr>
    </w:p>
    <w:p>
      <w:pPr>
        <w:outlineLvl w:val="0"/>
        <w:rPr>
          <w:rFonts w:hint="eastAsia" w:ascii="宋体" w:hAnsi="宋体" w:cs="宋体"/>
          <w:b/>
          <w:bCs/>
          <w:color w:val="FF0000"/>
          <w:sz w:val="24"/>
          <w:szCs w:val="24"/>
          <w:lang w:val="en-US" w:eastAsia="zh-CN"/>
        </w:rPr>
      </w:pPr>
    </w:p>
    <w:p>
      <w:pPr>
        <w:rPr>
          <w:rFonts w:hint="eastAsia" w:ascii="宋体" w:hAnsi="宋体" w:cs="宋体"/>
          <w:b/>
          <w:sz w:val="24"/>
          <w:lang w:val="en-US" w:eastAsia="zh-CN"/>
        </w:rPr>
      </w:pPr>
    </w:p>
    <w:p>
      <w:pPr>
        <w:rPr>
          <w:rFonts w:hint="eastAsia" w:ascii="宋体" w:hAnsi="宋体" w:cs="宋体"/>
          <w:b/>
          <w:sz w:val="24"/>
          <w:lang w:val="en-US" w:eastAsia="zh-CN"/>
        </w:rPr>
      </w:pPr>
      <w:r>
        <w:rPr>
          <w:rFonts w:hint="eastAsia" w:ascii="宋体" w:hAnsi="宋体" w:cs="宋体"/>
          <w:b/>
          <w:sz w:val="24"/>
          <w:lang w:val="en-US" w:eastAsia="zh-CN"/>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pPr>
        <w:autoSpaceDE w:val="0"/>
        <w:autoSpaceDN w:val="0"/>
        <w:adjustRightInd w:val="0"/>
        <w:spacing w:line="360" w:lineRule="auto"/>
        <w:rPr>
          <w:rFonts w:ascii="宋体" w:hAnsi="宋体"/>
          <w:b/>
          <w:color w:val="FF0000"/>
          <w:sz w:val="24"/>
        </w:rPr>
      </w:pPr>
    </w:p>
    <w:p>
      <w:pPr>
        <w:spacing w:line="360" w:lineRule="auto"/>
        <w:rPr>
          <w:b/>
          <w:bCs/>
          <w:sz w:val="24"/>
        </w:rPr>
      </w:pPr>
    </w:p>
    <w:p>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29"/>
        <w:rPr>
          <w:rFonts w:hint="eastAsia"/>
          <w:lang w:eastAsia="zh-CN"/>
        </w:rPr>
      </w:pPr>
    </w:p>
    <w:p>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cs="宋体"/>
          <w:b/>
          <w:sz w:val="24"/>
          <w:lang w:val="en-US" w:eastAsia="zh-CN"/>
        </w:rPr>
      </w:pPr>
      <w:bookmarkStart w:id="7" w:name="_Toc17479"/>
      <w:bookmarkStart w:id="8" w:name="_Toc275865606"/>
      <w:bookmarkStart w:id="9" w:name="_Toc435514855"/>
      <w:bookmarkStart w:id="10" w:name="_Toc24650"/>
      <w:bookmarkStart w:id="11" w:name="_Toc435515295"/>
      <w:r>
        <w:rPr>
          <w:rFonts w:hint="eastAsia" w:ascii="宋体" w:hAnsi="宋体" w:cs="宋体"/>
          <w:b/>
          <w:sz w:val="24"/>
          <w:lang w:val="en-US" w:eastAsia="zh-CN"/>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7"/>
      <w:bookmarkEnd w:id="8"/>
      <w:bookmarkEnd w:id="9"/>
      <w:bookmarkEnd w:id="10"/>
      <w:bookmarkEnd w:id="11"/>
      <w:r>
        <w:rPr>
          <w:rFonts w:hint="eastAsia" w:ascii="宋体" w:hAnsi="宋体" w:cs="宋体"/>
          <w:b/>
          <w:sz w:val="24"/>
          <w:lang w:val="en-US" w:eastAsia="zh-CN"/>
        </w:rPr>
        <w:t>投标及履约承诺函</w:t>
      </w:r>
    </w:p>
    <w:p>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pPr>
        <w:spacing w:line="360" w:lineRule="auto"/>
        <w:ind w:firstLine="420" w:firstLineChars="200"/>
        <w:rPr>
          <w:rFonts w:ascii="宋体" w:hAnsi="宋体"/>
          <w:szCs w:val="21"/>
        </w:rPr>
      </w:pPr>
      <w:r>
        <w:rPr>
          <w:rFonts w:hint="eastAsia" w:ascii="宋体" w:hAnsi="宋体"/>
          <w:szCs w:val="21"/>
        </w:rPr>
        <w:t>1.具有独立承担民事责任的能力；</w:t>
      </w:r>
    </w:p>
    <w:p>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pPr>
        <w:spacing w:line="360" w:lineRule="auto"/>
        <w:ind w:firstLine="420" w:firstLineChars="200"/>
        <w:rPr>
          <w:rFonts w:ascii="宋体" w:hAnsi="宋体"/>
          <w:szCs w:val="21"/>
        </w:rPr>
      </w:pPr>
      <w:r>
        <w:rPr>
          <w:rFonts w:hint="eastAsia" w:ascii="宋体" w:hAnsi="宋体"/>
          <w:szCs w:val="21"/>
        </w:rPr>
        <w:t>6.法律、行政法规规定的其他条件。</w:t>
      </w:r>
    </w:p>
    <w:p>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spacing w:line="300" w:lineRule="exact"/>
        <w:ind w:firstLine="420" w:firstLineChars="200"/>
        <w:rPr>
          <w:rFonts w:ascii="宋体" w:hAnsi="宋体"/>
          <w:color w:val="FF0000"/>
          <w:szCs w:val="21"/>
        </w:rPr>
      </w:pPr>
    </w:p>
    <w:p>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pPr>
        <w:spacing w:line="360" w:lineRule="auto"/>
        <w:ind w:firstLine="480" w:firstLineChars="200"/>
        <w:rPr>
          <w:rFonts w:ascii="宋体" w:hAnsi="宋体"/>
          <w:sz w:val="24"/>
        </w:rPr>
      </w:pPr>
    </w:p>
    <w:p>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b/>
          <w:bCs/>
          <w:sz w:val="24"/>
        </w:rPr>
      </w:pPr>
      <w:r>
        <w:rPr>
          <w:rFonts w:hint="eastAsia" w:ascii="宋体" w:hAnsi="宋体"/>
          <w:b/>
          <w:bCs/>
          <w:sz w:val="24"/>
        </w:rPr>
        <w:br w:type="page"/>
      </w:r>
    </w:p>
    <w:p>
      <w:pPr>
        <w:pStyle w:val="3"/>
        <w:numPr>
          <w:ilvl w:val="0"/>
          <w:numId w:val="0"/>
        </w:numPr>
        <w:spacing w:line="240" w:lineRule="auto"/>
        <w:ind w:leftChars="0"/>
        <w:jc w:val="center"/>
        <w:rPr>
          <w:rFonts w:asciiTheme="majorEastAsia" w:hAnsiTheme="majorEastAsia" w:eastAsiaTheme="majorEastAsia"/>
          <w:sz w:val="30"/>
          <w:szCs w:val="30"/>
        </w:rPr>
      </w:pPr>
      <w:bookmarkStart w:id="12"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highlight w:val="yellow"/>
        </w:rPr>
      </w:pPr>
    </w:p>
    <w:p>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29"/>
        <w:rPr>
          <w:rFonts w:hint="eastAsia"/>
          <w:lang w:eastAsia="zh-CN"/>
        </w:rPr>
      </w:pPr>
    </w:p>
    <w:p>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spacing w:line="360" w:lineRule="auto"/>
        <w:rPr>
          <w:rFonts w:asciiTheme="minorEastAsia" w:hAnsiTheme="minorEastAsia" w:eastAsiaTheme="minorEastAsia" w:cstheme="minorEastAsia"/>
          <w:b/>
          <w:bCs/>
          <w:szCs w:val="21"/>
          <w:highlight w:val="yellow"/>
        </w:rPr>
      </w:pPr>
    </w:p>
    <w:p>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pPr>
        <w:spacing w:line="360" w:lineRule="auto"/>
        <w:rPr>
          <w:rFonts w:hint="eastAsia" w:ascii="宋体" w:hAnsi="宋体"/>
          <w:b/>
          <w:bCs/>
          <w:sz w:val="24"/>
        </w:rPr>
      </w:pP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pPr>
        <w:pStyle w:val="5"/>
        <w:spacing w:after="60" w:line="480" w:lineRule="atLeast"/>
        <w:ind w:firstLine="480"/>
        <w:rPr>
          <w:rFonts w:hint="eastAsia" w:ascii="宋体" w:hAnsi="宋体" w:eastAsia="宋体" w:cs="宋体"/>
          <w:color w:val="000000"/>
          <w:sz w:val="24"/>
        </w:rPr>
      </w:pPr>
    </w:p>
    <w:p>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pPr>
        <w:spacing w:after="60"/>
        <w:rPr>
          <w:rFonts w:ascii="宋体" w:hAnsi="宋体"/>
          <w:color w:val="000000"/>
          <w:szCs w:val="21"/>
        </w:rPr>
      </w:pPr>
      <w:r>
        <w:rPr>
          <w:rFonts w:ascii="宋体" w:hAnsi="宋体"/>
          <w:color w:val="000000"/>
          <w:szCs w:val="21"/>
        </w:rPr>
        <w:t>特此证明</w:t>
      </w: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供应商:</w:t>
      </w:r>
    </w:p>
    <w:p>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pPr>
        <w:spacing w:after="60"/>
        <w:rPr>
          <w:rFonts w:ascii="宋体" w:hAnsi="宋体"/>
          <w:color w:val="000000"/>
          <w:szCs w:val="21"/>
        </w:rPr>
      </w:pP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pPr>
        <w:spacing w:line="300" w:lineRule="auto"/>
        <w:rPr>
          <w:rFonts w:ascii="Arial" w:hAnsi="Arial"/>
          <w:szCs w:val="21"/>
        </w:rPr>
      </w:pP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p>
    <w:p>
      <w:pPr>
        <w:rPr>
          <w:sz w:val="28"/>
          <w:szCs w:val="28"/>
        </w:rPr>
      </w:pPr>
    </w:p>
    <w:p>
      <w:pPr>
        <w:rPr>
          <w:sz w:val="28"/>
          <w:szCs w:val="28"/>
        </w:rPr>
      </w:pPr>
    </w:p>
    <w:p>
      <w:pPr>
        <w:spacing w:after="78" w:afterLines="25" w:line="300" w:lineRule="auto"/>
        <w:rPr>
          <w:rFonts w:asciiTheme="minorEastAsia" w:hAnsiTheme="minorEastAsia" w:eastAsiaTheme="minorEastAsia"/>
          <w:color w:val="000000"/>
        </w:rPr>
      </w:pP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pStyle w:val="9"/>
        <w:rPr>
          <w:rFonts w:hint="eastAsia"/>
          <w:lang w:val="en-US" w:eastAsia="zh-CN"/>
        </w:rPr>
      </w:pP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p>
    <w:p>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pPr>
        <w:spacing w:after="60"/>
        <w:jc w:val="center"/>
        <w:rPr>
          <w:rFonts w:hint="eastAsia" w:cs="Arial" w:asciiTheme="minorEastAsia" w:hAnsiTheme="minorEastAsia" w:eastAsiaTheme="minorEastAsia"/>
          <w:b/>
          <w:color w:val="000000"/>
          <w:sz w:val="24"/>
          <w:lang w:val="en-US" w:eastAsia="zh-CN"/>
        </w:rPr>
      </w:pPr>
    </w:p>
    <w:p>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pPr>
        <w:pStyle w:val="5"/>
        <w:ind w:firstLine="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rPr>
          <w:rFonts w:asciiTheme="minorEastAsia" w:hAnsiTheme="minorEastAsia" w:eastAsiaTheme="minorEastAsia"/>
          <w:color w:val="000000"/>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pPr>
        <w:spacing w:after="78" w:afterLines="25" w:line="300" w:lineRule="auto"/>
        <w:rPr>
          <w:rFonts w:asciiTheme="minorEastAsia" w:hAnsiTheme="minorEastAsia" w:eastAsiaTheme="minorEastAsia"/>
          <w:color w:val="000000"/>
        </w:rPr>
      </w:pPr>
    </w:p>
    <w:p>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rPr>
          <w:rFonts w:cs="Arial" w:asciiTheme="minorEastAsia" w:hAnsiTheme="minorEastAsia" w:eastAsiaTheme="minorEastAsia"/>
          <w:b/>
          <w:color w:val="000000"/>
          <w:sz w:val="28"/>
          <w:szCs w:val="28"/>
        </w:rPr>
      </w:pP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pPr>
        <w:spacing w:after="78" w:afterLines="25" w:line="300" w:lineRule="auto"/>
        <w:ind w:left="420"/>
        <w:rPr>
          <w:rFonts w:cs="Arial" w:asciiTheme="minorEastAsia" w:hAnsiTheme="minorEastAsia" w:eastAsiaTheme="minorEastAsia"/>
          <w:color w:val="000000"/>
        </w:rPr>
      </w:pPr>
    </w:p>
    <w:p>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78" w:afterLines="25" w:line="300" w:lineRule="auto"/>
        <w:ind w:left="420"/>
        <w:rPr>
          <w:rFonts w:cs="Arial" w:asciiTheme="minorEastAsia" w:hAnsiTheme="minorEastAsia" w:eastAsiaTheme="minorEastAsia"/>
          <w:color w:val="000000"/>
        </w:rPr>
      </w:pPr>
    </w:p>
    <w:p>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spacing w:after="60"/>
        <w:ind w:firstLine="562" w:firstLineChars="200"/>
        <w:jc w:val="center"/>
        <w:rPr>
          <w:rFonts w:asciiTheme="minorEastAsia" w:hAnsiTheme="minorEastAsia" w:eastAsiaTheme="minorEastAsia"/>
          <w:b/>
          <w:color w:val="000000"/>
          <w:sz w:val="28"/>
          <w:szCs w:val="28"/>
        </w:rPr>
      </w:pPr>
    </w:p>
    <w:p>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9</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pPr>
        <w:spacing w:after="60"/>
        <w:rPr>
          <w:rFonts w:cs="Arial" w:asciiTheme="minorEastAsia" w:hAnsiTheme="minorEastAsia" w:eastAsiaTheme="minorEastAsia"/>
          <w:color w:val="000000"/>
          <w:szCs w:val="21"/>
        </w:rPr>
      </w:pPr>
    </w:p>
    <w:p>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60"/>
        <w:rPr>
          <w:rFonts w:cs="Arial" w:asciiTheme="minorEastAsia" w:hAnsiTheme="minorEastAsia" w:eastAsiaTheme="minorEastAsia"/>
          <w:color w:val="000000"/>
        </w:rPr>
      </w:pPr>
    </w:p>
    <w:p>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szCs w:val="21"/>
        </w:rPr>
      </w:pPr>
    </w:p>
    <w:p>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pPr>
        <w:spacing w:after="60"/>
        <w:rPr>
          <w:rFonts w:cs="Arial" w:asciiTheme="minorEastAsia" w:hAnsiTheme="minorEastAsia" w:eastAsiaTheme="minorEastAsia"/>
          <w:color w:val="000000"/>
          <w:szCs w:val="21"/>
        </w:rPr>
      </w:pPr>
    </w:p>
    <w:p>
      <w:pPr>
        <w:rPr>
          <w:rFonts w:hint="eastAsia" w:ascii="宋体" w:hAnsi="宋体" w:cs="宋体"/>
          <w:color w:val="000000"/>
          <w:szCs w:val="21"/>
          <w:lang w:val="en-US" w:eastAsia="zh-CN"/>
        </w:rPr>
      </w:pPr>
      <w:bookmarkStart w:id="13" w:name="_Toc12271"/>
      <w:r>
        <w:rPr>
          <w:rFonts w:hint="eastAsia" w:ascii="宋体" w:hAnsi="宋体" w:cs="宋体"/>
          <w:color w:val="000000"/>
          <w:szCs w:val="21"/>
          <w:lang w:val="en-US" w:eastAsia="zh-CN"/>
        </w:rPr>
        <w:br w:type="page"/>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20、</w:t>
      </w:r>
      <w:r>
        <w:rPr>
          <w:rFonts w:hint="eastAsia" w:ascii="宋体" w:hAnsi="宋体" w:eastAsia="宋体" w:cs="宋体"/>
          <w:b/>
          <w:color w:val="000000"/>
          <w:kern w:val="2"/>
          <w:sz w:val="28"/>
          <w:szCs w:val="28"/>
          <w:lang w:val="en-US" w:eastAsia="zh-CN" w:bidi="ar-SA"/>
        </w:rPr>
        <w:t>提供法定代表人、主要经营负责人、项目投标授权</w:t>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3"/>
    </w:p>
    <w:p>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pPr>
        <w:spacing w:after="60"/>
        <w:rPr>
          <w:rFonts w:cs="Arial" w:asciiTheme="minorEastAsia" w:hAnsiTheme="minorEastAsia" w:eastAsiaTheme="minorEastAsia"/>
          <w:color w:val="000000"/>
          <w:szCs w:val="21"/>
        </w:rPr>
      </w:pPr>
    </w:p>
    <w:p>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pPr>
        <w:spacing w:after="60"/>
        <w:ind w:firstLine="210" w:firstLineChars="100"/>
        <w:rPr>
          <w:rFonts w:cs="Arial" w:asciiTheme="minorEastAsia" w:hAnsiTheme="minorEastAsia" w:eastAsiaTheme="minorEastAsia"/>
          <w:color w:val="000000"/>
        </w:rPr>
      </w:pPr>
    </w:p>
    <w:p>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pPr>
        <w:spacing w:after="60"/>
        <w:ind w:firstLine="210" w:firstLineChars="100"/>
        <w:rPr>
          <w:rFonts w:cs="Arial" w:asciiTheme="minorEastAsia" w:hAnsiTheme="minorEastAsia" w:eastAsiaTheme="minorEastAsia"/>
          <w:color w:val="000000"/>
        </w:rPr>
      </w:pPr>
    </w:p>
    <w:p>
      <w:pPr>
        <w:spacing w:after="60"/>
        <w:ind w:firstLine="210" w:firstLineChars="100"/>
        <w:rPr>
          <w:rFonts w:cs="Arial" w:asciiTheme="minorEastAsia" w:hAnsiTheme="minorEastAsia" w:eastAsiaTheme="minorEastAsia"/>
          <w:color w:val="000000"/>
        </w:rPr>
      </w:pPr>
    </w:p>
    <w:p>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24</w:t>
      </w:r>
      <w:r>
        <w:rPr>
          <w:rFonts w:hint="eastAsia" w:ascii="宋体" w:hAnsi="宋体"/>
          <w:b/>
          <w:sz w:val="24"/>
          <w:szCs w:val="24"/>
        </w:rPr>
        <w:t>、投标人诚信承诺函</w:t>
      </w:r>
    </w:p>
    <w:p>
      <w:pPr>
        <w:rPr>
          <w:sz w:val="24"/>
        </w:rPr>
      </w:pPr>
    </w:p>
    <w:p>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pPr>
        <w:rPr>
          <w:rFonts w:hint="eastAsia" w:ascii="宋体" w:hAnsi="宋体" w:eastAsia="宋体" w:cs="宋体"/>
          <w:sz w:val="24"/>
          <w:szCs w:val="24"/>
        </w:rPr>
      </w:pPr>
    </w:p>
    <w:p>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pPr>
        <w:spacing w:line="400" w:lineRule="exact"/>
        <w:ind w:firstLine="480" w:firstLineChars="200"/>
        <w:jc w:val="left"/>
        <w:rPr>
          <w:rFonts w:ascii="宋体" w:hAnsi="宋体"/>
          <w:color w:val="auto"/>
          <w:sz w:val="24"/>
        </w:rPr>
      </w:pPr>
    </w:p>
    <w:p>
      <w:pPr>
        <w:spacing w:line="300" w:lineRule="auto"/>
        <w:jc w:val="left"/>
        <w:rPr>
          <w:rFonts w:ascii="宋体" w:hAnsi="宋体"/>
          <w:color w:val="auto"/>
          <w:sz w:val="24"/>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pPr>
        <w:adjustRightInd w:val="0"/>
        <w:snapToGrid w:val="0"/>
        <w:spacing w:line="300" w:lineRule="auto"/>
        <w:ind w:right="420"/>
        <w:rPr>
          <w:snapToGrid w:val="0"/>
          <w:kern w:val="0"/>
        </w:rPr>
      </w:pPr>
    </w:p>
    <w:p>
      <w:pPr>
        <w:spacing w:after="60"/>
        <w:ind w:firstLine="1205" w:firstLineChars="500"/>
        <w:jc w:val="center"/>
        <w:rPr>
          <w:rFonts w:cs="Arial"/>
          <w:b/>
          <w:color w:val="000000"/>
          <w:sz w:val="24"/>
        </w:rPr>
      </w:pPr>
    </w:p>
    <w:p>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pPr>
        <w:rPr>
          <w:rFonts w:hint="eastAsia" w:cs="Arial" w:asciiTheme="minorEastAsia" w:hAnsiTheme="minorEastAsia" w:eastAsiaTheme="minorEastAsia"/>
          <w:b/>
          <w:color w:val="000000"/>
          <w:sz w:val="28"/>
          <w:szCs w:val="28"/>
          <w:lang w:val="en-US" w:eastAsia="zh-CN"/>
        </w:rPr>
      </w:pPr>
    </w:p>
    <w:p>
      <w:pPr>
        <w:rPr>
          <w:rFonts w:hint="eastAsia" w:cs="Arial" w:asciiTheme="minorEastAsia" w:hAnsiTheme="minorEastAsia" w:eastAsiaTheme="minorEastAsia"/>
          <w:b/>
          <w:color w:val="000000"/>
          <w:sz w:val="28"/>
          <w:szCs w:val="28"/>
          <w:lang w:val="en-US" w:eastAsia="zh-CN"/>
        </w:rPr>
      </w:pPr>
    </w:p>
    <w:p>
      <w:pPr>
        <w:spacing w:line="300" w:lineRule="auto"/>
        <w:jc w:val="left"/>
        <w:rPr>
          <w:rFonts w:ascii="宋体" w:hAnsi="宋体"/>
          <w:color w:val="auto"/>
          <w:sz w:val="24"/>
        </w:rPr>
      </w:pPr>
    </w:p>
    <w:p>
      <w:pPr>
        <w:pStyle w:val="10"/>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25</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ascii="MS Gothic" w:hAnsi="MS Gothic" w:eastAsia="MS Gothic" w:cs="MS Gothic"/>
          <w:b/>
          <w:bCs/>
          <w:szCs w:val="21"/>
        </w:rPr>
      </w:pPr>
      <w:r>
        <w:rPr>
          <w:rFonts w:ascii="MS Gothic" w:hAnsi="MS Gothic" w:eastAsia="MS Gothic" w:cs="MS Gothic"/>
          <w:b/>
          <w:bCs/>
          <w:szCs w:val="21"/>
        </w:rPr>
        <w:br w:type="page"/>
      </w:r>
    </w:p>
    <w:p>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pPr>
        <w:spacing w:line="320" w:lineRule="exact"/>
        <w:ind w:firstLine="840" w:firstLineChars="350"/>
        <w:rPr>
          <w:rFonts w:ascii="宋体" w:hAnsi="宋体"/>
          <w:bCs/>
          <w:sz w:val="24"/>
        </w:rPr>
      </w:pPr>
    </w:p>
    <w:p>
      <w:pPr>
        <w:spacing w:line="320" w:lineRule="exact"/>
        <w:ind w:firstLine="840" w:firstLineChars="350"/>
        <w:rPr>
          <w:rFonts w:ascii="宋体" w:hAnsi="宋体"/>
          <w:bCs/>
          <w:sz w:val="24"/>
        </w:rP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widowControl/>
        <w:spacing w:line="360" w:lineRule="atLeast"/>
        <w:jc w:val="center"/>
        <w:rPr>
          <w:rFonts w:cs="宋体" w:asciiTheme="minorEastAsia" w:hAnsiTheme="minorEastAsia" w:eastAsiaTheme="minorEastAsia"/>
          <w:bCs/>
          <w:kern w:val="0"/>
          <w:sz w:val="24"/>
        </w:rPr>
      </w:pPr>
    </w:p>
    <w:p>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25.3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pPr>
        <w:jc w:val="both"/>
        <w:rPr>
          <w:rFonts w:hint="default" w:eastAsia="宋体"/>
          <w:lang w:val="en-US" w:eastAsia="zh-CN"/>
        </w:rPr>
      </w:pPr>
      <w:r>
        <w:rPr>
          <w:rFonts w:hint="eastAsia"/>
          <w:lang w:val="en-US" w:eastAsia="zh-CN"/>
        </w:rPr>
        <w:t>截图二：一般违法行为查询</w:t>
      </w:r>
    </w:p>
    <w:p>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pPr>
        <w:jc w:val="cente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rPr>
          <w:rFonts w:ascii="MS Mincho" w:hAnsi="MS Mincho" w:eastAsia="MS Mincho" w:cs="MS Mincho"/>
          <w:b/>
          <w:bCs/>
          <w:szCs w:val="21"/>
        </w:rPr>
      </w:pPr>
      <w:r>
        <w:rPr>
          <w:rFonts w:ascii="MS Mincho" w:hAnsi="MS Mincho" w:eastAsia="MS Mincho" w:cs="MS Mincho"/>
          <w:b/>
          <w:bCs/>
          <w:szCs w:val="21"/>
        </w:rPr>
        <w:br w:type="page"/>
      </w: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25.4、深圳信用网查询记录网络截图件</w:t>
      </w:r>
    </w:p>
    <w:p>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pPr>
        <w:widowControl/>
        <w:ind w:left="1"/>
        <w:jc w:val="center"/>
        <w:rPr>
          <w:rFonts w:cs="宋体-18030" w:asciiTheme="minorEastAsia" w:hAnsiTheme="minorEastAsia" w:eastAsiaTheme="minorEastAsia"/>
          <w:b/>
          <w:bCs/>
          <w:color w:val="000000"/>
          <w:sz w:val="36"/>
          <w:szCs w:val="36"/>
        </w:rPr>
      </w:pP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p>
    <w:p>
      <w:pPr>
        <w:rPr>
          <w:rFonts w:cs="Arial" w:asciiTheme="minorEastAsia" w:hAnsiTheme="minorEastAsia" w:eastAsiaTheme="minorEastAsia"/>
          <w:b/>
          <w:color w:val="000000"/>
          <w:sz w:val="28"/>
          <w:szCs w:val="28"/>
        </w:rPr>
      </w:pP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rPr>
          <w:rFonts w:cs="宋体-18030" w:asciiTheme="minorEastAsia" w:hAnsiTheme="minorEastAsia" w:eastAsiaTheme="minorEastAsia"/>
          <w:b/>
          <w:bCs/>
          <w:color w:val="000000"/>
          <w:sz w:val="36"/>
          <w:szCs w:val="36"/>
        </w:rPr>
      </w:pPr>
    </w:p>
    <w:p>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pPr>
        <w:widowControl/>
        <w:spacing w:line="360" w:lineRule="atLeast"/>
        <w:jc w:val="center"/>
        <w:rPr>
          <w:rFonts w:cs="宋体" w:asciiTheme="minorEastAsia" w:hAnsiTheme="minorEastAsia" w:eastAsiaTheme="minorEastAsia"/>
          <w:bCs/>
          <w:kern w:val="0"/>
          <w:sz w:val="24"/>
        </w:rPr>
      </w:pPr>
    </w:p>
    <w:p>
      <w:pPr>
        <w:rPr>
          <w:rFonts w:asciiTheme="minorEastAsia" w:hAnsiTheme="minorEastAsia" w:eastAsiaTheme="minorEastAsia"/>
        </w:rPr>
      </w:pPr>
    </w:p>
    <w:p>
      <w:pPr>
        <w:spacing w:after="78" w:afterLines="25" w:line="300" w:lineRule="auto"/>
        <w:ind w:left="420"/>
        <w:jc w:val="center"/>
        <w:rPr>
          <w:rFonts w:cs="宋体" w:asciiTheme="minorEastAsia" w:hAnsiTheme="minorEastAsia" w:eastAsiaTheme="minorEastAsia"/>
          <w:bCs/>
          <w:kern w:val="0"/>
          <w:sz w:val="24"/>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420"/>
        <w:rPr>
          <w:rFonts w:asciiTheme="minorEastAsia" w:hAnsiTheme="minorEastAsia" w:eastAsiaTheme="minorEastAsia"/>
        </w:rPr>
      </w:pPr>
    </w:p>
    <w:p>
      <w:pPr>
        <w:pStyle w:val="29"/>
        <w:ind w:firstLine="0" w:firstLineChars="0"/>
        <w:rPr>
          <w:rFonts w:asciiTheme="minorEastAsia" w:hAnsiTheme="minorEastAsia" w:eastAsiaTheme="minorEastAsia"/>
        </w:rPr>
      </w:pPr>
    </w:p>
    <w:p>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30</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60</w:t>
      </w:r>
      <w:r>
        <w:rPr>
          <w:rFonts w:cs="Arial" w:asciiTheme="minorEastAsia" w:hAnsiTheme="minorEastAsia" w:eastAsiaTheme="minorEastAsia"/>
          <w:b/>
          <w:color w:val="000000"/>
          <w:sz w:val="28"/>
          <w:szCs w:val="28"/>
        </w:rPr>
        <w:t>期</w:t>
      </w:r>
    </w:p>
    <w:p>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60</w:t>
      </w:r>
    </w:p>
    <w:tbl>
      <w:tblPr>
        <w:tblStyle w:val="22"/>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r>
        <w:rPr>
          <w:rFonts w:cs="宋体-18030" w:asciiTheme="minorEastAsia" w:hAnsiTheme="minorEastAsia" w:eastAsiaTheme="minor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r>
        <w:rPr>
          <w:rFonts w:ascii="MS Gothic" w:hAnsi="MS Gothic" w:eastAsia="MS Gothic" w:cs="MS Gothic"/>
          <w:bCs/>
          <w:color w:val="002060"/>
          <w:kern w:val="0"/>
          <w:szCs w:val="21"/>
        </w:rPr>
        <w:t>｡</w:t>
      </w:r>
      <w:r>
        <w:rPr>
          <w:rFonts w:cs="宋体-18030" w:asciiTheme="minorEastAsia" w:hAnsiTheme="minorEastAsia" w:eastAsiaTheme="minorEastAsia"/>
          <w:bCs/>
          <w:color w:val="002060"/>
          <w:kern w:val="0"/>
          <w:szCs w:val="21"/>
        </w:rPr>
        <w:t>)</w:t>
      </w:r>
    </w:p>
    <w:tbl>
      <w:tblPr>
        <w:tblStyle w:val="22"/>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pPr>
          <w:pStyle w:val="13"/>
          <w:jc w:val="center"/>
        </w:pPr>
        <w:r>
          <w:fldChar w:fldCharType="begin"/>
        </w:r>
        <w:r>
          <w:instrText xml:space="preserve"> PAGE   \* MERGEFORMAT </w:instrText>
        </w:r>
        <w:r>
          <w:fldChar w:fldCharType="separate"/>
        </w:r>
        <w:r>
          <w:rPr>
            <w:lang w:val="zh-CN"/>
          </w:rPr>
          <w:t>-</w:t>
        </w:r>
        <w:r>
          <w:t xml:space="preserve"> 1 -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3"/>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2FA306B"/>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506EE6"/>
    <w:rsid w:val="06795EFA"/>
    <w:rsid w:val="071353AA"/>
    <w:rsid w:val="07927F8D"/>
    <w:rsid w:val="07D9575B"/>
    <w:rsid w:val="07E57DCD"/>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80E7F24"/>
    <w:rsid w:val="187B7A29"/>
    <w:rsid w:val="189578F6"/>
    <w:rsid w:val="18DC7C0F"/>
    <w:rsid w:val="197E14D4"/>
    <w:rsid w:val="19EA71F3"/>
    <w:rsid w:val="1A0339D6"/>
    <w:rsid w:val="1A1832E5"/>
    <w:rsid w:val="1A3F765B"/>
    <w:rsid w:val="1AF13D06"/>
    <w:rsid w:val="1AF40C41"/>
    <w:rsid w:val="1B821D48"/>
    <w:rsid w:val="1BA103B8"/>
    <w:rsid w:val="1BA50ED5"/>
    <w:rsid w:val="1BF5062A"/>
    <w:rsid w:val="1C055862"/>
    <w:rsid w:val="1C057370"/>
    <w:rsid w:val="1C213E1A"/>
    <w:rsid w:val="1C2D35AD"/>
    <w:rsid w:val="1C58318F"/>
    <w:rsid w:val="1CCF0E83"/>
    <w:rsid w:val="1CFD04F5"/>
    <w:rsid w:val="1D070E24"/>
    <w:rsid w:val="1D43377F"/>
    <w:rsid w:val="1E654F82"/>
    <w:rsid w:val="1EB439BC"/>
    <w:rsid w:val="1ED33FB6"/>
    <w:rsid w:val="1ED54DF8"/>
    <w:rsid w:val="1EE85B65"/>
    <w:rsid w:val="1EF424A3"/>
    <w:rsid w:val="1F4B6707"/>
    <w:rsid w:val="1F64741E"/>
    <w:rsid w:val="1FDD5E44"/>
    <w:rsid w:val="2027280B"/>
    <w:rsid w:val="202D47D4"/>
    <w:rsid w:val="20BB7D17"/>
    <w:rsid w:val="20C5782C"/>
    <w:rsid w:val="20CB5EB6"/>
    <w:rsid w:val="20CB71D8"/>
    <w:rsid w:val="20F14BC7"/>
    <w:rsid w:val="20F55779"/>
    <w:rsid w:val="21247011"/>
    <w:rsid w:val="213E37D6"/>
    <w:rsid w:val="21556224"/>
    <w:rsid w:val="21626206"/>
    <w:rsid w:val="21827141"/>
    <w:rsid w:val="21A773A1"/>
    <w:rsid w:val="22FF7F7B"/>
    <w:rsid w:val="23FC66AE"/>
    <w:rsid w:val="242A0B1C"/>
    <w:rsid w:val="242A5EB9"/>
    <w:rsid w:val="246D27F6"/>
    <w:rsid w:val="24BE2127"/>
    <w:rsid w:val="24F46AA1"/>
    <w:rsid w:val="260E0413"/>
    <w:rsid w:val="26383A83"/>
    <w:rsid w:val="26BC06CE"/>
    <w:rsid w:val="27006FF4"/>
    <w:rsid w:val="27307827"/>
    <w:rsid w:val="2760700D"/>
    <w:rsid w:val="27907A19"/>
    <w:rsid w:val="279A4F10"/>
    <w:rsid w:val="27A424B1"/>
    <w:rsid w:val="289F6214"/>
    <w:rsid w:val="28CD6F6F"/>
    <w:rsid w:val="28F60B2A"/>
    <w:rsid w:val="29106B2B"/>
    <w:rsid w:val="293E69A1"/>
    <w:rsid w:val="297E0FB4"/>
    <w:rsid w:val="29A87F57"/>
    <w:rsid w:val="2A0337FC"/>
    <w:rsid w:val="2A1E1C0C"/>
    <w:rsid w:val="2AA02CE2"/>
    <w:rsid w:val="2AB87D71"/>
    <w:rsid w:val="2AC670C5"/>
    <w:rsid w:val="2ADC2444"/>
    <w:rsid w:val="2AE800F4"/>
    <w:rsid w:val="2AF615D8"/>
    <w:rsid w:val="2BAB6F7D"/>
    <w:rsid w:val="2BDC6196"/>
    <w:rsid w:val="2BE9410E"/>
    <w:rsid w:val="2BEC37E2"/>
    <w:rsid w:val="2C5E33A5"/>
    <w:rsid w:val="2C5F486A"/>
    <w:rsid w:val="2D861E09"/>
    <w:rsid w:val="2D937660"/>
    <w:rsid w:val="2E44259E"/>
    <w:rsid w:val="2E7C01E1"/>
    <w:rsid w:val="2E883D14"/>
    <w:rsid w:val="2ECA5384"/>
    <w:rsid w:val="2EFD3C9E"/>
    <w:rsid w:val="2F3A33B2"/>
    <w:rsid w:val="2F8A6913"/>
    <w:rsid w:val="2FF344D2"/>
    <w:rsid w:val="307E36DC"/>
    <w:rsid w:val="3084790D"/>
    <w:rsid w:val="30882BA1"/>
    <w:rsid w:val="308E5631"/>
    <w:rsid w:val="31364D63"/>
    <w:rsid w:val="31AA55D1"/>
    <w:rsid w:val="31AB08CF"/>
    <w:rsid w:val="31C45F6A"/>
    <w:rsid w:val="32564989"/>
    <w:rsid w:val="325D03C5"/>
    <w:rsid w:val="326C34F4"/>
    <w:rsid w:val="32940051"/>
    <w:rsid w:val="332602E8"/>
    <w:rsid w:val="332B0B11"/>
    <w:rsid w:val="3348417B"/>
    <w:rsid w:val="33B95504"/>
    <w:rsid w:val="33E92385"/>
    <w:rsid w:val="34031313"/>
    <w:rsid w:val="342F6C93"/>
    <w:rsid w:val="349316AD"/>
    <w:rsid w:val="34AD0DF8"/>
    <w:rsid w:val="34DC7262"/>
    <w:rsid w:val="35154ED0"/>
    <w:rsid w:val="355E3760"/>
    <w:rsid w:val="35A46387"/>
    <w:rsid w:val="35B66642"/>
    <w:rsid w:val="367361FE"/>
    <w:rsid w:val="36E302B5"/>
    <w:rsid w:val="372969A6"/>
    <w:rsid w:val="37B37DCE"/>
    <w:rsid w:val="37BB2E0B"/>
    <w:rsid w:val="37D83F93"/>
    <w:rsid w:val="38007937"/>
    <w:rsid w:val="38286BF6"/>
    <w:rsid w:val="3871631D"/>
    <w:rsid w:val="38CB2ED4"/>
    <w:rsid w:val="38CF5CC8"/>
    <w:rsid w:val="38FB4778"/>
    <w:rsid w:val="398003E9"/>
    <w:rsid w:val="39970620"/>
    <w:rsid w:val="39A80EB0"/>
    <w:rsid w:val="3A55038B"/>
    <w:rsid w:val="3AAC169A"/>
    <w:rsid w:val="3AB2015D"/>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E553D5"/>
    <w:rsid w:val="41150A09"/>
    <w:rsid w:val="412B0723"/>
    <w:rsid w:val="416E4C3D"/>
    <w:rsid w:val="41744D17"/>
    <w:rsid w:val="41A9209A"/>
    <w:rsid w:val="42464146"/>
    <w:rsid w:val="42547E3B"/>
    <w:rsid w:val="42BF7447"/>
    <w:rsid w:val="42D62A0E"/>
    <w:rsid w:val="42FF0554"/>
    <w:rsid w:val="4345511B"/>
    <w:rsid w:val="43547BA6"/>
    <w:rsid w:val="4380762E"/>
    <w:rsid w:val="43A21451"/>
    <w:rsid w:val="44213356"/>
    <w:rsid w:val="447D4D4F"/>
    <w:rsid w:val="44C71A88"/>
    <w:rsid w:val="44F12CAA"/>
    <w:rsid w:val="44FD77EA"/>
    <w:rsid w:val="451677C8"/>
    <w:rsid w:val="456345AC"/>
    <w:rsid w:val="45675D9F"/>
    <w:rsid w:val="45DB1EE3"/>
    <w:rsid w:val="4616188D"/>
    <w:rsid w:val="46333E81"/>
    <w:rsid w:val="46406C9A"/>
    <w:rsid w:val="46671839"/>
    <w:rsid w:val="4683163E"/>
    <w:rsid w:val="46C320A6"/>
    <w:rsid w:val="47031BB9"/>
    <w:rsid w:val="477E3491"/>
    <w:rsid w:val="4840346D"/>
    <w:rsid w:val="48680ECC"/>
    <w:rsid w:val="487D4E0F"/>
    <w:rsid w:val="48FD5959"/>
    <w:rsid w:val="4901507A"/>
    <w:rsid w:val="49671A6B"/>
    <w:rsid w:val="49A55F90"/>
    <w:rsid w:val="49B45EAB"/>
    <w:rsid w:val="49C9605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022012"/>
    <w:rsid w:val="4E240C7E"/>
    <w:rsid w:val="4E3E401F"/>
    <w:rsid w:val="4E914D01"/>
    <w:rsid w:val="4EE7683D"/>
    <w:rsid w:val="4F144C49"/>
    <w:rsid w:val="4F3C333F"/>
    <w:rsid w:val="4F7A3F06"/>
    <w:rsid w:val="4FA9426E"/>
    <w:rsid w:val="4FE76FEE"/>
    <w:rsid w:val="50291576"/>
    <w:rsid w:val="50387EC9"/>
    <w:rsid w:val="5052205F"/>
    <w:rsid w:val="509A1C73"/>
    <w:rsid w:val="50A81392"/>
    <w:rsid w:val="51494400"/>
    <w:rsid w:val="51894111"/>
    <w:rsid w:val="51A007AA"/>
    <w:rsid w:val="521C5099"/>
    <w:rsid w:val="528507DE"/>
    <w:rsid w:val="529B278A"/>
    <w:rsid w:val="52D37DCB"/>
    <w:rsid w:val="53376ADA"/>
    <w:rsid w:val="533F4CEE"/>
    <w:rsid w:val="536A77BD"/>
    <w:rsid w:val="536F231B"/>
    <w:rsid w:val="53C605B1"/>
    <w:rsid w:val="54246682"/>
    <w:rsid w:val="54423B60"/>
    <w:rsid w:val="544E4847"/>
    <w:rsid w:val="5472300B"/>
    <w:rsid w:val="5498601B"/>
    <w:rsid w:val="54A64729"/>
    <w:rsid w:val="55740F0C"/>
    <w:rsid w:val="557B1729"/>
    <w:rsid w:val="55A82D9F"/>
    <w:rsid w:val="55AD05A3"/>
    <w:rsid w:val="55E45605"/>
    <w:rsid w:val="56E755C8"/>
    <w:rsid w:val="57704E2E"/>
    <w:rsid w:val="57B17132"/>
    <w:rsid w:val="57E00F33"/>
    <w:rsid w:val="58485925"/>
    <w:rsid w:val="58AA5E1A"/>
    <w:rsid w:val="58B42820"/>
    <w:rsid w:val="590A5666"/>
    <w:rsid w:val="599A0FE5"/>
    <w:rsid w:val="599A78B4"/>
    <w:rsid w:val="59F271C5"/>
    <w:rsid w:val="5A3D7F5A"/>
    <w:rsid w:val="5A435F69"/>
    <w:rsid w:val="5A540F6B"/>
    <w:rsid w:val="5ABF64C8"/>
    <w:rsid w:val="5AE12DF7"/>
    <w:rsid w:val="5AF06412"/>
    <w:rsid w:val="5AFC6985"/>
    <w:rsid w:val="5BAF5677"/>
    <w:rsid w:val="5BD3526C"/>
    <w:rsid w:val="5BE07777"/>
    <w:rsid w:val="5BE9386D"/>
    <w:rsid w:val="5BEE3802"/>
    <w:rsid w:val="5C661D71"/>
    <w:rsid w:val="5CAC59A0"/>
    <w:rsid w:val="5CB7063C"/>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AE1EC8"/>
    <w:rsid w:val="63CB3D8B"/>
    <w:rsid w:val="64102907"/>
    <w:rsid w:val="64692017"/>
    <w:rsid w:val="648700E8"/>
    <w:rsid w:val="64A37553"/>
    <w:rsid w:val="64C1050B"/>
    <w:rsid w:val="65581AAD"/>
    <w:rsid w:val="65B31C9E"/>
    <w:rsid w:val="65B8754F"/>
    <w:rsid w:val="665B58A3"/>
    <w:rsid w:val="66D65031"/>
    <w:rsid w:val="670B6A7B"/>
    <w:rsid w:val="671A1DC5"/>
    <w:rsid w:val="6721173E"/>
    <w:rsid w:val="673752E8"/>
    <w:rsid w:val="675B27E4"/>
    <w:rsid w:val="67B927DC"/>
    <w:rsid w:val="68330A12"/>
    <w:rsid w:val="6953498D"/>
    <w:rsid w:val="698F70E0"/>
    <w:rsid w:val="699467F3"/>
    <w:rsid w:val="6A773014"/>
    <w:rsid w:val="6AAB113E"/>
    <w:rsid w:val="6B05560F"/>
    <w:rsid w:val="6BEF516F"/>
    <w:rsid w:val="6C274E1F"/>
    <w:rsid w:val="6C944351"/>
    <w:rsid w:val="6CB70064"/>
    <w:rsid w:val="6CC94A67"/>
    <w:rsid w:val="6D0A1123"/>
    <w:rsid w:val="6D0F4C8D"/>
    <w:rsid w:val="6D212753"/>
    <w:rsid w:val="6DBF2BD8"/>
    <w:rsid w:val="6DC5609A"/>
    <w:rsid w:val="6DE00DFA"/>
    <w:rsid w:val="6E1B6684"/>
    <w:rsid w:val="6F23547E"/>
    <w:rsid w:val="6F343D32"/>
    <w:rsid w:val="6F800BBD"/>
    <w:rsid w:val="6F8C21C4"/>
    <w:rsid w:val="700510C2"/>
    <w:rsid w:val="702C2AF3"/>
    <w:rsid w:val="704E1F61"/>
    <w:rsid w:val="7062494A"/>
    <w:rsid w:val="712D67BD"/>
    <w:rsid w:val="71591B4B"/>
    <w:rsid w:val="71606D24"/>
    <w:rsid w:val="71B02EC3"/>
    <w:rsid w:val="71E546CC"/>
    <w:rsid w:val="723F53B1"/>
    <w:rsid w:val="72DC6774"/>
    <w:rsid w:val="72E10A70"/>
    <w:rsid w:val="732968B0"/>
    <w:rsid w:val="739068F7"/>
    <w:rsid w:val="73F62525"/>
    <w:rsid w:val="741305C3"/>
    <w:rsid w:val="743B200D"/>
    <w:rsid w:val="748D0358"/>
    <w:rsid w:val="748D7E3A"/>
    <w:rsid w:val="74DA1431"/>
    <w:rsid w:val="75A93F80"/>
    <w:rsid w:val="75E07F9E"/>
    <w:rsid w:val="763D6AE2"/>
    <w:rsid w:val="76FC0100"/>
    <w:rsid w:val="777001A2"/>
    <w:rsid w:val="780B3D70"/>
    <w:rsid w:val="784349CF"/>
    <w:rsid w:val="78B4050B"/>
    <w:rsid w:val="79144850"/>
    <w:rsid w:val="791864CF"/>
    <w:rsid w:val="792B4762"/>
    <w:rsid w:val="79685748"/>
    <w:rsid w:val="79A060B3"/>
    <w:rsid w:val="79CA7984"/>
    <w:rsid w:val="79FB745F"/>
    <w:rsid w:val="7A212F9C"/>
    <w:rsid w:val="7A365AD5"/>
    <w:rsid w:val="7A9F26C7"/>
    <w:rsid w:val="7AA159DE"/>
    <w:rsid w:val="7B614450"/>
    <w:rsid w:val="7B656E15"/>
    <w:rsid w:val="7BAC5D14"/>
    <w:rsid w:val="7C14594A"/>
    <w:rsid w:val="7C1E0794"/>
    <w:rsid w:val="7C2D13DB"/>
    <w:rsid w:val="7C7C6B16"/>
    <w:rsid w:val="7CA72AFD"/>
    <w:rsid w:val="7CE161C2"/>
    <w:rsid w:val="7D212E8C"/>
    <w:rsid w:val="7D7F3F24"/>
    <w:rsid w:val="7D9064BA"/>
    <w:rsid w:val="7E311AE2"/>
    <w:rsid w:val="7E870DE0"/>
    <w:rsid w:val="7E901B59"/>
    <w:rsid w:val="7EAB0E2B"/>
    <w:rsid w:val="7F5453DB"/>
    <w:rsid w:val="7F946DF7"/>
    <w:rsid w:val="7FA4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numPr>
        <w:ilvl w:val="3"/>
        <w:numId w:val="1"/>
      </w:numPr>
      <w:outlineLvl w:val="1"/>
    </w:pPr>
    <w:rPr>
      <w:sz w:val="28"/>
    </w:rPr>
  </w:style>
  <w:style w:type="paragraph" w:styleId="4">
    <w:name w:val="heading 3"/>
    <w:basedOn w:val="1"/>
    <w:next w:val="1"/>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0"/>
    <w:pPr>
      <w:ind w:firstLine="420"/>
    </w:pPr>
    <w:rPr>
      <w:szCs w:val="20"/>
    </w:rPr>
  </w:style>
  <w:style w:type="paragraph" w:styleId="6">
    <w:name w:val="Body Text Indent"/>
    <w:basedOn w:val="1"/>
    <w:semiHidden/>
    <w:qFormat/>
    <w:uiPriority w:val="0"/>
    <w:pPr>
      <w:spacing w:line="360" w:lineRule="auto"/>
      <w:ind w:left="720" w:hanging="720" w:hangingChars="300"/>
    </w:pPr>
    <w:rPr>
      <w:sz w:val="24"/>
      <w:szCs w:val="20"/>
    </w:rPr>
  </w:style>
  <w:style w:type="paragraph" w:styleId="7">
    <w:name w:val="annotation text"/>
    <w:basedOn w:val="1"/>
    <w:qFormat/>
    <w:uiPriority w:val="0"/>
    <w:pPr>
      <w:autoSpaceDE w:val="0"/>
      <w:autoSpaceDN w:val="0"/>
      <w:adjustRightInd w:val="0"/>
      <w:spacing w:line="315" w:lineRule="atLeast"/>
      <w:jc w:val="left"/>
    </w:pPr>
    <w:rPr>
      <w:rFonts w:ascii="宋体"/>
      <w:kern w:val="0"/>
      <w:sz w:val="24"/>
      <w:szCs w:val="20"/>
    </w:r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72"/>
    <w:qFormat/>
    <w:uiPriority w:val="0"/>
    <w:pPr>
      <w:spacing w:after="120"/>
    </w:pPr>
  </w:style>
  <w:style w:type="paragraph" w:styleId="10">
    <w:name w:val="Plain Text"/>
    <w:basedOn w:val="1"/>
    <w:link w:val="63"/>
    <w:qFormat/>
    <w:uiPriority w:val="0"/>
    <w:rPr>
      <w:rFonts w:ascii="宋体" w:hAnsi="Courier New" w:cs="宋体"/>
      <w:szCs w:val="21"/>
    </w:rPr>
  </w:style>
  <w:style w:type="paragraph" w:styleId="11">
    <w:name w:val="Date"/>
    <w:basedOn w:val="1"/>
    <w:next w:val="1"/>
    <w:link w:val="54"/>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7"/>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Subtitle"/>
    <w:basedOn w:val="1"/>
    <w:next w:val="1"/>
    <w:link w:val="64"/>
    <w:qFormat/>
    <w:uiPriority w:val="0"/>
    <w:pPr>
      <w:spacing w:before="240" w:after="60" w:line="312" w:lineRule="auto"/>
      <w:jc w:val="center"/>
      <w:outlineLvl w:val="1"/>
    </w:pPr>
    <w:rPr>
      <w:rFonts w:ascii="Cambria" w:hAnsi="Cambria"/>
      <w:b/>
      <w:bCs/>
      <w:kern w:val="28"/>
      <w:sz w:val="32"/>
      <w:szCs w:val="32"/>
    </w:rPr>
  </w:style>
  <w:style w:type="paragraph" w:styleId="18">
    <w:name w:val="Body Text 2"/>
    <w:basedOn w:val="1"/>
    <w:qFormat/>
    <w:uiPriority w:val="0"/>
    <w:pPr>
      <w:spacing w:after="120" w:line="480" w:lineRule="auto"/>
    </w:p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Title"/>
    <w:basedOn w:val="1"/>
    <w:link w:val="59"/>
    <w:qFormat/>
    <w:uiPriority w:val="0"/>
    <w:pPr>
      <w:spacing w:before="240" w:after="60"/>
      <w:jc w:val="center"/>
      <w:outlineLvl w:val="0"/>
    </w:pPr>
    <w:rPr>
      <w:rFonts w:ascii="Arial" w:hAnsi="Arial" w:eastAsia="隶书"/>
      <w:b/>
      <w:bCs/>
      <w:sz w:val="32"/>
      <w:szCs w:val="32"/>
    </w:rPr>
  </w:style>
  <w:style w:type="paragraph" w:styleId="21">
    <w:name w:val="Body Text First Indent"/>
    <w:basedOn w:val="9"/>
    <w:next w:val="1"/>
    <w:qFormat/>
    <w:uiPriority w:val="0"/>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Emphasis"/>
    <w:basedOn w:val="24"/>
    <w:qFormat/>
    <w:uiPriority w:val="20"/>
    <w:rPr>
      <w:i/>
      <w:iCs/>
    </w:rPr>
  </w:style>
  <w:style w:type="character" w:styleId="28">
    <w:name w:val="Hyperlink"/>
    <w:qFormat/>
    <w:uiPriority w:val="0"/>
    <w:rPr>
      <w:color w:val="0000FF"/>
      <w:u w:val="single"/>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30">
    <w:name w:val="TOC 标题1"/>
    <w:basedOn w:val="2"/>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qFormat/>
    <w:uiPriority w:val="0"/>
    <w:rPr>
      <w:rFonts w:ascii="宋体" w:hAnsi="宋体" w:eastAsia="黑体"/>
      <w:b/>
      <w:bCs/>
      <w:kern w:val="44"/>
      <w:sz w:val="28"/>
      <w:szCs w:val="44"/>
      <w:lang w:val="en-US" w:eastAsia="zh-CN" w:bidi="ar-SA"/>
    </w:rPr>
  </w:style>
  <w:style w:type="character" w:customStyle="1" w:styleId="33">
    <w:name w:val="apple-converted-space"/>
    <w:basedOn w:val="24"/>
    <w:qFormat/>
    <w:uiPriority w:val="0"/>
  </w:style>
  <w:style w:type="character" w:customStyle="1" w:styleId="34">
    <w:name w:val="nui-addr-email4"/>
    <w:basedOn w:val="24"/>
    <w:qFormat/>
    <w:uiPriority w:val="0"/>
  </w:style>
  <w:style w:type="character" w:customStyle="1" w:styleId="35">
    <w:name w:val="正文文本 字符"/>
    <w:link w:val="9"/>
    <w:qFormat/>
    <w:uiPriority w:val="0"/>
    <w:rPr>
      <w:kern w:val="2"/>
      <w:sz w:val="21"/>
      <w:szCs w:val="24"/>
    </w:rPr>
  </w:style>
  <w:style w:type="character" w:customStyle="1" w:styleId="36">
    <w:name w:val="bumpedfont15"/>
    <w:basedOn w:val="24"/>
    <w:qFormat/>
    <w:uiPriority w:val="0"/>
  </w:style>
  <w:style w:type="character" w:customStyle="1" w:styleId="37">
    <w:name w:val="ca-22"/>
    <w:basedOn w:val="24"/>
    <w:qFormat/>
    <w:uiPriority w:val="0"/>
  </w:style>
  <w:style w:type="paragraph" w:customStyle="1" w:styleId="38">
    <w:name w:val="列出段落1"/>
    <w:basedOn w:val="1"/>
    <w:qFormat/>
    <w:uiPriority w:val="34"/>
    <w:pPr>
      <w:ind w:firstLine="420" w:firstLineChars="200"/>
    </w:pPr>
  </w:style>
  <w:style w:type="paragraph" w:customStyle="1" w:styleId="39">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qFormat/>
    <w:uiPriority w:val="0"/>
  </w:style>
  <w:style w:type="paragraph" w:customStyle="1" w:styleId="42">
    <w:name w:val="Char"/>
    <w:basedOn w:val="1"/>
    <w:qFormat/>
    <w:uiPriority w:val="0"/>
    <w:pPr>
      <w:tabs>
        <w:tab w:val="left" w:pos="432"/>
      </w:tabs>
      <w:ind w:left="432" w:hanging="432"/>
    </w:pPr>
  </w:style>
  <w:style w:type="paragraph" w:customStyle="1" w:styleId="4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qFormat/>
    <w:uiPriority w:val="0"/>
    <w:pPr>
      <w:spacing w:line="360" w:lineRule="auto"/>
    </w:pPr>
    <w:rPr>
      <w:rFonts w:ascii="仿宋_GB2312" w:hAnsi="宋体" w:eastAsia="仿宋_GB2312"/>
      <w:bCs/>
      <w:color w:val="333333"/>
      <w:kern w:val="0"/>
      <w:sz w:val="28"/>
    </w:rPr>
  </w:style>
  <w:style w:type="paragraph" w:customStyle="1" w:styleId="45">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qFormat/>
    <w:uiPriority w:val="34"/>
    <w:pPr>
      <w:ind w:firstLine="420" w:firstLineChars="200"/>
    </w:pPr>
  </w:style>
  <w:style w:type="paragraph" w:customStyle="1" w:styleId="49">
    <w:name w:val="列出段落2"/>
    <w:basedOn w:val="1"/>
    <w:qFormat/>
    <w:uiPriority w:val="34"/>
    <w:pPr>
      <w:ind w:firstLine="420" w:firstLineChars="200"/>
    </w:pPr>
    <w:rPr>
      <w:rFonts w:ascii="Calibri" w:hAnsi="Calibri"/>
      <w:szCs w:val="22"/>
    </w:rPr>
  </w:style>
  <w:style w:type="paragraph" w:customStyle="1" w:styleId="50">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qFormat/>
    <w:uiPriority w:val="0"/>
    <w:pPr>
      <w:widowControl/>
    </w:pPr>
    <w:rPr>
      <w:rFonts w:ascii="宋体" w:hAnsi="宋体" w:cs="宋体"/>
      <w:kern w:val="0"/>
      <w:szCs w:val="21"/>
    </w:rPr>
  </w:style>
  <w:style w:type="paragraph" w:customStyle="1" w:styleId="53">
    <w:name w:val="列出段落21"/>
    <w:basedOn w:val="1"/>
    <w:qFormat/>
    <w:uiPriority w:val="34"/>
    <w:pPr>
      <w:ind w:firstLine="420" w:firstLineChars="200"/>
    </w:pPr>
  </w:style>
  <w:style w:type="character" w:customStyle="1" w:styleId="54">
    <w:name w:val="日期 字符"/>
    <w:link w:val="11"/>
    <w:qFormat/>
    <w:uiPriority w:val="0"/>
    <w:rPr>
      <w:kern w:val="2"/>
      <w:sz w:val="21"/>
      <w:szCs w:val="24"/>
    </w:rPr>
  </w:style>
  <w:style w:type="paragraph" w:customStyle="1" w:styleId="55">
    <w:name w:val="_Style 45"/>
    <w:basedOn w:val="1"/>
    <w:next w:val="48"/>
    <w:qFormat/>
    <w:uiPriority w:val="34"/>
    <w:pPr>
      <w:ind w:firstLine="420" w:firstLineChars="200"/>
    </w:pPr>
  </w:style>
  <w:style w:type="paragraph" w:customStyle="1" w:styleId="56">
    <w:name w:val="msolistparagraph"/>
    <w:basedOn w:val="1"/>
    <w:qFormat/>
    <w:uiPriority w:val="0"/>
    <w:pPr>
      <w:ind w:firstLine="420" w:firstLineChars="200"/>
    </w:pPr>
    <w:rPr>
      <w:rFonts w:ascii="Calibri" w:hAnsi="Calibri"/>
      <w:szCs w:val="22"/>
    </w:rPr>
  </w:style>
  <w:style w:type="paragraph" w:styleId="5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4"/>
    <w:link w:val="20"/>
    <w:qFormat/>
    <w:uiPriority w:val="0"/>
    <w:rPr>
      <w:rFonts w:ascii="Arial" w:hAnsi="Arial" w:eastAsia="隶书"/>
      <w:b/>
      <w:bCs/>
      <w:kern w:val="2"/>
      <w:sz w:val="32"/>
      <w:szCs w:val="32"/>
    </w:rPr>
  </w:style>
  <w:style w:type="paragraph" w:customStyle="1" w:styleId="60">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qFormat/>
    <w:uiPriority w:val="0"/>
    <w:rPr>
      <w:rFonts w:ascii="Tahoma" w:hAnsi="Tahoma"/>
      <w:sz w:val="24"/>
      <w:szCs w:val="20"/>
    </w:rPr>
  </w:style>
  <w:style w:type="paragraph" w:customStyle="1" w:styleId="62">
    <w:name w:val="三级条标题"/>
    <w:basedOn w:val="1"/>
    <w:next w:val="58"/>
    <w:qFormat/>
    <w:uiPriority w:val="0"/>
    <w:pPr>
      <w:widowControl/>
      <w:numPr>
        <w:ilvl w:val="4"/>
        <w:numId w:val="1"/>
      </w:numPr>
      <w:outlineLvl w:val="4"/>
    </w:pPr>
    <w:rPr>
      <w:rFonts w:ascii="黑体" w:eastAsia="黑体"/>
      <w:kern w:val="0"/>
      <w:szCs w:val="20"/>
    </w:rPr>
  </w:style>
  <w:style w:type="character" w:customStyle="1" w:styleId="63">
    <w:name w:val="纯文本 字符"/>
    <w:basedOn w:val="24"/>
    <w:link w:val="10"/>
    <w:qFormat/>
    <w:uiPriority w:val="0"/>
    <w:rPr>
      <w:rFonts w:ascii="宋体" w:hAnsi="Courier New" w:cs="宋体"/>
      <w:kern w:val="2"/>
      <w:sz w:val="21"/>
      <w:szCs w:val="21"/>
    </w:rPr>
  </w:style>
  <w:style w:type="character" w:customStyle="1" w:styleId="64">
    <w:name w:val="副标题 字符"/>
    <w:link w:val="17"/>
    <w:qFormat/>
    <w:uiPriority w:val="0"/>
    <w:rPr>
      <w:rFonts w:ascii="Cambria" w:hAnsi="Cambria"/>
      <w:b/>
      <w:bCs/>
      <w:kern w:val="28"/>
      <w:sz w:val="32"/>
      <w:szCs w:val="32"/>
    </w:rPr>
  </w:style>
  <w:style w:type="paragraph" w:customStyle="1" w:styleId="65">
    <w:name w:val="_Style 2"/>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qFormat/>
    <w:uiPriority w:val="0"/>
    <w:rPr>
      <w:rFonts w:ascii="Tahoma" w:hAnsi="Tahoma"/>
      <w:sz w:val="24"/>
      <w:szCs w:val="20"/>
    </w:rPr>
  </w:style>
  <w:style w:type="character" w:customStyle="1" w:styleId="67">
    <w:name w:val="页脚 字符"/>
    <w:basedOn w:val="24"/>
    <w:link w:val="13"/>
    <w:qFormat/>
    <w:uiPriority w:val="99"/>
    <w:rPr>
      <w:kern w:val="2"/>
      <w:sz w:val="18"/>
      <w:szCs w:val="18"/>
    </w:rPr>
  </w:style>
  <w:style w:type="paragraph" w:customStyle="1" w:styleId="68">
    <w:name w:val="Table Paragraph"/>
    <w:basedOn w:val="1"/>
    <w:qFormat/>
    <w:uiPriority w:val="1"/>
    <w:rPr>
      <w:rFonts w:ascii="宋体" w:hAnsi="宋体" w:cs="宋体"/>
      <w:lang w:val="zh-CN" w:bidi="zh-CN"/>
    </w:rPr>
  </w:style>
  <w:style w:type="character" w:customStyle="1" w:styleId="69">
    <w:name w:val="font11"/>
    <w:basedOn w:val="24"/>
    <w:qFormat/>
    <w:uiPriority w:val="0"/>
    <w:rPr>
      <w:rFonts w:hint="eastAsia" w:ascii="宋体" w:hAnsi="宋体" w:eastAsia="宋体" w:cs="宋体"/>
      <w:color w:val="000000"/>
      <w:sz w:val="16"/>
      <w:szCs w:val="16"/>
      <w:u w:val="none"/>
    </w:rPr>
  </w:style>
  <w:style w:type="paragraph" w:customStyle="1" w:styleId="70">
    <w:name w:val="Other|1"/>
    <w:basedOn w:val="1"/>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qFormat/>
    <w:uiPriority w:val="0"/>
    <w:pPr>
      <w:spacing w:before="25" w:after="25" w:line="240" w:lineRule="auto"/>
      <w:ind w:firstLine="0"/>
      <w:jc w:val="left"/>
    </w:pPr>
    <w:rPr>
      <w:bCs/>
      <w:spacing w:val="10"/>
      <w:kern w:val="0"/>
      <w:sz w:val="24"/>
    </w:rPr>
  </w:style>
  <w:style w:type="character" w:customStyle="1" w:styleId="72">
    <w:name w:val="正文文本 Char"/>
    <w:link w:val="9"/>
    <w:qFormat/>
    <w:uiPriority w:val="99"/>
    <w:rPr>
      <w:kern w:val="2"/>
      <w:sz w:val="21"/>
      <w:szCs w:val="24"/>
    </w:rPr>
  </w:style>
  <w:style w:type="paragraph" w:customStyle="1" w:styleId="73">
    <w:name w:val="正文文本1"/>
    <w:basedOn w:val="1"/>
    <w:qFormat/>
    <w:uiPriority w:val="0"/>
    <w:pPr>
      <w:jc w:val="center"/>
    </w:pPr>
    <w:rPr>
      <w:rFonts w:ascii="宋体" w:hAnsi="宋体"/>
      <w:color w:val="FF0000"/>
      <w:szCs w:val="24"/>
    </w:rPr>
  </w:style>
  <w:style w:type="paragraph" w:customStyle="1" w:styleId="74">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4"/>
    <w:qFormat/>
    <w:uiPriority w:val="0"/>
    <w:rPr>
      <w:rFonts w:ascii="宋体" w:hAnsi="Courier New" w:cs="宋体"/>
      <w:kern w:val="2"/>
      <w:sz w:val="21"/>
      <w:szCs w:val="21"/>
    </w:rPr>
  </w:style>
  <w:style w:type="paragraph" w:customStyle="1" w:styleId="76">
    <w:name w:val="p9"/>
    <w:basedOn w:val="1"/>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qFormat/>
    <w:uiPriority w:val="0"/>
    <w:rPr>
      <w:rFonts w:ascii="Times New Roman" w:hAnsi="Times New Roman" w:eastAsia="宋体" w:cs="Times New Roman"/>
    </w:rPr>
  </w:style>
  <w:style w:type="paragraph" w:customStyle="1" w:styleId="78">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semiHidden/>
    <w:qFormat/>
    <w:uiPriority w:val="0"/>
    <w:rPr>
      <w:rFonts w:ascii="宋体" w:hAnsi="宋体" w:eastAsia="宋体" w:cs="宋体"/>
      <w:sz w:val="19"/>
      <w:szCs w:val="19"/>
      <w:lang w:val="en-US" w:eastAsia="en-US" w:bidi="ar-SA"/>
    </w:rPr>
  </w:style>
  <w:style w:type="table" w:customStyle="1" w:styleId="80">
    <w:name w:val="Table Normal"/>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9253</Words>
  <Characters>11085</Characters>
  <Lines>94</Lines>
  <Paragraphs>26</Paragraphs>
  <TotalTime>12</TotalTime>
  <ScaleCrop>false</ScaleCrop>
  <LinksUpToDate>false</LinksUpToDate>
  <CharactersWithSpaces>11528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吴曼莉</cp:lastModifiedBy>
  <cp:lastPrinted>2024-08-29T01:17:00Z</cp:lastPrinted>
  <dcterms:modified xsi:type="dcterms:W3CDTF">2024-11-01T09:05:37Z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3279EEA1E4014AC2BCD51B63EBD36CD0_12</vt:lpwstr>
  </property>
</Properties>
</file>