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65</w:t>
      </w:r>
      <w:r>
        <w:rPr>
          <w:rFonts w:hint="eastAsia" w:ascii="宋体" w:hAnsi="宋体"/>
          <w:b/>
          <w:bCs/>
          <w:sz w:val="36"/>
          <w:szCs w:val="36"/>
        </w:rPr>
        <w:t>期医用冰箱(超低温(-80℃)采购公告</w:t>
      </w:r>
    </w:p>
    <w:p>
      <w:pPr>
        <w:widowControl/>
        <w:ind w:left="1"/>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65</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090"/>
        <w:gridCol w:w="1134"/>
        <w:gridCol w:w="1078"/>
        <w:gridCol w:w="600"/>
        <w:gridCol w:w="196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jc w:val="center"/>
        </w:trPr>
        <w:tc>
          <w:tcPr>
            <w:tcW w:w="256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90"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7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600"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96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008"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2" w:type="dxa"/>
            <w:vAlign w:val="center"/>
          </w:tcPr>
          <w:p>
            <w:pPr>
              <w:jc w:val="center"/>
              <w:rPr>
                <w:rFonts w:hint="eastAsia" w:ascii="宋体" w:hAnsi="宋体"/>
                <w:kern w:val="0"/>
                <w:szCs w:val="21"/>
              </w:rPr>
            </w:pPr>
            <w:r>
              <w:rPr>
                <w:rFonts w:hint="eastAsia"/>
                <w:kern w:val="0"/>
                <w:szCs w:val="21"/>
              </w:rPr>
              <w:t>医用冰箱(超低温(-80℃)</w:t>
            </w:r>
          </w:p>
        </w:tc>
        <w:tc>
          <w:tcPr>
            <w:tcW w:w="1090" w:type="dxa"/>
            <w:vAlign w:val="center"/>
          </w:tcPr>
          <w:p>
            <w:pPr>
              <w:jc w:val="center"/>
              <w:rPr>
                <w:kern w:val="0"/>
                <w:szCs w:val="21"/>
              </w:rPr>
            </w:pPr>
            <w:r>
              <w:rPr>
                <w:rFonts w:hint="eastAsia"/>
                <w:kern w:val="0"/>
                <w:szCs w:val="21"/>
              </w:rPr>
              <w:t>否</w:t>
            </w:r>
          </w:p>
        </w:tc>
        <w:tc>
          <w:tcPr>
            <w:tcW w:w="1134" w:type="dxa"/>
            <w:vAlign w:val="center"/>
          </w:tcPr>
          <w:p>
            <w:pPr>
              <w:jc w:val="center"/>
              <w:rPr>
                <w:kern w:val="0"/>
                <w:szCs w:val="21"/>
              </w:rPr>
            </w:pPr>
            <w:r>
              <w:rPr>
                <w:rFonts w:hint="eastAsia"/>
                <w:kern w:val="0"/>
                <w:szCs w:val="21"/>
              </w:rPr>
              <w:t>/</w:t>
            </w:r>
          </w:p>
        </w:tc>
        <w:tc>
          <w:tcPr>
            <w:tcW w:w="1078" w:type="dxa"/>
            <w:vAlign w:val="center"/>
          </w:tcPr>
          <w:p>
            <w:pPr>
              <w:ind w:firstLine="420" w:firstLineChars="200"/>
              <w:rPr>
                <w:rFonts w:hint="eastAsia" w:eastAsia="宋体"/>
                <w:kern w:val="0"/>
                <w:szCs w:val="21"/>
                <w:lang w:eastAsia="zh-CN"/>
              </w:rPr>
            </w:pPr>
            <w:r>
              <w:rPr>
                <w:rFonts w:hint="eastAsia"/>
                <w:kern w:val="0"/>
                <w:szCs w:val="21"/>
                <w:lang w:val="en-US" w:eastAsia="zh-CN"/>
              </w:rPr>
              <w:t>1</w:t>
            </w:r>
          </w:p>
        </w:tc>
        <w:tc>
          <w:tcPr>
            <w:tcW w:w="600" w:type="dxa"/>
            <w:vAlign w:val="center"/>
          </w:tcPr>
          <w:p>
            <w:pPr>
              <w:jc w:val="center"/>
              <w:rPr>
                <w:rFonts w:hint="eastAsia"/>
                <w:kern w:val="0"/>
                <w:szCs w:val="21"/>
              </w:rPr>
            </w:pPr>
            <w:r>
              <w:rPr>
                <w:rFonts w:hint="eastAsia"/>
                <w:kern w:val="0"/>
                <w:szCs w:val="21"/>
              </w:rPr>
              <w:t>套</w:t>
            </w:r>
          </w:p>
        </w:tc>
        <w:tc>
          <w:tcPr>
            <w:tcW w:w="1965" w:type="dxa"/>
            <w:vAlign w:val="center"/>
          </w:tcPr>
          <w:p>
            <w:pPr>
              <w:jc w:val="center"/>
              <w:rPr>
                <w:rFonts w:hint="eastAsia"/>
                <w:kern w:val="0"/>
                <w:szCs w:val="21"/>
              </w:rPr>
            </w:pPr>
            <w:r>
              <w:rPr>
                <w:rFonts w:hint="eastAsia"/>
                <w:kern w:val="0"/>
                <w:szCs w:val="21"/>
              </w:rPr>
              <w:t>输血科</w:t>
            </w:r>
          </w:p>
        </w:tc>
        <w:tc>
          <w:tcPr>
            <w:tcW w:w="2008" w:type="dxa"/>
            <w:vAlign w:val="center"/>
          </w:tcPr>
          <w:p>
            <w:pPr>
              <w:jc w:val="center"/>
              <w:rPr>
                <w:rFonts w:hint="eastAsia"/>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bookmarkStart w:id="27" w:name="_GoBack"/>
      <w:bookmarkEnd w:id="27"/>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3</w:t>
            </w:r>
            <w:r>
              <w:rPr>
                <w:rFonts w:hint="eastAsia" w:ascii="宋体" w:hAnsi="宋体"/>
                <w:color w:val="000000"/>
                <w:szCs w:val="21"/>
                <w:lang w:val="en-US" w:eastAsia="zh-CN"/>
              </w:rPr>
              <w:t>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带“▲”号重要技术要求，每有一项负偏离的扣</w:t>
            </w:r>
            <w:r>
              <w:rPr>
                <w:rFonts w:hint="eastAsia" w:cs="宋体" w:asciiTheme="minorEastAsia" w:hAnsiTheme="minorEastAsia"/>
                <w:color w:val="FF0000"/>
                <w:szCs w:val="21"/>
                <w:u w:val="single"/>
                <w:lang w:val="en-US" w:eastAsia="zh-CN"/>
              </w:rPr>
              <w:t>3</w:t>
            </w:r>
            <w:r>
              <w:rPr>
                <w:rFonts w:hint="eastAsia" w:cs="宋体" w:asciiTheme="minorEastAsia" w:hAnsiTheme="minorEastAsia"/>
                <w:szCs w:val="21"/>
              </w:rPr>
              <w:t>分；除带“★”号不可偏离技术要求和“▲”号重要技术要求以外的普通技术要求每有一项负偏离的扣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0.81</w:t>
            </w:r>
            <w:r>
              <w:rPr>
                <w:rFonts w:hint="eastAsia" w:cs="宋体" w:asciiTheme="minorEastAsia" w:hAnsiTheme="minorEastAsia"/>
                <w:szCs w:val="21"/>
                <w:lang w:val="en-US" w:eastAsia="zh-CN"/>
              </w:rPr>
              <w:t>分</w:t>
            </w:r>
            <w:r>
              <w:rPr>
                <w:rFonts w:hint="eastAsia" w:cs="宋体" w:asciiTheme="minorEastAsia" w:hAnsiTheme="minorEastAsia"/>
                <w:szCs w:val="21"/>
              </w:rPr>
              <w:t>，扣完为止；本项最高</w:t>
            </w:r>
            <w:r>
              <w:rPr>
                <w:rFonts w:hint="eastAsia" w:cs="宋体" w:asciiTheme="minorEastAsia" w:hAnsiTheme="minorEastAsia"/>
                <w:szCs w:val="21"/>
                <w:lang w:val="en-US" w:eastAsia="zh-CN"/>
              </w:rPr>
              <w:t>35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eastAsia" w:ascii="宋体" w:hAnsi="宋体"/>
                <w:szCs w:val="21"/>
              </w:rPr>
            </w:pPr>
            <w:r>
              <w:rPr>
                <w:rFonts w:hint="eastAsia" w:ascii="宋体" w:hAnsi="宋体"/>
                <w:szCs w:val="21"/>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szCs w:val="21"/>
                <w:lang w:val="zh-CN"/>
              </w:rPr>
            </w:pPr>
            <w:r>
              <w:rPr>
                <w:rFonts w:hint="eastAsia" w:ascii="宋体" w:hAnsi="宋体"/>
                <w:szCs w:val="21"/>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满足上述全部内容的得5分；满足上述任意五项内容的得4分；满足上述任意四项内容的得3分；满足上述任意三项内容的得2分；满足上述任意二项内容的得1分；其余不得分。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color w:val="000000"/>
                <w:szCs w:val="21"/>
              </w:rPr>
            </w:pPr>
            <w:r>
              <w:rPr>
                <w:rFonts w:hint="eastAsia" w:ascii="宋体" w:hAnsi="宋体"/>
                <w:color w:val="000000"/>
                <w:szCs w:val="21"/>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投标人在满足招标文件《商务条款》免费保修期要求的前提下，整体每延长1年免费保修期的得2分，最高得2分。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264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87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2645" w:type="dxa"/>
            <w:vAlign w:val="center"/>
          </w:tcPr>
          <w:p>
            <w:pPr>
              <w:pStyle w:val="10"/>
              <w:numPr>
                <w:ilvl w:val="0"/>
                <w:numId w:val="0"/>
              </w:numPr>
              <w:jc w:val="both"/>
              <w:rPr>
                <w:rFonts w:hint="default" w:ascii="宋体" w:hAnsi="宋体" w:eastAsia="宋体" w:cs="宋体"/>
                <w:b/>
                <w:kern w:val="0"/>
                <w:vertAlign w:val="baseline"/>
                <w:lang w:val="en-US" w:eastAsia="zh-CN"/>
              </w:rPr>
            </w:pPr>
            <w:r>
              <w:rPr>
                <w:rFonts w:hint="eastAsia"/>
                <w:kern w:val="0"/>
                <w:szCs w:val="21"/>
              </w:rPr>
              <w:t>医用冰箱(超低温(-80℃)</w:t>
            </w:r>
          </w:p>
        </w:tc>
        <w:tc>
          <w:tcPr>
            <w:tcW w:w="878"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801"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套</w:t>
            </w:r>
          </w:p>
        </w:tc>
        <w:tc>
          <w:tcPr>
            <w:tcW w:w="1875"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80000</w:t>
            </w:r>
          </w:p>
        </w:tc>
        <w:tc>
          <w:tcPr>
            <w:tcW w:w="1803"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80000</w:t>
            </w:r>
          </w:p>
        </w:tc>
      </w:tr>
    </w:tbl>
    <w:p>
      <w:pPr>
        <w:pStyle w:val="10"/>
        <w:ind w:firstLine="422" w:firstLineChars="200"/>
        <w:rPr>
          <w:rFonts w:hint="eastAsia" w:hAnsi="宋体"/>
          <w:b/>
          <w:kern w:val="0"/>
        </w:rPr>
      </w:pPr>
    </w:p>
    <w:p>
      <w:pPr>
        <w:pStyle w:val="10"/>
        <w:ind w:firstLine="420" w:firstLineChars="200"/>
        <w:rPr>
          <w:rFonts w:hint="eastAsia" w:hAnsi="宋体"/>
          <w:bCs/>
          <w:kern w:val="0"/>
        </w:rPr>
      </w:pPr>
    </w:p>
    <w:p>
      <w:pPr>
        <w:pStyle w:val="10"/>
        <w:ind w:firstLine="3373" w:firstLineChars="12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snapToGrid w:val="0"/>
              <w:contextualSpacing/>
              <w:rPr>
                <w:rFonts w:hint="eastAsia" w:ascii="宋体" w:hAnsi="宋体"/>
                <w:szCs w:val="21"/>
              </w:rPr>
            </w:pPr>
            <w:r>
              <w:rPr>
                <w:rFonts w:hint="eastAsia" w:ascii="宋体" w:hAnsi="宋体"/>
                <w:szCs w:val="21"/>
                <w:lang w:val="en-US" w:eastAsia="zh-CN"/>
              </w:rPr>
              <w:t>1、</w:t>
            </w:r>
            <w:r>
              <w:rPr>
                <w:rFonts w:hint="eastAsia" w:ascii="宋体" w:hAnsi="宋体"/>
                <w:szCs w:val="21"/>
              </w:rPr>
              <w:t>主机1台，</w:t>
            </w:r>
          </w:p>
          <w:p>
            <w:pPr>
              <w:snapToGrid w:val="0"/>
              <w:contextualSpacing/>
              <w:rPr>
                <w:rFonts w:hint="eastAsia" w:ascii="宋体" w:hAnsi="宋体"/>
                <w:szCs w:val="21"/>
              </w:rPr>
            </w:pPr>
            <w:r>
              <w:rPr>
                <w:rFonts w:hint="eastAsia" w:ascii="宋体" w:hAnsi="宋体"/>
                <w:szCs w:val="21"/>
                <w:lang w:val="en-US" w:eastAsia="zh-CN"/>
              </w:rPr>
              <w:t>2、</w:t>
            </w:r>
            <w:r>
              <w:rPr>
                <w:rFonts w:hint="eastAsia" w:ascii="宋体" w:hAnsi="宋体"/>
                <w:szCs w:val="21"/>
              </w:rPr>
              <w:t>搁架3层，</w:t>
            </w:r>
          </w:p>
          <w:p>
            <w:pPr>
              <w:snapToGrid w:val="0"/>
              <w:contextualSpacing/>
              <w:rPr>
                <w:rFonts w:hint="eastAsia" w:ascii="宋体" w:hAnsi="宋体"/>
                <w:szCs w:val="21"/>
              </w:rPr>
            </w:pPr>
            <w:r>
              <w:rPr>
                <w:rFonts w:hint="eastAsia" w:ascii="宋体" w:hAnsi="宋体"/>
                <w:szCs w:val="21"/>
                <w:lang w:val="en-US" w:eastAsia="zh-CN"/>
              </w:rPr>
              <w:t>3、</w:t>
            </w:r>
            <w:r>
              <w:rPr>
                <w:rFonts w:hint="eastAsia" w:ascii="宋体" w:hAnsi="宋体"/>
                <w:szCs w:val="21"/>
              </w:rPr>
              <w:t>除霜铲1个，</w:t>
            </w:r>
          </w:p>
          <w:p>
            <w:pPr>
              <w:snapToGrid w:val="0"/>
              <w:contextualSpacing/>
              <w:rPr>
                <w:rFonts w:hint="eastAsia" w:ascii="宋体" w:hAnsi="宋体"/>
                <w:szCs w:val="21"/>
              </w:rPr>
            </w:pPr>
            <w:r>
              <w:rPr>
                <w:rFonts w:hint="eastAsia" w:ascii="宋体" w:hAnsi="宋体"/>
                <w:szCs w:val="21"/>
                <w:lang w:val="en-US" w:eastAsia="zh-CN"/>
              </w:rPr>
              <w:t>4、</w:t>
            </w:r>
            <w:r>
              <w:rPr>
                <w:rFonts w:hint="eastAsia" w:ascii="宋体" w:hAnsi="宋体"/>
                <w:szCs w:val="21"/>
              </w:rPr>
              <w:t>钥匙1套，</w:t>
            </w:r>
          </w:p>
          <w:p>
            <w:pPr>
              <w:snapToGrid w:val="0"/>
              <w:contextualSpacing/>
              <w:rPr>
                <w:rFonts w:hint="eastAsia" w:ascii="宋体" w:hAnsi="宋体"/>
                <w:szCs w:val="21"/>
              </w:rPr>
            </w:pPr>
            <w:r>
              <w:rPr>
                <w:rFonts w:hint="eastAsia" w:ascii="宋体" w:hAnsi="宋体"/>
                <w:szCs w:val="21"/>
                <w:lang w:val="en-US" w:eastAsia="zh-CN"/>
              </w:rPr>
              <w:t>5、</w:t>
            </w:r>
            <w:r>
              <w:rPr>
                <w:rFonts w:hint="eastAsia" w:ascii="宋体" w:hAnsi="宋体"/>
                <w:szCs w:val="21"/>
              </w:rPr>
              <w:t xml:space="preserve">说明书1本，     </w:t>
            </w:r>
          </w:p>
          <w:p>
            <w:pPr>
              <w:snapToGrid w:val="0"/>
              <w:contextualSpacing/>
              <w:rPr>
                <w:rFonts w:hint="eastAsia" w:ascii="宋体" w:hAnsi="宋体"/>
                <w:szCs w:val="21"/>
              </w:rPr>
            </w:pPr>
            <w:r>
              <w:rPr>
                <w:rFonts w:hint="eastAsia" w:ascii="宋体" w:hAnsi="宋体"/>
                <w:szCs w:val="21"/>
              </w:rPr>
              <w:t>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tcPr>
          <w:p>
            <w:pPr>
              <w:pStyle w:val="66"/>
              <w:snapToGrid w:val="0"/>
              <w:ind w:firstLine="0" w:firstLineChars="0"/>
              <w:contextualSpacing/>
              <w:rPr>
                <w:rFonts w:hint="eastAsia" w:ascii="宋体" w:hAnsi="宋体" w:eastAsia="宋体"/>
                <w:szCs w:val="21"/>
                <w:lang w:val="en-US" w:eastAsia="zh-CN"/>
              </w:rPr>
            </w:pPr>
            <w:r>
              <w:rPr>
                <w:rFonts w:hint="eastAsia" w:ascii="宋体" w:hAnsi="宋体"/>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snapToGrid w:val="0"/>
              <w:contextualSpacing/>
              <w:rPr>
                <w:rFonts w:hint="eastAsia" w:ascii="宋体" w:hAnsi="宋体"/>
                <w:szCs w:val="21"/>
              </w:rPr>
            </w:pPr>
            <w:r>
              <w:rPr>
                <w:rFonts w:hint="eastAsia" w:ascii="宋体" w:hAnsi="宋体"/>
                <w:szCs w:val="21"/>
              </w:rPr>
              <w:t>1.能够长期稳定地保存生物样本，如细胞、组织、血液、疫苗、菌种、生物制品等，使其活性和特性得以保持。</w:t>
            </w:r>
          </w:p>
          <w:p>
            <w:pPr>
              <w:snapToGrid w:val="0"/>
              <w:contextualSpacing/>
              <w:rPr>
                <w:rFonts w:hint="eastAsia" w:ascii="宋体" w:hAnsi="宋体"/>
                <w:szCs w:val="21"/>
              </w:rPr>
            </w:pPr>
            <w:r>
              <w:rPr>
                <w:rFonts w:hint="eastAsia" w:ascii="宋体" w:hAnsi="宋体"/>
                <w:szCs w:val="21"/>
              </w:rPr>
              <w:t>2.在超低温环境下，可以有效抑制微生物的生长和化学反应，延缓样本的变质和降解。</w:t>
            </w:r>
          </w:p>
          <w:p>
            <w:pPr>
              <w:snapToGrid w:val="0"/>
              <w:contextualSpacing/>
              <w:rPr>
                <w:rFonts w:hint="eastAsia" w:ascii="宋体" w:hAnsi="宋体"/>
                <w:szCs w:val="21"/>
              </w:rPr>
            </w:pPr>
            <w:r>
              <w:rPr>
                <w:rFonts w:hint="eastAsia" w:ascii="宋体" w:hAnsi="宋体"/>
                <w:szCs w:val="21"/>
              </w:rPr>
              <w:t>3.具有报警系统，如温度异常报警、电源故障报警等，以防止样本受损。</w:t>
            </w:r>
          </w:p>
          <w:p>
            <w:pPr>
              <w:snapToGrid w:val="0"/>
              <w:contextualSpacing/>
              <w:rPr>
                <w:rFonts w:hint="eastAsia" w:ascii="宋体" w:hAnsi="宋体"/>
                <w:szCs w:val="21"/>
              </w:rPr>
            </w:pPr>
            <w:r>
              <w:rPr>
                <w:rFonts w:hint="eastAsia" w:ascii="宋体" w:hAnsi="宋体"/>
                <w:szCs w:val="21"/>
              </w:rPr>
              <w:t>4.内部可设置不同的分区，便于对不同类型或项目的样本进行分类存放和管理。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技术参数：</w:t>
            </w:r>
          </w:p>
          <w:p>
            <w:pPr>
              <w:numPr>
                <w:ilvl w:val="0"/>
                <w:numId w:val="3"/>
              </w:numPr>
              <w:spacing w:line="300" w:lineRule="auto"/>
              <w:rPr>
                <w:rFonts w:ascii="Times New Roman" w:hAnsi="Times New Roman"/>
                <w:sz w:val="21"/>
                <w:szCs w:val="21"/>
              </w:rPr>
            </w:pPr>
            <w:r>
              <w:rPr>
                <w:rFonts w:ascii="Times New Roman" w:hAnsi="Times New Roman"/>
                <w:sz w:val="21"/>
                <w:szCs w:val="21"/>
              </w:rPr>
              <w:t>微电脑控制，温度数字显示，调节单位为0.1℃，箱内温度-</w:t>
            </w:r>
            <w:r>
              <w:rPr>
                <w:rFonts w:hint="eastAsia" w:ascii="Times New Roman" w:hAnsi="Times New Roman"/>
                <w:sz w:val="21"/>
                <w:szCs w:val="21"/>
              </w:rPr>
              <w:t>4</w:t>
            </w:r>
            <w:r>
              <w:rPr>
                <w:rFonts w:ascii="Times New Roman" w:hAnsi="Times New Roman"/>
                <w:sz w:val="21"/>
                <w:szCs w:val="21"/>
              </w:rPr>
              <w:t>0℃~-86℃可调；宽气候带设计，适合10~30℃环境使用。</w:t>
            </w:r>
          </w:p>
          <w:p>
            <w:pPr>
              <w:numPr>
                <w:ilvl w:val="0"/>
                <w:numId w:val="3"/>
              </w:numPr>
              <w:spacing w:line="300" w:lineRule="auto"/>
              <w:rPr>
                <w:rFonts w:ascii="Times New Roman" w:hAnsi="Times New Roman"/>
                <w:sz w:val="21"/>
                <w:szCs w:val="21"/>
              </w:rPr>
            </w:pPr>
            <w:r>
              <w:rPr>
                <w:rFonts w:ascii="Times New Roman" w:hAnsi="Times New Roman"/>
                <w:sz w:val="21"/>
                <w:szCs w:val="21"/>
              </w:rPr>
              <w:t>有效容积：736L</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ascii="Times New Roman" w:hAnsi="Times New Roman"/>
                <w:sz w:val="21"/>
                <w:szCs w:val="21"/>
              </w:rPr>
              <w:t>外箱尺寸(W×D×H)：1030×875×1990(mm)</w:t>
            </w:r>
            <w:r>
              <w:rPr>
                <w:rFonts w:hint="eastAsia" w:ascii="Times New Roman" w:hAnsi="Times New Roman"/>
                <w:sz w:val="21"/>
                <w:szCs w:val="21"/>
                <w:lang w:val="en-US" w:eastAsia="zh-CN"/>
              </w:rPr>
              <w:t>±1%</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ascii="Times New Roman" w:hAnsi="Times New Roman"/>
                <w:sz w:val="21"/>
                <w:szCs w:val="21"/>
              </w:rPr>
              <w:t>内箱尺寸(W×D×H)：890×600×1380(mm)</w:t>
            </w:r>
            <w:r>
              <w:rPr>
                <w:rFonts w:hint="eastAsia" w:ascii="Times New Roman" w:hAnsi="Times New Roman"/>
                <w:sz w:val="21"/>
                <w:szCs w:val="21"/>
                <w:lang w:val="en-US" w:eastAsia="zh-CN"/>
              </w:rPr>
              <w:t>±1%</w:t>
            </w:r>
            <w:r>
              <w:rPr>
                <w:rFonts w:hint="eastAsia" w:ascii="Times New Roman" w:hAnsi="Times New Roman"/>
                <w:sz w:val="21"/>
                <w:szCs w:val="21"/>
              </w:rPr>
              <w:t>。</w:t>
            </w:r>
          </w:p>
          <w:p>
            <w:pPr>
              <w:numPr>
                <w:ilvl w:val="0"/>
                <w:numId w:val="3"/>
              </w:numPr>
              <w:spacing w:line="300" w:lineRule="auto"/>
              <w:rPr>
                <w:rFonts w:ascii="Times New Roman" w:hAnsi="Times New Roman"/>
                <w:color w:val="000000"/>
                <w:sz w:val="21"/>
                <w:szCs w:val="21"/>
              </w:rPr>
            </w:pPr>
            <w:r>
              <w:rPr>
                <w:rFonts w:hint="eastAsia" w:ascii="Times New Roman" w:hAnsi="Times New Roman"/>
                <w:color w:val="000000"/>
                <w:sz w:val="21"/>
                <w:szCs w:val="21"/>
              </w:rPr>
              <w:t>样本容量：2ml样本存放量</w:t>
            </w:r>
            <w:r>
              <w:rPr>
                <w:rFonts w:ascii="Times New Roman" w:hAnsi="Times New Roman"/>
                <w:color w:val="000000"/>
                <w:sz w:val="21"/>
                <w:szCs w:val="21"/>
              </w:rPr>
              <w:t>52800</w:t>
            </w:r>
            <w:r>
              <w:rPr>
                <w:rFonts w:hint="eastAsia" w:ascii="Times New Roman" w:hAnsi="Times New Roman"/>
                <w:color w:val="000000"/>
                <w:sz w:val="21"/>
                <w:szCs w:val="21"/>
              </w:rPr>
              <w:t>支(5</w:t>
            </w:r>
            <w:r>
              <w:rPr>
                <w:rFonts w:ascii="Times New Roman" w:hAnsi="Times New Roman"/>
                <w:color w:val="000000"/>
                <w:sz w:val="21"/>
                <w:szCs w:val="21"/>
              </w:rPr>
              <w:t>28</w:t>
            </w:r>
            <w:r>
              <w:rPr>
                <w:rFonts w:hint="eastAsia" w:ascii="Times New Roman" w:hAnsi="Times New Roman"/>
                <w:color w:val="000000"/>
                <w:sz w:val="21"/>
                <w:szCs w:val="21"/>
              </w:rPr>
              <w:t>个1</w:t>
            </w:r>
            <w:r>
              <w:rPr>
                <w:rFonts w:ascii="Times New Roman" w:hAnsi="Times New Roman"/>
                <w:color w:val="000000"/>
                <w:sz w:val="21"/>
                <w:szCs w:val="21"/>
              </w:rPr>
              <w:t>0</w:t>
            </w:r>
            <w:r>
              <w:rPr>
                <w:rFonts w:hint="eastAsia" w:ascii="Times New Roman" w:hAnsi="Times New Roman"/>
                <w:color w:val="000000"/>
                <w:sz w:val="21"/>
                <w:szCs w:val="21"/>
              </w:rPr>
              <w:t>×</w:t>
            </w:r>
            <w:r>
              <w:rPr>
                <w:rFonts w:ascii="Times New Roman" w:hAnsi="Times New Roman"/>
                <w:color w:val="000000"/>
                <w:sz w:val="21"/>
                <w:szCs w:val="21"/>
              </w:rPr>
              <w:t>10</w:t>
            </w:r>
            <w:r>
              <w:rPr>
                <w:rFonts w:hint="eastAsia" w:ascii="Times New Roman" w:hAnsi="Times New Roman"/>
                <w:color w:val="000000"/>
                <w:sz w:val="21"/>
                <w:szCs w:val="21"/>
              </w:rPr>
              <w:t>冻存盒)</w:t>
            </w:r>
            <w:r>
              <w:rPr>
                <w:rFonts w:ascii="Times New Roman" w:hAnsi="Times New Roman"/>
                <w:color w:val="000000"/>
                <w:sz w:val="21"/>
                <w:szCs w:val="21"/>
              </w:rPr>
              <w:t>。</w:t>
            </w:r>
          </w:p>
          <w:p>
            <w:pPr>
              <w:numPr>
                <w:ilvl w:val="0"/>
                <w:numId w:val="3"/>
              </w:numPr>
              <w:spacing w:line="300" w:lineRule="auto"/>
              <w:rPr>
                <w:rFonts w:ascii="Times New Roman" w:hAnsi="Times New Roman"/>
                <w:sz w:val="21"/>
                <w:szCs w:val="21"/>
              </w:rPr>
            </w:pPr>
            <w:r>
              <w:rPr>
                <w:rFonts w:ascii="Times New Roman" w:hAnsi="Times New Roman"/>
                <w:sz w:val="21"/>
                <w:szCs w:val="21"/>
              </w:rPr>
              <w:t>净重：312 kg</w:t>
            </w:r>
            <w:r>
              <w:rPr>
                <w:rFonts w:hint="eastAsia" w:ascii="Times New Roman" w:hAnsi="Times New Roman"/>
                <w:sz w:val="21"/>
                <w:szCs w:val="21"/>
                <w:lang w:val="en-US" w:eastAsia="zh-CN"/>
              </w:rPr>
              <w:t>±1%</w:t>
            </w:r>
          </w:p>
          <w:p>
            <w:pPr>
              <w:numPr>
                <w:ilvl w:val="0"/>
                <w:numId w:val="3"/>
              </w:numPr>
              <w:spacing w:line="300" w:lineRule="auto"/>
              <w:rPr>
                <w:rFonts w:ascii="Times New Roman" w:hAnsi="Times New Roman"/>
                <w:sz w:val="21"/>
                <w:szCs w:val="21"/>
              </w:rPr>
            </w:pPr>
            <w:r>
              <w:rPr>
                <w:rFonts w:hint="eastAsia" w:ascii="Times New Roman" w:hAnsi="Times New Roman"/>
                <w:sz w:val="21"/>
                <w:szCs w:val="21"/>
              </w:rPr>
              <w:t>功率：1200</w:t>
            </w:r>
            <w:r>
              <w:rPr>
                <w:rFonts w:ascii="Times New Roman" w:hAnsi="Times New Roman"/>
                <w:sz w:val="21"/>
                <w:szCs w:val="21"/>
              </w:rPr>
              <w:t>W</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hint="eastAsia" w:ascii="Times New Roman" w:hAnsi="Times New Roman"/>
                <w:sz w:val="21"/>
                <w:szCs w:val="21"/>
              </w:rPr>
              <w:t>温度均匀性：≤±</w:t>
            </w:r>
            <w:r>
              <w:rPr>
                <w:rFonts w:ascii="Times New Roman" w:hAnsi="Times New Roman"/>
                <w:sz w:val="21"/>
                <w:szCs w:val="21"/>
              </w:rPr>
              <w:t>5</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hint="eastAsia" w:ascii="Times New Roman" w:hAnsi="Times New Roman"/>
                <w:sz w:val="21"/>
                <w:szCs w:val="21"/>
              </w:rPr>
              <w:t>满足43℃极端条件下的低温性能测试，维持箱内-</w:t>
            </w:r>
            <w:r>
              <w:rPr>
                <w:rFonts w:ascii="Times New Roman" w:hAnsi="Times New Roman"/>
                <w:sz w:val="21"/>
                <w:szCs w:val="21"/>
              </w:rPr>
              <w:t>80</w:t>
            </w:r>
            <w:r>
              <w:rPr>
                <w:rFonts w:hint="eastAsia" w:ascii="Times New Roman" w:hAnsi="Times New Roman"/>
                <w:sz w:val="21"/>
                <w:szCs w:val="21"/>
              </w:rPr>
              <w:t>℃运行。</w:t>
            </w:r>
          </w:p>
          <w:p>
            <w:pPr>
              <w:numPr>
                <w:ilvl w:val="0"/>
                <w:numId w:val="3"/>
              </w:numPr>
              <w:spacing w:line="300" w:lineRule="auto"/>
              <w:rPr>
                <w:rFonts w:ascii="Times New Roman" w:hAnsi="Times New Roman"/>
                <w:sz w:val="21"/>
                <w:szCs w:val="21"/>
              </w:rPr>
            </w:pPr>
            <w:r>
              <w:rPr>
                <w:rFonts w:ascii="Times New Roman" w:hAnsi="Times New Roman"/>
                <w:sz w:val="21"/>
                <w:szCs w:val="21"/>
              </w:rPr>
              <w:t>复叠式制冷系统，降温迅速25℃环境，降至-80℃时间小于300min。</w:t>
            </w:r>
          </w:p>
          <w:p>
            <w:pPr>
              <w:numPr>
                <w:ilvl w:val="0"/>
                <w:numId w:val="3"/>
              </w:numPr>
              <w:spacing w:line="300" w:lineRule="auto"/>
              <w:rPr>
                <w:rFonts w:ascii="Times New Roman" w:hAnsi="Times New Roman"/>
                <w:sz w:val="21"/>
                <w:szCs w:val="21"/>
              </w:rPr>
            </w:pPr>
            <w:r>
              <w:rPr>
                <w:rFonts w:ascii="Times New Roman" w:hAnsi="Times New Roman"/>
                <w:sz w:val="21"/>
                <w:szCs w:val="21"/>
              </w:rPr>
              <w:t>外部材料：电镀锌钢板，聚酯树脂粉喷涂。</w:t>
            </w:r>
          </w:p>
          <w:p>
            <w:pPr>
              <w:numPr>
                <w:ilvl w:val="0"/>
                <w:numId w:val="3"/>
              </w:numPr>
              <w:spacing w:line="300" w:lineRule="auto"/>
              <w:rPr>
                <w:rFonts w:ascii="Times New Roman" w:hAnsi="Times New Roman"/>
                <w:sz w:val="21"/>
                <w:szCs w:val="21"/>
              </w:rPr>
            </w:pPr>
            <w:r>
              <w:rPr>
                <w:rFonts w:ascii="Times New Roman" w:hAnsi="Times New Roman"/>
                <w:sz w:val="21"/>
                <w:szCs w:val="21"/>
              </w:rPr>
              <w:t>内部材料：电镀锌钢板，聚酯树脂粉喷涂。</w:t>
            </w:r>
          </w:p>
          <w:p>
            <w:pPr>
              <w:numPr>
                <w:ilvl w:val="0"/>
                <w:numId w:val="3"/>
              </w:numPr>
              <w:spacing w:line="300" w:lineRule="auto"/>
              <w:rPr>
                <w:rFonts w:ascii="Times New Roman" w:hAnsi="Times New Roman"/>
                <w:b w:val="0"/>
                <w:bCs w:val="0"/>
                <w:sz w:val="21"/>
                <w:szCs w:val="21"/>
              </w:rPr>
            </w:pPr>
            <w:r>
              <w:rPr>
                <w:rFonts w:ascii="Times New Roman" w:hAnsi="Times New Roman"/>
                <w:sz w:val="21"/>
                <w:szCs w:val="21"/>
              </w:rPr>
              <w:t>内门数量2扇(均附带锁扣)，采用不锈钢框ABS树脂板；外门数量1扇(附带锁扣，可配挂锁)采用电镀锌钢板，</w:t>
            </w:r>
            <w:r>
              <w:rPr>
                <w:rFonts w:ascii="Times New Roman" w:hAnsi="Times New Roman"/>
                <w:b w:val="0"/>
                <w:bCs w:val="0"/>
                <w:sz w:val="21"/>
                <w:szCs w:val="21"/>
              </w:rPr>
              <w:t>聚氨酯发泡＋VIP 真空隔热结构</w:t>
            </w:r>
            <w:r>
              <w:rPr>
                <w:rFonts w:hint="eastAsia" w:ascii="Times New Roman" w:hAnsi="Times New Roman"/>
                <w:b w:val="0"/>
                <w:bCs w:val="0"/>
                <w:sz w:val="21"/>
                <w:szCs w:val="21"/>
              </w:rPr>
              <w:t>。</w:t>
            </w:r>
          </w:p>
          <w:p>
            <w:pPr>
              <w:numPr>
                <w:ilvl w:val="0"/>
                <w:numId w:val="3"/>
              </w:numPr>
              <w:spacing w:line="300" w:lineRule="auto"/>
              <w:rPr>
                <w:rFonts w:ascii="Times New Roman" w:hAnsi="Times New Roman"/>
                <w:b w:val="0"/>
                <w:bCs w:val="0"/>
                <w:sz w:val="21"/>
                <w:szCs w:val="21"/>
              </w:rPr>
            </w:pPr>
            <w:r>
              <w:rPr>
                <w:rFonts w:hint="eastAsia" w:ascii="仿宋" w:hAnsi="仿宋" w:eastAsia="仿宋" w:cs="仿宋"/>
                <w:sz w:val="21"/>
                <w:szCs w:val="21"/>
              </w:rPr>
              <w:t>▲</w:t>
            </w:r>
            <w:r>
              <w:rPr>
                <w:rFonts w:ascii="Times New Roman" w:hAnsi="Times New Roman"/>
                <w:sz w:val="21"/>
                <w:szCs w:val="21"/>
              </w:rPr>
              <w:t>隔热层：</w:t>
            </w:r>
            <w:r>
              <w:rPr>
                <w:rFonts w:ascii="Times New Roman" w:hAnsi="Times New Roman"/>
                <w:b w:val="0"/>
                <w:bCs w:val="0"/>
                <w:sz w:val="21"/>
                <w:szCs w:val="21"/>
              </w:rPr>
              <w:t>硬脂聚氨酯发泡+VIP(真空绝热层)技术，发泡层厚度</w:t>
            </w:r>
            <w:r>
              <w:rPr>
                <w:rFonts w:ascii="宋体" w:hAnsi="宋体"/>
                <w:b w:val="0"/>
                <w:bCs w:val="0"/>
                <w:sz w:val="21"/>
                <w:szCs w:val="21"/>
              </w:rPr>
              <w:t>≤</w:t>
            </w:r>
            <w:r>
              <w:rPr>
                <w:rFonts w:ascii="Times New Roman" w:hAnsi="Times New Roman"/>
                <w:b w:val="0"/>
                <w:bCs w:val="0"/>
                <w:sz w:val="21"/>
                <w:szCs w:val="21"/>
              </w:rPr>
              <w:t>70mm，储存空间提升20%以上，样本存储量提升25%以上。</w:t>
            </w:r>
          </w:p>
          <w:p>
            <w:pPr>
              <w:numPr>
                <w:ilvl w:val="0"/>
                <w:numId w:val="3"/>
              </w:numPr>
              <w:spacing w:line="300" w:lineRule="auto"/>
              <w:rPr>
                <w:rFonts w:ascii="Times New Roman" w:hAnsi="Times New Roman"/>
                <w:sz w:val="21"/>
                <w:szCs w:val="21"/>
              </w:rPr>
            </w:pPr>
            <w:r>
              <w:rPr>
                <w:rFonts w:ascii="Times New Roman" w:hAnsi="Times New Roman"/>
                <w:sz w:val="21"/>
                <w:szCs w:val="21"/>
              </w:rPr>
              <w:t>检测孔：17mm(背部，左下角)</w:t>
            </w:r>
            <w:r>
              <w:rPr>
                <w:rFonts w:hint="eastAsia" w:ascii="Times New Roman" w:hAnsi="Times New Roman"/>
                <w:sz w:val="21"/>
                <w:szCs w:val="21"/>
                <w:lang w:val="en-US" w:eastAsia="zh-CN"/>
              </w:rPr>
              <w:t>±1%</w:t>
            </w:r>
            <w:r>
              <w:rPr>
                <w:rFonts w:hint="eastAsia" w:ascii="Times New Roman" w:hAnsi="Times New Roman"/>
                <w:sz w:val="21"/>
                <w:szCs w:val="21"/>
              </w:rPr>
              <w:t>。</w:t>
            </w:r>
          </w:p>
          <w:p>
            <w:pPr>
              <w:pStyle w:val="43"/>
              <w:widowControl/>
              <w:numPr>
                <w:ilvl w:val="0"/>
                <w:numId w:val="3"/>
              </w:numPr>
              <w:spacing w:line="300" w:lineRule="auto"/>
              <w:ind w:firstLineChars="0"/>
              <w:jc w:val="left"/>
              <w:rPr>
                <w:rFonts w:ascii="Times New Roman" w:hAnsi="Times New Roman"/>
                <w:sz w:val="21"/>
                <w:szCs w:val="21"/>
              </w:rPr>
            </w:pPr>
            <w:r>
              <w:rPr>
                <w:rFonts w:ascii="Times New Roman" w:hAnsi="Times New Roman"/>
                <w:sz w:val="21"/>
                <w:szCs w:val="21"/>
              </w:rPr>
              <w:t xml:space="preserve"> “创新式”一体式门锁手把和紧凑式脚轮设计，灵活更方便，可外加挂锁。</w:t>
            </w:r>
          </w:p>
          <w:p>
            <w:pPr>
              <w:pStyle w:val="43"/>
              <w:widowControl/>
              <w:numPr>
                <w:ilvl w:val="0"/>
                <w:numId w:val="3"/>
              </w:numPr>
              <w:spacing w:line="300" w:lineRule="auto"/>
              <w:ind w:firstLineChars="0"/>
              <w:jc w:val="left"/>
              <w:rPr>
                <w:rFonts w:ascii="Times New Roman" w:hAnsi="Times New Roman"/>
                <w:sz w:val="21"/>
                <w:szCs w:val="21"/>
              </w:rPr>
            </w:pPr>
            <w:r>
              <w:rPr>
                <w:rFonts w:hint="eastAsia" w:ascii="仿宋" w:hAnsi="仿宋" w:eastAsia="仿宋" w:cs="仿宋"/>
                <w:sz w:val="21"/>
                <w:szCs w:val="21"/>
              </w:rPr>
              <w:t>▲</w:t>
            </w:r>
            <w:r>
              <w:rPr>
                <w:rFonts w:ascii="Times New Roman" w:hAnsi="Times New Roman"/>
                <w:sz w:val="21"/>
                <w:szCs w:val="21"/>
              </w:rPr>
              <w:t>立体门封条设计，而非平面多层，整体4层门封条分布于不同平面，形成多个密闭保护层，最大程度避免冷气外漏，避免结霜。</w:t>
            </w:r>
          </w:p>
          <w:p>
            <w:pPr>
              <w:numPr>
                <w:ilvl w:val="0"/>
                <w:numId w:val="3"/>
              </w:numPr>
              <w:spacing w:line="300" w:lineRule="auto"/>
              <w:rPr>
                <w:rFonts w:ascii="Times New Roman" w:hAnsi="Times New Roman"/>
                <w:sz w:val="21"/>
                <w:szCs w:val="21"/>
              </w:rPr>
            </w:pPr>
            <w:r>
              <w:rPr>
                <w:rFonts w:ascii="Times New Roman" w:hAnsi="Times New Roman"/>
                <w:sz w:val="21"/>
                <w:szCs w:val="21"/>
              </w:rPr>
              <w:t>检测孔：17mm(背部，左下角)</w:t>
            </w:r>
            <w:r>
              <w:rPr>
                <w:rFonts w:hint="eastAsia" w:ascii="Times New Roman" w:hAnsi="Times New Roman"/>
                <w:sz w:val="21"/>
                <w:szCs w:val="21"/>
                <w:lang w:val="en-US" w:eastAsia="zh-CN"/>
              </w:rPr>
              <w:t>±1%</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ascii="Times New Roman" w:hAnsi="Times New Roman"/>
                <w:sz w:val="21"/>
                <w:szCs w:val="21"/>
              </w:rPr>
              <w:t>配备脚轮以及止动支撑底角。</w:t>
            </w:r>
          </w:p>
          <w:p>
            <w:pPr>
              <w:numPr>
                <w:ilvl w:val="0"/>
                <w:numId w:val="3"/>
              </w:numPr>
              <w:spacing w:line="300" w:lineRule="auto"/>
              <w:rPr>
                <w:rFonts w:ascii="Times New Roman" w:hAnsi="Times New Roman"/>
                <w:sz w:val="21"/>
                <w:szCs w:val="21"/>
              </w:rPr>
            </w:pPr>
            <w:r>
              <w:rPr>
                <w:rFonts w:hint="eastAsia" w:ascii="仿宋" w:hAnsi="仿宋" w:eastAsia="仿宋" w:cs="仿宋"/>
                <w:sz w:val="21"/>
                <w:szCs w:val="21"/>
              </w:rPr>
              <w:t>▲</w:t>
            </w:r>
            <w:r>
              <w:rPr>
                <w:rFonts w:hint="eastAsia" w:ascii="Times New Roman" w:hAnsi="Times New Roman"/>
                <w:sz w:val="21"/>
                <w:szCs w:val="21"/>
              </w:rPr>
              <w:t>变频</w:t>
            </w:r>
            <w:r>
              <w:rPr>
                <w:rFonts w:ascii="Times New Roman" w:hAnsi="Times New Roman"/>
                <w:sz w:val="21"/>
                <w:szCs w:val="21"/>
              </w:rPr>
              <w:t>压缩机，匹配</w:t>
            </w:r>
            <w:r>
              <w:rPr>
                <w:rFonts w:hint="eastAsia" w:ascii="Times New Roman" w:hAnsi="Times New Roman"/>
                <w:sz w:val="21"/>
                <w:szCs w:val="21"/>
              </w:rPr>
              <w:t>成熟的</w:t>
            </w:r>
            <w:r>
              <w:rPr>
                <w:rFonts w:ascii="Times New Roman" w:hAnsi="Times New Roman"/>
                <w:sz w:val="21"/>
                <w:szCs w:val="21"/>
              </w:rPr>
              <w:t>复叠式制冷系统，运行稳定，保障安全</w:t>
            </w:r>
            <w:r>
              <w:rPr>
                <w:rFonts w:hint="eastAsia" w:ascii="Times New Roman" w:hAnsi="Times New Roman"/>
                <w:sz w:val="21"/>
                <w:szCs w:val="21"/>
              </w:rPr>
              <w:t>。</w:t>
            </w:r>
          </w:p>
          <w:p>
            <w:pPr>
              <w:numPr>
                <w:ilvl w:val="0"/>
                <w:numId w:val="3"/>
              </w:numPr>
              <w:spacing w:line="300" w:lineRule="auto"/>
              <w:rPr>
                <w:rFonts w:ascii="Times New Roman" w:hAnsi="Times New Roman"/>
                <w:sz w:val="21"/>
                <w:szCs w:val="21"/>
              </w:rPr>
            </w:pPr>
            <w:r>
              <w:rPr>
                <w:rFonts w:ascii="Times New Roman" w:hAnsi="Times New Roman"/>
                <w:sz w:val="21"/>
                <w:szCs w:val="21"/>
              </w:rPr>
              <w:t>冷凝器：翅片式铜管冷凝器，散热效果良好。冷凝器过滤网便于更换和清洗。</w:t>
            </w:r>
          </w:p>
          <w:p>
            <w:pPr>
              <w:numPr>
                <w:ilvl w:val="0"/>
                <w:numId w:val="3"/>
              </w:numPr>
              <w:spacing w:line="300" w:lineRule="auto"/>
              <w:rPr>
                <w:rFonts w:ascii="Times New Roman" w:hAnsi="Times New Roman"/>
                <w:sz w:val="21"/>
                <w:szCs w:val="21"/>
              </w:rPr>
            </w:pPr>
            <w:r>
              <w:rPr>
                <w:rFonts w:hint="eastAsia" w:ascii="仿宋" w:hAnsi="仿宋" w:eastAsia="仿宋" w:cs="仿宋"/>
                <w:sz w:val="21"/>
                <w:szCs w:val="21"/>
              </w:rPr>
              <w:t>▲</w:t>
            </w:r>
            <w:r>
              <w:rPr>
                <w:rFonts w:ascii="Times New Roman" w:hAnsi="Times New Roman"/>
                <w:sz w:val="21"/>
                <w:szCs w:val="21"/>
              </w:rPr>
              <w:t>制冷剂</w:t>
            </w:r>
            <w:r>
              <w:rPr>
                <w:rFonts w:ascii="Times New Roman" w:hAnsi="Times New Roman"/>
                <w:b w:val="0"/>
                <w:bCs w:val="0"/>
                <w:sz w:val="21"/>
                <w:szCs w:val="21"/>
              </w:rPr>
              <w:t>：碳氢制冷剂，完全</w:t>
            </w:r>
            <w:r>
              <w:rPr>
                <w:rFonts w:ascii="Times New Roman" w:hAnsi="Times New Roman"/>
                <w:sz w:val="21"/>
                <w:szCs w:val="21"/>
              </w:rPr>
              <w:t>环保无污染</w:t>
            </w:r>
            <w:r>
              <w:rPr>
                <w:rFonts w:hint="eastAsia" w:ascii="Times New Roman" w:hAnsi="Times New Roman"/>
                <w:sz w:val="21"/>
                <w:szCs w:val="21"/>
              </w:rPr>
              <w:t>，单个制冷系统内充注量≤140g。</w:t>
            </w:r>
          </w:p>
          <w:p>
            <w:pPr>
              <w:pStyle w:val="43"/>
              <w:numPr>
                <w:ilvl w:val="0"/>
                <w:numId w:val="3"/>
              </w:numPr>
              <w:spacing w:line="300" w:lineRule="auto"/>
              <w:ind w:firstLineChars="0"/>
              <w:rPr>
                <w:rFonts w:ascii="Times New Roman" w:hAnsi="Times New Roman"/>
                <w:sz w:val="21"/>
                <w:szCs w:val="21"/>
              </w:rPr>
            </w:pPr>
            <w:r>
              <w:rPr>
                <w:rFonts w:hint="eastAsia" w:ascii="仿宋" w:hAnsi="仿宋" w:eastAsia="仿宋" w:cs="仿宋"/>
                <w:sz w:val="21"/>
                <w:szCs w:val="21"/>
              </w:rPr>
              <w:t>▲</w:t>
            </w:r>
            <w:r>
              <w:rPr>
                <w:rFonts w:ascii="Times New Roman" w:hAnsi="Times New Roman"/>
                <w:b w:val="0"/>
                <w:bCs w:val="0"/>
                <w:sz w:val="21"/>
                <w:szCs w:val="21"/>
              </w:rPr>
              <w:t>标配膨胀罐，</w:t>
            </w:r>
            <w:r>
              <w:rPr>
                <w:rFonts w:ascii="Times New Roman" w:hAnsi="Times New Roman"/>
                <w:sz w:val="21"/>
                <w:szCs w:val="21"/>
              </w:rPr>
              <w:t>当因环境温度过高及其他原因导致制冷系统压力过大时，维持压缩机正常运行。</w:t>
            </w:r>
          </w:p>
          <w:p>
            <w:pPr>
              <w:numPr>
                <w:ilvl w:val="0"/>
                <w:numId w:val="3"/>
              </w:numPr>
              <w:spacing w:line="300" w:lineRule="auto"/>
              <w:rPr>
                <w:rFonts w:ascii="Times New Roman" w:hAnsi="Times New Roman"/>
                <w:sz w:val="21"/>
                <w:szCs w:val="21"/>
              </w:rPr>
            </w:pPr>
            <w:r>
              <w:rPr>
                <w:rFonts w:hint="eastAsia" w:ascii="仿宋" w:hAnsi="仿宋" w:eastAsia="仿宋" w:cs="仿宋"/>
                <w:sz w:val="21"/>
                <w:szCs w:val="21"/>
              </w:rPr>
              <w:t>▲</w:t>
            </w:r>
            <w:r>
              <w:rPr>
                <w:rFonts w:ascii="Times New Roman" w:hAnsi="Times New Roman"/>
                <w:sz w:val="21"/>
                <w:szCs w:val="21"/>
              </w:rPr>
              <w:t>控制器功能：带有延迟启动功能，可设定0~30min错峰启动，减少同时启动对于电路负荷；显示屏密码保护机制，可对不同操作人员进行不同权限分配；MODBUS通信输出温度数据(选配)。</w:t>
            </w:r>
          </w:p>
          <w:p>
            <w:pPr>
              <w:numPr>
                <w:ilvl w:val="0"/>
                <w:numId w:val="3"/>
              </w:numPr>
              <w:spacing w:line="300" w:lineRule="auto"/>
              <w:rPr>
                <w:rFonts w:ascii="Times New Roman" w:hAnsi="Times New Roman"/>
                <w:sz w:val="21"/>
                <w:szCs w:val="21"/>
              </w:rPr>
            </w:pPr>
            <w:r>
              <w:rPr>
                <w:rFonts w:ascii="Times New Roman" w:hAnsi="Times New Roman"/>
                <w:sz w:val="21"/>
                <w:szCs w:val="21"/>
              </w:rPr>
              <w:t>安全装置：多种故障报警，包括高低温报警、环温高温报警、压缩机保护报警、传感器异常报警、断电报警、远程报警输出。两种报警方式(声音蜂鸣报警、报警代码显示报警)；所有独立部件安全接地。</w:t>
            </w:r>
          </w:p>
          <w:p>
            <w:pPr>
              <w:numPr>
                <w:ilvl w:val="0"/>
                <w:numId w:val="3"/>
              </w:numPr>
              <w:spacing w:line="300" w:lineRule="auto"/>
              <w:rPr>
                <w:rFonts w:ascii="Times New Roman" w:hAnsi="Times New Roman"/>
                <w:sz w:val="21"/>
                <w:szCs w:val="21"/>
              </w:rPr>
            </w:pPr>
            <w:r>
              <w:rPr>
                <w:rFonts w:hint="eastAsia" w:ascii="Times New Roman" w:hAnsi="Times New Roman"/>
                <w:sz w:val="21"/>
                <w:szCs w:val="21"/>
              </w:rPr>
              <w:t>可选配</w:t>
            </w:r>
            <w:r>
              <w:rPr>
                <w:rFonts w:hint="eastAsia" w:ascii="Times New Roman" w:hAnsi="Times New Roman"/>
                <w:sz w:val="21"/>
                <w:szCs w:val="21"/>
                <w:lang w:val="en-US" w:eastAsia="zh-CN"/>
              </w:rPr>
              <w:t>≥</w:t>
            </w:r>
            <w:r>
              <w:rPr>
                <w:rFonts w:ascii="Times New Roman" w:hAnsi="Times New Roman"/>
                <w:sz w:val="21"/>
                <w:szCs w:val="21"/>
              </w:rPr>
              <w:t>10</w:t>
            </w:r>
            <w:r>
              <w:rPr>
                <w:rFonts w:hint="eastAsia" w:ascii="Times New Roman" w:hAnsi="Times New Roman"/>
                <w:sz w:val="21"/>
                <w:szCs w:val="21"/>
              </w:rPr>
              <w:t>寸智能触摸屏，直观显示箱体运行数据，查询设备运行记录和箱内温度变化。</w:t>
            </w:r>
          </w:p>
          <w:p>
            <w:pPr>
              <w:numPr>
                <w:ilvl w:val="0"/>
                <w:numId w:val="3"/>
              </w:numPr>
              <w:spacing w:line="300" w:lineRule="auto"/>
              <w:rPr>
                <w:rFonts w:hint="eastAsia" w:ascii="宋体" w:hAnsi="宋体"/>
                <w:szCs w:val="21"/>
              </w:rPr>
            </w:pPr>
            <w:r>
              <w:rPr>
                <w:rFonts w:ascii="Times New Roman" w:hAnsi="Times New Roman"/>
                <w:sz w:val="21"/>
                <w:szCs w:val="21"/>
              </w:rPr>
              <w:t>标准配置：搁架3层，除霜铲1个，钥匙1套，说明书1本</w:t>
            </w:r>
            <w:r>
              <w:rPr>
                <w:rFonts w:hint="eastAsia" w:ascii="Times New Roman" w:hAnsi="Times New Roman"/>
                <w:sz w:val="21"/>
                <w:szCs w:val="21"/>
              </w:rPr>
              <w:t>，</w:t>
            </w:r>
            <w:r>
              <w:rPr>
                <w:rFonts w:ascii="Times New Roman" w:hAnsi="Times New Roman"/>
                <w:sz w:val="21"/>
                <w:szCs w:val="21"/>
              </w:rPr>
              <w:t>可选配冻存</w:t>
            </w:r>
            <w:r>
              <w:rPr>
                <w:rFonts w:hint="eastAsia" w:ascii="Times New Roman" w:hAnsi="Times New Roman"/>
                <w:sz w:val="21"/>
                <w:szCs w:val="21"/>
              </w:rPr>
              <w:t>架、C</w:t>
            </w:r>
            <w:r>
              <w:rPr>
                <w:rFonts w:ascii="Times New Roman" w:hAnsi="Times New Roman"/>
                <w:sz w:val="21"/>
                <w:szCs w:val="21"/>
              </w:rPr>
              <w:t>O2</w:t>
            </w:r>
            <w:r>
              <w:rPr>
                <w:rFonts w:hint="eastAsia" w:ascii="Times New Roman" w:hAnsi="Times New Roman"/>
                <w:sz w:val="21"/>
                <w:szCs w:val="21"/>
              </w:rPr>
              <w:t>后备制冷系统。</w:t>
            </w:r>
          </w:p>
        </w:tc>
      </w:tr>
    </w:tbl>
    <w:p>
      <w:pPr>
        <w:pStyle w:val="10"/>
      </w:pPr>
    </w:p>
    <w:p>
      <w:pPr>
        <w:jc w:val="center"/>
        <w:rPr>
          <w:rFonts w:hint="eastAsia"/>
          <w:sz w:val="32"/>
          <w:szCs w:val="32"/>
          <w:lang w:val="en-US" w:eastAsia="zh-CN"/>
        </w:rPr>
      </w:pPr>
      <w:bookmarkStart w:id="5" w:name="_Toc128884461"/>
    </w:p>
    <w:p>
      <w:pPr>
        <w:rPr>
          <w:rFonts w:hint="eastAsia"/>
          <w:sz w:val="32"/>
          <w:szCs w:val="32"/>
          <w:lang w:val="en-US" w:eastAsia="zh-CN"/>
        </w:rPr>
      </w:pPr>
      <w:r>
        <w:rPr>
          <w:rFonts w:hint="eastAsia"/>
          <w:sz w:val="32"/>
          <w:szCs w:val="32"/>
          <w:lang w:val="en-US" w:eastAsia="zh-CN"/>
        </w:rPr>
        <w:br w:type="page"/>
      </w:r>
    </w:p>
    <w:p>
      <w:pPr>
        <w:jc w:val="center"/>
        <w:rPr>
          <w:sz w:val="32"/>
          <w:szCs w:val="32"/>
        </w:rPr>
      </w:pPr>
      <w:r>
        <w:rPr>
          <w:rFonts w:hint="eastAsia"/>
          <w:sz w:val="32"/>
          <w:szCs w:val="32"/>
          <w:lang w:val="en-US" w:eastAsia="zh-CN"/>
        </w:rPr>
        <w:t>三</w:t>
      </w:r>
      <w:r>
        <w:rPr>
          <w:rFonts w:hint="eastAsia"/>
          <w:sz w:val="32"/>
          <w:szCs w:val="32"/>
        </w:rPr>
        <w:t>、实质性条款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p>
      <w:pPr>
        <w:pStyle w:val="10"/>
      </w:pPr>
    </w:p>
    <w:tbl>
      <w:tblPr>
        <w:tblStyle w:val="19"/>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467"/>
        <w:gridCol w:w="7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744"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709"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709"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eastAsia="宋体"/>
                <w:color w:val="000000"/>
                <w:szCs w:val="21"/>
                <w:highlight w:val="yellow"/>
                <w:u w:val="single"/>
                <w:lang w:val="en-US" w:eastAsia="zh-CN"/>
              </w:rPr>
              <w:t>六</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709"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709"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709"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bCs/>
                <w:color w:val="000000"/>
                <w:kern w:val="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szCs w:val="21"/>
              </w:rPr>
            </w:pPr>
          </w:p>
        </w:tc>
        <w:tc>
          <w:tcPr>
            <w:tcW w:w="3709"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744"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709" w:type="pct"/>
            <w:noWrap w:val="0"/>
            <w:vAlign w:val="center"/>
          </w:tcPr>
          <w:p>
            <w:pPr>
              <w:jc w:val="left"/>
              <w:rPr>
                <w:rFonts w:ascii="宋体" w:hAnsi="宋体" w:eastAsia="宋体"/>
                <w:color w:val="000000"/>
                <w:szCs w:val="21"/>
              </w:rPr>
            </w:pPr>
            <w:bookmarkStart w:id="6" w:name="_Toc139547374"/>
            <w:bookmarkStart w:id="7" w:name="_Toc139552620"/>
            <w:bookmarkStart w:id="8" w:name="_Toc101448089"/>
            <w:bookmarkStart w:id="9" w:name="_Toc146293826"/>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kern w:val="0"/>
                <w:szCs w:val="21"/>
              </w:rPr>
            </w:pPr>
            <w:bookmarkStart w:id="10" w:name="_Toc101448090"/>
            <w:bookmarkStart w:id="11" w:name="_Toc146293827"/>
            <w:bookmarkStart w:id="12" w:name="_Toc139547375"/>
            <w:bookmarkStart w:id="13" w:name="_Toc139552621"/>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bookmarkStart w:id="14" w:name="_Toc139547376"/>
            <w:bookmarkStart w:id="15" w:name="_Toc101448091"/>
            <w:bookmarkStart w:id="16" w:name="_Toc139552622"/>
            <w:bookmarkStart w:id="17" w:name="_Toc146293828"/>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bookmarkStart w:id="18" w:name="_Toc101448092"/>
            <w:bookmarkStart w:id="19" w:name="_Toc139552623"/>
            <w:bookmarkStart w:id="20" w:name="_Toc139547377"/>
            <w:bookmarkStart w:id="21" w:name="_Toc146293829"/>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bookmarkStart w:id="22" w:name="_Toc146293830"/>
            <w:bookmarkStart w:id="23" w:name="_Toc139547378"/>
            <w:bookmarkStart w:id="24" w:name="_Toc139552624"/>
            <w:bookmarkStart w:id="25" w:name="_Toc101448093"/>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46"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744"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46" w:type="pct"/>
            <w:vMerge w:val="continue"/>
            <w:noWrap w:val="0"/>
            <w:vAlign w:val="center"/>
          </w:tcPr>
          <w:p>
            <w:pPr>
              <w:jc w:val="center"/>
              <w:rPr>
                <w:rFonts w:ascii="宋体" w:hAnsi="宋体" w:eastAsia="宋体"/>
                <w:color w:val="000000"/>
                <w:kern w:val="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6"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744"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709"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744"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709"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46"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744"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6" w:type="pct"/>
            <w:vMerge w:val="continue"/>
            <w:noWrap w:val="0"/>
            <w:vAlign w:val="center"/>
          </w:tcPr>
          <w:p>
            <w:pPr>
              <w:jc w:val="center"/>
              <w:rPr>
                <w:rFonts w:ascii="宋体" w:hAnsi="宋体" w:eastAsia="宋体"/>
                <w:color w:val="000000"/>
                <w:szCs w:val="21"/>
              </w:rPr>
            </w:pPr>
          </w:p>
        </w:tc>
        <w:tc>
          <w:tcPr>
            <w:tcW w:w="744" w:type="pct"/>
            <w:vMerge w:val="continue"/>
            <w:noWrap w:val="0"/>
            <w:vAlign w:val="center"/>
          </w:tcPr>
          <w:p>
            <w:pPr>
              <w:jc w:val="center"/>
              <w:rPr>
                <w:rFonts w:ascii="宋体" w:hAnsi="宋体" w:eastAsia="宋体"/>
                <w:color w:val="000000"/>
                <w:kern w:val="0"/>
                <w:szCs w:val="21"/>
              </w:rPr>
            </w:pPr>
          </w:p>
        </w:tc>
        <w:tc>
          <w:tcPr>
            <w:tcW w:w="3709"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bookmarkEnd w:id="4"/>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00</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00</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以上</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21.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6"/>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二十一、</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二十四、深圳市宝安区人民医院2024年第53期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eastAsia" w:ascii="宋体" w:hAnsi="宋体"/>
          <w:color w:val="000000"/>
          <w:sz w:val="24"/>
        </w:rPr>
      </w:pPr>
      <w:r>
        <w:rPr>
          <w:rFonts w:hint="eastAsia" w:ascii="宋体" w:hAnsi="宋体" w:cs="宋体-18030"/>
          <w:b/>
          <w:bCs/>
          <w:color w:val="000000"/>
          <w:sz w:val="24"/>
        </w:rPr>
        <w:t>项目编号：</w:t>
      </w:r>
      <w:r>
        <w:rPr>
          <w:rFonts w:hint="eastAsia" w:ascii="宋体" w:hAnsi="宋体"/>
          <w:bCs/>
          <w:color w:val="000000"/>
          <w:sz w:val="24"/>
        </w:rPr>
        <w:t>BYZBCG2024-53</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3158CF1"/>
    <w:multiLevelType w:val="singleLevel"/>
    <w:tmpl w:val="33158CF1"/>
    <w:lvl w:ilvl="0" w:tentative="0">
      <w:start w:val="1"/>
      <w:numFmt w:val="decimal"/>
      <w:lvlText w:val="%1."/>
      <w:lvlJc w:val="left"/>
      <w:pPr>
        <w:ind w:left="425" w:hanging="425"/>
      </w:pPr>
      <w:rPr>
        <w:rFonts w:hint="default"/>
      </w:rPr>
    </w:lvl>
  </w:abstractNum>
  <w:abstractNum w:abstractNumId="3">
    <w:nsid w:val="58045769"/>
    <w:multiLevelType w:val="multilevel"/>
    <w:tmpl w:val="58045769"/>
    <w:lvl w:ilvl="0" w:tentative="0">
      <w:start w:val="2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E55"/>
    <w:rsid w:val="00647C4E"/>
    <w:rsid w:val="0065069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20467</Words>
  <Characters>21720</Characters>
  <Lines>194</Lines>
  <Paragraphs>54</Paragraphs>
  <TotalTime>20</TotalTime>
  <ScaleCrop>false</ScaleCrop>
  <LinksUpToDate>false</LinksUpToDate>
  <CharactersWithSpaces>24408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2024-10-29T02:55:00Z</cp:lastPrinted>
  <dcterms:modified xsi:type="dcterms:W3CDTF">2024-10-31T00:24:48Z</dcterms:modified>
  <dc:title>院内招标采购公告</dc:title>
  <cp:revision>1010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