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55眼压计（第二次招标）采购公告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55</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2"/>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638"/>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315"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38"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315"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眼压计</w:t>
            </w:r>
          </w:p>
        </w:tc>
        <w:tc>
          <w:tcPr>
            <w:tcW w:w="638"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社康中心</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49DE9770">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10</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25</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10</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15</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3C66431A">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snapToGrid w:val="0"/>
          <w:color w:val="auto"/>
          <w:sz w:val="21"/>
          <w:szCs w:val="21"/>
          <w:lang w:val="en-US" w:eastAsia="zh-CN"/>
        </w:rPr>
        <w:t>必须提供进口医疗器械注册证</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41FC480">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､投标人必须在其投标文件中</w:t>
      </w:r>
      <w:r>
        <w:rPr>
          <w:rFonts w:hint="eastAsia" w:ascii="宋体" w:hAnsi="宋体" w:eastAsia="宋体" w:cs="宋体"/>
          <w:color w:val="000000"/>
          <w:kern w:val="0"/>
          <w:sz w:val="21"/>
          <w:szCs w:val="21"/>
          <w:lang w:val="en-US" w:eastAsia="zh-CN"/>
        </w:rPr>
        <w:t>提供产品彩页，</w:t>
      </w:r>
      <w:r>
        <w:rPr>
          <w:rFonts w:hint="eastAsia" w:ascii="宋体" w:hAnsi="宋体" w:eastAsia="宋体" w:cs="宋体"/>
          <w:color w:val="000000"/>
          <w:kern w:val="0"/>
          <w:sz w:val="21"/>
          <w:szCs w:val="21"/>
        </w:rPr>
        <w:t>根据产品特点提供产品使用培训等技术服务的详细内容,技术服务的价格计入投标总价｡</w:t>
      </w:r>
    </w:p>
    <w:p w14:paraId="29156A04">
      <w:pPr>
        <w:widowControl/>
        <w:jc w:val="left"/>
        <w:rPr>
          <w:rFonts w:hint="eastAsia" w:ascii="宋体" w:hAnsi="宋体" w:eastAsia="宋体" w:cs="宋体"/>
          <w:kern w:val="0"/>
          <w:sz w:val="21"/>
          <w:szCs w:val="21"/>
        </w:rPr>
      </w:pPr>
      <w:r>
        <w:rPr>
          <w:rFonts w:hint="eastAsia" w:ascii="宋体" w:hAnsi="宋体" w:cs="宋体"/>
          <w:kern w:val="0"/>
          <w:sz w:val="21"/>
          <w:szCs w:val="21"/>
          <w:lang w:val="en-US" w:eastAsia="zh-CN"/>
        </w:rPr>
        <w:t>5</w:t>
      </w:r>
      <w:r>
        <w:rPr>
          <w:rFonts w:hint="eastAsia" w:ascii="宋体" w:hAnsi="宋体" w:eastAsia="宋体" w:cs="宋体"/>
          <w:kern w:val="0"/>
          <w:sz w:val="21"/>
          <w:szCs w:val="21"/>
        </w:rPr>
        <w:t>､投标人须免费提供产品使用过程中所需的一切专用辅助工具,配备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6</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､标价应为含税实际供货价,包括设备验收合格前所发生的保险､运输(到指定场地)､检验､安装就位以及调试等一切费用｡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9</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0</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11</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8"/>
          <w:rFonts w:asciiTheme="minorEastAsia" w:hAnsiTheme="minorEastAsia" w:eastAsiaTheme="minorEastAsia"/>
          <w:color w:val="auto"/>
          <w:sz w:val="21"/>
          <w:szCs w:val="21"/>
        </w:rPr>
        <w:t>www.creditchina.gov.cn</w:t>
      </w:r>
      <w:r>
        <w:rPr>
          <w:rStyle w:val="28"/>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13.</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7649C99C">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4</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5</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67B5F7B">
      <w:pPr>
        <w:tabs>
          <w:tab w:val="left" w:pos="425"/>
        </w:tabs>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､服务要求:</w:t>
      </w:r>
      <w:r>
        <w:rPr>
          <w:rFonts w:hint="eastAsia" w:ascii="宋体" w:hAnsi="宋体" w:eastAsia="宋体" w:cs="宋体"/>
          <w:b/>
          <w:color w:val="FF0000"/>
          <w:kern w:val="0"/>
          <w:sz w:val="21"/>
          <w:szCs w:val="21"/>
        </w:rPr>
        <w:t>设备须提供</w:t>
      </w:r>
      <w:r>
        <w:rPr>
          <w:rFonts w:hint="eastAsia" w:ascii="宋体" w:hAnsi="宋体" w:cs="宋体"/>
          <w:b/>
          <w:color w:val="FF0000"/>
          <w:kern w:val="0"/>
          <w:sz w:val="21"/>
          <w:szCs w:val="21"/>
          <w:lang w:val="en-US" w:eastAsia="zh-CN"/>
        </w:rPr>
        <w:t>5</w:t>
      </w:r>
      <w:r>
        <w:rPr>
          <w:rFonts w:hint="eastAsia" w:ascii="宋体" w:hAnsi="宋体" w:eastAsia="宋体" w:cs="宋体"/>
          <w:b/>
          <w:color w:val="FF0000"/>
          <w:kern w:val="0"/>
          <w:sz w:val="21"/>
          <w:szCs w:val="21"/>
        </w:rPr>
        <w:t>年整机原厂免费全保</w:t>
      </w:r>
      <w:r>
        <w:rPr>
          <w:rFonts w:hint="eastAsia" w:ascii="宋体" w:hAnsi="宋体" w:eastAsia="宋体" w:cs="宋体"/>
          <w:color w:val="FF0000"/>
          <w:kern w:val="0"/>
          <w:sz w:val="21"/>
          <w:szCs w:val="21"/>
        </w:rPr>
        <w:t>,</w:t>
      </w:r>
      <w:r>
        <w:rPr>
          <w:rFonts w:hint="eastAsia" w:ascii="宋体" w:hAnsi="宋体" w:eastAsia="宋体" w:cs="宋体"/>
          <w:color w:val="000000" w:themeColor="text1"/>
          <w:sz w:val="21"/>
          <w:szCs w:val="21"/>
        </w:rPr>
        <w:t>维修响应时间为24小时 *365天,接到报修电话后工程师必须在4小时内赶到现场处理故障｡</w:t>
      </w:r>
      <w:r>
        <w:rPr>
          <w:rFonts w:hint="eastAsia" w:ascii="宋体" w:hAnsi="宋体" w:eastAsia="宋体" w:cs="宋体"/>
          <w:color w:val="000000" w:themeColor="text1"/>
          <w:kern w:val="0"/>
          <w:sz w:val="21"/>
          <w:szCs w:val="21"/>
        </w:rPr>
        <w:t>凡带检查､检验项目的设备和系统,须免费实现与医院信息化系统无缝衔接｡</w:t>
      </w:r>
    </w:p>
    <w:p w14:paraId="66F13DE0">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19</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0C1E398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5EC719C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406A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601BA41F">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14:paraId="7CEB6943">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14:paraId="2A943EB1">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14:paraId="332C0740">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14:paraId="62DF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690CFDE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技术商务(65分)</w:t>
            </w:r>
          </w:p>
        </w:tc>
        <w:tc>
          <w:tcPr>
            <w:tcW w:w="1742" w:type="dxa"/>
            <w:vAlign w:val="center"/>
          </w:tcPr>
          <w:p w14:paraId="1B54117A">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rPr>
              <w:t>响应情况评价</w:t>
            </w:r>
          </w:p>
        </w:tc>
        <w:tc>
          <w:tcPr>
            <w:tcW w:w="847" w:type="dxa"/>
            <w:vAlign w:val="center"/>
          </w:tcPr>
          <w:p w14:paraId="223A88A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33</w:t>
            </w:r>
            <w:r>
              <w:rPr>
                <w:rFonts w:hint="default" w:asciiTheme="minorEastAsia" w:hAnsiTheme="minorEastAsia" w:eastAsiaTheme="minorEastAsia"/>
                <w:color w:val="000000"/>
                <w:szCs w:val="21"/>
                <w:lang w:val="zh-CN"/>
              </w:rPr>
              <w:t>分</w:t>
            </w:r>
          </w:p>
        </w:tc>
        <w:tc>
          <w:tcPr>
            <w:tcW w:w="5115" w:type="dxa"/>
            <w:vAlign w:val="center"/>
          </w:tcPr>
          <w:p w14:paraId="09C28D42">
            <w:pPr>
              <w:keepNext w:val="0"/>
              <w:keepLines w:val="0"/>
              <w:suppressLineNumbers w:val="0"/>
              <w:tabs>
                <w:tab w:val="left" w:pos="425"/>
              </w:tabs>
              <w:spacing w:before="0" w:beforeAutospacing="0" w:after="0" w:afterAutospacing="0"/>
              <w:ind w:left="0" w:right="0"/>
              <w:rPr>
                <w:rFonts w:hint="default" w:ascii="Times New Roman" w:hAnsi="Times New Roman" w:eastAsia="宋体" w:cs="Times New Roman"/>
                <w:color w:val="auto"/>
                <w:lang w:val="zh-CN"/>
              </w:rPr>
            </w:pPr>
            <w:r>
              <w:rPr>
                <w:rFonts w:hint="eastAsia" w:ascii="Times New Roman" w:hAnsi="Times New Roman" w:eastAsia="宋体" w:cs="Times New Roman"/>
                <w:color w:val="auto"/>
              </w:rPr>
              <w:t>投标人须对本项目的【技术参数】</w:t>
            </w:r>
            <w:r>
              <w:rPr>
                <w:rFonts w:hint="eastAsia" w:cs="Times New Roman"/>
                <w:color w:val="auto"/>
                <w:lang w:val="en-US" w:eastAsia="zh-CN"/>
              </w:rPr>
              <w:t>要求</w:t>
            </w:r>
            <w:r>
              <w:rPr>
                <w:rFonts w:hint="eastAsia" w:ascii="Times New Roman" w:hAnsi="Times New Roman" w:eastAsia="宋体" w:cs="Times New Roman"/>
                <w:color w:val="auto"/>
              </w:rPr>
              <w:t>进行逐条响应</w:t>
            </w:r>
            <w:r>
              <w:rPr>
                <w:rFonts w:hint="eastAsia" w:ascii="Times New Roman" w:hAnsi="Times New Roman" w:eastAsia="宋体" w:cs="Times New Roman"/>
                <w:color w:val="auto"/>
                <w:lang w:val="zh-CN"/>
              </w:rPr>
              <w:t>｡</w:t>
            </w:r>
          </w:p>
          <w:p w14:paraId="3AEB62FD">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Times New Roman" w:hAnsi="Times New Roman" w:eastAsia="宋体" w:cs="Times New Roman"/>
                <w:color w:val="auto"/>
              </w:rPr>
              <w:t>评分依据：以投标文件《</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条款</w:t>
            </w:r>
            <w:r>
              <w:rPr>
                <w:rFonts w:hint="eastAsia" w:ascii="宋体" w:hAnsi="宋体" w:eastAsia="宋体" w:cs="宋体"/>
                <w:color w:val="auto"/>
                <w:szCs w:val="21"/>
              </w:rPr>
              <w:t>偏离表</w:t>
            </w:r>
            <w:r>
              <w:rPr>
                <w:rFonts w:hint="eastAsia" w:ascii="Times New Roman" w:hAnsi="Times New Roman" w:eastAsia="宋体" w:cs="Times New Roman"/>
                <w:color w:val="auto"/>
              </w:rPr>
              <w:t>》为评分依据，按招标文件要求提供相应的证明材料复印件或扫描件加盖投标人公章（原件备查）</w:t>
            </w:r>
            <w:r>
              <w:rPr>
                <w:rFonts w:hint="default" w:asciiTheme="minorEastAsia" w:hAnsiTheme="minorEastAsia" w:eastAsiaTheme="minorEastAsia"/>
              </w:rPr>
              <w:t>,</w:t>
            </w:r>
            <w:r>
              <w:rPr>
                <w:rFonts w:hint="default" w:asciiTheme="minorEastAsia" w:hAnsiTheme="minorEastAsia" w:eastAsiaTheme="minorEastAsia"/>
                <w:szCs w:val="21"/>
              </w:rPr>
              <w:t>完全符合招标要求的,得满分;</w:t>
            </w:r>
            <w:r>
              <w:rPr>
                <w:rFonts w:hint="default" w:asciiTheme="minorEastAsia" w:hAnsiTheme="minorEastAsia" w:eastAsiaTheme="minorEastAsia"/>
              </w:rPr>
              <w:t>注有▲的重要技术要求每1项负偏离,扣</w:t>
            </w:r>
            <w:r>
              <w:rPr>
                <w:rFonts w:hint="default" w:asciiTheme="minorEastAsia" w:hAnsiTheme="minorEastAsia" w:eastAsiaTheme="minorEastAsia"/>
                <w:u w:val="single"/>
              </w:rPr>
              <w:t xml:space="preserve">  </w:t>
            </w:r>
            <w:r>
              <w:rPr>
                <w:rFonts w:hint="eastAsia" w:asciiTheme="minorEastAsia" w:hAnsiTheme="minorEastAsia" w:eastAsiaTheme="minorEastAsia"/>
                <w:color w:val="FF0000"/>
                <w:u w:val="single"/>
                <w:lang w:val="en-US" w:eastAsia="zh-CN"/>
              </w:rPr>
              <w:t>5</w:t>
            </w:r>
            <w:r>
              <w:rPr>
                <w:rFonts w:hint="default" w:asciiTheme="minorEastAsia" w:hAnsiTheme="minorEastAsia" w:eastAsiaTheme="minorEastAsia"/>
                <w:color w:val="FF0000"/>
                <w:u w:val="single"/>
              </w:rPr>
              <w:t>分</w:t>
            </w:r>
            <w:r>
              <w:rPr>
                <w:rFonts w:hint="default" w:asciiTheme="minorEastAsia" w:hAnsiTheme="minorEastAsia" w:eastAsiaTheme="minorEastAsia"/>
              </w:rPr>
              <w:t>;其他一般技术要求每1项负偏离,扣</w:t>
            </w:r>
            <w:r>
              <w:rPr>
                <w:rFonts w:hint="default" w:asciiTheme="minorEastAsia" w:hAnsiTheme="minorEastAsia" w:eastAsiaTheme="minorEastAsia"/>
                <w:color w:val="FF0000"/>
                <w:u w:val="single"/>
              </w:rPr>
              <w:t xml:space="preserve"> </w:t>
            </w:r>
            <w:r>
              <w:rPr>
                <w:rFonts w:hint="eastAsia" w:asciiTheme="minorEastAsia" w:hAnsiTheme="minorEastAsia" w:eastAsiaTheme="minorEastAsia"/>
                <w:color w:val="FF0000"/>
                <w:u w:val="single"/>
                <w:lang w:val="en-US" w:eastAsia="zh-CN"/>
              </w:rPr>
              <w:t>2</w:t>
            </w:r>
            <w:r>
              <w:rPr>
                <w:rFonts w:hint="default" w:asciiTheme="minorEastAsia" w:hAnsiTheme="minorEastAsia" w:eastAsiaTheme="minorEastAsia"/>
                <w:color w:val="FF0000"/>
                <w:u w:val="single"/>
              </w:rPr>
              <w:t>分</w:t>
            </w:r>
            <w:r>
              <w:rPr>
                <w:rFonts w:hint="default" w:asciiTheme="minorEastAsia" w:hAnsiTheme="minorEastAsia" w:eastAsiaTheme="minorEastAsia"/>
              </w:rPr>
              <w:t>;扣完为止</w:t>
            </w:r>
            <w:r>
              <w:rPr>
                <w:rFonts w:hint="eastAsia" w:asciiTheme="minorEastAsia" w:hAnsiTheme="minorEastAsia" w:eastAsiaTheme="minorEastAsia"/>
              </w:rPr>
              <w:t>｡</w:t>
            </w:r>
          </w:p>
        </w:tc>
      </w:tr>
      <w:tr w14:paraId="2A26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6750FA1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6903438E">
            <w:pPr>
              <w:keepNext w:val="0"/>
              <w:keepLines w:val="0"/>
              <w:suppressLineNumbers w:val="0"/>
              <w:spacing w:before="0" w:beforeAutospacing="0" w:after="0" w:afterAutospacing="0"/>
              <w:ind w:left="0" w:right="0"/>
              <w:rPr>
                <w:rFonts w:hint="default" w:ascii="宋体" w:hAnsi="宋体" w:eastAsia="宋体" w:cs="Times New Roman"/>
                <w:szCs w:val="21"/>
                <w:lang w:val="zh-CN"/>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847" w:type="dxa"/>
            <w:vAlign w:val="center"/>
          </w:tcPr>
          <w:p w14:paraId="0D4223A3">
            <w:pPr>
              <w:keepNext w:val="0"/>
              <w:keepLines w:val="0"/>
              <w:suppressLineNumbers w:val="0"/>
              <w:spacing w:before="0" w:beforeAutospacing="0" w:after="0" w:afterAutospacing="0"/>
              <w:ind w:left="0" w:right="0"/>
              <w:jc w:val="center"/>
              <w:rPr>
                <w:rFonts w:hint="default" w:ascii="宋体" w:hAnsi="宋体" w:eastAsia="宋体" w:cs="Times New Roman"/>
                <w:szCs w:val="21"/>
                <w:lang w:val="zh-CN"/>
              </w:rPr>
            </w:pPr>
            <w:r>
              <w:rPr>
                <w:rFonts w:hint="eastAsia" w:ascii="宋体" w:hAnsi="宋体" w:cs="Times New Roman"/>
                <w:szCs w:val="21"/>
                <w:lang w:val="en-US" w:eastAsia="zh-CN"/>
              </w:rPr>
              <w:t>13</w:t>
            </w:r>
            <w:r>
              <w:rPr>
                <w:rFonts w:hint="default" w:ascii="宋体" w:hAnsi="宋体" w:eastAsia="宋体" w:cs="Times New Roman"/>
                <w:szCs w:val="21"/>
                <w:lang w:val="zh-CN"/>
              </w:rPr>
              <w:t>分</w:t>
            </w:r>
          </w:p>
        </w:tc>
        <w:tc>
          <w:tcPr>
            <w:tcW w:w="5115" w:type="dxa"/>
          </w:tcPr>
          <w:p w14:paraId="77EA8EA2">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14:paraId="05211903">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14:paraId="2414D650">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14:paraId="432BFDFD">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14:paraId="4DCD4211">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每满足一项内容得2分</w:t>
            </w:r>
            <w:r>
              <w:rPr>
                <w:rFonts w:hint="eastAsia" w:ascii="宋体" w:hAnsi="宋体" w:eastAsia="宋体" w:cs="Times New Roman"/>
                <w:b/>
                <w:bCs/>
                <w:szCs w:val="21"/>
              </w:rPr>
              <w:t>，</w:t>
            </w:r>
            <w:r>
              <w:rPr>
                <w:rFonts w:hint="eastAsia" w:ascii="宋体" w:hAnsi="宋体" w:cs="Times New Roman"/>
                <w:b/>
                <w:bCs/>
                <w:szCs w:val="21"/>
                <w:lang w:val="en-US" w:eastAsia="zh-CN"/>
              </w:rPr>
              <w:t>最高得6分</w:t>
            </w:r>
            <w:r>
              <w:rPr>
                <w:rFonts w:hint="eastAsia" w:ascii="宋体" w:hAnsi="宋体" w:eastAsia="宋体" w:cs="Times New Roman"/>
                <w:b/>
                <w:bCs/>
                <w:szCs w:val="21"/>
              </w:rPr>
              <w:t>。</w:t>
            </w:r>
          </w:p>
          <w:p w14:paraId="1D6E9CC1">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14:paraId="10D93BC0">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7</w:t>
            </w:r>
            <w:r>
              <w:rPr>
                <w:rFonts w:hint="eastAsia" w:ascii="宋体" w:hAnsi="宋体" w:eastAsia="宋体" w:cs="宋体"/>
                <w:bCs/>
                <w:color w:val="auto"/>
                <w:sz w:val="21"/>
                <w:szCs w:val="21"/>
                <w:highlight w:val="none"/>
              </w:rPr>
              <w:t>分；</w:t>
            </w:r>
          </w:p>
          <w:p w14:paraId="558C4BA2">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570C8964">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14:paraId="0F846482">
            <w:pPr>
              <w:pStyle w:val="19"/>
              <w:keepNext w:val="0"/>
              <w:keepLines w:val="0"/>
              <w:widowControl w:val="0"/>
              <w:suppressLineNumbers w:val="0"/>
              <w:spacing w:before="0" w:beforeAutospacing="0" w:after="0" w:afterAutospacing="0"/>
              <w:ind w:left="0" w:right="0"/>
              <w:rPr>
                <w:rFonts w:hint="default" w:ascii="宋体" w:hAnsi="宋体" w:eastAsia="宋体" w:cs="Times New Roman"/>
                <w:szCs w:val="21"/>
                <w:lang w:val="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14:paraId="119B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14:paraId="42BBF0C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3F4EBCD9">
            <w:pPr>
              <w:keepNext w:val="0"/>
              <w:keepLines w:val="0"/>
              <w:suppressLineNumbers w:val="0"/>
              <w:spacing w:before="0" w:beforeAutospacing="0" w:after="0" w:afterAutospacing="0"/>
              <w:ind w:left="0" w:right="0"/>
              <w:jc w:val="left"/>
              <w:rPr>
                <w:rFonts w:hint="default" w:asciiTheme="minorEastAsia" w:hAnsiTheme="minorEastAsia" w:eastAsiaTheme="minorEastAsia"/>
                <w:color w:val="000000"/>
                <w:szCs w:val="21"/>
                <w:lang w:val="en-US" w:eastAsia="zh-CN"/>
              </w:rPr>
            </w:pPr>
            <w:r>
              <w:rPr>
                <w:rFonts w:hint="eastAsia" w:ascii="宋体" w:hAnsi="宋体" w:eastAsiaTheme="minorEastAsia"/>
                <w:szCs w:val="21"/>
                <w:lang w:val="en-US" w:eastAsia="zh-CN"/>
              </w:rPr>
              <w:t>售后服务方案</w:t>
            </w:r>
          </w:p>
        </w:tc>
        <w:tc>
          <w:tcPr>
            <w:tcW w:w="847" w:type="dxa"/>
            <w:vAlign w:val="center"/>
          </w:tcPr>
          <w:p w14:paraId="1988E11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宋体" w:hAnsi="宋体"/>
                <w:color w:val="000000"/>
                <w:szCs w:val="21"/>
                <w:lang w:val="en-US" w:eastAsia="zh-CN"/>
              </w:rPr>
              <w:t>8</w:t>
            </w:r>
            <w:r>
              <w:rPr>
                <w:rFonts w:hint="eastAsia" w:ascii="宋体" w:hAnsi="宋体"/>
                <w:color w:val="000000"/>
                <w:szCs w:val="21"/>
                <w:lang w:val="zh-CN"/>
              </w:rPr>
              <w:t>分</w:t>
            </w:r>
          </w:p>
        </w:tc>
        <w:tc>
          <w:tcPr>
            <w:tcW w:w="5115" w:type="dxa"/>
            <w:vAlign w:val="center"/>
          </w:tcPr>
          <w:p w14:paraId="16E6825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cs="Times New Roman"/>
                <w:szCs w:val="21"/>
                <w:lang w:val="en-US" w:eastAsia="zh-CN"/>
              </w:rPr>
              <w:t>根据投标人提供</w:t>
            </w:r>
            <w:r>
              <w:rPr>
                <w:rFonts w:hint="eastAsia" w:ascii="宋体" w:hAnsi="宋体" w:eastAsiaTheme="minorEastAsia"/>
                <w:szCs w:val="21"/>
                <w:lang w:val="en-US" w:eastAsia="zh-CN"/>
              </w:rPr>
              <w:t>售后服务方案</w:t>
            </w:r>
            <w:r>
              <w:rPr>
                <w:rFonts w:hint="eastAsia" w:ascii="宋体" w:hAnsi="宋体" w:cs="Times New Roman"/>
                <w:szCs w:val="21"/>
                <w:lang w:val="en-US" w:eastAsia="zh-CN"/>
              </w:rPr>
              <w:t>进行评审，包括但不限于</w:t>
            </w:r>
            <w:r>
              <w:rPr>
                <w:rFonts w:hint="eastAsia" w:ascii="宋体" w:hAnsi="宋体" w:eastAsia="宋体" w:cs="Times New Roman"/>
                <w:szCs w:val="21"/>
              </w:rPr>
              <w:t>：</w:t>
            </w:r>
          </w:p>
          <w:p w14:paraId="3B425DA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交货及培训方案</w:t>
            </w:r>
            <w:r>
              <w:rPr>
                <w:rFonts w:hint="eastAsia" w:ascii="宋体" w:hAnsi="宋体" w:eastAsia="宋体" w:cs="宋体"/>
                <w:color w:val="auto"/>
                <w:sz w:val="21"/>
                <w:szCs w:val="21"/>
                <w:highlight w:val="none"/>
                <w:lang w:val="en-US" w:eastAsia="zh-CN"/>
              </w:rPr>
              <w:t>；</w:t>
            </w:r>
          </w:p>
          <w:p w14:paraId="32F25C1F">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售后服务及维护人员配置</w:t>
            </w:r>
            <w:r>
              <w:rPr>
                <w:rFonts w:hint="eastAsia" w:ascii="宋体" w:hAnsi="宋体" w:eastAsia="宋体" w:cs="宋体"/>
                <w:color w:val="auto"/>
                <w:sz w:val="21"/>
                <w:szCs w:val="21"/>
                <w:highlight w:val="none"/>
                <w:lang w:val="en-US" w:eastAsia="zh-CN"/>
              </w:rPr>
              <w:t>；</w:t>
            </w:r>
          </w:p>
          <w:p w14:paraId="4EC98135">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安装、调试方案。</w:t>
            </w:r>
          </w:p>
          <w:p w14:paraId="2CD8F7D2">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14:paraId="2CB1D548">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01D6AEE7">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sz w:val="21"/>
                <w:szCs w:val="21"/>
                <w:lang w:val="en-US" w:eastAsia="zh-CN"/>
              </w:rPr>
              <w:t>1.</w:t>
            </w: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1D8DD6EB">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2C589819">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9EBF590">
            <w:pPr>
              <w:pStyle w:val="19"/>
              <w:keepNext w:val="0"/>
              <w:keepLines w:val="0"/>
              <w:widowControl w:val="0"/>
              <w:suppressLineNumbers w:val="0"/>
              <w:spacing w:before="0" w:beforeAutospacing="0" w:after="0" w:afterAutospacing="0"/>
              <w:ind w:left="0" w:right="0"/>
              <w:rPr>
                <w:rFonts w:hint="eastAsia" w:eastAsia="宋体"/>
                <w:lang w:val="en-US" w:eastAsia="zh-CN"/>
              </w:rPr>
            </w:pPr>
            <w:r>
              <w:rPr>
                <w:rFonts w:hint="eastAsia"/>
                <w:lang w:val="zh-CN"/>
              </w:rPr>
              <w:t>（</w:t>
            </w:r>
            <w:r>
              <w:rPr>
                <w:rFonts w:hint="eastAsia"/>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7100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40055D7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7877072D">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color w:val="000000"/>
                <w:szCs w:val="21"/>
                <w:lang w:val="en-US" w:eastAsia="zh-CN"/>
              </w:rPr>
            </w:pPr>
            <w:r>
              <w:rPr>
                <w:rFonts w:hint="eastAsia"/>
                <w:color w:val="auto"/>
              </w:rPr>
              <w:t>同类项目业绩</w:t>
            </w:r>
          </w:p>
        </w:tc>
        <w:tc>
          <w:tcPr>
            <w:tcW w:w="847" w:type="dxa"/>
            <w:vAlign w:val="center"/>
          </w:tcPr>
          <w:p w14:paraId="74DFE0B8">
            <w:pPr>
              <w:keepNext w:val="0"/>
              <w:keepLines w:val="0"/>
              <w:widowControl/>
              <w:suppressLineNumbers w:val="0"/>
              <w:spacing w:before="0" w:beforeAutospacing="0" w:after="0" w:afterAutospacing="0" w:line="24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eastAsia="宋体" w:cs="Arial"/>
                <w:color w:val="auto"/>
                <w:kern w:val="0"/>
                <w:szCs w:val="21"/>
                <w:lang w:val="en-US" w:eastAsia="zh-CN"/>
              </w:rPr>
              <w:t>6分</w:t>
            </w:r>
          </w:p>
        </w:tc>
        <w:tc>
          <w:tcPr>
            <w:tcW w:w="5115" w:type="dxa"/>
            <w:vAlign w:val="center"/>
          </w:tcPr>
          <w:p w14:paraId="1F867093">
            <w:pPr>
              <w:pStyle w:val="38"/>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年1月1日至本项目开标之日（以合同签订日期为准），</w:t>
            </w:r>
            <w:r>
              <w:rPr>
                <w:rFonts w:hint="eastAsia" w:ascii="Times New Roman" w:hAnsi="Times New Roman" w:eastAsia="宋体" w:cs="Times New Roman"/>
                <w:color w:val="auto"/>
                <w:lang w:val="en-US" w:eastAsia="zh-CN"/>
              </w:rPr>
              <w:t>提供</w:t>
            </w:r>
            <w:r>
              <w:rPr>
                <w:rFonts w:hint="eastAsia" w:ascii="Times New Roman" w:hAnsi="Times New Roman" w:eastAsia="宋体" w:cs="Times New Roman"/>
                <w:color w:val="auto"/>
              </w:rPr>
              <w:t>同类项目业绩的，每提供1个项目得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分，最高得</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分。</w:t>
            </w:r>
          </w:p>
          <w:p w14:paraId="1C54C344">
            <w:pPr>
              <w:pStyle w:val="38"/>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szCs w:val="21"/>
              </w:rPr>
            </w:pPr>
            <w:r>
              <w:rPr>
                <w:rFonts w:hint="eastAsia" w:ascii="Times New Roman" w:hAnsi="Times New Roman" w:eastAsia="宋体" w:cs="Times New Roman"/>
                <w:color w:val="auto"/>
              </w:rPr>
              <w:t>【提供合同关键页（需体现合同签订日期）复印件或扫描件加盖投标人公章，原件备查。】</w:t>
            </w:r>
          </w:p>
        </w:tc>
      </w:tr>
      <w:tr w14:paraId="6B4C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5714368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7F4917BD">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14:paraId="11D3CE3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r>
              <w:rPr>
                <w:rFonts w:hint="default" w:asciiTheme="minorEastAsia" w:hAnsiTheme="minorEastAsia" w:eastAsiaTheme="minorEastAsia"/>
                <w:color w:val="000000"/>
                <w:szCs w:val="21"/>
                <w:lang w:val="zh-CN"/>
              </w:rPr>
              <w:t>分</w:t>
            </w:r>
          </w:p>
        </w:tc>
        <w:tc>
          <w:tcPr>
            <w:tcW w:w="5115" w:type="dxa"/>
          </w:tcPr>
          <w:p w14:paraId="2B21619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38EADD67">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09B7CDEB">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2BE7F85F">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0A77A481">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3DA8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02ED571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报价(35分)</w:t>
            </w:r>
          </w:p>
        </w:tc>
        <w:tc>
          <w:tcPr>
            <w:tcW w:w="7704" w:type="dxa"/>
            <w:gridSpan w:val="3"/>
            <w:vAlign w:val="center"/>
          </w:tcPr>
          <w:p w14:paraId="763253FB">
            <w:pPr>
              <w:keepNext w:val="0"/>
              <w:keepLines w:val="0"/>
              <w:suppressLineNumbers w:val="0"/>
              <w:spacing w:before="0" w:beforeAutospacing="0" w:after="0" w:afterAutospacing="0"/>
              <w:ind w:left="0" w:right="0"/>
              <w:rPr>
                <w:rFonts w:hint="default" w:asciiTheme="minorEastAsia" w:hAnsiTheme="minorEastAsia" w:eastAsiaTheme="minorEastAsia"/>
                <w:szCs w:val="21"/>
                <w:lang w:val="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投标报价得分=(评标基准价/投标报价)×35</w:t>
            </w:r>
          </w:p>
        </w:tc>
      </w:tr>
    </w:tbl>
    <w:p w14:paraId="714F412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5FF60200">
      <w:pPr>
        <w:pStyle w:val="29"/>
        <w:rPr>
          <w:rFonts w:hint="eastAsia"/>
          <w:lang w:val="en-US" w:eastAsia="zh-CN"/>
        </w:rPr>
      </w:pPr>
    </w:p>
    <w:p w14:paraId="771687C2">
      <w:pPr>
        <w:pStyle w:val="68"/>
        <w:ind w:left="723" w:hanging="723"/>
        <w:jc w:val="center"/>
        <w:rPr>
          <w:rFonts w:hint="default" w:ascii="宋体" w:hAnsi="宋体" w:eastAsia="宋体" w:cs="宋体"/>
          <w:sz w:val="30"/>
          <w:szCs w:val="30"/>
          <w:lang w:val="en-US" w:eastAsia="zh-CN"/>
        </w:rPr>
      </w:pPr>
      <w:r>
        <w:rPr>
          <w:rFonts w:hint="eastAsia" w:cs="宋体"/>
          <w:sz w:val="30"/>
          <w:szCs w:val="30"/>
          <w:lang w:val="en-US" w:eastAsia="zh-CN"/>
        </w:rPr>
        <w:t>眼压计</w:t>
      </w:r>
    </w:p>
    <w:p w14:paraId="223253DA">
      <w:pPr>
        <w:pStyle w:val="68"/>
        <w:ind w:left="723" w:hanging="723"/>
        <w:rPr>
          <w:sz w:val="28"/>
          <w:szCs w:val="28"/>
          <w:lang w:val="en-US"/>
        </w:rPr>
      </w:pP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lang w:val="en-US" w:eastAsia="zh-CN"/>
        </w:rPr>
        <w:t>预算单价</w:t>
      </w:r>
      <w:r>
        <w:rPr>
          <w:rFonts w:asciiTheme="minorEastAsia" w:hAnsiTheme="minorEastAsia" w:eastAsiaTheme="minorEastAsia"/>
          <w:b/>
          <w:color w:val="000000" w:themeColor="text1"/>
          <w:szCs w:val="21"/>
        </w:rPr>
        <w:t>】</w:t>
      </w:r>
    </w:p>
    <w:p w14:paraId="1A9BB0B4">
      <w:pPr>
        <w:pStyle w:val="68"/>
        <w:ind w:left="722" w:leftChars="200" w:hanging="302" w:hangingChars="144"/>
        <w:rPr>
          <w:rFonts w:hint="default" w:ascii="宋体" w:hAnsi="宋体" w:eastAsia="宋体" w:cs="Times New Roman"/>
          <w:kern w:val="2"/>
          <w:sz w:val="21"/>
          <w:szCs w:val="21"/>
          <w:lang w:val="en-US" w:eastAsia="zh-CN" w:bidi="ar-SA"/>
        </w:rPr>
      </w:pPr>
      <w:r>
        <w:rPr>
          <w:rFonts w:hint="eastAsia" w:cs="Times New Roman"/>
          <w:kern w:val="2"/>
          <w:sz w:val="21"/>
          <w:szCs w:val="21"/>
          <w:lang w:val="en-US" w:eastAsia="zh-CN" w:bidi="ar-SA"/>
        </w:rPr>
        <w:t>10万</w:t>
      </w:r>
      <w:r>
        <w:rPr>
          <w:rFonts w:hint="eastAsia" w:ascii="宋体" w:hAnsi="宋体" w:eastAsia="宋体" w:cs="Times New Roman"/>
          <w:kern w:val="2"/>
          <w:sz w:val="21"/>
          <w:szCs w:val="21"/>
          <w:lang w:val="en-US" w:eastAsia="zh-CN" w:bidi="ar-SA"/>
        </w:rPr>
        <w:t>元</w:t>
      </w:r>
      <w:r>
        <w:rPr>
          <w:rFonts w:hint="eastAsia" w:cs="Times New Roman"/>
          <w:kern w:val="2"/>
          <w:sz w:val="21"/>
          <w:szCs w:val="21"/>
          <w:lang w:val="en-US" w:eastAsia="zh-CN" w:bidi="ar-SA"/>
        </w:rPr>
        <w:t>/套</w:t>
      </w:r>
      <w:r>
        <w:rPr>
          <w:rFonts w:hint="eastAsia" w:ascii="宋体" w:hAnsi="宋体" w:eastAsia="宋体" w:cs="Times New Roman"/>
          <w:kern w:val="2"/>
          <w:sz w:val="21"/>
          <w:szCs w:val="21"/>
          <w:lang w:val="en-US" w:eastAsia="zh-CN" w:bidi="ar-SA"/>
        </w:rPr>
        <w:t>。</w:t>
      </w:r>
    </w:p>
    <w:p w14:paraId="68F13554">
      <w:pPr>
        <w:tabs>
          <w:tab w:val="left" w:pos="425"/>
        </w:tabs>
        <w:rPr>
          <w:rFonts w:hint="eastAsia" w:asciiTheme="minorEastAsia" w:hAnsiTheme="minorEastAsia" w:eastAsiaTheme="minorEastAsia"/>
          <w:b/>
          <w:szCs w:val="21"/>
          <w:lang w:val="en-US" w:eastAsia="zh-CN"/>
        </w:rPr>
      </w:pPr>
      <w:r>
        <w:rPr>
          <w:rFonts w:hint="eastAsia" w:ascii="宋体" w:hAnsi="宋体" w:eastAsia="宋体" w:cs="Times New Roman"/>
          <w:szCs w:val="21"/>
          <w:lang w:val="en-US" w:eastAsia="zh-CN"/>
        </w:rPr>
        <w:t>★</w:t>
      </w:r>
      <w:r>
        <w:rPr>
          <w:rFonts w:asciiTheme="minorEastAsia" w:hAnsiTheme="minorEastAsia" w:eastAsiaTheme="minorEastAsia"/>
          <w:b/>
          <w:color w:val="000000" w:themeColor="text1"/>
          <w:szCs w:val="21"/>
        </w:rPr>
        <w:t>【配置清单】</w:t>
      </w:r>
    </w:p>
    <w:tbl>
      <w:tblPr>
        <w:tblStyle w:val="22"/>
        <w:tblpPr w:leftFromText="180" w:rightFromText="180" w:vertAnchor="text" w:tblpY="1"/>
        <w:tblOverlap w:val="never"/>
        <w:tblW w:w="0" w:type="auto"/>
        <w:tblInd w:w="0" w:type="dxa"/>
        <w:tblLayout w:type="fixed"/>
        <w:tblCellMar>
          <w:top w:w="15" w:type="dxa"/>
          <w:left w:w="15" w:type="dxa"/>
          <w:bottom w:w="15" w:type="dxa"/>
          <w:right w:w="15" w:type="dxa"/>
        </w:tblCellMar>
      </w:tblPr>
      <w:tblGrid>
        <w:gridCol w:w="736"/>
        <w:gridCol w:w="4827"/>
        <w:gridCol w:w="814"/>
        <w:gridCol w:w="1514"/>
      </w:tblGrid>
      <w:tr w14:paraId="14BF48D4">
        <w:tblPrEx>
          <w:tblCellMar>
            <w:top w:w="15" w:type="dxa"/>
            <w:left w:w="15" w:type="dxa"/>
            <w:bottom w:w="15" w:type="dxa"/>
            <w:right w:w="15" w:type="dxa"/>
          </w:tblCellMar>
        </w:tblPrEx>
        <w:trPr>
          <w:trHeight w:val="552" w:hRule="atLeast"/>
        </w:trPr>
        <w:tc>
          <w:tcPr>
            <w:tcW w:w="73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0E36536">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序号</w:t>
            </w:r>
          </w:p>
        </w:tc>
        <w:tc>
          <w:tcPr>
            <w:tcW w:w="4827"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722EBFA">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货物名称</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BD8F0">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单位</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76377">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数 量</w:t>
            </w:r>
          </w:p>
        </w:tc>
      </w:tr>
      <w:tr w14:paraId="439AA6C8">
        <w:tblPrEx>
          <w:tblCellMar>
            <w:top w:w="15" w:type="dxa"/>
            <w:left w:w="15" w:type="dxa"/>
            <w:bottom w:w="15" w:type="dxa"/>
            <w:right w:w="15" w:type="dxa"/>
          </w:tblCellMar>
        </w:tblPrEx>
        <w:trPr>
          <w:trHeight w:val="286" w:hRule="atLeast"/>
        </w:trPr>
        <w:tc>
          <w:tcPr>
            <w:tcW w:w="556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A0F4C">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kern w:val="0"/>
                <w:sz w:val="21"/>
                <w:szCs w:val="21"/>
                <w:lang w:val="en-US"/>
              </w:rPr>
            </w:pPr>
            <w:r>
              <w:rPr>
                <w:rFonts w:hint="eastAsia" w:ascii="宋体" w:hAnsi="宋体" w:eastAsia="宋体" w:cs="宋体"/>
                <w:sz w:val="21"/>
                <w:szCs w:val="21"/>
                <w:lang w:val="en-US" w:eastAsia="zh-CN"/>
              </w:rPr>
              <w:t>眼压计</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58826">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kern w:val="0"/>
                <w:sz w:val="21"/>
                <w:szCs w:val="21"/>
              </w:rPr>
            </w:pPr>
            <w:r>
              <w:rPr>
                <w:rFonts w:hint="eastAsia" w:ascii="宋体" w:hAnsi="宋体" w:eastAsia="宋体" w:cs="宋体"/>
                <w:sz w:val="21"/>
                <w:szCs w:val="21"/>
              </w:rPr>
              <w:t>套</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E3994">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kern w:val="0"/>
                <w:sz w:val="21"/>
                <w:szCs w:val="21"/>
                <w:lang w:eastAsia="zh-CN"/>
              </w:rPr>
            </w:pPr>
            <w:r>
              <w:rPr>
                <w:rFonts w:hint="eastAsia" w:ascii="宋体" w:hAnsi="宋体" w:eastAsia="宋体" w:cs="宋体"/>
                <w:sz w:val="21"/>
                <w:szCs w:val="21"/>
                <w:lang w:val="en-US" w:eastAsia="zh-CN"/>
              </w:rPr>
              <w:t>1</w:t>
            </w:r>
          </w:p>
        </w:tc>
      </w:tr>
      <w:tr w14:paraId="34EA2A8E">
        <w:tblPrEx>
          <w:tblCellMar>
            <w:top w:w="15" w:type="dxa"/>
            <w:left w:w="15" w:type="dxa"/>
            <w:bottom w:w="15" w:type="dxa"/>
            <w:right w:w="15" w:type="dxa"/>
          </w:tblCellMar>
        </w:tblPrEx>
        <w:trPr>
          <w:trHeight w:val="172" w:hRule="atLeast"/>
        </w:trPr>
        <w:tc>
          <w:tcPr>
            <w:tcW w:w="736" w:type="dxa"/>
            <w:tcBorders>
              <w:top w:val="single" w:color="000000" w:sz="4" w:space="0"/>
              <w:left w:val="single" w:color="000000" w:sz="4" w:space="0"/>
              <w:bottom w:val="single" w:color="auto" w:sz="4" w:space="0"/>
              <w:right w:val="single" w:color="auto" w:sz="4" w:space="0"/>
            </w:tcBorders>
            <w:shd w:val="clear" w:color="auto" w:fill="auto"/>
            <w:noWrap w:val="0"/>
            <w:vAlign w:val="center"/>
          </w:tcPr>
          <w:p w14:paraId="6B5F0BA9">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4827" w:type="dxa"/>
            <w:tcBorders>
              <w:top w:val="single" w:color="000000" w:sz="4" w:space="0"/>
              <w:left w:val="single" w:color="auto" w:sz="4" w:space="0"/>
              <w:bottom w:val="single" w:color="auto" w:sz="4" w:space="0"/>
              <w:right w:val="single" w:color="000000" w:sz="4" w:space="0"/>
            </w:tcBorders>
            <w:shd w:val="clear" w:color="auto" w:fill="auto"/>
            <w:noWrap w:val="0"/>
            <w:vAlign w:val="center"/>
          </w:tcPr>
          <w:p w14:paraId="71E22374">
            <w:pPr>
              <w:keepNext w:val="0"/>
              <w:keepLines w:val="0"/>
              <w:suppressLineNumbers w:val="0"/>
              <w:spacing w:before="0" w:beforeAutospacing="0" w:after="78" w:afterAutospacing="0" w:line="360" w:lineRule="auto"/>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rPr>
              <w:t>主机</w:t>
            </w:r>
          </w:p>
        </w:tc>
        <w:tc>
          <w:tcPr>
            <w:tcW w:w="81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B48ADDD">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highlight w:val="yellow"/>
              </w:rPr>
            </w:pPr>
            <w:r>
              <w:rPr>
                <w:rFonts w:hint="eastAsia" w:ascii="宋体" w:hAnsi="宋体" w:eastAsia="宋体" w:cs="宋体"/>
                <w:sz w:val="21"/>
                <w:szCs w:val="21"/>
              </w:rPr>
              <w:t>台</w:t>
            </w:r>
          </w:p>
        </w:tc>
        <w:tc>
          <w:tcPr>
            <w:tcW w:w="151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E844670">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highlight w:val="yellow"/>
                <w:lang w:eastAsia="zh-CN"/>
              </w:rPr>
            </w:pPr>
            <w:r>
              <w:rPr>
                <w:rFonts w:hint="eastAsia" w:ascii="宋体" w:hAnsi="宋体" w:eastAsia="宋体" w:cs="宋体"/>
                <w:sz w:val="21"/>
                <w:szCs w:val="21"/>
              </w:rPr>
              <w:t>1</w:t>
            </w:r>
          </w:p>
        </w:tc>
      </w:tr>
      <w:tr w14:paraId="39BC3D03">
        <w:tblPrEx>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right w:val="single" w:color="000000" w:sz="4" w:space="0"/>
            </w:tcBorders>
            <w:shd w:val="clear" w:color="auto" w:fill="auto"/>
            <w:noWrap w:val="0"/>
            <w:vAlign w:val="center"/>
          </w:tcPr>
          <w:p w14:paraId="74FBA6B9">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827" w:type="dxa"/>
            <w:tcBorders>
              <w:top w:val="single" w:color="auto" w:sz="4" w:space="0"/>
              <w:left w:val="single" w:color="000000" w:sz="4" w:space="0"/>
              <w:right w:val="single" w:color="000000" w:sz="4" w:space="0"/>
            </w:tcBorders>
            <w:shd w:val="clear" w:color="auto" w:fill="auto"/>
            <w:noWrap w:val="0"/>
            <w:vAlign w:val="center"/>
          </w:tcPr>
          <w:p w14:paraId="2F1033F1">
            <w:pPr>
              <w:pStyle w:val="9"/>
              <w:keepNext w:val="0"/>
              <w:keepLines w:val="0"/>
              <w:suppressLineNumbers w:val="0"/>
              <w:spacing w:before="0" w:beforeAutospacing="0" w:after="78" w:afterAutospacing="0" w:line="360" w:lineRule="auto"/>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打印纸</w:t>
            </w:r>
          </w:p>
        </w:tc>
        <w:tc>
          <w:tcPr>
            <w:tcW w:w="81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F2436B1">
            <w:pPr>
              <w:keepNext w:val="0"/>
              <w:keepLines w:val="0"/>
              <w:suppressLineNumbers w:val="0"/>
              <w:spacing w:before="0" w:beforeAutospacing="0" w:after="78"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卷</w:t>
            </w:r>
          </w:p>
        </w:tc>
        <w:tc>
          <w:tcPr>
            <w:tcW w:w="151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FBF188E">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10</w:t>
            </w:r>
          </w:p>
        </w:tc>
      </w:tr>
      <w:tr w14:paraId="4AC0DF8D">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3CD0221">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B30D57C">
            <w:pPr>
              <w:pStyle w:val="9"/>
              <w:keepNext w:val="0"/>
              <w:keepLines w:val="0"/>
              <w:suppressLineNumbers w:val="0"/>
              <w:spacing w:before="0" w:beforeAutospacing="0" w:after="78" w:afterAutospacing="0" w:line="360" w:lineRule="auto"/>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电源线</w:t>
            </w:r>
            <w:r>
              <w:rPr>
                <w:rFonts w:hint="eastAsia" w:ascii="宋体" w:hAnsi="宋体" w:eastAsia="宋体" w:cs="宋体"/>
                <w:color w:val="auto"/>
                <w:kern w:val="2"/>
                <w:sz w:val="21"/>
                <w:szCs w:val="21"/>
                <w:lang w:val="en-US" w:eastAsia="zh-CN" w:bidi="ar-SA"/>
              </w:rPr>
              <w:tab/>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841C2">
            <w:pPr>
              <w:keepNext w:val="0"/>
              <w:keepLines w:val="0"/>
              <w:suppressLineNumbers w:val="0"/>
              <w:spacing w:before="0" w:beforeAutospacing="0" w:after="78"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条</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26526">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670D1AE7">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AACB489">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0C3CFB9">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防尘罩</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5F44C">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个</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0C626">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31271A3C">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AD6E879">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EA66F42">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操作手册</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A8A99">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C9F26">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r>
      <w:tr w14:paraId="1D71E62E">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AB807BC">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C63888F">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触摸笔</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07C40">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6525E">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r>
      <w:tr w14:paraId="443CA6FA">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173030F">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6F91860">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喷嘴罩</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2F85F">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FFD35">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r>
      <w:tr w14:paraId="2D73A726">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D33635B">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1B96CBB">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台车</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B4C6A">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A56D5">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r>
      <w:tr w14:paraId="4E32C8E8">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A377C2B">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EFAC497">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手持检影镜（配镜片箱）</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E74AE">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41897">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r>
    </w:tbl>
    <w:p w14:paraId="008BA462">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14:paraId="1C22B05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非接触式眼压计是眼科常规检查必备的仪器，该设备适用于眼底病、青光眼、糖尿病等眼底检查及筛查。</w:t>
      </w:r>
    </w:p>
    <w:p w14:paraId="31CE7606">
      <w:pPr>
        <w:tabs>
          <w:tab w:val="left" w:pos="425"/>
        </w:tabs>
        <w:rPr>
          <w:rFonts w:hint="eastAsia" w:asciiTheme="minorEastAsia" w:hAnsiTheme="minorEastAsia" w:eastAsiaTheme="minorEastAsia"/>
          <w:b/>
          <w:szCs w:val="21"/>
          <w:lang w:eastAsia="zh-CN"/>
        </w:rPr>
      </w:pPr>
      <w:r>
        <w:rPr>
          <w:rFonts w:asciiTheme="minorEastAsia" w:hAnsiTheme="minorEastAsia" w:eastAsiaTheme="minorEastAsia"/>
          <w:b/>
          <w:szCs w:val="21"/>
        </w:rPr>
        <w:t>【技术参数】</w:t>
      </w:r>
    </w:p>
    <w:p w14:paraId="033F91F8">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1.▲测量范围：（0～60）mmHg</w:t>
      </w:r>
      <w:r>
        <w:rPr>
          <w:rFonts w:hint="eastAsia" w:ascii="宋体" w:hAnsi="宋体" w:eastAsia="宋体" w:cs="Times New Roman"/>
          <w:b/>
          <w:bCs/>
          <w:szCs w:val="21"/>
          <w:lang w:val="en-US" w:eastAsia="zh-CN"/>
        </w:rPr>
        <w:t>（投标时提供产品说明书或技术白皮书或第三方证明文件扫描件，原件备查；注：对应参数在证明材料中进行标注）</w:t>
      </w:r>
      <w:r>
        <w:rPr>
          <w:rFonts w:hint="eastAsia" w:ascii="宋体" w:hAnsi="宋体" w:eastAsia="宋体" w:cs="Times New Roman"/>
          <w:szCs w:val="21"/>
          <w:lang w:val="en-US" w:eastAsia="zh-CN"/>
        </w:rPr>
        <w:t>。</w:t>
      </w:r>
    </w:p>
    <w:p w14:paraId="5D879C8A">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default" w:ascii="宋体" w:hAnsi="宋体" w:eastAsia="宋体" w:cs="Times New Roman"/>
          <w:szCs w:val="21"/>
          <w:lang w:val="en-US" w:eastAsia="zh-CN"/>
        </w:rPr>
        <w:t>测量量程：30mmHg，60mmHg</w:t>
      </w:r>
      <w:r>
        <w:rPr>
          <w:rFonts w:hint="eastAsia" w:ascii="宋体" w:hAnsi="宋体" w:eastAsia="宋体" w:cs="Times New Roman"/>
          <w:szCs w:val="21"/>
          <w:lang w:val="en-US" w:eastAsia="zh-CN"/>
        </w:rPr>
        <w:t>。</w:t>
      </w:r>
    </w:p>
    <w:p w14:paraId="22717372">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default" w:ascii="宋体" w:hAnsi="宋体" w:eastAsia="宋体" w:cs="Times New Roman"/>
          <w:szCs w:val="21"/>
          <w:lang w:val="en-US" w:eastAsia="zh-CN"/>
        </w:rPr>
        <w:t>测量精度：</w:t>
      </w:r>
      <w:r>
        <w:rPr>
          <w:rFonts w:hint="eastAsia" w:ascii="宋体" w:hAnsi="宋体" w:eastAsia="宋体" w:cs="Times New Roman"/>
          <w:szCs w:val="21"/>
          <w:lang w:val="en-US" w:eastAsia="zh-CN"/>
        </w:rPr>
        <w:t>不少于</w:t>
      </w:r>
      <w:r>
        <w:rPr>
          <w:rFonts w:hint="default" w:ascii="宋体" w:hAnsi="宋体" w:eastAsia="宋体" w:cs="Times New Roman"/>
          <w:szCs w:val="21"/>
          <w:lang w:val="en-US" w:eastAsia="zh-CN"/>
        </w:rPr>
        <w:t>1mmHg</w:t>
      </w:r>
      <w:r>
        <w:rPr>
          <w:rFonts w:hint="eastAsia" w:ascii="宋体" w:hAnsi="宋体" w:eastAsia="宋体" w:cs="Times New Roman"/>
          <w:szCs w:val="21"/>
          <w:lang w:val="en-US" w:eastAsia="zh-CN"/>
        </w:rPr>
        <w:t>。</w:t>
      </w:r>
    </w:p>
    <w:p w14:paraId="450F0C46">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default" w:ascii="宋体" w:hAnsi="宋体" w:eastAsia="宋体" w:cs="Times New Roman"/>
          <w:szCs w:val="21"/>
          <w:lang w:val="en-US" w:eastAsia="zh-CN"/>
        </w:rPr>
        <w:t>工作距离：</w:t>
      </w:r>
      <w:r>
        <w:rPr>
          <w:rFonts w:hint="eastAsia" w:ascii="宋体" w:hAnsi="宋体" w:eastAsia="宋体" w:cs="Times New Roman"/>
          <w:szCs w:val="21"/>
          <w:lang w:val="en-US" w:eastAsia="zh-CN"/>
        </w:rPr>
        <w:t>不少于</w:t>
      </w:r>
      <w:r>
        <w:rPr>
          <w:rFonts w:hint="default" w:ascii="宋体" w:hAnsi="宋体" w:eastAsia="宋体" w:cs="Times New Roman"/>
          <w:szCs w:val="21"/>
          <w:lang w:val="en-US" w:eastAsia="zh-CN"/>
        </w:rPr>
        <w:t>11mm</w:t>
      </w:r>
      <w:r>
        <w:rPr>
          <w:rFonts w:hint="eastAsia" w:ascii="宋体" w:hAnsi="宋体" w:eastAsia="宋体" w:cs="Times New Roman"/>
          <w:szCs w:val="21"/>
          <w:lang w:val="en-US" w:eastAsia="zh-CN"/>
        </w:rPr>
        <w:t>。</w:t>
      </w:r>
    </w:p>
    <w:p w14:paraId="60FD1443">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default" w:ascii="宋体" w:hAnsi="宋体" w:eastAsia="宋体" w:cs="Times New Roman"/>
          <w:szCs w:val="21"/>
          <w:lang w:val="en-US" w:eastAsia="zh-CN"/>
        </w:rPr>
        <w:t>对焦方法：对焦点+对焦提示</w:t>
      </w:r>
      <w:r>
        <w:rPr>
          <w:rFonts w:hint="eastAsia" w:ascii="宋体" w:hAnsi="宋体" w:eastAsia="宋体" w:cs="Times New Roman"/>
          <w:szCs w:val="21"/>
          <w:lang w:val="en-US" w:eastAsia="zh-CN"/>
        </w:rPr>
        <w:t>。</w:t>
      </w:r>
    </w:p>
    <w:p w14:paraId="7BB73A1D">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default" w:ascii="宋体" w:hAnsi="宋体" w:eastAsia="宋体" w:cs="Times New Roman"/>
          <w:szCs w:val="21"/>
          <w:lang w:val="en-US" w:eastAsia="zh-CN"/>
        </w:rPr>
        <w:t>对焦方式：三维自动对焦/手动对焦/触摸屏对焦</w:t>
      </w:r>
      <w:r>
        <w:rPr>
          <w:rFonts w:hint="eastAsia" w:ascii="宋体" w:hAnsi="宋体" w:eastAsia="宋体" w:cs="Times New Roman"/>
          <w:b/>
          <w:bCs/>
          <w:szCs w:val="21"/>
          <w:lang w:val="en-US" w:eastAsia="zh-CN"/>
        </w:rPr>
        <w:t>（投标时提供产品说明书或技术白皮书或第三方证明文件扫描件，原件备查；注：对应参数在证明材料中进行标注）。</w:t>
      </w:r>
    </w:p>
    <w:p w14:paraId="403FD5E5">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default" w:ascii="宋体" w:hAnsi="宋体" w:eastAsia="宋体" w:cs="Times New Roman"/>
          <w:szCs w:val="21"/>
          <w:lang w:val="en-US" w:eastAsia="zh-CN"/>
        </w:rPr>
        <w:t>内部固视灯：绿LED</w:t>
      </w:r>
      <w:r>
        <w:rPr>
          <w:rFonts w:hint="eastAsia" w:ascii="宋体" w:hAnsi="宋体" w:eastAsia="宋体" w:cs="Times New Roman"/>
          <w:szCs w:val="21"/>
          <w:lang w:val="en-US" w:eastAsia="zh-CN"/>
        </w:rPr>
        <w:t>。</w:t>
      </w:r>
    </w:p>
    <w:p w14:paraId="0AA8324B">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default" w:ascii="宋体" w:hAnsi="宋体" w:eastAsia="宋体" w:cs="Times New Roman"/>
          <w:szCs w:val="21"/>
          <w:lang w:val="en-US" w:eastAsia="zh-CN"/>
        </w:rPr>
        <w:t>自动对焦范围：左右：0-11mm</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上下：0-20mm</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前后：0-11mm</w:t>
      </w:r>
      <w:r>
        <w:rPr>
          <w:rFonts w:hint="eastAsia" w:ascii="宋体" w:hAnsi="宋体" w:eastAsia="宋体" w:cs="Times New Roman"/>
          <w:szCs w:val="21"/>
          <w:lang w:val="en-US" w:eastAsia="zh-CN"/>
        </w:rPr>
        <w:t>。</w:t>
      </w:r>
    </w:p>
    <w:p w14:paraId="1CCD5C45">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default" w:ascii="宋体" w:hAnsi="宋体" w:eastAsia="宋体" w:cs="Times New Roman"/>
          <w:szCs w:val="21"/>
          <w:lang w:val="en-US" w:eastAsia="zh-CN"/>
        </w:rPr>
        <w:t>显示方式：彩色大屏幕液晶显示屏</w:t>
      </w:r>
      <w:r>
        <w:rPr>
          <w:rFonts w:hint="eastAsia" w:ascii="宋体" w:hAnsi="宋体" w:eastAsia="宋体" w:cs="Times New Roman"/>
          <w:szCs w:val="21"/>
          <w:lang w:val="en-US" w:eastAsia="zh-CN"/>
        </w:rPr>
        <w:t>。</w:t>
      </w:r>
      <w:bookmarkStart w:id="14" w:name="_GoBack"/>
      <w:bookmarkEnd w:id="14"/>
    </w:p>
    <w:p w14:paraId="2BB5684A">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default" w:ascii="宋体" w:hAnsi="宋体" w:eastAsia="宋体" w:cs="Times New Roman"/>
          <w:szCs w:val="21"/>
          <w:lang w:val="en-US" w:eastAsia="zh-CN"/>
        </w:rPr>
        <w:t>输出方式：</w:t>
      </w:r>
      <w:r>
        <w:rPr>
          <w:rFonts w:hint="eastAsia" w:ascii="宋体" w:hAnsi="宋体" w:eastAsia="宋体" w:cs="Times New Roman"/>
          <w:szCs w:val="21"/>
          <w:lang w:val="en-US" w:eastAsia="zh-CN"/>
        </w:rPr>
        <w:t>内置</w:t>
      </w:r>
      <w:r>
        <w:rPr>
          <w:rFonts w:hint="default" w:ascii="宋体" w:hAnsi="宋体" w:eastAsia="宋体" w:cs="Times New Roman"/>
          <w:szCs w:val="21"/>
          <w:lang w:val="en-US" w:eastAsia="zh-CN"/>
        </w:rPr>
        <w:t>快速热敏打印机</w:t>
      </w:r>
      <w:r>
        <w:rPr>
          <w:rFonts w:hint="eastAsia" w:ascii="宋体" w:hAnsi="宋体" w:eastAsia="宋体" w:cs="Times New Roman"/>
          <w:szCs w:val="21"/>
          <w:lang w:val="en-US" w:eastAsia="zh-CN"/>
        </w:rPr>
        <w:t>。</w:t>
      </w:r>
    </w:p>
    <w:p w14:paraId="5533EAC8">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default" w:ascii="宋体" w:hAnsi="宋体" w:eastAsia="宋体" w:cs="Times New Roman"/>
          <w:szCs w:val="21"/>
          <w:lang w:val="en-US" w:eastAsia="zh-CN"/>
        </w:rPr>
        <w:t>1.独特的依据波形置信度三次加权平均，提示置信度偏低的测量结果。</w:t>
      </w:r>
    </w:p>
    <w:p w14:paraId="348DA4BD">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default" w:ascii="宋体" w:hAnsi="宋体" w:eastAsia="宋体" w:cs="Times New Roman"/>
          <w:szCs w:val="21"/>
          <w:lang w:val="en-US" w:eastAsia="zh-CN"/>
        </w:rPr>
        <w:t>2.</w:t>
      </w:r>
      <w:r>
        <w:rPr>
          <w:rFonts w:hint="default" w:ascii="宋体" w:hAnsi="宋体" w:eastAsia="宋体" w:cs="Times New Roman"/>
          <w:b/>
          <w:bCs/>
          <w:szCs w:val="21"/>
          <w:lang w:val="en-US" w:eastAsia="zh-CN"/>
        </w:rPr>
        <w:t>可使用手指轻触触摸屏上的眼睛位置对焦；</w:t>
      </w:r>
      <w:r>
        <w:rPr>
          <w:rFonts w:hint="eastAsia" w:ascii="宋体" w:hAnsi="宋体" w:eastAsia="宋体" w:cs="Times New Roman"/>
          <w:b/>
          <w:bCs/>
          <w:szCs w:val="21"/>
          <w:lang w:val="en-US" w:eastAsia="zh-CN"/>
        </w:rPr>
        <w:t>（投标时提供产品说明书或技术白皮书或第三方证明文件扫描件，原件备查；注：对应参数在证明材料中进行标注）。</w:t>
      </w:r>
    </w:p>
    <w:p w14:paraId="04111675">
      <w:pPr>
        <w:ind w:firstLine="420" w:firstLineChars="200"/>
        <w:rPr>
          <w:rFonts w:hint="eastAsia" w:ascii="宋体" w:hAnsi="宋体" w:eastAsia="宋体" w:cs="Times New Roman"/>
          <w:b/>
          <w:bCs/>
          <w:color w:val="FF0000"/>
          <w:szCs w:val="21"/>
          <w:lang w:val="en-US" w:eastAsia="zh-CN"/>
        </w:rPr>
      </w:pPr>
      <w:r>
        <w:rPr>
          <w:rFonts w:hint="eastAsia" w:ascii="宋体" w:hAnsi="宋体" w:eastAsia="宋体" w:cs="Times New Roman"/>
          <w:color w:val="FF0000"/>
          <w:szCs w:val="21"/>
          <w:lang w:val="en-US" w:eastAsia="zh-CN"/>
        </w:rPr>
        <w:t>★</w:t>
      </w:r>
      <w:r>
        <w:rPr>
          <w:rFonts w:hint="eastAsia" w:ascii="宋体" w:hAnsi="宋体" w:eastAsia="宋体" w:cs="Times New Roman"/>
          <w:b/>
          <w:bCs/>
          <w:color w:val="FF0000"/>
          <w:szCs w:val="21"/>
          <w:lang w:val="en-US" w:eastAsia="zh-CN"/>
        </w:rPr>
        <w:t>1</w:t>
      </w:r>
      <w:r>
        <w:rPr>
          <w:rFonts w:hint="default" w:ascii="宋体" w:hAnsi="宋体" w:eastAsia="宋体" w:cs="Times New Roman"/>
          <w:b/>
          <w:bCs/>
          <w:color w:val="FF0000"/>
          <w:szCs w:val="21"/>
          <w:lang w:val="en-US" w:eastAsia="zh-CN"/>
        </w:rPr>
        <w:t>3.非接触式测量。避免交叉感染</w:t>
      </w:r>
      <w:r>
        <w:rPr>
          <w:rFonts w:hint="eastAsia" w:ascii="宋体" w:hAnsi="宋体" w:eastAsia="宋体" w:cs="Times New Roman"/>
          <w:b/>
          <w:bCs/>
          <w:color w:val="FF0000"/>
          <w:szCs w:val="21"/>
          <w:lang w:val="en-US" w:eastAsia="zh-CN"/>
        </w:rPr>
        <w:t>（投标时提供产品说明书或技术白皮书或第三方证明文件扫描件，原件备查；注：对应参数在证明材料中进行标注）。</w:t>
      </w:r>
    </w:p>
    <w:p w14:paraId="038F663E">
      <w:pPr>
        <w:rPr>
          <w:rFonts w:ascii="宋体" w:hAnsi="宋体"/>
          <w:szCs w:val="21"/>
        </w:rPr>
      </w:pPr>
      <w:r>
        <w:rPr>
          <w:rFonts w:hint="eastAsia" w:ascii="宋体" w:hAnsi="宋体" w:eastAsia="宋体" w:cs="Times New Roman"/>
          <w:szCs w:val="21"/>
          <w:lang w:val="en-US" w:eastAsia="zh-CN"/>
        </w:rPr>
        <w:t>★</w:t>
      </w:r>
      <w:r>
        <w:rPr>
          <w:rFonts w:ascii="宋体" w:hAnsi="宋体"/>
          <w:szCs w:val="21"/>
        </w:rPr>
        <w:t>【</w:t>
      </w:r>
      <w:r>
        <w:rPr>
          <w:rFonts w:ascii="宋体" w:hAnsi="宋体"/>
          <w:b/>
          <w:szCs w:val="21"/>
        </w:rPr>
        <w:t>售后服务要求】</w:t>
      </w:r>
    </w:p>
    <w:p w14:paraId="3309897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提供技术资料、中英文操作手册（如进口设备及配件）</w:t>
      </w:r>
      <w:r>
        <w:rPr>
          <w:rFonts w:hint="eastAsia" w:ascii="宋体" w:hAnsi="宋体" w:cs="Times New Roman"/>
          <w:szCs w:val="21"/>
          <w:lang w:val="en-US" w:eastAsia="zh-CN"/>
        </w:rPr>
        <w:t>。</w:t>
      </w:r>
    </w:p>
    <w:p w14:paraId="07F3821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专业工程师免费现场安装及调试。</w:t>
      </w:r>
    </w:p>
    <w:p w14:paraId="0A7D6A2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中标供应商必须免费对科室使用人员进行设备必要的操作培训，保证科室使用人员能够熟练掌握各种设备和软件等常规使用方法，以及小故障的判断与解决。</w:t>
      </w:r>
    </w:p>
    <w:p w14:paraId="066EF03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提供不少于3个月做一次机器维护服务（服务期内协调安排巡检并出具巡检报告盖公司公章）。</w:t>
      </w:r>
    </w:p>
    <w:p w14:paraId="2E717C61">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免费提供技术咨询</w:t>
      </w:r>
      <w:r>
        <w:rPr>
          <w:rFonts w:hint="eastAsia" w:ascii="宋体" w:hAnsi="宋体" w:cs="Times New Roman"/>
          <w:szCs w:val="21"/>
          <w:lang w:val="en-US" w:eastAsia="zh-CN"/>
        </w:rPr>
        <w:t>。</w:t>
      </w:r>
    </w:p>
    <w:p w14:paraId="740D8E3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终身免费提供用户系统软件升级，并免费提供升级所需的硬件。</w:t>
      </w:r>
    </w:p>
    <w:p w14:paraId="4FDBA0E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保证供应仪器的维修与配件。</w:t>
      </w:r>
    </w:p>
    <w:p w14:paraId="4D9FD934">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维修响应时间为24小时 *365天，接到报修电话后工程师必须在4小时内赶到现场处理故障。需更换零部件的故障24小时内维修完毕；48小时内不能完成维修的，需提供备用机（并提供详细的解决方案说明）</w:t>
      </w:r>
      <w:r>
        <w:rPr>
          <w:rFonts w:hint="eastAsia" w:ascii="宋体" w:hAnsi="宋体" w:cs="Times New Roman"/>
          <w:szCs w:val="21"/>
          <w:lang w:val="en-US" w:eastAsia="zh-CN"/>
        </w:rPr>
        <w:t>。</w:t>
      </w:r>
    </w:p>
    <w:p w14:paraId="43CEFE3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保证更换的零配件是全新且由原厂提供；保证设备维护达到符合厂家标准及相应的国家质量标准要求，并保证设备正常使用。</w:t>
      </w:r>
    </w:p>
    <w:p w14:paraId="06B3F635">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设备如涉及数据传输（与医院LIS、HIS等系统对接），中标方必须免费开放接口，并承担对接用户数据传输的所有相关费用。</w:t>
      </w:r>
    </w:p>
    <w:p w14:paraId="2B3FA3E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如设备涉及要开放维修密码，中标方必须免费开放。</w:t>
      </w:r>
    </w:p>
    <w:p w14:paraId="4DAECCA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中标人签订合同前须提供厂家或地区总代理出具的原厂整机免费质保5年的合同或售后服务承诺书并盖厂家公章。</w:t>
      </w:r>
    </w:p>
    <w:p w14:paraId="2D2FD81D">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13.免费提供原厂整机质保期5年。在质保期内，提供原厂整机零配件及其进行维修（维护）、检查、检验、校准（按照厂家要求）、保养、并予以记录，人工等有关费用全免，从货物调试验收合法使用之日起计算；质保期满后终身免费维护、检查、检验、校准（按照厂家要求）、保养、并予以记录，采购方只承担更换零配件的费用。</w:t>
      </w:r>
    </w:p>
    <w:p w14:paraId="4C947B15">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14.交货期：签订合同后60个日历日内负责货物的安装且合法交付设备使用。</w:t>
      </w:r>
    </w:p>
    <w:p w14:paraId="0C84A3F5">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ascii="宋体" w:hAnsi="宋体" w:cs="宋体"/>
          <w:bCs/>
          <w:szCs w:val="21"/>
        </w:rPr>
        <w:t>按照采购人指定地点，现场验收。</w:t>
      </w:r>
      <w:r>
        <w:rPr>
          <w:rFonts w:hint="eastAsia" w:ascii="宋体" w:hAnsi="宋体"/>
          <w:szCs w:val="21"/>
          <w:lang w:val="en-US" w:eastAsia="zh-CN"/>
        </w:rPr>
        <w:t xml:space="preserve">    </w:t>
      </w:r>
    </w:p>
    <w:p w14:paraId="50C94190">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hAnsi="Times New Roman" w:eastAsia="宋体" w:cs="Times New Roman"/>
        </w:rPr>
        <w:t>设备</w:t>
      </w:r>
      <w:r>
        <w:rPr>
          <w:rFonts w:hint="eastAsia" w:ascii="Times New Roman" w:hAnsi="Times New Roman" w:eastAsia="宋体" w:cs="Times New Roman"/>
          <w:lang w:eastAsia="zh-CN"/>
        </w:rPr>
        <w:t>安装</w:t>
      </w:r>
      <w:r>
        <w:rPr>
          <w:rFonts w:hint="eastAsia" w:ascii="Times New Roman" w:hAnsi="Times New Roman" w:eastAsia="宋体" w:cs="Times New Roman"/>
        </w:rPr>
        <w:t>验收</w:t>
      </w:r>
      <w:r>
        <w:rPr>
          <w:rFonts w:hint="eastAsia" w:ascii="Times New Roman" w:hAnsi="Times New Roman" w:eastAsia="宋体" w:cs="Times New Roman"/>
          <w:lang w:eastAsia="zh-CN"/>
        </w:rPr>
        <w:t>合格使用后且发票及资料齐全</w:t>
      </w:r>
      <w:r>
        <w:rPr>
          <w:rFonts w:hint="eastAsia" w:ascii="Times New Roman" w:hAnsi="Times New Roman" w:eastAsia="宋体" w:cs="Times New Roman"/>
        </w:rPr>
        <w:t>后付全款</w:t>
      </w:r>
      <w:r>
        <w:rPr>
          <w:rFonts w:hint="eastAsia" w:ascii="Times New Roman" w:hAnsi="Times New Roman" w:eastAsia="宋体" w:cs="Times New Roman"/>
          <w:lang w:val="en-US" w:eastAsia="zh-CN"/>
        </w:rPr>
        <w:t>100</w:t>
      </w:r>
      <w:r>
        <w:rPr>
          <w:rFonts w:hint="eastAsia" w:ascii="Times New Roman" w:hAnsi="Times New Roman" w:eastAsia="宋体" w:cs="Times New Roman"/>
        </w:rPr>
        <w:t>%</w:t>
      </w:r>
      <w:r>
        <w:rPr>
          <w:rFonts w:hint="eastAsia" w:ascii="Times New Roman" w:hAnsi="Times New Roman" w:eastAsia="宋体" w:cs="Times New Roman"/>
          <w:lang w:eastAsia="zh-CN"/>
        </w:rPr>
        <w:t>。</w:t>
      </w:r>
    </w:p>
    <w:p w14:paraId="7981391D">
      <w:p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2B09C645">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F955A36">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14:paraId="33FE7C65">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9"/>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55</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55</w:t>
      </w:r>
    </w:p>
    <w:p w14:paraId="1ED54C4E">
      <w:pPr>
        <w:widowControl/>
        <w:spacing w:line="360" w:lineRule="atLeast"/>
        <w:rPr>
          <w:rStyle w:val="32"/>
          <w:rFonts w:asciiTheme="minorEastAsia" w:hAnsiTheme="minorEastAsia" w:eastAsiaTheme="minorEastAsia"/>
          <w:color w:val="000000"/>
          <w:szCs w:val="28"/>
        </w:rPr>
      </w:pPr>
    </w:p>
    <w:p w14:paraId="052B83D0">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143BB7E">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14:paraId="4CCC08DD">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9"/>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4602A47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14:paraId="6EC6D1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9</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1FF9FB5">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23</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25</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26</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8</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29</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30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18"/>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1AF8DC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3ABF3C3">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3A59B4C">
            <w:pPr>
              <w:keepNext w:val="0"/>
              <w:keepLines w:val="0"/>
              <w:suppressLineNumbers w:val="0"/>
              <w:spacing w:before="0" w:beforeAutospacing="0" w:after="0" w:afterAutospacing="0"/>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0D50C72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C95925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57A3A3D0">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2A675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D5F16CB">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0238E5AB">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236726A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7E6D097">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ED4A97B">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2AB4EF28">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6"/>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9"/>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AA8D8AC">
      <w:pPr>
        <w:pStyle w:val="29"/>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9"/>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14:paraId="4669DD66">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14:paraId="625F5DF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3A34D9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CD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23CBD2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14:paraId="264A885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38768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D68A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A9BEC5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5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D9820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391E5F5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F78F4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97029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A3EAF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ED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8DD8A1D">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14:paraId="07B79EB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14:paraId="246130F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9"/>
        <w:rPr>
          <w:rFonts w:hint="eastAsia" w:ascii="宋体" w:hAnsi="宋体" w:eastAsia="宋体" w:cs="宋体"/>
          <w:color w:val="000000"/>
        </w:rPr>
      </w:pPr>
    </w:p>
    <w:p w14:paraId="4ACF23B4">
      <w:pPr>
        <w:pStyle w:val="29"/>
        <w:rPr>
          <w:rFonts w:hint="eastAsia" w:ascii="宋体" w:hAnsi="宋体" w:eastAsia="宋体" w:cs="宋体"/>
          <w:color w:val="000000"/>
        </w:rPr>
      </w:pPr>
    </w:p>
    <w:p w14:paraId="094B917A">
      <w:pPr>
        <w:pStyle w:val="29"/>
        <w:rPr>
          <w:rFonts w:hint="eastAsia" w:ascii="宋体" w:hAnsi="宋体" w:eastAsia="宋体" w:cs="宋体"/>
          <w:color w:val="000000"/>
        </w:rPr>
      </w:pPr>
    </w:p>
    <w:p w14:paraId="089B3EE7">
      <w:pPr>
        <w:pStyle w:val="29"/>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9"/>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7" w:name="_Toc435515295"/>
      <w:bookmarkStart w:id="8" w:name="_Toc435514855"/>
      <w:bookmarkStart w:id="9" w:name="_Toc17479"/>
      <w:bookmarkStart w:id="10" w:name="_Toc275865606"/>
      <w:bookmarkStart w:id="11" w:name="_Toc24650"/>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7"/>
      <w:bookmarkEnd w:id="8"/>
      <w:bookmarkEnd w:id="9"/>
      <w:bookmarkEnd w:id="10"/>
      <w:bookmarkEnd w:id="11"/>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5F735EAD">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bookmarkStart w:id="12"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9"/>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99C46CA">
      <w:pPr>
        <w:pStyle w:val="9"/>
        <w:rPr>
          <w:rFonts w:hint="eastAsia"/>
          <w:lang w:val="en-US" w:eastAsia="zh-CN"/>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5BD6B575">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1004302">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45EF7571">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59A5A24E">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5"/>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F673EA4">
      <w:pPr>
        <w:spacing w:after="60"/>
        <w:ind w:left="840" w:leftChars="200" w:hanging="420" w:hangingChars="200"/>
        <w:rPr>
          <w:rFonts w:asciiTheme="minorEastAsia" w:hAnsiTheme="minorEastAsia" w:eastAsiaTheme="minorEastAsia"/>
          <w:szCs w:val="21"/>
        </w:rPr>
      </w:pPr>
    </w:p>
    <w:p w14:paraId="19BCACBD">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2E42F54C">
      <w:pPr>
        <w:spacing w:after="60"/>
        <w:ind w:left="840" w:leftChars="200" w:hanging="420" w:hangingChars="200"/>
        <w:rPr>
          <w:rFonts w:asciiTheme="minorEastAsia" w:hAnsiTheme="minorEastAsia" w:eastAsiaTheme="minorEastAsia"/>
          <w:szCs w:val="21"/>
        </w:rPr>
      </w:pPr>
    </w:p>
    <w:p w14:paraId="486E0208">
      <w:pPr>
        <w:spacing w:after="60"/>
        <w:ind w:left="840" w:leftChars="200" w:hanging="420" w:hangingChars="200"/>
        <w:rPr>
          <w:rFonts w:asciiTheme="minorEastAsia" w:hAnsiTheme="minorEastAsia" w:eastAsiaTheme="minorEastAsia"/>
          <w:szCs w:val="21"/>
        </w:rPr>
      </w:pPr>
    </w:p>
    <w:p w14:paraId="31DB68F3">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698CE18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5993126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6FB633C3">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14:paraId="14A27B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14:paraId="0D47CA77">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14:paraId="0BD4CD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14:paraId="1CC820FC">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14:paraId="7E3E5AFF">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14:paraId="1D60844C">
      <w:pPr>
        <w:spacing w:after="78" w:afterLines="25" w:line="300" w:lineRule="auto"/>
        <w:ind w:left="420"/>
        <w:rPr>
          <w:rFonts w:cs="Arial" w:asciiTheme="minorEastAsia" w:hAnsiTheme="minorEastAsia" w:eastAsiaTheme="minorEastAsia"/>
          <w:color w:val="000000"/>
        </w:rPr>
      </w:pPr>
    </w:p>
    <w:p w14:paraId="6D194843">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1A143C64">
      <w:pPr>
        <w:spacing w:after="78" w:afterLines="25" w:line="300" w:lineRule="auto"/>
        <w:ind w:left="420"/>
        <w:rPr>
          <w:rFonts w:cs="Arial" w:asciiTheme="minorEastAsia" w:hAnsiTheme="minorEastAsia" w:eastAsiaTheme="minorEastAsia"/>
          <w:color w:val="000000"/>
        </w:rPr>
      </w:pPr>
    </w:p>
    <w:p w14:paraId="41FA2B8A">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14:paraId="399DAAF6">
      <w:pPr>
        <w:spacing w:after="60"/>
        <w:jc w:val="center"/>
        <w:rPr>
          <w:rFonts w:asciiTheme="minorEastAsia" w:hAnsiTheme="minorEastAsia" w:eastAsiaTheme="minorEastAsia"/>
          <w:b/>
          <w:color w:val="000000"/>
          <w:sz w:val="28"/>
          <w:szCs w:val="28"/>
        </w:rPr>
      </w:pPr>
    </w:p>
    <w:p w14:paraId="0A2A3BD4">
      <w:pPr>
        <w:spacing w:after="60"/>
        <w:jc w:val="center"/>
        <w:rPr>
          <w:rFonts w:asciiTheme="minorEastAsia" w:hAnsiTheme="minorEastAsia" w:eastAsiaTheme="minorEastAsia"/>
          <w:b/>
          <w:color w:val="000000"/>
          <w:sz w:val="28"/>
          <w:szCs w:val="28"/>
        </w:rPr>
      </w:pPr>
    </w:p>
    <w:p w14:paraId="749A9FF8">
      <w:pPr>
        <w:spacing w:after="60"/>
        <w:jc w:val="center"/>
        <w:rPr>
          <w:rFonts w:asciiTheme="minorEastAsia" w:hAnsiTheme="minorEastAsia" w:eastAsiaTheme="minorEastAsia"/>
          <w:b/>
          <w:color w:val="000000"/>
          <w:sz w:val="28"/>
          <w:szCs w:val="28"/>
        </w:rPr>
      </w:pPr>
    </w:p>
    <w:p w14:paraId="10D111C4">
      <w:pPr>
        <w:spacing w:after="60"/>
        <w:jc w:val="center"/>
        <w:rPr>
          <w:rFonts w:asciiTheme="minorEastAsia" w:hAnsiTheme="minorEastAsia" w:eastAsiaTheme="minorEastAsia"/>
          <w:b/>
          <w:color w:val="000000"/>
          <w:sz w:val="28"/>
          <w:szCs w:val="28"/>
        </w:rPr>
      </w:pPr>
    </w:p>
    <w:p w14:paraId="233F1156">
      <w:pPr>
        <w:spacing w:after="60"/>
        <w:jc w:val="center"/>
        <w:rPr>
          <w:rFonts w:asciiTheme="minorEastAsia" w:hAnsiTheme="minorEastAsia" w:eastAsiaTheme="minorEastAsia"/>
          <w:b/>
          <w:color w:val="000000"/>
          <w:sz w:val="28"/>
          <w:szCs w:val="28"/>
        </w:rPr>
      </w:pPr>
    </w:p>
    <w:p w14:paraId="3C217419">
      <w:pPr>
        <w:spacing w:after="60"/>
        <w:jc w:val="center"/>
        <w:rPr>
          <w:rFonts w:asciiTheme="minorEastAsia" w:hAnsiTheme="minorEastAsia" w:eastAsiaTheme="minorEastAsia"/>
          <w:b/>
          <w:color w:val="000000"/>
          <w:sz w:val="28"/>
          <w:szCs w:val="28"/>
        </w:rPr>
      </w:pPr>
    </w:p>
    <w:p w14:paraId="09F085F0">
      <w:pPr>
        <w:spacing w:after="60"/>
        <w:ind w:firstLine="562" w:firstLineChars="200"/>
        <w:jc w:val="center"/>
        <w:rPr>
          <w:rFonts w:asciiTheme="minorEastAsia" w:hAnsiTheme="minorEastAsia" w:eastAsiaTheme="minorEastAsia"/>
          <w:b/>
          <w:color w:val="000000"/>
          <w:sz w:val="28"/>
          <w:szCs w:val="28"/>
        </w:rPr>
      </w:pPr>
    </w:p>
    <w:p w14:paraId="067D934A">
      <w:pPr>
        <w:spacing w:after="60"/>
        <w:ind w:firstLine="562" w:firstLineChars="200"/>
        <w:jc w:val="center"/>
        <w:rPr>
          <w:rFonts w:asciiTheme="minorEastAsia" w:hAnsiTheme="minorEastAsia" w:eastAsiaTheme="minorEastAsia"/>
          <w:b/>
          <w:color w:val="000000"/>
          <w:sz w:val="28"/>
          <w:szCs w:val="28"/>
        </w:rPr>
      </w:pPr>
    </w:p>
    <w:p w14:paraId="2FB2E250">
      <w:pPr>
        <w:spacing w:after="60"/>
        <w:ind w:firstLine="562" w:firstLineChars="200"/>
        <w:jc w:val="center"/>
        <w:rPr>
          <w:rFonts w:asciiTheme="minorEastAsia" w:hAnsiTheme="minorEastAsia" w:eastAsiaTheme="minorEastAsia"/>
          <w:b/>
          <w:color w:val="000000"/>
          <w:sz w:val="28"/>
          <w:szCs w:val="28"/>
        </w:rPr>
      </w:pPr>
    </w:p>
    <w:p w14:paraId="09A7B696">
      <w:pPr>
        <w:spacing w:after="60"/>
        <w:ind w:firstLine="562" w:firstLineChars="200"/>
        <w:jc w:val="center"/>
        <w:rPr>
          <w:rFonts w:asciiTheme="minorEastAsia" w:hAnsiTheme="minorEastAsia" w:eastAsiaTheme="minorEastAsia"/>
          <w:b/>
          <w:color w:val="000000"/>
          <w:sz w:val="28"/>
          <w:szCs w:val="28"/>
        </w:rPr>
      </w:pPr>
    </w:p>
    <w:p w14:paraId="5605D864">
      <w:pPr>
        <w:spacing w:after="60"/>
        <w:ind w:firstLine="562" w:firstLineChars="200"/>
        <w:jc w:val="center"/>
        <w:rPr>
          <w:rFonts w:asciiTheme="minorEastAsia" w:hAnsiTheme="minorEastAsia" w:eastAsiaTheme="minorEastAsia"/>
          <w:b/>
          <w:color w:val="000000"/>
          <w:sz w:val="28"/>
          <w:szCs w:val="28"/>
        </w:rPr>
      </w:pPr>
    </w:p>
    <w:p w14:paraId="03C43788">
      <w:pPr>
        <w:spacing w:after="60"/>
        <w:ind w:firstLine="562" w:firstLineChars="200"/>
        <w:jc w:val="center"/>
        <w:rPr>
          <w:rFonts w:asciiTheme="minorEastAsia" w:hAnsiTheme="minorEastAsia" w:eastAsiaTheme="minorEastAsia"/>
          <w:b/>
          <w:color w:val="000000"/>
          <w:sz w:val="28"/>
          <w:szCs w:val="28"/>
        </w:rPr>
      </w:pPr>
    </w:p>
    <w:p w14:paraId="5A502378">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9</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3" w:name="_Toc12271"/>
      <w:r>
        <w:rPr>
          <w:rFonts w:hint="eastAsia" w:ascii="宋体" w:hAnsi="宋体" w:cs="宋体"/>
          <w:color w:val="000000"/>
          <w:szCs w:val="21"/>
          <w:lang w:val="en-US" w:eastAsia="zh-CN"/>
        </w:rPr>
        <w:br w:type="page"/>
      </w:r>
    </w:p>
    <w:p w14:paraId="1F6B2E62">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20、</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3"/>
    </w:p>
    <w:p w14:paraId="0D4DD058">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418F3096">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24</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0"/>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25</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25.3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25.4、深圳信用网查询记录网络截图件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9"/>
        <w:ind w:firstLine="420"/>
        <w:rPr>
          <w:rFonts w:asciiTheme="minorEastAsia" w:hAnsiTheme="minorEastAsia" w:eastAsiaTheme="minorEastAsia"/>
        </w:rPr>
      </w:pPr>
    </w:p>
    <w:p w14:paraId="46CEA70A">
      <w:pPr>
        <w:pStyle w:val="29"/>
        <w:ind w:firstLine="420"/>
        <w:rPr>
          <w:rFonts w:asciiTheme="minorEastAsia" w:hAnsiTheme="minorEastAsia" w:eastAsiaTheme="minorEastAsia"/>
        </w:rPr>
      </w:pPr>
    </w:p>
    <w:p w14:paraId="49658AAF">
      <w:pPr>
        <w:pStyle w:val="29"/>
        <w:ind w:firstLine="420"/>
        <w:rPr>
          <w:rFonts w:asciiTheme="minorEastAsia" w:hAnsiTheme="minorEastAsia" w:eastAsiaTheme="minorEastAsia"/>
        </w:rPr>
      </w:pPr>
    </w:p>
    <w:p w14:paraId="36C1336E">
      <w:pPr>
        <w:pStyle w:val="29"/>
        <w:ind w:firstLine="420"/>
        <w:rPr>
          <w:rFonts w:asciiTheme="minorEastAsia" w:hAnsiTheme="minorEastAsia" w:eastAsiaTheme="minorEastAsia"/>
        </w:rPr>
      </w:pPr>
    </w:p>
    <w:p w14:paraId="25BAF7E8">
      <w:pPr>
        <w:pStyle w:val="29"/>
        <w:ind w:firstLine="420"/>
        <w:rPr>
          <w:rFonts w:asciiTheme="minorEastAsia" w:hAnsiTheme="minorEastAsia" w:eastAsiaTheme="minorEastAsia"/>
        </w:rPr>
      </w:pPr>
    </w:p>
    <w:p w14:paraId="65F601D7">
      <w:pPr>
        <w:pStyle w:val="29"/>
        <w:ind w:firstLine="420"/>
        <w:rPr>
          <w:rFonts w:asciiTheme="minorEastAsia" w:hAnsiTheme="minorEastAsia" w:eastAsiaTheme="minorEastAsia"/>
        </w:rPr>
      </w:pPr>
    </w:p>
    <w:p w14:paraId="1CC30CEF">
      <w:pPr>
        <w:pStyle w:val="29"/>
        <w:ind w:firstLine="420"/>
        <w:rPr>
          <w:rFonts w:asciiTheme="minorEastAsia" w:hAnsiTheme="minorEastAsia" w:eastAsiaTheme="minorEastAsia"/>
        </w:rPr>
      </w:pPr>
    </w:p>
    <w:p w14:paraId="1B7A7B20">
      <w:pPr>
        <w:pStyle w:val="29"/>
        <w:ind w:firstLine="420"/>
        <w:rPr>
          <w:rFonts w:asciiTheme="minorEastAsia" w:hAnsiTheme="minorEastAsia" w:eastAsiaTheme="minorEastAsia"/>
        </w:rPr>
      </w:pPr>
    </w:p>
    <w:p w14:paraId="1C6123C4">
      <w:pPr>
        <w:pStyle w:val="29"/>
        <w:ind w:firstLine="420"/>
        <w:rPr>
          <w:rFonts w:asciiTheme="minorEastAsia" w:hAnsiTheme="minorEastAsia" w:eastAsiaTheme="minorEastAsia"/>
        </w:rPr>
      </w:pPr>
    </w:p>
    <w:p w14:paraId="527E1812">
      <w:pPr>
        <w:pStyle w:val="29"/>
        <w:ind w:firstLine="420"/>
        <w:rPr>
          <w:rFonts w:asciiTheme="minorEastAsia" w:hAnsiTheme="minorEastAsia" w:eastAsiaTheme="minorEastAsia"/>
        </w:rPr>
      </w:pPr>
    </w:p>
    <w:p w14:paraId="535CA35A">
      <w:pPr>
        <w:pStyle w:val="29"/>
        <w:ind w:firstLine="420"/>
        <w:rPr>
          <w:rFonts w:asciiTheme="minorEastAsia" w:hAnsiTheme="minorEastAsia" w:eastAsiaTheme="minorEastAsia"/>
        </w:rPr>
      </w:pPr>
    </w:p>
    <w:p w14:paraId="3F0D1F05">
      <w:pPr>
        <w:pStyle w:val="29"/>
        <w:ind w:firstLine="420"/>
        <w:rPr>
          <w:rFonts w:asciiTheme="minorEastAsia" w:hAnsiTheme="minorEastAsia" w:eastAsiaTheme="minorEastAsia"/>
        </w:rPr>
      </w:pPr>
    </w:p>
    <w:p w14:paraId="16E72AE0">
      <w:pPr>
        <w:pStyle w:val="29"/>
        <w:ind w:firstLine="420"/>
        <w:rPr>
          <w:rFonts w:asciiTheme="minorEastAsia" w:hAnsiTheme="minorEastAsia" w:eastAsiaTheme="minorEastAsia"/>
        </w:rPr>
      </w:pPr>
    </w:p>
    <w:p w14:paraId="15CDAD3F">
      <w:pPr>
        <w:pStyle w:val="29"/>
        <w:ind w:firstLine="420"/>
        <w:rPr>
          <w:rFonts w:asciiTheme="minorEastAsia" w:hAnsiTheme="minorEastAsia" w:eastAsiaTheme="minorEastAsia"/>
        </w:rPr>
      </w:pPr>
    </w:p>
    <w:p w14:paraId="428F365C">
      <w:pPr>
        <w:pStyle w:val="29"/>
        <w:ind w:firstLine="420"/>
        <w:rPr>
          <w:rFonts w:asciiTheme="minorEastAsia" w:hAnsiTheme="minorEastAsia" w:eastAsiaTheme="minorEastAsia"/>
        </w:rPr>
      </w:pPr>
    </w:p>
    <w:p w14:paraId="45901412">
      <w:pPr>
        <w:pStyle w:val="29"/>
        <w:ind w:firstLine="420"/>
        <w:rPr>
          <w:rFonts w:asciiTheme="minorEastAsia" w:hAnsiTheme="minorEastAsia" w:eastAsiaTheme="minorEastAsia"/>
        </w:rPr>
      </w:pPr>
    </w:p>
    <w:p w14:paraId="47A8BE55">
      <w:pPr>
        <w:pStyle w:val="29"/>
        <w:ind w:firstLine="420"/>
        <w:rPr>
          <w:rFonts w:asciiTheme="minorEastAsia" w:hAnsiTheme="minorEastAsia" w:eastAsiaTheme="minorEastAsia"/>
        </w:rPr>
      </w:pPr>
    </w:p>
    <w:p w14:paraId="64B8DE04">
      <w:pPr>
        <w:pStyle w:val="29"/>
        <w:ind w:firstLine="420"/>
        <w:rPr>
          <w:rFonts w:asciiTheme="minorEastAsia" w:hAnsiTheme="minorEastAsia" w:eastAsiaTheme="minorEastAsia"/>
        </w:rPr>
      </w:pPr>
    </w:p>
    <w:p w14:paraId="659D756C">
      <w:pPr>
        <w:pStyle w:val="29"/>
        <w:ind w:firstLine="420"/>
        <w:rPr>
          <w:rFonts w:asciiTheme="minorEastAsia" w:hAnsiTheme="minorEastAsia" w:eastAsiaTheme="minorEastAsia"/>
        </w:rPr>
      </w:pPr>
    </w:p>
    <w:p w14:paraId="491B156C">
      <w:pPr>
        <w:pStyle w:val="29"/>
        <w:ind w:firstLine="420"/>
        <w:rPr>
          <w:rFonts w:asciiTheme="minorEastAsia" w:hAnsiTheme="minorEastAsia" w:eastAsiaTheme="minorEastAsia"/>
        </w:rPr>
      </w:pPr>
    </w:p>
    <w:p w14:paraId="27A3FEAD">
      <w:pPr>
        <w:pStyle w:val="29"/>
        <w:ind w:firstLine="420"/>
        <w:rPr>
          <w:rFonts w:asciiTheme="minorEastAsia" w:hAnsiTheme="minorEastAsia" w:eastAsiaTheme="minorEastAsia"/>
        </w:rPr>
      </w:pPr>
    </w:p>
    <w:p w14:paraId="5550959C">
      <w:pPr>
        <w:pStyle w:val="29"/>
        <w:ind w:firstLine="420"/>
        <w:rPr>
          <w:rFonts w:asciiTheme="minorEastAsia" w:hAnsiTheme="minorEastAsia" w:eastAsiaTheme="minorEastAsia"/>
        </w:rPr>
      </w:pPr>
    </w:p>
    <w:p w14:paraId="05F9DA3C">
      <w:pPr>
        <w:pStyle w:val="29"/>
        <w:ind w:firstLine="420"/>
        <w:rPr>
          <w:rFonts w:asciiTheme="minorEastAsia" w:hAnsiTheme="minorEastAsia" w:eastAsiaTheme="minorEastAsia"/>
        </w:rPr>
      </w:pPr>
    </w:p>
    <w:p w14:paraId="7B91D0DD">
      <w:pPr>
        <w:pStyle w:val="29"/>
        <w:ind w:firstLine="420"/>
        <w:rPr>
          <w:rFonts w:asciiTheme="minorEastAsia" w:hAnsiTheme="minorEastAsia" w:eastAsiaTheme="minorEastAsia"/>
        </w:rPr>
      </w:pPr>
    </w:p>
    <w:p w14:paraId="190FE48A">
      <w:pPr>
        <w:pStyle w:val="29"/>
        <w:ind w:firstLine="420"/>
        <w:rPr>
          <w:rFonts w:asciiTheme="minorEastAsia" w:hAnsiTheme="minorEastAsia" w:eastAsiaTheme="minorEastAsia"/>
        </w:rPr>
      </w:pPr>
    </w:p>
    <w:p w14:paraId="7F7F505A">
      <w:pPr>
        <w:pStyle w:val="29"/>
        <w:ind w:firstLine="0" w:firstLineChars="0"/>
        <w:rPr>
          <w:rFonts w:asciiTheme="minorEastAsia" w:hAnsiTheme="minorEastAsia" w:eastAsiaTheme="minorEastAsia"/>
        </w:rPr>
      </w:pPr>
    </w:p>
    <w:p w14:paraId="652F4A05">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30</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55</w:t>
      </w:r>
      <w:r>
        <w:rPr>
          <w:rFonts w:cs="Arial" w:asciiTheme="minorEastAsia" w:hAnsiTheme="minorEastAsia" w:eastAsiaTheme="minorEastAsia"/>
          <w:b/>
          <w:color w:val="000000"/>
          <w:sz w:val="28"/>
          <w:szCs w:val="28"/>
        </w:rPr>
        <w:t>期</w:t>
      </w:r>
    </w:p>
    <w:p w14:paraId="3A77AF1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1AB67A08">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55</w:t>
      </w:r>
    </w:p>
    <w:tbl>
      <w:tblPr>
        <w:tblStyle w:val="22"/>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622E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0703F93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02BBF04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22726111">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0D4ABFB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6EC3883D">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13417236">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3A4C582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7E73FA0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7649CFE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0FE0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FD9493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BEAB1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5DEE18F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AD3B3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7B89517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616A5A5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F09608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7AFE2B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0AF62AA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0177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E002CE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4DC9FD8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F35D08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7A4E07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400BB27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215C6E9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96A1F9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1ED1F4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E227B6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1B0BA7DF">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14:paraId="2C4C05F6">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r>
        <w:rPr>
          <w:rFonts w:cs="宋体-18030" w:asciiTheme="minorEastAsia" w:hAnsiTheme="minorEastAsia" w:eastAsiaTheme="minor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r>
        <w:rPr>
          <w:rFonts w:ascii="MS Gothic" w:hAnsi="MS Gothic" w:eastAsia="MS Gothic" w:cs="MS Gothic"/>
          <w:bCs/>
          <w:color w:val="002060"/>
          <w:kern w:val="0"/>
          <w:szCs w:val="21"/>
        </w:rPr>
        <w:t>｡</w:t>
      </w:r>
      <w:r>
        <w:rPr>
          <w:rFonts w:cs="宋体-18030" w:asciiTheme="minorEastAsia" w:hAnsiTheme="minorEastAsia" w:eastAsiaTheme="minorEastAsia"/>
          <w:bCs/>
          <w:color w:val="002060"/>
          <w:kern w:val="0"/>
          <w:szCs w:val="21"/>
        </w:rPr>
        <w:t>)</w:t>
      </w:r>
    </w:p>
    <w:tbl>
      <w:tblPr>
        <w:tblStyle w:val="22"/>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4E5E18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63C9BA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7614FAC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56F0642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0259868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2F1C24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4480D30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144F7D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28CA5A7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36E787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28DE2B2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62D5AE9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64FF05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7F567D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9D3B40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5B6D2C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5C4C585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7EC206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B2D6DC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551D17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67B5A4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0A13FBD">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15120B1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B340D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E77AD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76A4C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B9B0CAB">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362BC3D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98EE3C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2D453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7FD23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189C98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C13D0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7AE49835">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7846866A">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42B805D0">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71F96624">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04920AF">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2F3F0054">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3"/>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3"/>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2FA306B"/>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795EFA"/>
    <w:rsid w:val="07927F8D"/>
    <w:rsid w:val="07D9575B"/>
    <w:rsid w:val="07E57DCD"/>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87B7A29"/>
    <w:rsid w:val="189578F6"/>
    <w:rsid w:val="18DC7C0F"/>
    <w:rsid w:val="197E14D4"/>
    <w:rsid w:val="19EA71F3"/>
    <w:rsid w:val="1A0339D6"/>
    <w:rsid w:val="1A1832E5"/>
    <w:rsid w:val="1A3F765B"/>
    <w:rsid w:val="1AF13D06"/>
    <w:rsid w:val="1AF40C41"/>
    <w:rsid w:val="1B821D48"/>
    <w:rsid w:val="1BA103B8"/>
    <w:rsid w:val="1BA50ED5"/>
    <w:rsid w:val="1BF5062A"/>
    <w:rsid w:val="1C055862"/>
    <w:rsid w:val="1C057370"/>
    <w:rsid w:val="1C213E1A"/>
    <w:rsid w:val="1C2D35AD"/>
    <w:rsid w:val="1C58318F"/>
    <w:rsid w:val="1CCF0E83"/>
    <w:rsid w:val="1CFD04F5"/>
    <w:rsid w:val="1D070E24"/>
    <w:rsid w:val="1D43377F"/>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14BC7"/>
    <w:rsid w:val="20F55779"/>
    <w:rsid w:val="21247011"/>
    <w:rsid w:val="213E37D6"/>
    <w:rsid w:val="21556224"/>
    <w:rsid w:val="21626206"/>
    <w:rsid w:val="21827141"/>
    <w:rsid w:val="21A773A1"/>
    <w:rsid w:val="22FF7F7B"/>
    <w:rsid w:val="23FC66AE"/>
    <w:rsid w:val="242A0B1C"/>
    <w:rsid w:val="242A5EB9"/>
    <w:rsid w:val="246D27F6"/>
    <w:rsid w:val="24BE2127"/>
    <w:rsid w:val="24F46AA1"/>
    <w:rsid w:val="260E0413"/>
    <w:rsid w:val="26BC06CE"/>
    <w:rsid w:val="27006FF4"/>
    <w:rsid w:val="27307827"/>
    <w:rsid w:val="2760700D"/>
    <w:rsid w:val="27907A19"/>
    <w:rsid w:val="279A4F10"/>
    <w:rsid w:val="27A424B1"/>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861E09"/>
    <w:rsid w:val="2D937660"/>
    <w:rsid w:val="2E44259E"/>
    <w:rsid w:val="2E7C01E1"/>
    <w:rsid w:val="2E883D14"/>
    <w:rsid w:val="2ECA5384"/>
    <w:rsid w:val="2EFD3C9E"/>
    <w:rsid w:val="2F3A33B2"/>
    <w:rsid w:val="2F8A6913"/>
    <w:rsid w:val="2FF344D2"/>
    <w:rsid w:val="307E36DC"/>
    <w:rsid w:val="3084790D"/>
    <w:rsid w:val="30882BA1"/>
    <w:rsid w:val="308E5631"/>
    <w:rsid w:val="31364D63"/>
    <w:rsid w:val="31AA55D1"/>
    <w:rsid w:val="31AB08CF"/>
    <w:rsid w:val="31C45F6A"/>
    <w:rsid w:val="32564989"/>
    <w:rsid w:val="325D03C5"/>
    <w:rsid w:val="326C34F4"/>
    <w:rsid w:val="32940051"/>
    <w:rsid w:val="332602E8"/>
    <w:rsid w:val="332B0B11"/>
    <w:rsid w:val="3348417B"/>
    <w:rsid w:val="33B95504"/>
    <w:rsid w:val="33E92385"/>
    <w:rsid w:val="34031313"/>
    <w:rsid w:val="342F6C93"/>
    <w:rsid w:val="349316AD"/>
    <w:rsid w:val="34AD0DF8"/>
    <w:rsid w:val="34DC7262"/>
    <w:rsid w:val="35154ED0"/>
    <w:rsid w:val="355E3760"/>
    <w:rsid w:val="35A46387"/>
    <w:rsid w:val="367361FE"/>
    <w:rsid w:val="36E302B5"/>
    <w:rsid w:val="372969A6"/>
    <w:rsid w:val="37B37DCE"/>
    <w:rsid w:val="37BB2E0B"/>
    <w:rsid w:val="37D83F93"/>
    <w:rsid w:val="38007937"/>
    <w:rsid w:val="38286BF6"/>
    <w:rsid w:val="3871631D"/>
    <w:rsid w:val="38CB2ED4"/>
    <w:rsid w:val="38CF5CC8"/>
    <w:rsid w:val="38FB4778"/>
    <w:rsid w:val="398003E9"/>
    <w:rsid w:val="39970620"/>
    <w:rsid w:val="39A80EB0"/>
    <w:rsid w:val="3A55038B"/>
    <w:rsid w:val="3AAC169A"/>
    <w:rsid w:val="3AB2015D"/>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E553D5"/>
    <w:rsid w:val="41150A09"/>
    <w:rsid w:val="412B0723"/>
    <w:rsid w:val="416E4C3D"/>
    <w:rsid w:val="41744D17"/>
    <w:rsid w:val="41A9209A"/>
    <w:rsid w:val="42547E3B"/>
    <w:rsid w:val="42BF7447"/>
    <w:rsid w:val="42D62A0E"/>
    <w:rsid w:val="42FF0554"/>
    <w:rsid w:val="4345511B"/>
    <w:rsid w:val="43547BA6"/>
    <w:rsid w:val="4380762E"/>
    <w:rsid w:val="43A21451"/>
    <w:rsid w:val="44213356"/>
    <w:rsid w:val="447D4D4F"/>
    <w:rsid w:val="44C71A88"/>
    <w:rsid w:val="44F12CAA"/>
    <w:rsid w:val="451677C8"/>
    <w:rsid w:val="456345AC"/>
    <w:rsid w:val="45675D9F"/>
    <w:rsid w:val="45DB1EE3"/>
    <w:rsid w:val="4616188D"/>
    <w:rsid w:val="46333E81"/>
    <w:rsid w:val="46406C9A"/>
    <w:rsid w:val="46671839"/>
    <w:rsid w:val="4683163E"/>
    <w:rsid w:val="46C320A6"/>
    <w:rsid w:val="47031BB9"/>
    <w:rsid w:val="477E3491"/>
    <w:rsid w:val="4840346D"/>
    <w:rsid w:val="48680ECC"/>
    <w:rsid w:val="487D4E0F"/>
    <w:rsid w:val="48FD5959"/>
    <w:rsid w:val="4901507A"/>
    <w:rsid w:val="49A55F90"/>
    <w:rsid w:val="49C9605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240C7E"/>
    <w:rsid w:val="4E3E401F"/>
    <w:rsid w:val="4E914D01"/>
    <w:rsid w:val="4EE7683D"/>
    <w:rsid w:val="4F3C333F"/>
    <w:rsid w:val="4F7A3F06"/>
    <w:rsid w:val="4FA9426E"/>
    <w:rsid w:val="4FE76FEE"/>
    <w:rsid w:val="50291576"/>
    <w:rsid w:val="50387EC9"/>
    <w:rsid w:val="5052205F"/>
    <w:rsid w:val="509A1C73"/>
    <w:rsid w:val="50A81392"/>
    <w:rsid w:val="51494400"/>
    <w:rsid w:val="51894111"/>
    <w:rsid w:val="51A007AA"/>
    <w:rsid w:val="521C5099"/>
    <w:rsid w:val="528507DE"/>
    <w:rsid w:val="529B278A"/>
    <w:rsid w:val="52D37DCB"/>
    <w:rsid w:val="53376ADA"/>
    <w:rsid w:val="533F4CEE"/>
    <w:rsid w:val="536A77BD"/>
    <w:rsid w:val="536F231B"/>
    <w:rsid w:val="53C605B1"/>
    <w:rsid w:val="54246682"/>
    <w:rsid w:val="54423B60"/>
    <w:rsid w:val="544E4847"/>
    <w:rsid w:val="5498601B"/>
    <w:rsid w:val="54A64729"/>
    <w:rsid w:val="55740F0C"/>
    <w:rsid w:val="557B1729"/>
    <w:rsid w:val="55A82D9F"/>
    <w:rsid w:val="55AD05A3"/>
    <w:rsid w:val="55E45605"/>
    <w:rsid w:val="56E755C8"/>
    <w:rsid w:val="57704E2E"/>
    <w:rsid w:val="57B17132"/>
    <w:rsid w:val="57E00F33"/>
    <w:rsid w:val="58485925"/>
    <w:rsid w:val="58AA5E1A"/>
    <w:rsid w:val="58B42820"/>
    <w:rsid w:val="590A5666"/>
    <w:rsid w:val="599A0FE5"/>
    <w:rsid w:val="599A78B4"/>
    <w:rsid w:val="59F271C5"/>
    <w:rsid w:val="5A3D7F5A"/>
    <w:rsid w:val="5A435F69"/>
    <w:rsid w:val="5A540F6B"/>
    <w:rsid w:val="5ABF64C8"/>
    <w:rsid w:val="5AE12DF7"/>
    <w:rsid w:val="5AF06412"/>
    <w:rsid w:val="5AFC6985"/>
    <w:rsid w:val="5BAF5677"/>
    <w:rsid w:val="5BD3526C"/>
    <w:rsid w:val="5BE07777"/>
    <w:rsid w:val="5BE9386D"/>
    <w:rsid w:val="5BEE3802"/>
    <w:rsid w:val="5C661D71"/>
    <w:rsid w:val="5CAC59A0"/>
    <w:rsid w:val="5CB7063C"/>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AE1EC8"/>
    <w:rsid w:val="63CB3D8B"/>
    <w:rsid w:val="64102907"/>
    <w:rsid w:val="64692017"/>
    <w:rsid w:val="648700E8"/>
    <w:rsid w:val="64A37553"/>
    <w:rsid w:val="64C1050B"/>
    <w:rsid w:val="65581AAD"/>
    <w:rsid w:val="65B31C9E"/>
    <w:rsid w:val="65B8754F"/>
    <w:rsid w:val="665B58A3"/>
    <w:rsid w:val="66D65031"/>
    <w:rsid w:val="670B6A7B"/>
    <w:rsid w:val="671A1DC5"/>
    <w:rsid w:val="6721173E"/>
    <w:rsid w:val="673752E8"/>
    <w:rsid w:val="675B27E4"/>
    <w:rsid w:val="67B927DC"/>
    <w:rsid w:val="68330A12"/>
    <w:rsid w:val="6953498D"/>
    <w:rsid w:val="698F70E0"/>
    <w:rsid w:val="699467F3"/>
    <w:rsid w:val="6A773014"/>
    <w:rsid w:val="6AAB113E"/>
    <w:rsid w:val="6B05560F"/>
    <w:rsid w:val="6BEF516F"/>
    <w:rsid w:val="6C274E1F"/>
    <w:rsid w:val="6C944351"/>
    <w:rsid w:val="6CB70064"/>
    <w:rsid w:val="6CC94A67"/>
    <w:rsid w:val="6D0A1123"/>
    <w:rsid w:val="6D0F4C8D"/>
    <w:rsid w:val="6D212753"/>
    <w:rsid w:val="6DBF2BD8"/>
    <w:rsid w:val="6DC5609A"/>
    <w:rsid w:val="6DE00DFA"/>
    <w:rsid w:val="6E1B6684"/>
    <w:rsid w:val="6F23547E"/>
    <w:rsid w:val="6F343D32"/>
    <w:rsid w:val="6F800BBD"/>
    <w:rsid w:val="6F8C21C4"/>
    <w:rsid w:val="700510C2"/>
    <w:rsid w:val="702C2AF3"/>
    <w:rsid w:val="704E1F61"/>
    <w:rsid w:val="7062494A"/>
    <w:rsid w:val="712D67BD"/>
    <w:rsid w:val="71591B4B"/>
    <w:rsid w:val="71606D24"/>
    <w:rsid w:val="71B02EC3"/>
    <w:rsid w:val="71E546CC"/>
    <w:rsid w:val="723F53B1"/>
    <w:rsid w:val="72DC6774"/>
    <w:rsid w:val="72E10A70"/>
    <w:rsid w:val="732968B0"/>
    <w:rsid w:val="739068F7"/>
    <w:rsid w:val="73F62525"/>
    <w:rsid w:val="741305C3"/>
    <w:rsid w:val="743B200D"/>
    <w:rsid w:val="748D0358"/>
    <w:rsid w:val="748D7E3A"/>
    <w:rsid w:val="74DA1431"/>
    <w:rsid w:val="75A93F80"/>
    <w:rsid w:val="75E07F9E"/>
    <w:rsid w:val="763D6AE2"/>
    <w:rsid w:val="76FC0100"/>
    <w:rsid w:val="777001A2"/>
    <w:rsid w:val="780B3D70"/>
    <w:rsid w:val="784349CF"/>
    <w:rsid w:val="78B4050B"/>
    <w:rsid w:val="79144850"/>
    <w:rsid w:val="791864CF"/>
    <w:rsid w:val="792B4762"/>
    <w:rsid w:val="79685748"/>
    <w:rsid w:val="79A060B3"/>
    <w:rsid w:val="79CA7984"/>
    <w:rsid w:val="79FB745F"/>
    <w:rsid w:val="7A212F9C"/>
    <w:rsid w:val="7A365AD5"/>
    <w:rsid w:val="7A9F26C7"/>
    <w:rsid w:val="7AA159DE"/>
    <w:rsid w:val="7B614450"/>
    <w:rsid w:val="7B656E15"/>
    <w:rsid w:val="7BAC5D14"/>
    <w:rsid w:val="7C14594A"/>
    <w:rsid w:val="7C1E0794"/>
    <w:rsid w:val="7C2D13DB"/>
    <w:rsid w:val="7C7C6B16"/>
    <w:rsid w:val="7CA72AFD"/>
    <w:rsid w:val="7CE161C2"/>
    <w:rsid w:val="7D212E8C"/>
    <w:rsid w:val="7D7F3F24"/>
    <w:rsid w:val="7D9064BA"/>
    <w:rsid w:val="7E311AE2"/>
    <w:rsid w:val="7E870DE0"/>
    <w:rsid w:val="7E901B59"/>
    <w:rsid w:val="7EAB0E2B"/>
    <w:rsid w:val="7F5453DB"/>
    <w:rsid w:val="7F946DF7"/>
    <w:rsid w:val="7FA4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numPr>
        <w:ilvl w:val="3"/>
        <w:numId w:val="1"/>
      </w:numPr>
      <w:outlineLvl w:val="1"/>
    </w:pPr>
    <w:rPr>
      <w:sz w:val="28"/>
    </w:rPr>
  </w:style>
  <w:style w:type="paragraph" w:styleId="4">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Indent"/>
    <w:basedOn w:val="1"/>
    <w:autoRedefine/>
    <w:semiHidden/>
    <w:qFormat/>
    <w:uiPriority w:val="0"/>
    <w:pPr>
      <w:spacing w:line="360" w:lineRule="auto"/>
      <w:ind w:left="720" w:hanging="720" w:hangingChars="300"/>
    </w:pPr>
    <w:rPr>
      <w:sz w:val="24"/>
      <w:szCs w:val="20"/>
    </w:rPr>
  </w:style>
  <w:style w:type="paragraph" w:styleId="7">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8">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72"/>
    <w:autoRedefine/>
    <w:qFormat/>
    <w:uiPriority w:val="0"/>
    <w:pPr>
      <w:spacing w:after="120"/>
    </w:pPr>
  </w:style>
  <w:style w:type="paragraph" w:styleId="10">
    <w:name w:val="Plain Text"/>
    <w:basedOn w:val="1"/>
    <w:link w:val="63"/>
    <w:autoRedefine/>
    <w:qFormat/>
    <w:uiPriority w:val="0"/>
    <w:rPr>
      <w:rFonts w:ascii="宋体" w:hAnsi="Courier New" w:cs="宋体"/>
      <w:szCs w:val="21"/>
    </w:rPr>
  </w:style>
  <w:style w:type="paragraph" w:styleId="11">
    <w:name w:val="Date"/>
    <w:basedOn w:val="1"/>
    <w:next w:val="1"/>
    <w:link w:val="54"/>
    <w:autoRedefine/>
    <w:qFormat/>
    <w:uiPriority w:val="0"/>
    <w:pPr>
      <w:ind w:left="100" w:leftChars="2500"/>
    </w:pPr>
  </w:style>
  <w:style w:type="paragraph" w:styleId="12">
    <w:name w:val="Balloon Text"/>
    <w:basedOn w:val="1"/>
    <w:autoRedefine/>
    <w:semiHidden/>
    <w:qFormat/>
    <w:uiPriority w:val="0"/>
    <w:rPr>
      <w:sz w:val="18"/>
      <w:szCs w:val="18"/>
    </w:rPr>
  </w:style>
  <w:style w:type="paragraph" w:styleId="13">
    <w:name w:val="footer"/>
    <w:basedOn w:val="1"/>
    <w:link w:val="67"/>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autoRedefine/>
    <w:qFormat/>
    <w:uiPriority w:val="0"/>
    <w:pPr>
      <w:spacing w:afterLines="0" w:line="240" w:lineRule="auto"/>
    </w:pPr>
    <w:rPr>
      <w:rFonts w:ascii="Calibri" w:hAnsi="Calibri"/>
      <w:szCs w:val="20"/>
    </w:rPr>
  </w:style>
  <w:style w:type="paragraph" w:styleId="16">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7">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8">
    <w:name w:val="Body Text 2"/>
    <w:basedOn w:val="1"/>
    <w:autoRedefine/>
    <w:qFormat/>
    <w:uiPriority w:val="0"/>
    <w:pPr>
      <w:spacing w:after="120" w:line="480" w:lineRule="auto"/>
    </w:p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0">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1">
    <w:name w:val="Body Text First Indent"/>
    <w:basedOn w:val="9"/>
    <w:next w:val="1"/>
    <w:qFormat/>
    <w:uiPriority w:val="0"/>
    <w:pPr>
      <w:ind w:firstLine="420" w:firstLineChars="1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basedOn w:val="24"/>
    <w:autoRedefine/>
    <w:qFormat/>
    <w:uiPriority w:val="0"/>
  </w:style>
  <w:style w:type="character" w:styleId="27">
    <w:name w:val="Emphasis"/>
    <w:basedOn w:val="24"/>
    <w:autoRedefine/>
    <w:qFormat/>
    <w:uiPriority w:val="20"/>
    <w:rPr>
      <w:i/>
      <w:iCs/>
    </w:rPr>
  </w:style>
  <w:style w:type="character" w:styleId="28">
    <w:name w:val="Hyperlink"/>
    <w:autoRedefine/>
    <w:qFormat/>
    <w:uiPriority w:val="0"/>
    <w:rPr>
      <w:color w:val="0000FF"/>
      <w:u w:val="single"/>
    </w:r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0">
    <w:name w:val="TOC 标题1"/>
    <w:basedOn w:val="2"/>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4"/>
    <w:autoRedefine/>
    <w:qFormat/>
    <w:uiPriority w:val="0"/>
  </w:style>
  <w:style w:type="character" w:customStyle="1" w:styleId="34">
    <w:name w:val="nui-addr-email4"/>
    <w:basedOn w:val="24"/>
    <w:autoRedefine/>
    <w:qFormat/>
    <w:uiPriority w:val="0"/>
  </w:style>
  <w:style w:type="character" w:customStyle="1" w:styleId="35">
    <w:name w:val="正文文本 字符"/>
    <w:link w:val="9"/>
    <w:autoRedefine/>
    <w:qFormat/>
    <w:uiPriority w:val="0"/>
    <w:rPr>
      <w:kern w:val="2"/>
      <w:sz w:val="21"/>
      <w:szCs w:val="24"/>
    </w:rPr>
  </w:style>
  <w:style w:type="character" w:customStyle="1" w:styleId="36">
    <w:name w:val="bumpedfont15"/>
    <w:basedOn w:val="24"/>
    <w:autoRedefine/>
    <w:qFormat/>
    <w:uiPriority w:val="0"/>
  </w:style>
  <w:style w:type="character" w:customStyle="1" w:styleId="37">
    <w:name w:val="ca-22"/>
    <w:basedOn w:val="24"/>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1"/>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4"/>
    <w:link w:val="20"/>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4"/>
    <w:link w:val="10"/>
    <w:autoRedefine/>
    <w:qFormat/>
    <w:uiPriority w:val="0"/>
    <w:rPr>
      <w:rFonts w:ascii="宋体" w:hAnsi="Courier New" w:cs="宋体"/>
      <w:kern w:val="2"/>
      <w:sz w:val="21"/>
      <w:szCs w:val="21"/>
    </w:rPr>
  </w:style>
  <w:style w:type="character" w:customStyle="1" w:styleId="64">
    <w:name w:val="副标题 字符"/>
    <w:link w:val="17"/>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4"/>
    <w:link w:val="13"/>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4"/>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9"/>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4"/>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17943</Words>
  <Characters>20266</Characters>
  <Lines>94</Lines>
  <Paragraphs>26</Paragraphs>
  <TotalTime>1</TotalTime>
  <ScaleCrop>false</ScaleCrop>
  <LinksUpToDate>false</LinksUpToDate>
  <CharactersWithSpaces>22300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Administrator</cp:lastModifiedBy>
  <cp:lastPrinted>2024-08-29T01:17:00Z</cp:lastPrinted>
  <dcterms:modified xsi:type="dcterms:W3CDTF">2024-10-15T00:22:51Z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3279EEA1E4014AC2BCD51B63EBD36CD0_12</vt:lpwstr>
  </property>
</Properties>
</file>