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r>
        <w:rPr>
          <w:rFonts w:hint="eastAsia"/>
          <w:b/>
          <w:sz w:val="44"/>
          <w:szCs w:val="44"/>
        </w:rPr>
        <w:t>2024年宝安区校园艾滋病防治宣教活动项目</w:t>
      </w:r>
    </w:p>
    <w:p>
      <w:pPr>
        <w:jc w:val="center"/>
        <w:rPr>
          <w:b/>
          <w:sz w:val="30"/>
          <w:szCs w:val="30"/>
        </w:rPr>
      </w:pPr>
    </w:p>
    <w:p>
      <w:pPr>
        <w:jc w:val="center"/>
        <w:rPr>
          <w:b/>
          <w:sz w:val="30"/>
          <w:szCs w:val="30"/>
        </w:rPr>
      </w:pPr>
      <w:r>
        <w:rPr>
          <w:rFonts w:hint="eastAsia"/>
          <w:b/>
          <w:sz w:val="30"/>
          <w:szCs w:val="30"/>
        </w:rPr>
        <w:t>项目编号：</w:t>
      </w:r>
      <w:bookmarkStart w:id="0" w:name="_Hlk161679009"/>
      <w:r>
        <w:rPr>
          <w:b/>
          <w:sz w:val="30"/>
          <w:szCs w:val="30"/>
        </w:rPr>
        <w:t>BACDCCG202</w:t>
      </w:r>
      <w:r>
        <w:rPr>
          <w:rFonts w:hint="eastAsia"/>
          <w:b/>
          <w:sz w:val="30"/>
          <w:szCs w:val="30"/>
        </w:rPr>
        <w:t>40</w:t>
      </w:r>
      <w:bookmarkEnd w:id="0"/>
      <w:r>
        <w:rPr>
          <w:rFonts w:hint="eastAsia"/>
          <w:b/>
          <w:sz w:val="30"/>
          <w:szCs w:val="30"/>
        </w:rPr>
        <w:t>16</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二〇二四年九月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就2024年宝安区校园艾滋病防治宣教活动项目</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目名称：2024年宝安区校园艾滋病防治宣教活动项目</w:t>
      </w:r>
    </w:p>
    <w:p>
      <w:pPr>
        <w:spacing w:line="360" w:lineRule="auto"/>
        <w:ind w:firstLine="420" w:firstLineChars="200"/>
      </w:pPr>
      <w:r>
        <w:rPr>
          <w:rFonts w:hint="eastAsia"/>
        </w:rPr>
        <w:t>2、</w:t>
      </w:r>
      <w:r>
        <w:t>项目编号：BACDCCG20240</w:t>
      </w:r>
      <w:r>
        <w:rPr>
          <w:rFonts w:hint="eastAsia"/>
        </w:rPr>
        <w:t>16</w:t>
      </w:r>
    </w:p>
    <w:p>
      <w:pPr>
        <w:spacing w:line="360" w:lineRule="auto"/>
        <w:ind w:firstLine="420" w:firstLineChars="200"/>
      </w:pPr>
      <w:r>
        <w:rPr>
          <w:rFonts w:hint="eastAsia"/>
        </w:rPr>
        <w:t>3、项目类别：服务类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、采购方式：公开招标</w:t>
      </w:r>
    </w:p>
    <w:p>
      <w:pPr>
        <w:spacing w:line="360" w:lineRule="auto"/>
        <w:ind w:firstLine="420" w:firstLineChars="200"/>
      </w:pPr>
      <w:r>
        <w:rPr>
          <w:rFonts w:hint="eastAsia"/>
        </w:rPr>
        <w:t>6、评标方法：综合评分法</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本项目采购预算金额为100，</w:t>
      </w:r>
      <w:r>
        <w:t>000</w:t>
      </w:r>
      <w:r>
        <w:rPr>
          <w:rFonts w:hint="eastAsia"/>
        </w:rPr>
        <w:t>.00元整。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w:t>
      </w:r>
      <w:bookmarkStart w:id="6" w:name="_Hlk145674892"/>
      <w:r>
        <w:rPr>
          <w:rFonts w:hint="eastAsia"/>
        </w:rPr>
        <w:t>投标人</w:t>
      </w:r>
      <w:bookmarkEnd w:id="6"/>
      <w:r>
        <w:rPr>
          <w:rFonts w:hint="eastAsia"/>
        </w:rPr>
        <w:t>必须是在中华人民共和国境内注册的独立法人或其他组织</w:t>
      </w:r>
      <w:bookmarkStart w:id="7" w:name="_Hlk145674976"/>
      <w:r>
        <w:rPr>
          <w:rFonts w:hint="eastAsia"/>
        </w:rPr>
        <w:t>（提供营业执照复印件）；</w:t>
      </w:r>
      <w:bookmarkEnd w:id="7"/>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1、获取采购文件时间：2024年0</w:t>
      </w:r>
      <w:r>
        <w:rPr>
          <w:rFonts w:hint="eastAsia"/>
          <w:lang w:val="en-US" w:eastAsia="zh-CN"/>
        </w:rPr>
        <w:t>9</w:t>
      </w:r>
      <w:r>
        <w:rPr>
          <w:rFonts w:hint="eastAsia"/>
        </w:rPr>
        <w:t>月</w:t>
      </w:r>
      <w:r>
        <w:rPr>
          <w:rFonts w:hint="eastAsia"/>
          <w:lang w:val="en-US" w:eastAsia="zh-CN"/>
        </w:rPr>
        <w:t>19</w:t>
      </w:r>
      <w:r>
        <w:rPr>
          <w:rFonts w:hint="eastAsia"/>
        </w:rPr>
        <w:t>日起至2024年0</w:t>
      </w:r>
      <w:r>
        <w:rPr>
          <w:rFonts w:hint="eastAsia"/>
          <w:lang w:val="en-US" w:eastAsia="zh-CN"/>
        </w:rPr>
        <w:t>9</w:t>
      </w:r>
      <w:r>
        <w:rPr>
          <w:rFonts w:hint="eastAsia"/>
        </w:rPr>
        <w:t>月</w:t>
      </w:r>
      <w:r>
        <w:rPr>
          <w:rFonts w:hint="eastAsia"/>
          <w:lang w:val="en-US" w:eastAsia="zh-CN"/>
        </w:rPr>
        <w:t>26</w:t>
      </w:r>
      <w:r>
        <w:rPr>
          <w:rFonts w:hint="eastAsia"/>
        </w:rPr>
        <w:t>日。</w:t>
      </w:r>
    </w:p>
    <w:p>
      <w:pPr>
        <w:spacing w:line="360" w:lineRule="auto"/>
        <w:ind w:firstLine="420" w:firstLineChars="200"/>
      </w:pPr>
      <w:r>
        <w:rPr>
          <w:rFonts w:hint="eastAsia"/>
        </w:rPr>
        <w:t>2、获取采购文件方式：线上下载。</w:t>
      </w:r>
    </w:p>
    <w:p>
      <w:pPr>
        <w:spacing w:line="360" w:lineRule="auto"/>
        <w:ind w:firstLine="420" w:firstLineChars="200"/>
      </w:pPr>
      <w:r>
        <w:rPr>
          <w:rFonts w:hint="eastAsia"/>
        </w:rPr>
        <w:t>3、联系人：郑工</w:t>
      </w:r>
    </w:p>
    <w:p>
      <w:pPr>
        <w:spacing w:line="360" w:lineRule="auto"/>
        <w:ind w:firstLine="420" w:firstLineChars="200"/>
      </w:pPr>
      <w:r>
        <w:rPr>
          <w:rFonts w:hint="eastAsia"/>
        </w:rPr>
        <w:t>4、联系电话：0755-2370307</w:t>
      </w:r>
      <w:r>
        <w:t>5</w:t>
      </w:r>
    </w:p>
    <w:p>
      <w:pPr>
        <w:pStyle w:val="5"/>
        <w:ind w:firstLine="482"/>
      </w:pPr>
      <w:r>
        <w:rPr>
          <w:rFonts w:hint="eastAsia"/>
        </w:rPr>
        <w:t>六、投标截止时间</w:t>
      </w:r>
    </w:p>
    <w:p>
      <w:pPr>
        <w:spacing w:line="360" w:lineRule="auto"/>
        <w:ind w:firstLine="420" w:firstLineChars="200"/>
      </w:pPr>
      <w:r>
        <w:rPr>
          <w:rFonts w:hint="eastAsia"/>
        </w:rPr>
        <w:t>1、递交响应文件时间：2024年0</w:t>
      </w:r>
      <w:r>
        <w:rPr>
          <w:rFonts w:hint="eastAsia"/>
          <w:lang w:val="en-US" w:eastAsia="zh-CN"/>
        </w:rPr>
        <w:t>9</w:t>
      </w:r>
      <w:r>
        <w:rPr>
          <w:rFonts w:hint="eastAsia"/>
        </w:rPr>
        <w:t>月</w:t>
      </w:r>
      <w:bookmarkStart w:id="171" w:name="_GoBack"/>
      <w:bookmarkEnd w:id="171"/>
      <w:r>
        <w:rPr>
          <w:rFonts w:hint="eastAsia"/>
          <w:lang w:val="en-US" w:eastAsia="zh-CN"/>
        </w:rPr>
        <w:t>26</w:t>
      </w:r>
      <w:r>
        <w:rPr>
          <w:rFonts w:hint="eastAsia"/>
        </w:rPr>
        <w:t>日下午18：00前（可快递，以签收时间为准）。</w:t>
      </w:r>
    </w:p>
    <w:p>
      <w:pPr>
        <w:spacing w:line="360" w:lineRule="auto"/>
        <w:ind w:firstLine="420" w:firstLineChars="200"/>
      </w:pPr>
      <w:r>
        <w:rPr>
          <w:rFonts w:hint="eastAsia"/>
        </w:rPr>
        <w:t>2、递交响应文件地点：深圳市宝安区海秀路3号（深圳市宝安区疾病预防控制中心）516，如无法进入大楼可放置保安室。</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4年0</w:t>
      </w:r>
      <w:r>
        <w:rPr>
          <w:rFonts w:hint="eastAsia"/>
          <w:lang w:val="en-US" w:eastAsia="zh-CN"/>
        </w:rPr>
        <w:t>9</w:t>
      </w:r>
      <w:r>
        <w:rPr>
          <w:rFonts w:hint="eastAsia"/>
        </w:rPr>
        <w:t>月</w:t>
      </w:r>
      <w:r>
        <w:rPr>
          <w:rFonts w:hint="eastAsia"/>
          <w:lang w:val="en-US" w:eastAsia="zh-CN"/>
        </w:rPr>
        <w:t>19</w:t>
      </w:r>
      <w:r>
        <w:rPr>
          <w:rFonts w:hint="eastAsia"/>
        </w:rPr>
        <w:t>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8" w:name="_Toc86939329"/>
      <w:bookmarkStart w:id="9" w:name="_Toc61539109"/>
      <w:r>
        <w:rPr>
          <w:rFonts w:hint="eastAsia"/>
        </w:rPr>
        <w:t>第二章  用户需求书</w:t>
      </w:r>
      <w:bookmarkEnd w:id="8"/>
      <w:bookmarkEnd w:id="9"/>
    </w:p>
    <w:p>
      <w:pPr>
        <w:pStyle w:val="3"/>
      </w:pPr>
      <w:bookmarkStart w:id="10" w:name="_Toc86741961"/>
      <w:bookmarkStart w:id="11" w:name="_Toc86939330"/>
      <w:r>
        <w:rPr>
          <w:rFonts w:hint="eastAsia"/>
        </w:rPr>
        <w:t>一、服务要求</w:t>
      </w:r>
    </w:p>
    <w:p>
      <w:pPr>
        <w:pStyle w:val="30"/>
        <w:numPr>
          <w:ilvl w:val="0"/>
          <w:numId w:val="1"/>
        </w:numPr>
        <w:tabs>
          <w:tab w:val="left" w:pos="907"/>
        </w:tabs>
        <w:spacing w:line="360" w:lineRule="auto"/>
        <w:ind w:firstLineChars="0"/>
        <w:rPr>
          <w:rFonts w:hint="eastAsia" w:asciiTheme="minorEastAsia" w:hAnsiTheme="minorEastAsia"/>
          <w:szCs w:val="21"/>
        </w:rPr>
      </w:pPr>
      <w:r>
        <w:rPr>
          <w:rFonts w:hint="eastAsia" w:asciiTheme="minorEastAsia" w:hAnsiTheme="minorEastAsia"/>
          <w:szCs w:val="21"/>
        </w:rPr>
        <w:t>项目概括：</w:t>
      </w:r>
    </w:p>
    <w:p>
      <w:pPr>
        <w:pStyle w:val="30"/>
        <w:tabs>
          <w:tab w:val="left" w:pos="907"/>
        </w:tabs>
        <w:spacing w:line="360" w:lineRule="auto"/>
        <w:ind w:left="780"/>
        <w:rPr>
          <w:rFonts w:hint="eastAsia" w:asciiTheme="minorEastAsia" w:hAnsiTheme="minorEastAsia"/>
          <w:szCs w:val="21"/>
        </w:rPr>
      </w:pPr>
      <w:r>
        <w:rPr>
          <w:rFonts w:hint="eastAsia" w:asciiTheme="minorEastAsia" w:hAnsiTheme="minorEastAsia"/>
          <w:szCs w:val="21"/>
        </w:rPr>
        <w:t>为进一步贯彻落实《深圳市卫生健康委员会深圳市教育局关于实施健康校园行动计划的通知》（深卫健发〔2019〕44 号）文件精神，根据《深圳市学校艾滋病防控工作指引（2019年版）》有关内容，结合实际工作情况， 通过开展校园艾滋病防治宣教活动，不断提高学生艾滋病治知识知晓率，减少高危行为发生率，提高学生自我保护意识，从而遏制艾滋病在学生群体中的传播，进而实现降低艾滋病新发感染率，减轻相关疾病负担的目标。</w:t>
      </w:r>
    </w:p>
    <w:p>
      <w:pPr>
        <w:spacing w:line="360" w:lineRule="auto"/>
        <w:ind w:firstLine="480"/>
        <w:jc w:val="left"/>
        <w:rPr>
          <w:rFonts w:hint="eastAsia" w:ascii="宋体" w:hAnsi="宋体"/>
          <w:sz w:val="24"/>
        </w:rPr>
      </w:pPr>
      <w:r>
        <w:rPr>
          <w:rFonts w:hint="eastAsia" w:ascii="宋体" w:hAnsi="宋体"/>
          <w:sz w:val="24"/>
        </w:rPr>
        <w:t>2. 服务范围：干预深圳市宝安区初、高中生（含中专）</w:t>
      </w:r>
    </w:p>
    <w:p>
      <w:pPr>
        <w:spacing w:line="360" w:lineRule="auto"/>
        <w:ind w:firstLine="480"/>
        <w:jc w:val="left"/>
        <w:rPr>
          <w:rFonts w:hint="eastAsia" w:ascii="宋体" w:hAnsi="宋体"/>
          <w:sz w:val="24"/>
        </w:rPr>
      </w:pPr>
      <w:r>
        <w:rPr>
          <w:rFonts w:hint="eastAsia" w:ascii="宋体" w:hAnsi="宋体"/>
          <w:sz w:val="24"/>
        </w:rPr>
        <w:t>（一）专题讲座：结合当下学生乐于接受的方式开展艾滋病防治主题健康科普宣讲，围绕“是什么，怎么防，如何治”等方面展开，全面提升学生对艾滋病的认识，重点强调预防措施，广泛普及防治知识。</w:t>
      </w:r>
    </w:p>
    <w:p>
      <w:pPr>
        <w:spacing w:line="360" w:lineRule="auto"/>
        <w:ind w:firstLine="480"/>
        <w:jc w:val="left"/>
        <w:rPr>
          <w:rFonts w:hint="eastAsia" w:ascii="宋体" w:hAnsi="宋体"/>
          <w:sz w:val="24"/>
        </w:rPr>
      </w:pPr>
      <w:r>
        <w:rPr>
          <w:rFonts w:hint="eastAsia" w:ascii="宋体" w:hAnsi="宋体"/>
          <w:sz w:val="24"/>
        </w:rPr>
        <w:t>（二）互动交流：充分发挥同伴教育优势，灵活运用参与式活动、故事会、案例分享、有奖竞答等形式增加活动参与性与互动性，通过寓教于乐的方式加深学生对相关知识的记忆和掌握。</w:t>
      </w:r>
    </w:p>
    <w:p>
      <w:pPr>
        <w:spacing w:line="360" w:lineRule="auto"/>
        <w:ind w:firstLine="480"/>
        <w:jc w:val="left"/>
        <w:rPr>
          <w:rFonts w:hint="eastAsia" w:ascii="宋体" w:hAnsi="宋体"/>
          <w:sz w:val="24"/>
        </w:rPr>
      </w:pPr>
      <w:r>
        <w:rPr>
          <w:rFonts w:hint="eastAsia" w:ascii="宋体" w:hAnsi="宋体"/>
          <w:sz w:val="24"/>
        </w:rPr>
        <w:t>（三）其他相关活动：结合学校实际情况和需求，充分调动在校学生参与艾滋病等疾病防控相关工作和社会实践活动的积极性，充分发挥青年志愿者作用，支持学生社团、志愿者，通过同伴教育、健康咨询等形式，传播预防知识，提高学生的自我保护意识和能力。</w:t>
      </w:r>
    </w:p>
    <w:p>
      <w:pPr>
        <w:spacing w:line="360" w:lineRule="auto"/>
        <w:ind w:firstLine="480" w:firstLineChars="200"/>
        <w:jc w:val="left"/>
        <w:rPr>
          <w:rFonts w:hint="eastAsia" w:ascii="宋体" w:hAnsi="宋体"/>
          <w:sz w:val="24"/>
        </w:rPr>
      </w:pPr>
      <w:r>
        <w:rPr>
          <w:rFonts w:hint="eastAsia" w:ascii="宋体" w:hAnsi="宋体"/>
          <w:sz w:val="24"/>
        </w:rPr>
        <w:t>3. 服务内容、技术标准、工作质量要求：</w:t>
      </w:r>
      <w:r>
        <w:rPr>
          <w:rFonts w:ascii="宋体" w:hAnsi="宋体"/>
          <w:sz w:val="24"/>
        </w:rPr>
        <w:t xml:space="preserve"> </w:t>
      </w:r>
    </w:p>
    <w:p>
      <w:pPr>
        <w:spacing w:line="360" w:lineRule="auto"/>
        <w:ind w:firstLine="480" w:firstLineChars="200"/>
        <w:jc w:val="left"/>
        <w:rPr>
          <w:rFonts w:hint="eastAsia" w:ascii="宋体" w:hAnsi="宋体"/>
          <w:sz w:val="24"/>
        </w:rPr>
      </w:pPr>
      <w:r>
        <w:rPr>
          <w:rFonts w:hint="eastAsia" w:ascii="宋体" w:hAnsi="宋体"/>
          <w:sz w:val="24"/>
        </w:rPr>
        <w:t>（一）宣教内容：每场宣教活动应结合专题讲座和互动交流形式开展。讲座内容应以艾滋病防治知识为主，标准为《中小学预防艾滋病专题教育大纲》规定的内容，可根据实际情况增加病毒性肝炎防治等相关内容。互动交流应搭配艾滋病宣传物资，如宣传折页、防艾笔记本、文具、明信片等。</w:t>
      </w:r>
    </w:p>
    <w:p>
      <w:pPr>
        <w:spacing w:line="360" w:lineRule="auto"/>
        <w:ind w:firstLine="480" w:firstLineChars="200"/>
        <w:jc w:val="left"/>
        <w:rPr>
          <w:rFonts w:hint="eastAsia" w:ascii="宋体" w:hAnsi="宋体"/>
          <w:sz w:val="24"/>
        </w:rPr>
      </w:pPr>
      <w:r>
        <w:rPr>
          <w:rFonts w:hint="eastAsia" w:ascii="宋体" w:hAnsi="宋体"/>
          <w:sz w:val="24"/>
        </w:rPr>
        <w:t>（二）宣教场次：全年开展不少于10场校园宣教活动，每场宣教活动不少于1课时，当年度校园宣教活动原则上应于当年11月30日前完成。</w:t>
      </w:r>
    </w:p>
    <w:p>
      <w:pPr>
        <w:spacing w:line="360" w:lineRule="auto"/>
        <w:ind w:firstLine="480" w:firstLineChars="200"/>
        <w:jc w:val="left"/>
        <w:rPr>
          <w:rFonts w:hint="eastAsia" w:ascii="宋体" w:hAnsi="宋体"/>
          <w:sz w:val="24"/>
        </w:rPr>
      </w:pPr>
      <w:r>
        <w:rPr>
          <w:rFonts w:hint="eastAsia" w:ascii="宋体" w:hAnsi="宋体"/>
          <w:sz w:val="24"/>
        </w:rPr>
        <w:t>（三）宣教师资：授课老师应为拥有丰富艾滋病讲座培训经验的省级同伴教育讲师或资深同伴教育讲师。若宣教内容包含艾滋病以外相关知识应额外安排相应专业领域师资进行授课。</w:t>
      </w:r>
    </w:p>
    <w:p>
      <w:pPr>
        <w:spacing w:line="360" w:lineRule="auto"/>
        <w:ind w:firstLine="480" w:firstLineChars="200"/>
        <w:jc w:val="left"/>
        <w:rPr>
          <w:rFonts w:hint="eastAsia" w:ascii="宋体" w:hAnsi="宋体"/>
          <w:sz w:val="24"/>
        </w:rPr>
      </w:pPr>
      <w:r>
        <w:rPr>
          <w:rFonts w:hint="eastAsia" w:ascii="宋体" w:hAnsi="宋体"/>
          <w:sz w:val="24"/>
        </w:rPr>
        <w:t>（四）资料管理：每场宣教活动应保留现场照片等材料，当年度宣讲工作完成后应及时形成工作总结报告。</w:t>
      </w:r>
    </w:p>
    <w:p>
      <w:pPr>
        <w:spacing w:line="360" w:lineRule="auto"/>
        <w:ind w:firstLine="480" w:firstLineChars="200"/>
        <w:jc w:val="left"/>
        <w:rPr>
          <w:rFonts w:hint="eastAsia" w:ascii="宋体" w:hAnsi="宋体"/>
          <w:sz w:val="24"/>
        </w:rPr>
      </w:pPr>
      <w:r>
        <w:rPr>
          <w:rFonts w:hint="eastAsia" w:ascii="宋体" w:hAnsi="宋体"/>
          <w:sz w:val="24"/>
        </w:rPr>
        <w:t>（五）效果评价：每次开展活动后应进行效果评价，组织参加活动学生完成问卷调查，艾滋病防治知识“国八条”知晓率不低于95%，同时还应开展满意度调查，收集学生、学校意见并及时总结反馈。</w:t>
      </w:r>
    </w:p>
    <w:p>
      <w:pPr>
        <w:spacing w:line="360" w:lineRule="auto"/>
        <w:ind w:firstLine="480" w:firstLineChars="200"/>
        <w:jc w:val="left"/>
        <w:rPr>
          <w:rFonts w:hint="eastAsia" w:ascii="宋体" w:hAnsi="宋体"/>
          <w:sz w:val="24"/>
        </w:rPr>
      </w:pPr>
      <w:r>
        <w:rPr>
          <w:rFonts w:hint="eastAsia" w:ascii="宋体" w:hAnsi="宋体"/>
          <w:sz w:val="24"/>
        </w:rPr>
        <w:t>4. 人员要求：满足本次宣传活动的人员数量。</w:t>
      </w:r>
    </w:p>
    <w:p>
      <w:pPr>
        <w:pStyle w:val="3"/>
      </w:pPr>
      <w:r>
        <w:rPr>
          <w:rFonts w:hint="eastAsia"/>
        </w:rPr>
        <w:t>二、商务要求：</w:t>
      </w:r>
    </w:p>
    <w:p>
      <w:pPr>
        <w:numPr>
          <w:ilvl w:val="0"/>
          <w:numId w:val="2"/>
        </w:numPr>
        <w:spacing w:line="360" w:lineRule="auto"/>
        <w:ind w:firstLine="480" w:firstLineChars="200"/>
        <w:jc w:val="left"/>
        <w:rPr>
          <w:rFonts w:hint="eastAsia" w:ascii="宋体" w:hAnsi="宋体"/>
          <w:sz w:val="24"/>
        </w:rPr>
      </w:pPr>
      <w:r>
        <w:rPr>
          <w:rFonts w:hint="eastAsia" w:ascii="宋体" w:hAnsi="宋体"/>
          <w:sz w:val="24"/>
        </w:rPr>
        <w:t>项目预算金额：壹拾万元整（¥100,</w:t>
      </w:r>
      <w:r>
        <w:rPr>
          <w:rFonts w:ascii="宋体" w:hAnsi="宋体"/>
          <w:sz w:val="24"/>
        </w:rPr>
        <w:t>000</w:t>
      </w:r>
      <w:r>
        <w:rPr>
          <w:rFonts w:hint="eastAsia" w:ascii="宋体" w:hAnsi="宋体"/>
          <w:sz w:val="24"/>
        </w:rPr>
        <w:t>.00）元。</w:t>
      </w:r>
    </w:p>
    <w:p>
      <w:pPr>
        <w:numPr>
          <w:ilvl w:val="0"/>
          <w:numId w:val="2"/>
        </w:numPr>
        <w:spacing w:line="360" w:lineRule="auto"/>
        <w:ind w:firstLine="480"/>
        <w:jc w:val="left"/>
        <w:rPr>
          <w:rFonts w:hint="eastAsia" w:ascii="宋体" w:hAnsi="宋体"/>
          <w:sz w:val="24"/>
        </w:rPr>
      </w:pPr>
      <w:r>
        <w:rPr>
          <w:rFonts w:hint="eastAsia" w:ascii="宋体" w:hAnsi="宋体"/>
          <w:sz w:val="24"/>
        </w:rPr>
        <w:t>报价要求：</w:t>
      </w:r>
    </w:p>
    <w:p>
      <w:pPr>
        <w:spacing w:line="360" w:lineRule="auto"/>
        <w:ind w:firstLine="480" w:firstLineChars="200"/>
        <w:jc w:val="left"/>
        <w:rPr>
          <w:rFonts w:hint="eastAsia" w:ascii="宋体" w:hAnsi="宋体"/>
          <w:sz w:val="24"/>
        </w:rPr>
      </w:pPr>
      <w:r>
        <w:rPr>
          <w:rFonts w:hint="eastAsia" w:ascii="宋体" w:hAnsi="宋体"/>
          <w:sz w:val="24"/>
        </w:rPr>
        <w:t>（1）本项目预算控制金额及最高投标限价为人民币100</w:t>
      </w:r>
      <w:r>
        <w:rPr>
          <w:rFonts w:ascii="宋体" w:hAnsi="宋体"/>
          <w:sz w:val="24"/>
        </w:rPr>
        <w:t>000.00</w:t>
      </w:r>
      <w:r>
        <w:rPr>
          <w:rFonts w:hint="eastAsia" w:ascii="宋体" w:hAnsi="宋体"/>
          <w:sz w:val="24"/>
        </w:rPr>
        <w:t>元。超出此预算控制金额或最高投标限价的作无效投标处理；</w:t>
      </w:r>
    </w:p>
    <w:p>
      <w:pPr>
        <w:spacing w:line="360" w:lineRule="auto"/>
        <w:ind w:firstLine="480" w:firstLineChars="200"/>
        <w:jc w:val="left"/>
        <w:rPr>
          <w:rFonts w:hint="eastAsia" w:ascii="宋体" w:hAnsi="宋体"/>
          <w:sz w:val="24"/>
        </w:rPr>
      </w:pPr>
      <w:r>
        <w:rPr>
          <w:rFonts w:hint="eastAsia" w:ascii="宋体" w:hAnsi="宋体"/>
          <w:sz w:val="24"/>
        </w:rPr>
        <w:t>（2）本次采购报价币种为人民币，单位为元；</w:t>
      </w:r>
    </w:p>
    <w:p>
      <w:pPr>
        <w:spacing w:line="360" w:lineRule="auto"/>
        <w:ind w:firstLine="480" w:firstLineChars="200"/>
        <w:jc w:val="left"/>
        <w:rPr>
          <w:rFonts w:hint="eastAsia"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spacing w:line="360" w:lineRule="auto"/>
        <w:ind w:firstLine="480" w:firstLineChars="200"/>
        <w:jc w:val="left"/>
        <w:rPr>
          <w:rFonts w:hint="eastAsia"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pPr>
        <w:numPr>
          <w:ilvl w:val="0"/>
          <w:numId w:val="2"/>
        </w:numPr>
        <w:spacing w:line="360" w:lineRule="auto"/>
        <w:ind w:firstLine="480" w:firstLineChars="200"/>
        <w:jc w:val="left"/>
        <w:rPr>
          <w:rFonts w:hint="eastAsia" w:ascii="宋体" w:hAnsi="宋体"/>
          <w:sz w:val="24"/>
        </w:rPr>
      </w:pPr>
      <w:r>
        <w:rPr>
          <w:rFonts w:hint="eastAsia" w:ascii="宋体" w:hAnsi="宋体"/>
          <w:sz w:val="24"/>
        </w:rPr>
        <w:t>服务期限：自合同签订之日起90个日历日内完成。</w:t>
      </w:r>
    </w:p>
    <w:p>
      <w:pPr>
        <w:numPr>
          <w:ilvl w:val="0"/>
          <w:numId w:val="2"/>
        </w:numPr>
        <w:spacing w:line="360" w:lineRule="auto"/>
        <w:ind w:firstLine="480"/>
        <w:jc w:val="left"/>
        <w:rPr>
          <w:rFonts w:hint="eastAsia" w:ascii="宋体" w:hAnsi="宋体"/>
          <w:sz w:val="24"/>
        </w:rPr>
      </w:pPr>
      <w:r>
        <w:rPr>
          <w:rFonts w:hint="eastAsia" w:ascii="宋体" w:hAnsi="宋体"/>
          <w:sz w:val="24"/>
        </w:rPr>
        <w:t>付款方式：</w:t>
      </w:r>
    </w:p>
    <w:p>
      <w:pPr>
        <w:pStyle w:val="30"/>
        <w:numPr>
          <w:ilvl w:val="0"/>
          <w:numId w:val="3"/>
        </w:numPr>
        <w:spacing w:line="360" w:lineRule="auto"/>
        <w:ind w:firstLineChars="0"/>
        <w:rPr>
          <w:rFonts w:ascii="宋体" w:hAnsi="宋体"/>
          <w:bCs/>
          <w:color w:val="000000"/>
          <w:sz w:val="24"/>
        </w:rPr>
      </w:pPr>
      <w:r>
        <w:rPr>
          <w:rFonts w:hint="eastAsia" w:ascii="宋体" w:hAnsi="宋体"/>
          <w:bCs/>
          <w:color w:val="000000"/>
          <w:sz w:val="24"/>
        </w:rPr>
        <w:t>合同签订后支付50%合同款；</w:t>
      </w:r>
    </w:p>
    <w:p>
      <w:pPr>
        <w:pStyle w:val="30"/>
        <w:numPr>
          <w:ilvl w:val="0"/>
          <w:numId w:val="3"/>
        </w:numPr>
        <w:spacing w:line="360" w:lineRule="auto"/>
        <w:ind w:firstLineChars="0"/>
        <w:rPr>
          <w:rFonts w:hint="eastAsia" w:ascii="宋体" w:hAnsi="宋体"/>
          <w:bCs/>
          <w:color w:val="000000"/>
          <w:sz w:val="24"/>
        </w:rPr>
      </w:pPr>
      <w:r>
        <w:rPr>
          <w:rFonts w:hint="eastAsia" w:ascii="宋体" w:hAnsi="宋体"/>
          <w:bCs/>
          <w:color w:val="000000"/>
          <w:sz w:val="24"/>
        </w:rPr>
        <w:t>项目完成后支付50%合同款；</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（3）中标人需向采购人提供相应金额的有效增值税发票，采购人在收到发票后15个工作日内支付；</w:t>
      </w:r>
    </w:p>
    <w:p>
      <w:pPr>
        <w:numPr>
          <w:ilvl w:val="0"/>
          <w:numId w:val="2"/>
        </w:numPr>
        <w:spacing w:line="360" w:lineRule="auto"/>
        <w:ind w:firstLine="480" w:firstLineChars="200"/>
        <w:jc w:val="left"/>
        <w:rPr>
          <w:rFonts w:hint="eastAsia" w:ascii="宋体" w:hAnsi="宋体"/>
          <w:sz w:val="24"/>
        </w:rPr>
      </w:pPr>
      <w:r>
        <w:rPr>
          <w:rFonts w:hint="eastAsia" w:ascii="宋体" w:hAnsi="宋体"/>
          <w:sz w:val="24"/>
        </w:rPr>
        <w:t>验收方式：采购人指定专人对本次活动进行验收并签署验收报告。</w:t>
      </w:r>
    </w:p>
    <w:p>
      <w:pPr>
        <w:numPr>
          <w:ilvl w:val="0"/>
          <w:numId w:val="2"/>
        </w:numPr>
        <w:spacing w:line="360" w:lineRule="auto"/>
        <w:ind w:firstLine="480" w:firstLineChars="200"/>
        <w:jc w:val="left"/>
        <w:rPr>
          <w:rFonts w:hint="eastAsia" w:ascii="宋体" w:hAnsi="宋体"/>
          <w:sz w:val="24"/>
        </w:rPr>
      </w:pPr>
      <w:r>
        <w:rPr>
          <w:rFonts w:hint="eastAsia" w:ascii="宋体" w:hAnsi="宋体"/>
          <w:sz w:val="24"/>
        </w:rPr>
        <w:t>违约要求：</w:t>
      </w:r>
    </w:p>
    <w:p>
      <w:pPr>
        <w:spacing w:line="360" w:lineRule="auto"/>
        <w:ind w:firstLine="480" w:firstLineChars="200"/>
        <w:jc w:val="left"/>
        <w:rPr>
          <w:rFonts w:hint="eastAsia"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hint="eastAsia"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pPr>
        <w:spacing w:line="360" w:lineRule="auto"/>
        <w:ind w:firstLine="480" w:firstLineChars="200"/>
        <w:jc w:val="left"/>
        <w:rPr>
          <w:rFonts w:hint="eastAsia"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pPr>
        <w:spacing w:line="360" w:lineRule="auto"/>
        <w:ind w:firstLine="480" w:firstLineChars="200"/>
        <w:jc w:val="left"/>
        <w:rPr>
          <w:rFonts w:hint="eastAsia" w:ascii="宋体" w:hAnsi="宋体"/>
          <w:sz w:val="24"/>
        </w:rPr>
        <w:sectPr>
          <w:pgSz w:w="11906" w:h="16838"/>
          <w:pgMar w:top="1418" w:right="1474" w:bottom="1418" w:left="1474" w:header="851" w:footer="992" w:gutter="0"/>
          <w:cols w:space="425" w:num="1"/>
          <w:docGrid w:type="lines" w:linePitch="312" w:charSpace="0"/>
        </w:sectPr>
      </w:pPr>
      <w:r>
        <w:rPr>
          <w:rFonts w:hint="eastAsia" w:ascii="宋体" w:hAnsi="宋体"/>
          <w:sz w:val="24"/>
        </w:rPr>
        <w:t>（4）投标人逾期未交设备的，投标人向采购人每日偿付设备款千分之十的违约金。投标人超过交货期限30日仍未交货，采购人有权解除合同。</w:t>
      </w:r>
    </w:p>
    <w:p>
      <w:pPr>
        <w:pStyle w:val="3"/>
      </w:pPr>
      <w:r>
        <w:rPr>
          <w:rFonts w:hint="eastAsia"/>
        </w:rPr>
        <w:t>三、</w:t>
      </w:r>
      <w:r>
        <w:rPr>
          <w:rFonts w:hint="eastAsia" w:ascii="宋体" w:hAnsi="宋体"/>
          <w:b w:val="0"/>
          <w:sz w:val="24"/>
        </w:rPr>
        <w:t>评审因素和评审标准</w:t>
      </w:r>
    </w:p>
    <w:p>
      <w:pPr>
        <w:spacing w:line="360" w:lineRule="auto"/>
        <w:jc w:val="left"/>
        <w:rPr>
          <w:rFonts w:hint="eastAsia" w:ascii="宋体" w:hAnsi="宋体"/>
          <w:bCs/>
          <w:sz w:val="24"/>
        </w:rPr>
      </w:pPr>
      <w:r>
        <w:rPr>
          <w:rFonts w:hint="eastAsia" w:ascii="宋体" w:hAnsi="宋体"/>
          <w:bCs/>
          <w:sz w:val="24"/>
        </w:rPr>
        <w:t>评标方法：综合评分法（新价格分算法）</w:t>
      </w:r>
    </w:p>
    <w:tbl>
      <w:tblPr>
        <w:tblStyle w:val="16"/>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276" w:lineRule="auto"/>
              <w:jc w:val="center"/>
              <w:rPr>
                <w:rFonts w:hint="eastAsia" w:ascii="宋体" w:hAnsi="宋体" w:cs="仿宋"/>
                <w:b/>
                <w:sz w:val="24"/>
                <w:lang w:val="zh-CN"/>
              </w:rPr>
            </w:pPr>
            <w:r>
              <w:rPr>
                <w:rFonts w:hint="eastAsia" w:ascii="宋体" w:hAnsi="宋体" w:cs="仿宋"/>
                <w:b/>
                <w:sz w:val="24"/>
                <w:lang w:val="zh-CN"/>
              </w:rPr>
              <w:t>评分项及评分规则</w:t>
            </w:r>
          </w:p>
        </w:tc>
        <w:tc>
          <w:tcPr>
            <w:tcW w:w="1187" w:type="dxa"/>
            <w:vAlign w:val="center"/>
          </w:tcPr>
          <w:p>
            <w:pPr>
              <w:autoSpaceDE w:val="0"/>
              <w:autoSpaceDN w:val="0"/>
              <w:adjustRightInd w:val="0"/>
              <w:spacing w:line="276" w:lineRule="auto"/>
              <w:jc w:val="center"/>
              <w:rPr>
                <w:rFonts w:hint="eastAsia" w:ascii="宋体" w:hAnsi="宋体" w:cs="仿宋"/>
                <w:b/>
                <w:sz w:val="24"/>
                <w:lang w:val="zh-CN"/>
              </w:rPr>
            </w:pPr>
            <w:r>
              <w:rPr>
                <w:rFonts w:hint="eastAsia" w:ascii="宋体" w:hAnsi="宋体" w:cs="仿宋"/>
                <w:b/>
                <w:sz w:val="24"/>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276" w:lineRule="auto"/>
              <w:jc w:val="center"/>
              <w:rPr>
                <w:rFonts w:hint="eastAsia" w:ascii="宋体" w:hAnsi="宋体" w:cs="仿宋"/>
                <w:b/>
                <w:sz w:val="24"/>
                <w:lang w:val="zh-CN"/>
              </w:rPr>
            </w:pPr>
            <w:r>
              <w:rPr>
                <w:rFonts w:hint="eastAsia" w:ascii="宋体" w:hAnsi="宋体" w:cs="仿宋"/>
                <w:b/>
                <w:sz w:val="24"/>
                <w:lang w:val="zh-CN"/>
              </w:rPr>
              <w:t>一、价格部分</w:t>
            </w:r>
          </w:p>
        </w:tc>
        <w:tc>
          <w:tcPr>
            <w:tcW w:w="1187" w:type="dxa"/>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276" w:lineRule="auto"/>
              <w:ind w:left="420" w:hanging="420"/>
              <w:jc w:val="left"/>
              <w:rPr>
                <w:rFonts w:hint="eastAsia" w:ascii="宋体" w:hAnsi="宋体" w:cs="仿宋"/>
                <w:b/>
                <w:bCs/>
                <w:kern w:val="0"/>
                <w:sz w:val="24"/>
              </w:rPr>
            </w:pPr>
            <w:r>
              <w:rPr>
                <w:rFonts w:hint="eastAsia" w:ascii="宋体" w:hAnsi="宋体" w:cs="仿宋"/>
                <w:sz w:val="24"/>
              </w:rPr>
              <w:t>价格分采用低价优先法计算，计算公式如下：</w:t>
            </w:r>
          </w:p>
          <w:p>
            <w:pPr>
              <w:widowControl/>
              <w:spacing w:line="276" w:lineRule="auto"/>
              <w:jc w:val="left"/>
              <w:rPr>
                <w:rFonts w:hint="eastAsia" w:ascii="宋体" w:hAnsi="宋体" w:cs="仿宋"/>
                <w:sz w:val="24"/>
              </w:rPr>
            </w:pPr>
            <w:r>
              <w:rPr>
                <w:rFonts w:hint="eastAsia" w:ascii="宋体" w:hAnsi="宋体" w:cs="仿宋"/>
                <w:sz w:val="24"/>
              </w:rPr>
              <w:t>投标报价得分 = Z/Sn ×10</w:t>
            </w:r>
          </w:p>
          <w:p>
            <w:pPr>
              <w:widowControl/>
              <w:spacing w:line="276" w:lineRule="auto"/>
              <w:jc w:val="left"/>
              <w:rPr>
                <w:rFonts w:hint="eastAsia" w:ascii="宋体" w:hAnsi="宋体" w:cs="仿宋"/>
                <w:sz w:val="24"/>
              </w:rPr>
            </w:pPr>
            <w:r>
              <w:rPr>
                <w:rFonts w:hint="eastAsia" w:ascii="宋体" w:hAnsi="宋体" w:cs="仿宋"/>
                <w:sz w:val="24"/>
              </w:rPr>
              <w:t xml:space="preserve">当价格分＜0时，取0。 </w:t>
            </w:r>
          </w:p>
          <w:p>
            <w:pPr>
              <w:widowControl/>
              <w:spacing w:line="276" w:lineRule="auto"/>
              <w:jc w:val="left"/>
              <w:rPr>
                <w:rFonts w:hint="eastAsia" w:ascii="宋体" w:hAnsi="宋体" w:cs="仿宋"/>
                <w:sz w:val="24"/>
              </w:rPr>
            </w:pPr>
            <w:r>
              <w:rPr>
                <w:rFonts w:hint="eastAsia" w:ascii="宋体" w:hAnsi="宋体" w:cs="仿宋"/>
                <w:sz w:val="24"/>
              </w:rPr>
              <w:t>其中：</w:t>
            </w:r>
          </w:p>
          <w:p>
            <w:pPr>
              <w:widowControl/>
              <w:spacing w:line="276" w:lineRule="auto"/>
              <w:jc w:val="left"/>
              <w:rPr>
                <w:rFonts w:hint="eastAsia" w:ascii="宋体" w:hAnsi="宋体" w:cs="仿宋"/>
                <w:sz w:val="24"/>
              </w:rPr>
            </w:pPr>
            <w:r>
              <w:rPr>
                <w:rFonts w:hint="eastAsia" w:ascii="宋体" w:hAnsi="宋体" w:cs="仿宋"/>
                <w:sz w:val="24"/>
              </w:rPr>
              <w:t xml:space="preserve">Z </w:t>
            </w:r>
            <w:r>
              <w:rPr>
                <w:rFonts w:hint="eastAsia" w:ascii="宋体" w:hAnsi="宋体" w:cs="仿宋"/>
                <w:kern w:val="0"/>
                <w:sz w:val="24"/>
              </w:rPr>
              <w:t>----</w:t>
            </w:r>
            <w:r>
              <w:rPr>
                <w:rFonts w:hint="eastAsia" w:ascii="宋体" w:hAnsi="宋体" w:cs="仿宋"/>
                <w:sz w:val="24"/>
              </w:rPr>
              <w:t>评标基准价，即通过资格性审查和符合性审查且投标价格最低的投标报价。</w:t>
            </w:r>
          </w:p>
          <w:p>
            <w:pPr>
              <w:autoSpaceDE w:val="0"/>
              <w:autoSpaceDN w:val="0"/>
              <w:adjustRightInd w:val="0"/>
              <w:spacing w:line="276" w:lineRule="auto"/>
              <w:jc w:val="left"/>
              <w:rPr>
                <w:rFonts w:hint="eastAsia" w:ascii="宋体" w:hAnsi="宋体" w:cs="仿宋"/>
                <w:sz w:val="24"/>
              </w:rPr>
            </w:pPr>
            <w:r>
              <w:rPr>
                <w:rFonts w:hint="eastAsia" w:ascii="宋体" w:hAnsi="宋体" w:cs="仿宋"/>
                <w:sz w:val="24"/>
              </w:rPr>
              <w:t>Sn ---投标报价，即通过资格性审查和符合性审查的投标报价。</w:t>
            </w:r>
          </w:p>
          <w:p>
            <w:pPr>
              <w:autoSpaceDE w:val="0"/>
              <w:autoSpaceDN w:val="0"/>
              <w:adjustRightInd w:val="0"/>
              <w:spacing w:line="276" w:lineRule="auto"/>
              <w:jc w:val="left"/>
              <w:rPr>
                <w:rFonts w:hint="eastAsia" w:ascii="宋体" w:hAnsi="宋体"/>
                <w:b/>
                <w:bCs/>
                <w:snapToGrid w:val="0"/>
                <w:kern w:val="0"/>
                <w:sz w:val="24"/>
              </w:rPr>
            </w:pPr>
            <w:r>
              <w:rPr>
                <w:rFonts w:hint="eastAsia" w:ascii="宋体" w:hAnsi="宋体"/>
                <w:b/>
                <w:snapToGrid w:val="0"/>
                <w:kern w:val="0"/>
                <w:sz w:val="24"/>
              </w:rPr>
              <w:t>注：对于符合 “政府采购优惠政策</w:t>
            </w:r>
            <w:r>
              <w:rPr>
                <w:rFonts w:hint="eastAsia" w:ascii="宋体" w:hAnsi="宋体"/>
                <w:b/>
                <w:bCs/>
                <w:snapToGrid w:val="0"/>
                <w:kern w:val="0"/>
                <w:sz w:val="24"/>
              </w:rPr>
              <w:t>”的小微企业、监狱企业和残疾人福利性单位，以调整后的价格计算评标基准价和投标报价。</w:t>
            </w:r>
          </w:p>
        </w:tc>
        <w:tc>
          <w:tcPr>
            <w:tcW w:w="1187"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二、技术部分</w:t>
            </w:r>
          </w:p>
        </w:tc>
        <w:tc>
          <w:tcPr>
            <w:tcW w:w="1187" w:type="dxa"/>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序号</w:t>
            </w:r>
          </w:p>
        </w:tc>
        <w:tc>
          <w:tcPr>
            <w:tcW w:w="1143"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内容</w:t>
            </w:r>
          </w:p>
        </w:tc>
        <w:tc>
          <w:tcPr>
            <w:tcW w:w="709"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权重</w:t>
            </w:r>
          </w:p>
        </w:tc>
        <w:tc>
          <w:tcPr>
            <w:tcW w:w="5953"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评分规则</w:t>
            </w:r>
          </w:p>
        </w:tc>
        <w:tc>
          <w:tcPr>
            <w:tcW w:w="1187"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0"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1</w:t>
            </w:r>
          </w:p>
        </w:tc>
        <w:tc>
          <w:tcPr>
            <w:tcW w:w="1143" w:type="dxa"/>
            <w:vAlign w:val="center"/>
          </w:tcPr>
          <w:p>
            <w:pPr>
              <w:widowControl/>
              <w:spacing w:line="276" w:lineRule="auto"/>
              <w:jc w:val="center"/>
              <w:rPr>
                <w:rFonts w:hint="eastAsia" w:ascii="宋体" w:hAnsi="宋体"/>
                <w:kern w:val="0"/>
                <w:sz w:val="24"/>
              </w:rPr>
            </w:pPr>
            <w:r>
              <w:rPr>
                <w:rFonts w:hint="eastAsia" w:ascii="宋体" w:hAnsi="宋体" w:cs="宋体"/>
                <w:sz w:val="24"/>
              </w:rPr>
              <w:t>服务方案</w:t>
            </w:r>
          </w:p>
        </w:tc>
        <w:tc>
          <w:tcPr>
            <w:tcW w:w="709" w:type="dxa"/>
            <w:vAlign w:val="center"/>
          </w:tcPr>
          <w:p>
            <w:pPr>
              <w:widowControl/>
              <w:spacing w:line="276" w:lineRule="auto"/>
              <w:jc w:val="center"/>
              <w:rPr>
                <w:rFonts w:hint="eastAsia" w:ascii="宋体" w:hAnsi="宋体"/>
                <w:kern w:val="0"/>
                <w:sz w:val="24"/>
              </w:rPr>
            </w:pPr>
            <w:r>
              <w:rPr>
                <w:rFonts w:ascii="宋体" w:hAnsi="宋体" w:cs="宋体"/>
                <w:kern w:val="0"/>
                <w:sz w:val="24"/>
              </w:rPr>
              <w:t>15</w:t>
            </w:r>
          </w:p>
        </w:tc>
        <w:tc>
          <w:tcPr>
            <w:tcW w:w="5953" w:type="dxa"/>
            <w:vAlign w:val="center"/>
          </w:tcPr>
          <w:p>
            <w:pPr>
              <w:spacing w:line="400" w:lineRule="exact"/>
              <w:rPr>
                <w:rFonts w:ascii="Times New Roman" w:hAnsi="Times New Roman"/>
                <w:szCs w:val="21"/>
              </w:rPr>
            </w:pPr>
            <w:r>
              <w:rPr>
                <w:rFonts w:ascii="Times New Roman" w:hAnsi="Times New Roman"/>
                <w:szCs w:val="21"/>
              </w:rPr>
              <w:t>（一）评审内容：项目服务方案应包括但不限于以下方面：项目服务计划、项目管理、操作流程及规范、数据整理扫描、资料移交等内容。</w:t>
            </w:r>
          </w:p>
          <w:p>
            <w:pPr>
              <w:spacing w:line="400" w:lineRule="exact"/>
              <w:rPr>
                <w:rFonts w:ascii="Times New Roman" w:hAnsi="Times New Roman"/>
                <w:szCs w:val="21"/>
              </w:rPr>
            </w:pPr>
            <w:r>
              <w:rPr>
                <w:rFonts w:ascii="Times New Roman" w:hAnsi="Times New Roman"/>
                <w:szCs w:val="21"/>
              </w:rPr>
              <w:t>（二）评分依据：根据招标文件的需求和投标文件响应情况进行分档评分：</w:t>
            </w:r>
          </w:p>
          <w:p>
            <w:pPr>
              <w:spacing w:line="400" w:lineRule="exact"/>
              <w:rPr>
                <w:rFonts w:ascii="Times New Roman" w:hAnsi="Times New Roman"/>
                <w:szCs w:val="21"/>
              </w:rPr>
            </w:pPr>
            <w:r>
              <w:rPr>
                <w:rFonts w:ascii="Times New Roman" w:hAnsi="Times New Roman"/>
                <w:szCs w:val="21"/>
              </w:rPr>
              <w:t>（1）服务方案内容全面；</w:t>
            </w:r>
          </w:p>
          <w:p>
            <w:pPr>
              <w:spacing w:line="400" w:lineRule="exact"/>
              <w:rPr>
                <w:rFonts w:ascii="Times New Roman" w:hAnsi="Times New Roman"/>
                <w:szCs w:val="21"/>
              </w:rPr>
            </w:pPr>
            <w:r>
              <w:rPr>
                <w:rFonts w:ascii="Times New Roman" w:hAnsi="Times New Roman"/>
                <w:szCs w:val="21"/>
              </w:rPr>
              <w:t>（2）服务方案内容具体；</w:t>
            </w:r>
          </w:p>
          <w:p>
            <w:pPr>
              <w:spacing w:line="400" w:lineRule="exact"/>
              <w:rPr>
                <w:rFonts w:ascii="Times New Roman" w:hAnsi="Times New Roman"/>
                <w:szCs w:val="21"/>
              </w:rPr>
            </w:pPr>
            <w:r>
              <w:rPr>
                <w:rFonts w:ascii="Times New Roman" w:hAnsi="Times New Roman"/>
                <w:szCs w:val="21"/>
              </w:rPr>
              <w:t>（3）服务方案内容科学合理；</w:t>
            </w:r>
          </w:p>
          <w:p>
            <w:pPr>
              <w:spacing w:line="400" w:lineRule="exact"/>
              <w:rPr>
                <w:rFonts w:ascii="Times New Roman" w:hAnsi="Times New Roman"/>
                <w:szCs w:val="21"/>
              </w:rPr>
            </w:pPr>
            <w:r>
              <w:rPr>
                <w:rFonts w:ascii="Times New Roman" w:hAnsi="Times New Roman"/>
                <w:szCs w:val="21"/>
              </w:rPr>
              <w:t>（4）服务方案内容针对性强；</w:t>
            </w:r>
          </w:p>
          <w:p>
            <w:pPr>
              <w:spacing w:line="400" w:lineRule="exact"/>
              <w:rPr>
                <w:rFonts w:ascii="Times New Roman" w:hAnsi="Times New Roman"/>
                <w:szCs w:val="21"/>
              </w:rPr>
            </w:pPr>
            <w:r>
              <w:rPr>
                <w:rFonts w:ascii="Times New Roman" w:hAnsi="Times New Roman"/>
                <w:szCs w:val="21"/>
              </w:rPr>
              <w:t>（5）服务方案内容可操作性强。</w:t>
            </w:r>
          </w:p>
          <w:p>
            <w:pPr>
              <w:spacing w:line="400" w:lineRule="exact"/>
              <w:rPr>
                <w:rFonts w:ascii="Times New Roman" w:hAnsi="Times New Roman"/>
                <w:szCs w:val="21"/>
              </w:rPr>
            </w:pPr>
            <w:r>
              <w:rPr>
                <w:rFonts w:ascii="Times New Roman" w:hAnsi="Times New Roman"/>
                <w:szCs w:val="21"/>
              </w:rPr>
              <w:t xml:space="preserve">优评分标准：以上五项要求，全部满足要求的，评价为优，得15分； </w:t>
            </w:r>
          </w:p>
          <w:p>
            <w:pPr>
              <w:spacing w:line="400" w:lineRule="exact"/>
              <w:rPr>
                <w:rFonts w:ascii="Times New Roman" w:hAnsi="Times New Roman"/>
                <w:szCs w:val="21"/>
              </w:rPr>
            </w:pPr>
            <w:r>
              <w:rPr>
                <w:rFonts w:ascii="Times New Roman" w:hAnsi="Times New Roman"/>
                <w:szCs w:val="21"/>
              </w:rPr>
              <w:t xml:space="preserve">良评分标准：以上五项要求，满足其中四项要求的，评价为良，得10分； </w:t>
            </w:r>
          </w:p>
          <w:p>
            <w:pPr>
              <w:spacing w:line="400" w:lineRule="exact"/>
              <w:rPr>
                <w:rFonts w:ascii="Times New Roman" w:hAnsi="Times New Roman"/>
                <w:szCs w:val="21"/>
              </w:rPr>
            </w:pPr>
            <w:r>
              <w:rPr>
                <w:rFonts w:ascii="Times New Roman" w:hAnsi="Times New Roman"/>
                <w:szCs w:val="21"/>
              </w:rPr>
              <w:t xml:space="preserve">中评分标准：以上五项要求，满足其中三项要求的，评价为中，得 5分； </w:t>
            </w:r>
          </w:p>
          <w:p>
            <w:pPr>
              <w:autoSpaceDE w:val="0"/>
              <w:autoSpaceDN w:val="0"/>
              <w:adjustRightInd w:val="0"/>
              <w:spacing w:line="276" w:lineRule="auto"/>
              <w:rPr>
                <w:rFonts w:hint="eastAsia" w:ascii="宋体" w:hAnsi="宋体"/>
                <w:kern w:val="0"/>
                <w:sz w:val="24"/>
              </w:rPr>
            </w:pPr>
            <w:r>
              <w:rPr>
                <w:rFonts w:ascii="Times New Roman" w:hAnsi="Times New Roman"/>
                <w:szCs w:val="21"/>
              </w:rPr>
              <w:t>差评分标准：上述情况之外的，评差，得 0分。</w:t>
            </w:r>
          </w:p>
        </w:tc>
        <w:tc>
          <w:tcPr>
            <w:tcW w:w="1187"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 w:val="24"/>
              </w:rPr>
              <w:t>2</w:t>
            </w:r>
          </w:p>
        </w:tc>
        <w:tc>
          <w:tcPr>
            <w:tcW w:w="1143" w:type="dxa"/>
            <w:vAlign w:val="center"/>
          </w:tcPr>
          <w:p>
            <w:pPr>
              <w:widowControl/>
              <w:spacing w:line="276" w:lineRule="auto"/>
              <w:jc w:val="center"/>
              <w:rPr>
                <w:rFonts w:hint="eastAsia" w:ascii="宋体" w:hAnsi="宋体"/>
                <w:kern w:val="0"/>
                <w:sz w:val="24"/>
              </w:rPr>
            </w:pPr>
            <w:r>
              <w:rPr>
                <w:rFonts w:hint="eastAsia" w:ascii="宋体" w:hAnsi="宋体"/>
                <w:sz w:val="24"/>
              </w:rPr>
              <w:t>项目重点难点分析、应对措施及相关的合理化建议</w:t>
            </w:r>
          </w:p>
        </w:tc>
        <w:tc>
          <w:tcPr>
            <w:tcW w:w="709" w:type="dxa"/>
            <w:vAlign w:val="center"/>
          </w:tcPr>
          <w:p>
            <w:pPr>
              <w:widowControl/>
              <w:spacing w:line="276" w:lineRule="auto"/>
              <w:jc w:val="center"/>
              <w:rPr>
                <w:rFonts w:hint="eastAsia" w:ascii="宋体" w:hAnsi="宋体"/>
                <w:kern w:val="0"/>
                <w:sz w:val="24"/>
              </w:rPr>
            </w:pPr>
            <w:r>
              <w:rPr>
                <w:rFonts w:ascii="宋体" w:hAnsi="宋体"/>
                <w:sz w:val="24"/>
              </w:rPr>
              <w:t>1</w:t>
            </w:r>
            <w:r>
              <w:rPr>
                <w:rFonts w:hint="eastAsia" w:ascii="宋体" w:hAnsi="宋体"/>
                <w:sz w:val="24"/>
              </w:rPr>
              <w:t>5</w:t>
            </w:r>
          </w:p>
        </w:tc>
        <w:tc>
          <w:tcPr>
            <w:tcW w:w="5953" w:type="dxa"/>
            <w:vAlign w:val="center"/>
          </w:tcPr>
          <w:p>
            <w:pPr>
              <w:spacing w:line="400" w:lineRule="exact"/>
              <w:rPr>
                <w:rFonts w:ascii="Times New Roman" w:hAnsi="Times New Roman"/>
                <w:szCs w:val="21"/>
              </w:rPr>
            </w:pPr>
            <w:r>
              <w:rPr>
                <w:rFonts w:ascii="Times New Roman" w:hAnsi="Times New Roman"/>
                <w:szCs w:val="21"/>
              </w:rPr>
              <w:t>（一）评审内容：投标人针对本项目的理解，分析项目在实施过程中的重点、难点及其应对措施及相关合理化建议等。</w:t>
            </w:r>
          </w:p>
          <w:p>
            <w:pPr>
              <w:spacing w:line="400" w:lineRule="exact"/>
              <w:rPr>
                <w:rFonts w:ascii="Times New Roman" w:hAnsi="Times New Roman"/>
                <w:i/>
                <w:szCs w:val="21"/>
                <w:u w:val="single"/>
              </w:rPr>
            </w:pPr>
            <w:r>
              <w:rPr>
                <w:rFonts w:ascii="Times New Roman" w:hAnsi="Times New Roman"/>
                <w:szCs w:val="21"/>
              </w:rPr>
              <w:t>（二）评分依据：根据招标文件的需求和投标文件响应情况进行分档评分：</w:t>
            </w:r>
          </w:p>
          <w:p>
            <w:pPr>
              <w:spacing w:line="400" w:lineRule="exact"/>
              <w:rPr>
                <w:rFonts w:ascii="Times New Roman" w:hAnsi="Times New Roman"/>
                <w:szCs w:val="21"/>
              </w:rPr>
            </w:pPr>
            <w:r>
              <w:rPr>
                <w:rFonts w:ascii="Times New Roman" w:hAnsi="Times New Roman"/>
                <w:szCs w:val="21"/>
              </w:rPr>
              <w:t xml:space="preserve">（1）相关重难点分析、应对措施及相关合理化建议内容全面； </w:t>
            </w:r>
          </w:p>
          <w:p>
            <w:pPr>
              <w:spacing w:line="400" w:lineRule="exact"/>
              <w:rPr>
                <w:rFonts w:ascii="Times New Roman" w:hAnsi="Times New Roman"/>
                <w:szCs w:val="21"/>
              </w:rPr>
            </w:pPr>
            <w:r>
              <w:rPr>
                <w:rFonts w:ascii="Times New Roman" w:hAnsi="Times New Roman"/>
                <w:szCs w:val="21"/>
              </w:rPr>
              <w:t xml:space="preserve">（2）相关重难点分析、应对措施及相关合理化建议内容具体； </w:t>
            </w:r>
          </w:p>
          <w:p>
            <w:pPr>
              <w:spacing w:line="400" w:lineRule="exact"/>
              <w:rPr>
                <w:rFonts w:ascii="Times New Roman" w:hAnsi="Times New Roman"/>
                <w:szCs w:val="21"/>
              </w:rPr>
            </w:pPr>
            <w:r>
              <w:rPr>
                <w:rFonts w:ascii="Times New Roman" w:hAnsi="Times New Roman"/>
                <w:szCs w:val="21"/>
              </w:rPr>
              <w:t xml:space="preserve">（3）相关重难点分析、应对措施及相关合理化建议内容科学合理； </w:t>
            </w:r>
          </w:p>
          <w:p>
            <w:pPr>
              <w:spacing w:line="400" w:lineRule="exact"/>
              <w:rPr>
                <w:rFonts w:ascii="Times New Roman" w:hAnsi="Times New Roman"/>
                <w:szCs w:val="21"/>
              </w:rPr>
            </w:pPr>
            <w:r>
              <w:rPr>
                <w:rFonts w:ascii="Times New Roman" w:hAnsi="Times New Roman"/>
                <w:szCs w:val="21"/>
              </w:rPr>
              <w:t xml:space="preserve">（4）相关重难点分析、应对措施及相关合理化建议内容针对性强； </w:t>
            </w:r>
          </w:p>
          <w:p>
            <w:pPr>
              <w:spacing w:line="400" w:lineRule="exact"/>
              <w:rPr>
                <w:rFonts w:ascii="Times New Roman" w:hAnsi="Times New Roman"/>
                <w:szCs w:val="21"/>
              </w:rPr>
            </w:pPr>
            <w:r>
              <w:rPr>
                <w:rFonts w:ascii="Times New Roman" w:hAnsi="Times New Roman"/>
                <w:szCs w:val="21"/>
              </w:rPr>
              <w:t>（5）相关重难点分析、应对措施及相关合理化建议内容可操作性强。</w:t>
            </w:r>
          </w:p>
          <w:p>
            <w:pPr>
              <w:spacing w:line="400" w:lineRule="exact"/>
              <w:rPr>
                <w:rFonts w:ascii="Times New Roman" w:hAnsi="Times New Roman"/>
                <w:szCs w:val="21"/>
              </w:rPr>
            </w:pPr>
            <w:r>
              <w:rPr>
                <w:rFonts w:ascii="Times New Roman" w:hAnsi="Times New Roman"/>
                <w:szCs w:val="21"/>
              </w:rPr>
              <w:t>优评分标准：以上五项要求，全部满足要求的，评价为优，得15分；</w:t>
            </w:r>
          </w:p>
          <w:p>
            <w:pPr>
              <w:spacing w:line="400" w:lineRule="exact"/>
              <w:rPr>
                <w:rFonts w:ascii="Times New Roman" w:hAnsi="Times New Roman"/>
                <w:szCs w:val="21"/>
              </w:rPr>
            </w:pPr>
            <w:r>
              <w:rPr>
                <w:rFonts w:ascii="Times New Roman" w:hAnsi="Times New Roman"/>
                <w:szCs w:val="21"/>
              </w:rPr>
              <w:t>良评分标准：以上五项要求，满足其中四项要求的，评价为良，得10分；</w:t>
            </w:r>
          </w:p>
          <w:p>
            <w:pPr>
              <w:spacing w:line="400" w:lineRule="exact"/>
              <w:rPr>
                <w:rFonts w:ascii="Times New Roman" w:hAnsi="Times New Roman"/>
                <w:szCs w:val="21"/>
              </w:rPr>
            </w:pPr>
            <w:r>
              <w:rPr>
                <w:rFonts w:ascii="Times New Roman" w:hAnsi="Times New Roman"/>
                <w:szCs w:val="21"/>
              </w:rPr>
              <w:t>中评分标准：以上五项要求，满足其中三项要求的评价为中，得5分；</w:t>
            </w:r>
          </w:p>
          <w:p>
            <w:pPr>
              <w:autoSpaceDE w:val="0"/>
              <w:autoSpaceDN w:val="0"/>
              <w:adjustRightInd w:val="0"/>
              <w:spacing w:line="276" w:lineRule="auto"/>
              <w:rPr>
                <w:rFonts w:hint="eastAsia" w:ascii="宋体" w:hAnsi="宋体" w:cs="宋体"/>
                <w:sz w:val="24"/>
              </w:rPr>
            </w:pPr>
            <w:r>
              <w:rPr>
                <w:rFonts w:ascii="Times New Roman" w:hAnsi="Times New Roman"/>
                <w:szCs w:val="21"/>
              </w:rPr>
              <w:t>差评分标准：上述情况之外的，评差，得 0分。</w:t>
            </w:r>
          </w:p>
        </w:tc>
        <w:tc>
          <w:tcPr>
            <w:tcW w:w="1187" w:type="dxa"/>
            <w:vAlign w:val="center"/>
          </w:tcPr>
          <w:p>
            <w:pPr>
              <w:spacing w:line="276" w:lineRule="auto"/>
              <w:jc w:val="center"/>
              <w:rPr>
                <w:rFonts w:hint="eastAsia"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3</w:t>
            </w:r>
          </w:p>
        </w:tc>
        <w:tc>
          <w:tcPr>
            <w:tcW w:w="1143" w:type="dxa"/>
            <w:vAlign w:val="center"/>
          </w:tcPr>
          <w:p>
            <w:pPr>
              <w:widowControl/>
              <w:spacing w:line="276" w:lineRule="auto"/>
              <w:jc w:val="center"/>
              <w:rPr>
                <w:rFonts w:hint="eastAsia" w:ascii="宋体" w:hAnsi="宋体"/>
                <w:kern w:val="0"/>
                <w:sz w:val="24"/>
              </w:rPr>
            </w:pPr>
            <w:r>
              <w:rPr>
                <w:rFonts w:hint="eastAsia" w:ascii="宋体" w:hAnsi="宋体"/>
                <w:sz w:val="24"/>
              </w:rPr>
              <w:t>质量保障措施</w:t>
            </w:r>
          </w:p>
        </w:tc>
        <w:tc>
          <w:tcPr>
            <w:tcW w:w="709" w:type="dxa"/>
            <w:vAlign w:val="center"/>
          </w:tcPr>
          <w:p>
            <w:pPr>
              <w:widowControl/>
              <w:spacing w:line="276" w:lineRule="auto"/>
              <w:jc w:val="center"/>
              <w:rPr>
                <w:rFonts w:hint="eastAsia" w:ascii="宋体" w:hAnsi="宋体"/>
                <w:kern w:val="0"/>
                <w:sz w:val="24"/>
              </w:rPr>
            </w:pPr>
            <w:r>
              <w:rPr>
                <w:rFonts w:hint="eastAsia" w:ascii="宋体" w:hAnsi="宋体"/>
                <w:kern w:val="0"/>
                <w:sz w:val="24"/>
              </w:rPr>
              <w:t>5</w:t>
            </w:r>
          </w:p>
        </w:tc>
        <w:tc>
          <w:tcPr>
            <w:tcW w:w="5953" w:type="dxa"/>
            <w:vAlign w:val="center"/>
          </w:tcPr>
          <w:p>
            <w:pPr>
              <w:spacing w:line="400" w:lineRule="exact"/>
              <w:rPr>
                <w:rFonts w:ascii="Times New Roman" w:hAnsi="Times New Roman"/>
                <w:szCs w:val="21"/>
              </w:rPr>
            </w:pPr>
            <w:r>
              <w:rPr>
                <w:rFonts w:ascii="Times New Roman" w:hAnsi="Times New Roman"/>
                <w:szCs w:val="21"/>
              </w:rPr>
              <w:t>(一）评分内容：项目完成时间安排科学、合理，符合招标文件要求，质量保障措施及方案合理，切实可行。</w:t>
            </w:r>
          </w:p>
          <w:p>
            <w:pPr>
              <w:spacing w:line="400" w:lineRule="exact"/>
              <w:rPr>
                <w:rFonts w:ascii="Times New Roman" w:hAnsi="Times New Roman"/>
                <w:szCs w:val="21"/>
              </w:rPr>
            </w:pPr>
            <w:r>
              <w:rPr>
                <w:rFonts w:ascii="Times New Roman" w:hAnsi="Times New Roman"/>
                <w:szCs w:val="21"/>
              </w:rPr>
              <w:t>(二）评分依据：</w:t>
            </w:r>
          </w:p>
          <w:p>
            <w:pPr>
              <w:spacing w:line="400" w:lineRule="exact"/>
              <w:rPr>
                <w:rFonts w:ascii="Times New Roman" w:hAnsi="Times New Roman"/>
                <w:szCs w:val="21"/>
              </w:rPr>
            </w:pPr>
            <w:r>
              <w:rPr>
                <w:rFonts w:ascii="Times New Roman" w:hAnsi="Times New Roman"/>
                <w:szCs w:val="21"/>
              </w:rPr>
              <w:t>根据招标文件的需求和投标文件响应情况进行分档评分：</w:t>
            </w:r>
          </w:p>
          <w:p>
            <w:pPr>
              <w:spacing w:line="400" w:lineRule="exact"/>
              <w:rPr>
                <w:rFonts w:ascii="Times New Roman" w:hAnsi="Times New Roman"/>
                <w:szCs w:val="21"/>
              </w:rPr>
            </w:pPr>
            <w:r>
              <w:rPr>
                <w:rFonts w:ascii="Times New Roman" w:hAnsi="Times New Roman"/>
                <w:szCs w:val="21"/>
              </w:rPr>
              <w:t xml:space="preserve">（1）质量保障措施及方案内容全面； </w:t>
            </w:r>
          </w:p>
          <w:p>
            <w:pPr>
              <w:spacing w:line="400" w:lineRule="exact"/>
              <w:rPr>
                <w:rFonts w:ascii="Times New Roman" w:hAnsi="Times New Roman"/>
                <w:szCs w:val="21"/>
              </w:rPr>
            </w:pPr>
            <w:r>
              <w:rPr>
                <w:rFonts w:ascii="Times New Roman" w:hAnsi="Times New Roman"/>
                <w:szCs w:val="21"/>
              </w:rPr>
              <w:t xml:space="preserve">（2）质量保障措施及方案内容具体； </w:t>
            </w:r>
          </w:p>
          <w:p>
            <w:pPr>
              <w:spacing w:line="400" w:lineRule="exact"/>
              <w:rPr>
                <w:rFonts w:ascii="Times New Roman" w:hAnsi="Times New Roman"/>
                <w:szCs w:val="21"/>
              </w:rPr>
            </w:pPr>
            <w:r>
              <w:rPr>
                <w:rFonts w:ascii="Times New Roman" w:hAnsi="Times New Roman"/>
                <w:szCs w:val="21"/>
              </w:rPr>
              <w:t xml:space="preserve">（3）质量保障措施及方案内容科学合理； </w:t>
            </w:r>
          </w:p>
          <w:p>
            <w:pPr>
              <w:spacing w:line="400" w:lineRule="exact"/>
              <w:rPr>
                <w:rFonts w:ascii="Times New Roman" w:hAnsi="Times New Roman"/>
                <w:szCs w:val="21"/>
              </w:rPr>
            </w:pPr>
            <w:r>
              <w:rPr>
                <w:rFonts w:ascii="Times New Roman" w:hAnsi="Times New Roman"/>
                <w:szCs w:val="21"/>
              </w:rPr>
              <w:t xml:space="preserve">（4）质量保障措施及方案内容针对性强； </w:t>
            </w:r>
          </w:p>
          <w:p>
            <w:pPr>
              <w:spacing w:line="400" w:lineRule="exact"/>
              <w:rPr>
                <w:rFonts w:ascii="Times New Roman" w:hAnsi="Times New Roman"/>
                <w:szCs w:val="21"/>
              </w:rPr>
            </w:pPr>
            <w:r>
              <w:rPr>
                <w:rFonts w:ascii="Times New Roman" w:hAnsi="Times New Roman"/>
                <w:szCs w:val="21"/>
              </w:rPr>
              <w:t xml:space="preserve">（5）质量保障措施及方案内容可操作性强。 </w:t>
            </w:r>
          </w:p>
          <w:p>
            <w:pPr>
              <w:spacing w:line="400" w:lineRule="exact"/>
              <w:rPr>
                <w:rFonts w:ascii="Times New Roman" w:hAnsi="Times New Roman"/>
                <w:szCs w:val="21"/>
              </w:rPr>
            </w:pPr>
            <w:r>
              <w:rPr>
                <w:rFonts w:ascii="Times New Roman" w:hAnsi="Times New Roman"/>
                <w:szCs w:val="21"/>
              </w:rPr>
              <w:t>优评分标准：以上五项要求，全部满足要求的，评价为优，得5分；</w:t>
            </w:r>
          </w:p>
          <w:p>
            <w:pPr>
              <w:spacing w:line="400" w:lineRule="exact"/>
              <w:rPr>
                <w:rFonts w:ascii="Times New Roman" w:hAnsi="Times New Roman"/>
                <w:szCs w:val="21"/>
              </w:rPr>
            </w:pPr>
            <w:r>
              <w:rPr>
                <w:rFonts w:ascii="Times New Roman" w:hAnsi="Times New Roman"/>
                <w:szCs w:val="21"/>
              </w:rPr>
              <w:t>良评分标准：以上五项要求，满足其中四项要求的，评价为良，得3分；</w:t>
            </w:r>
          </w:p>
          <w:p>
            <w:pPr>
              <w:spacing w:line="400" w:lineRule="exact"/>
              <w:rPr>
                <w:rFonts w:ascii="Times New Roman" w:hAnsi="Times New Roman"/>
                <w:szCs w:val="21"/>
              </w:rPr>
            </w:pPr>
            <w:r>
              <w:rPr>
                <w:rFonts w:ascii="Times New Roman" w:hAnsi="Times New Roman"/>
                <w:szCs w:val="21"/>
              </w:rPr>
              <w:t>中评分标准：以上五项要求，满足其中以上三项要求的，评价为中，得1分；</w:t>
            </w:r>
          </w:p>
          <w:p>
            <w:pPr>
              <w:widowControl/>
              <w:snapToGrid w:val="0"/>
              <w:spacing w:line="276" w:lineRule="auto"/>
              <w:jc w:val="left"/>
              <w:rPr>
                <w:rFonts w:hint="eastAsia" w:ascii="宋体" w:hAnsi="宋体"/>
                <w:kern w:val="0"/>
                <w:sz w:val="24"/>
              </w:rPr>
            </w:pPr>
            <w:r>
              <w:rPr>
                <w:rFonts w:ascii="Times New Roman" w:hAnsi="Times New Roman"/>
                <w:szCs w:val="21"/>
              </w:rPr>
              <w:t>差评分标准：上述情况之外的，评差，得 0分。</w:t>
            </w:r>
          </w:p>
        </w:tc>
        <w:tc>
          <w:tcPr>
            <w:tcW w:w="1187"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lang w:val="zh-CN"/>
              </w:rPr>
              <w:t>三、商务部分</w:t>
            </w:r>
          </w:p>
        </w:tc>
        <w:tc>
          <w:tcPr>
            <w:tcW w:w="1187" w:type="dxa"/>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序号</w:t>
            </w:r>
          </w:p>
        </w:tc>
        <w:tc>
          <w:tcPr>
            <w:tcW w:w="1143"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内容</w:t>
            </w:r>
          </w:p>
        </w:tc>
        <w:tc>
          <w:tcPr>
            <w:tcW w:w="709"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权重</w:t>
            </w:r>
          </w:p>
        </w:tc>
        <w:tc>
          <w:tcPr>
            <w:tcW w:w="5953"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评分规则</w:t>
            </w:r>
          </w:p>
        </w:tc>
        <w:tc>
          <w:tcPr>
            <w:tcW w:w="1187"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 w:val="24"/>
                <w:lang w:val="zh-CN"/>
              </w:rPr>
              <w:t>1</w:t>
            </w:r>
          </w:p>
        </w:tc>
        <w:tc>
          <w:tcPr>
            <w:tcW w:w="1143" w:type="dxa"/>
            <w:vAlign w:val="center"/>
          </w:tcPr>
          <w:p>
            <w:pPr>
              <w:spacing w:line="276" w:lineRule="auto"/>
              <w:jc w:val="center"/>
              <w:rPr>
                <w:rFonts w:hint="eastAsia" w:ascii="宋体" w:hAnsi="宋体" w:cs="宋体"/>
                <w:color w:val="000000"/>
                <w:kern w:val="0"/>
                <w:sz w:val="24"/>
              </w:rPr>
            </w:pPr>
            <w:r>
              <w:rPr>
                <w:rFonts w:hint="eastAsia" w:ascii="Times New Roman" w:hAnsi="Times New Roman"/>
              </w:rPr>
              <w:t>技术和商务要求</w:t>
            </w:r>
          </w:p>
        </w:tc>
        <w:tc>
          <w:tcPr>
            <w:tcW w:w="709" w:type="dxa"/>
            <w:vAlign w:val="center"/>
          </w:tcPr>
          <w:p>
            <w:pPr>
              <w:spacing w:line="276" w:lineRule="auto"/>
              <w:jc w:val="center"/>
              <w:rPr>
                <w:rFonts w:hint="eastAsia" w:ascii="宋体" w:hAnsi="宋体" w:cs="宋体"/>
                <w:sz w:val="24"/>
              </w:rPr>
            </w:pPr>
            <w:r>
              <w:rPr>
                <w:rFonts w:hint="eastAsia" w:ascii="Times New Roman" w:hAnsi="Times New Roman"/>
              </w:rPr>
              <w:t>30</w:t>
            </w:r>
          </w:p>
        </w:tc>
        <w:tc>
          <w:tcPr>
            <w:tcW w:w="5953" w:type="dxa"/>
            <w:vAlign w:val="center"/>
          </w:tcPr>
          <w:p>
            <w:pPr>
              <w:spacing w:line="276" w:lineRule="auto"/>
              <w:rPr>
                <w:rFonts w:hint="eastAsia" w:ascii="宋体" w:hAnsi="宋体"/>
                <w:sz w:val="24"/>
              </w:rPr>
            </w:pPr>
            <w:r>
              <w:rPr>
                <w:rFonts w:hint="eastAsia" w:ascii="Times New Roman" w:hAnsi="Times New Roman"/>
              </w:rPr>
              <w:t>以投标文件《技术和商务要求偏差表》响应招标要求情况为评价依据，完全符合招标要求的，得10分，有1项不符合招标要求（或缺漏）的扣2分，最低得0分。</w:t>
            </w:r>
          </w:p>
        </w:tc>
        <w:tc>
          <w:tcPr>
            <w:tcW w:w="1187" w:type="dxa"/>
            <w:vAlign w:val="center"/>
          </w:tcPr>
          <w:p>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3"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lang w:val="zh-CN"/>
              </w:rPr>
            </w:pPr>
            <w:r>
              <w:rPr>
                <w:rFonts w:ascii="宋体" w:hAnsi="宋体" w:cs="仿宋"/>
                <w:sz w:val="24"/>
              </w:rPr>
              <w:t>3</w:t>
            </w:r>
          </w:p>
        </w:tc>
        <w:tc>
          <w:tcPr>
            <w:tcW w:w="1143" w:type="dxa"/>
            <w:vAlign w:val="center"/>
          </w:tcPr>
          <w:p>
            <w:pPr>
              <w:adjustRightInd w:val="0"/>
              <w:snapToGrid w:val="0"/>
              <w:spacing w:line="276" w:lineRule="auto"/>
              <w:jc w:val="center"/>
              <w:rPr>
                <w:rFonts w:hint="eastAsia" w:ascii="宋体" w:hAnsi="宋体"/>
                <w:snapToGrid w:val="0"/>
                <w:kern w:val="0"/>
                <w:sz w:val="24"/>
              </w:rPr>
            </w:pPr>
            <w:r>
              <w:rPr>
                <w:rFonts w:hint="eastAsia" w:ascii="宋体" w:hAnsi="宋体" w:cs="宋体"/>
                <w:color w:val="000000"/>
                <w:kern w:val="0"/>
                <w:sz w:val="24"/>
              </w:rPr>
              <w:t>同类项目业绩情况</w:t>
            </w:r>
          </w:p>
        </w:tc>
        <w:tc>
          <w:tcPr>
            <w:tcW w:w="709" w:type="dxa"/>
            <w:vAlign w:val="center"/>
          </w:tcPr>
          <w:p>
            <w:pPr>
              <w:adjustRightInd w:val="0"/>
              <w:snapToGrid w:val="0"/>
              <w:spacing w:line="276" w:lineRule="auto"/>
              <w:jc w:val="center"/>
              <w:rPr>
                <w:rFonts w:hint="eastAsia" w:ascii="宋体" w:hAnsi="宋体"/>
                <w:snapToGrid w:val="0"/>
                <w:kern w:val="0"/>
                <w:sz w:val="24"/>
              </w:rPr>
            </w:pPr>
            <w:r>
              <w:rPr>
                <w:rFonts w:hint="eastAsia" w:ascii="宋体" w:hAnsi="宋体"/>
                <w:snapToGrid w:val="0"/>
                <w:kern w:val="0"/>
                <w:sz w:val="24"/>
              </w:rPr>
              <w:t>10</w:t>
            </w:r>
          </w:p>
        </w:tc>
        <w:tc>
          <w:tcPr>
            <w:tcW w:w="5953" w:type="dxa"/>
            <w:vAlign w:val="center"/>
          </w:tcPr>
          <w:p>
            <w:pPr>
              <w:spacing w:line="276" w:lineRule="auto"/>
              <w:rPr>
                <w:rFonts w:hint="eastAsia" w:ascii="宋体" w:hAnsi="宋体"/>
                <w:sz w:val="24"/>
              </w:rPr>
            </w:pPr>
            <w:r>
              <w:rPr>
                <w:rFonts w:hint="eastAsia" w:ascii="宋体" w:hAnsi="宋体"/>
                <w:sz w:val="24"/>
              </w:rPr>
              <w:t>（一）评分内容：</w:t>
            </w:r>
          </w:p>
          <w:p>
            <w:pPr>
              <w:spacing w:line="276" w:lineRule="auto"/>
              <w:rPr>
                <w:rFonts w:hint="eastAsia" w:ascii="宋体" w:hAnsi="宋体"/>
                <w:sz w:val="24"/>
              </w:rPr>
            </w:pPr>
            <w:r>
              <w:rPr>
                <w:rFonts w:hint="eastAsia" w:ascii="宋体" w:hAnsi="宋体"/>
                <w:sz w:val="24"/>
              </w:rPr>
              <w:t>2020年1月1日至本项目投标截止日（以合同签订日期为准），投标人具有同类项目业绩的，每提供1个项目得2.5分,最高得10分。同一项目续签合同的不可重复得分。</w:t>
            </w:r>
          </w:p>
          <w:p>
            <w:pPr>
              <w:spacing w:line="276" w:lineRule="auto"/>
              <w:rPr>
                <w:rFonts w:hint="eastAsia" w:ascii="宋体" w:hAnsi="宋体"/>
                <w:sz w:val="24"/>
              </w:rPr>
            </w:pPr>
            <w:r>
              <w:rPr>
                <w:rFonts w:hint="eastAsia" w:ascii="宋体" w:hAnsi="宋体"/>
                <w:sz w:val="24"/>
              </w:rPr>
              <w:t>（二）评分依据：</w:t>
            </w:r>
          </w:p>
          <w:p>
            <w:pPr>
              <w:spacing w:line="276" w:lineRule="auto"/>
              <w:rPr>
                <w:rFonts w:hint="eastAsia" w:ascii="宋体" w:hAnsi="宋体"/>
                <w:sz w:val="24"/>
              </w:rPr>
            </w:pPr>
            <w:r>
              <w:rPr>
                <w:rFonts w:hint="eastAsia" w:ascii="宋体" w:hAnsi="宋体"/>
                <w:sz w:val="24"/>
              </w:rPr>
              <w:t>1.提供合同关键页且提供的材料各项信息不得有任何遮挡，合同需体现签订日期；通过合同关键信息无法判断是否得分的，还须同时提供能证明得分的其它证明资料，如项目报告或合同甲方出具的证明文件等。</w:t>
            </w:r>
          </w:p>
          <w:p>
            <w:pPr>
              <w:adjustRightInd w:val="0"/>
              <w:snapToGrid w:val="0"/>
              <w:spacing w:line="276" w:lineRule="auto"/>
              <w:rPr>
                <w:rFonts w:hint="eastAsia" w:ascii="宋体" w:hAnsi="宋体"/>
                <w:b/>
                <w:bCs/>
                <w:kern w:val="0"/>
                <w:sz w:val="24"/>
              </w:rPr>
            </w:pPr>
            <w:r>
              <w:rPr>
                <w:rFonts w:hint="eastAsia" w:ascii="宋体" w:hAnsi="宋体"/>
                <w:sz w:val="24"/>
              </w:rPr>
              <w:t>2.以上证明文件均提供复印件或扫描件加盖投标人公章，原件备查。未按要求提供有效证明材料或提供不清晰导致评委无法识别的不计得分。</w:t>
            </w:r>
          </w:p>
        </w:tc>
        <w:tc>
          <w:tcPr>
            <w:tcW w:w="1187" w:type="dxa"/>
            <w:vAlign w:val="center"/>
          </w:tcPr>
          <w:p>
            <w:pPr>
              <w:spacing w:line="276" w:lineRule="auto"/>
              <w:jc w:val="center"/>
              <w:rPr>
                <w:rFonts w:hint="eastAsia"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lang w:val="zh-CN"/>
              </w:rPr>
            </w:pPr>
            <w:r>
              <w:rPr>
                <w:rFonts w:ascii="宋体" w:hAnsi="宋体" w:cs="仿宋"/>
                <w:sz w:val="24"/>
              </w:rPr>
              <w:t>4</w:t>
            </w:r>
          </w:p>
        </w:tc>
        <w:tc>
          <w:tcPr>
            <w:tcW w:w="1143" w:type="dxa"/>
            <w:vAlign w:val="center"/>
          </w:tcPr>
          <w:p>
            <w:pPr>
              <w:spacing w:line="276" w:lineRule="auto"/>
              <w:jc w:val="center"/>
              <w:rPr>
                <w:rFonts w:hint="eastAsia" w:ascii="宋体" w:hAnsi="宋体" w:cs="仿宋"/>
                <w:sz w:val="24"/>
              </w:rPr>
            </w:pPr>
            <w:r>
              <w:rPr>
                <w:rFonts w:hint="eastAsia" w:ascii="宋体" w:hAnsi="宋体" w:cs="仿宋"/>
                <w:sz w:val="24"/>
              </w:rPr>
              <w:t>诚信评审</w:t>
            </w:r>
          </w:p>
        </w:tc>
        <w:tc>
          <w:tcPr>
            <w:tcW w:w="709" w:type="dxa"/>
            <w:vAlign w:val="center"/>
          </w:tcPr>
          <w:p>
            <w:pPr>
              <w:spacing w:line="276" w:lineRule="auto"/>
              <w:jc w:val="center"/>
              <w:rPr>
                <w:rFonts w:hint="eastAsia" w:ascii="宋体" w:hAnsi="宋体" w:cs="仿宋"/>
                <w:sz w:val="24"/>
              </w:rPr>
            </w:pPr>
            <w:r>
              <w:rPr>
                <w:rFonts w:hint="eastAsia" w:ascii="宋体" w:hAnsi="宋体" w:cs="仿宋"/>
                <w:sz w:val="24"/>
              </w:rPr>
              <w:t>5</w:t>
            </w:r>
          </w:p>
        </w:tc>
        <w:tc>
          <w:tcPr>
            <w:tcW w:w="5953" w:type="dxa"/>
            <w:vAlign w:val="center"/>
          </w:tcPr>
          <w:p>
            <w:pPr>
              <w:spacing w:line="276" w:lineRule="auto"/>
              <w:rPr>
                <w:rFonts w:hint="eastAsia" w:ascii="宋体" w:hAnsi="宋体"/>
                <w:sz w:val="24"/>
              </w:rPr>
            </w:pPr>
            <w:r>
              <w:rPr>
                <w:rFonts w:hint="eastAsia" w:ascii="宋体" w:hAnsi="宋体"/>
                <w:sz w:val="24"/>
              </w:rPr>
              <w:t>供应商未达到行政处罚情形但存在违规违约行为被记入诚信档案且处于对外公告期限内的，本项不得分，否则得满分。</w:t>
            </w:r>
          </w:p>
          <w:p>
            <w:pPr>
              <w:tabs>
                <w:tab w:val="left" w:pos="175"/>
              </w:tabs>
              <w:spacing w:line="276" w:lineRule="auto"/>
              <w:ind w:left="33"/>
              <w:jc w:val="left"/>
              <w:rPr>
                <w:rFonts w:hint="eastAsia" w:ascii="宋体" w:hAnsi="宋体" w:cs="仿宋"/>
                <w:sz w:val="24"/>
              </w:rPr>
            </w:pPr>
            <w:r>
              <w:rPr>
                <w:rFonts w:hint="eastAsia" w:ascii="宋体" w:hAnsi="宋体"/>
                <w:sz w:val="24"/>
              </w:rPr>
              <w:t>投标文件中无需提供证明材料，评标时由采购代理机构通过深圳市政府采购监管网“诚信档案”栏目集中查询投标供应商的诚信状况，并将供应商诚信状况提供给评审委员会，由评审委员会根据招标文件的规定进行评审。</w:t>
            </w:r>
          </w:p>
        </w:tc>
        <w:tc>
          <w:tcPr>
            <w:tcW w:w="1187" w:type="dxa"/>
            <w:vAlign w:val="center"/>
          </w:tcPr>
          <w:p>
            <w:pPr>
              <w:spacing w:line="276" w:lineRule="auto"/>
              <w:jc w:val="center"/>
              <w:rPr>
                <w:rFonts w:hint="eastAsia" w:ascii="宋体" w:hAnsi="宋体" w:cs="仿宋"/>
                <w:sz w:val="24"/>
                <w:lang w:val="zh-CN"/>
              </w:rPr>
            </w:pPr>
            <w:r>
              <w:rPr>
                <w:rFonts w:hint="eastAsia" w:ascii="宋体" w:hAnsi="宋体" w:cs="仿宋"/>
                <w:sz w:val="24"/>
                <w:lang w:val="zh-CN"/>
              </w:rPr>
              <w:t>专家打分</w:t>
            </w:r>
          </w:p>
        </w:tc>
      </w:tr>
    </w:tbl>
    <w:p>
      <w:pPr>
        <w:spacing w:line="360" w:lineRule="auto"/>
        <w:jc w:val="left"/>
        <w:rPr>
          <w:rFonts w:hint="eastAsia" w:ascii="宋体" w:hAnsi="宋体"/>
          <w:sz w:val="24"/>
        </w:rPr>
      </w:pPr>
    </w:p>
    <w:p>
      <w:pPr>
        <w:spacing w:line="360" w:lineRule="auto"/>
        <w:ind w:firstLine="480" w:firstLineChars="200"/>
        <w:jc w:val="left"/>
        <w:rPr>
          <w:rFonts w:hint="eastAsia" w:ascii="宋体" w:hAnsi="宋体"/>
          <w:sz w:val="24"/>
        </w:rPr>
        <w:sectPr>
          <w:pgSz w:w="11906" w:h="16838"/>
          <w:pgMar w:top="1418" w:right="1474" w:bottom="1418" w:left="1474" w:header="851" w:footer="992" w:gutter="0"/>
          <w:cols w:space="425" w:num="1"/>
          <w:docGrid w:type="lines" w:linePitch="312" w:charSpace="0"/>
        </w:sectPr>
      </w:pPr>
    </w:p>
    <w:p>
      <w:pPr>
        <w:pStyle w:val="2"/>
      </w:pPr>
      <w:r>
        <w:rPr>
          <w:rFonts w:hint="eastAsia"/>
        </w:rPr>
        <w:t>第三章  投标人须知</w:t>
      </w:r>
      <w:bookmarkEnd w:id="10"/>
      <w:bookmarkEnd w:id="11"/>
    </w:p>
    <w:p>
      <w:pPr>
        <w:pStyle w:val="5"/>
        <w:ind w:firstLine="482"/>
      </w:pPr>
      <w:bookmarkStart w:id="12" w:name="_Toc55548492"/>
      <w:r>
        <w:t>一、说明</w:t>
      </w:r>
      <w:bookmarkEnd w:id="12"/>
    </w:p>
    <w:p>
      <w:pPr>
        <w:pStyle w:val="4"/>
        <w:spacing w:line="360" w:lineRule="auto"/>
        <w:ind w:firstLine="482"/>
      </w:pPr>
      <w:bookmarkStart w:id="13" w:name="_Toc18091"/>
      <w:bookmarkStart w:id="14" w:name="_Toc55548493"/>
      <w:r>
        <w:t>招标人及资金来源</w:t>
      </w:r>
      <w:bookmarkEnd w:id="13"/>
      <w:bookmarkEnd w:id="14"/>
    </w:p>
    <w:p>
      <w:pPr>
        <w:spacing w:line="360" w:lineRule="auto"/>
        <w:ind w:firstLine="420" w:firstLineChars="200"/>
        <w:rPr>
          <w:rFonts w:hint="eastAsia" w:asciiTheme="minorEastAsia" w:hAnsiTheme="minorEastAsia"/>
          <w:szCs w:val="21"/>
        </w:rPr>
      </w:pPr>
      <w:bookmarkStart w:id="15"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5"/>
    </w:p>
    <w:p>
      <w:pPr>
        <w:pStyle w:val="4"/>
        <w:spacing w:line="360" w:lineRule="auto"/>
        <w:ind w:firstLine="482"/>
      </w:pPr>
      <w:bookmarkStart w:id="16" w:name="_Toc55548494"/>
      <w:bookmarkStart w:id="17" w:name="_Toc29370"/>
      <w:r>
        <w:t>合格的投标人</w:t>
      </w:r>
      <w:bookmarkEnd w:id="16"/>
      <w:bookmarkEnd w:id="17"/>
    </w:p>
    <w:p>
      <w:pPr>
        <w:spacing w:line="360" w:lineRule="auto"/>
        <w:ind w:firstLine="420" w:firstLineChars="200"/>
        <w:rPr>
          <w:rFonts w:hint="eastAsia" w:asciiTheme="minorEastAsia" w:hAnsiTheme="minorEastAsia"/>
          <w:szCs w:val="21"/>
        </w:rPr>
      </w:pPr>
      <w:bookmarkStart w:id="18" w:name="_Ref179620057"/>
      <w:r>
        <w:rPr>
          <w:rFonts w:asciiTheme="minorEastAsia" w:hAnsiTheme="minorEastAsia"/>
          <w:szCs w:val="21"/>
        </w:rPr>
        <w:t>合格的投标人</w:t>
      </w:r>
      <w:bookmarkEnd w:id="18"/>
    </w:p>
    <w:p>
      <w:pPr>
        <w:spacing w:line="360" w:lineRule="auto"/>
        <w:ind w:firstLine="420" w:firstLineChars="200"/>
        <w:rPr>
          <w:rFonts w:hint="eastAsia"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19" w:name="_Toc55548495"/>
      <w:bookmarkStart w:id="20" w:name="_Toc12412"/>
      <w:r>
        <w:t>合格的货物和服务</w:t>
      </w:r>
      <w:bookmarkEnd w:id="19"/>
      <w:bookmarkEnd w:id="20"/>
    </w:p>
    <w:p>
      <w:pPr>
        <w:spacing w:line="360" w:lineRule="auto"/>
        <w:ind w:firstLine="420" w:firstLineChars="200"/>
        <w:rPr>
          <w:rFonts w:hint="eastAsia"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hint="eastAsia"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hint="eastAsia"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1" w:name="_Toc25686"/>
      <w:bookmarkStart w:id="22" w:name="_Toc55548496"/>
      <w:r>
        <w:t>投标费用</w:t>
      </w:r>
      <w:bookmarkEnd w:id="21"/>
      <w:bookmarkEnd w:id="22"/>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3" w:name="_Toc10390"/>
      <w:bookmarkStart w:id="24" w:name="_Toc55548497"/>
      <w:r>
        <w:t>踏勘现场</w:t>
      </w:r>
      <w:bookmarkEnd w:id="23"/>
      <w:bookmarkEnd w:id="24"/>
    </w:p>
    <w:p>
      <w:pPr>
        <w:spacing w:line="360" w:lineRule="auto"/>
        <w:ind w:firstLine="420" w:firstLineChars="200"/>
        <w:rPr>
          <w:rFonts w:hint="eastAsia" w:asciiTheme="minorEastAsia" w:hAnsiTheme="minorEastAsia"/>
          <w:szCs w:val="21"/>
        </w:rPr>
      </w:pPr>
      <w:bookmarkStart w:id="25"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5"/>
    </w:p>
    <w:p>
      <w:pPr>
        <w:spacing w:line="360" w:lineRule="auto"/>
        <w:ind w:firstLine="420" w:firstLineChars="200"/>
        <w:rPr>
          <w:rFonts w:hint="eastAsia"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6" w:name="_Toc55548498"/>
      <w:bookmarkStart w:id="27" w:name="_Toc6043"/>
      <w:bookmarkStart w:id="28" w:name="_Toc1751"/>
      <w:r>
        <w:t>二、竞价文件</w:t>
      </w:r>
      <w:bookmarkEnd w:id="26"/>
      <w:bookmarkEnd w:id="27"/>
      <w:bookmarkEnd w:id="28"/>
    </w:p>
    <w:p>
      <w:pPr>
        <w:pStyle w:val="4"/>
        <w:spacing w:line="360" w:lineRule="auto"/>
        <w:ind w:firstLine="482"/>
      </w:pPr>
      <w:bookmarkStart w:id="29" w:name="_Toc19397"/>
      <w:bookmarkStart w:id="30" w:name="_Toc55548499"/>
      <w:r>
        <w:t>竞价文件的构成</w:t>
      </w:r>
      <w:bookmarkEnd w:id="29"/>
      <w:bookmarkEnd w:id="30"/>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1" w:name="_Toc31711"/>
      <w:bookmarkStart w:id="32" w:name="_Toc55548500"/>
      <w:r>
        <w:t>竞价文件的澄清</w:t>
      </w:r>
      <w:bookmarkEnd w:id="31"/>
      <w:bookmarkEnd w:id="32"/>
    </w:p>
    <w:p>
      <w:pPr>
        <w:spacing w:line="360" w:lineRule="auto"/>
        <w:ind w:firstLine="420" w:firstLineChars="200"/>
        <w:rPr>
          <w:rFonts w:hint="eastAsia"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3" w:name="_Toc55548501"/>
      <w:bookmarkStart w:id="34" w:name="_Ref179619612"/>
      <w:bookmarkStart w:id="35" w:name="_Toc21781"/>
      <w:r>
        <w:t>竞价文件的修改</w:t>
      </w:r>
      <w:bookmarkEnd w:id="33"/>
      <w:bookmarkEnd w:id="34"/>
      <w:bookmarkEnd w:id="35"/>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hint="eastAsia" w:asciiTheme="minorEastAsia" w:hAnsiTheme="minorEastAsia"/>
          <w:szCs w:val="21"/>
        </w:rPr>
      </w:pPr>
      <w:bookmarkStart w:id="36"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6"/>
    </w:p>
    <w:p>
      <w:pPr>
        <w:spacing w:line="360" w:lineRule="auto"/>
        <w:ind w:firstLine="420" w:firstLineChars="200"/>
        <w:rPr>
          <w:rFonts w:hint="eastAsia"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7" w:name="_Toc55548502"/>
      <w:bookmarkStart w:id="38" w:name="_Toc20164"/>
      <w:bookmarkStart w:id="39" w:name="_Toc6740"/>
      <w:r>
        <w:t>三、响应文件的编制</w:t>
      </w:r>
      <w:bookmarkEnd w:id="37"/>
      <w:bookmarkEnd w:id="38"/>
      <w:bookmarkEnd w:id="39"/>
    </w:p>
    <w:p>
      <w:pPr>
        <w:pStyle w:val="4"/>
        <w:spacing w:line="360" w:lineRule="auto"/>
        <w:ind w:firstLine="482"/>
      </w:pPr>
      <w:bookmarkStart w:id="40" w:name="_Toc28578"/>
      <w:bookmarkStart w:id="41" w:name="_Toc55548503"/>
      <w:r>
        <w:t>投标的语言</w:t>
      </w:r>
      <w:bookmarkEnd w:id="40"/>
      <w:bookmarkEnd w:id="41"/>
    </w:p>
    <w:p>
      <w:pPr>
        <w:spacing w:line="360" w:lineRule="auto"/>
        <w:ind w:firstLine="420" w:firstLineChars="200"/>
        <w:rPr>
          <w:rFonts w:hint="eastAsia" w:asciiTheme="minorEastAsia" w:hAnsiTheme="minorEastAsia"/>
          <w:szCs w:val="21"/>
        </w:rPr>
      </w:pPr>
      <w:bookmarkStart w:id="42"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2"/>
    </w:p>
    <w:p>
      <w:pPr>
        <w:pStyle w:val="4"/>
        <w:spacing w:line="360" w:lineRule="auto"/>
        <w:ind w:firstLine="482"/>
      </w:pPr>
      <w:bookmarkStart w:id="43" w:name="_Toc31114"/>
      <w:bookmarkStart w:id="44" w:name="_Toc55548504"/>
      <w:r>
        <w:t>投标范围及响应文件中计量单位的使用</w:t>
      </w:r>
      <w:bookmarkEnd w:id="43"/>
      <w:bookmarkEnd w:id="44"/>
    </w:p>
    <w:p>
      <w:pPr>
        <w:spacing w:line="360" w:lineRule="auto"/>
        <w:ind w:firstLine="420" w:firstLineChars="200"/>
        <w:rPr>
          <w:rFonts w:hint="eastAsia"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hint="eastAsia"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5" w:name="_Toc55548505"/>
      <w:bookmarkStart w:id="46" w:name="_Toc4999"/>
      <w:r>
        <w:t>响应文件的构成</w:t>
      </w:r>
      <w:bookmarkEnd w:id="45"/>
      <w:bookmarkEnd w:id="46"/>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7" w:name="_Toc55548507"/>
      <w:bookmarkStart w:id="48" w:name="_Toc12177"/>
      <w:r>
        <w:t>响应文件的编写</w:t>
      </w:r>
      <w:bookmarkEnd w:id="47"/>
      <w:bookmarkEnd w:id="48"/>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49" w:name="_Toc55548508"/>
      <w:bookmarkStart w:id="50" w:name="_Toc26930"/>
      <w:r>
        <w:t>投标报价</w:t>
      </w:r>
      <w:bookmarkEnd w:id="49"/>
      <w:bookmarkEnd w:id="50"/>
    </w:p>
    <w:p>
      <w:pPr>
        <w:spacing w:line="360" w:lineRule="auto"/>
        <w:ind w:firstLine="420" w:firstLineChars="200"/>
        <w:rPr>
          <w:rFonts w:hint="eastAsia"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hint="eastAsia" w:asciiTheme="minorEastAsia" w:hAnsiTheme="minorEastAsia"/>
          <w:szCs w:val="21"/>
        </w:rPr>
      </w:pPr>
      <w:bookmarkStart w:id="51"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1"/>
    </w:p>
    <w:p>
      <w:pPr>
        <w:spacing w:line="360" w:lineRule="auto"/>
        <w:ind w:firstLine="420" w:firstLineChars="200"/>
        <w:rPr>
          <w:rFonts w:hint="eastAsia" w:asciiTheme="minorEastAsia" w:hAnsiTheme="minorEastAsia"/>
          <w:szCs w:val="21"/>
        </w:rPr>
      </w:pPr>
      <w:bookmarkStart w:id="52"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2"/>
    </w:p>
    <w:p>
      <w:pPr>
        <w:spacing w:line="360" w:lineRule="auto"/>
        <w:ind w:firstLine="420" w:firstLineChars="200"/>
        <w:rPr>
          <w:rFonts w:hint="eastAsia"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hint="eastAsia"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hint="eastAsia"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hint="eastAsia" w:asciiTheme="minorEastAsia" w:hAnsiTheme="minorEastAsia"/>
          <w:szCs w:val="21"/>
        </w:rPr>
      </w:pPr>
      <w:bookmarkStart w:id="53" w:name="_Ref179620755"/>
      <w:r>
        <w:rPr>
          <w:rFonts w:asciiTheme="minorEastAsia" w:hAnsiTheme="minorEastAsia"/>
          <w:szCs w:val="21"/>
        </w:rPr>
        <w:t>其他伴随服务的费用(如有)。</w:t>
      </w:r>
      <w:bookmarkEnd w:id="53"/>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4" w:name="_Toc11635"/>
      <w:bookmarkStart w:id="55" w:name="_Toc55548509"/>
      <w:r>
        <w:t>证明投标人合格和资格的文件</w:t>
      </w:r>
      <w:bookmarkEnd w:id="54"/>
      <w:bookmarkEnd w:id="55"/>
      <w:r>
        <w:t xml:space="preserve">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hint="eastAsia" w:asciiTheme="minorEastAsia" w:hAnsiTheme="minorEastAsia"/>
          <w:szCs w:val="21"/>
        </w:rPr>
      </w:pPr>
      <w:bookmarkStart w:id="56" w:name="_Ref179620846"/>
      <w:r>
        <w:rPr>
          <w:rFonts w:asciiTheme="minorEastAsia" w:hAnsiTheme="minorEastAsia"/>
          <w:szCs w:val="21"/>
        </w:rPr>
        <w:t>投标资料表要求的其它资格证明文件。</w:t>
      </w:r>
      <w:bookmarkEnd w:id="56"/>
    </w:p>
    <w:p>
      <w:pPr>
        <w:pStyle w:val="4"/>
        <w:spacing w:line="360" w:lineRule="auto"/>
        <w:ind w:firstLine="482"/>
      </w:pPr>
      <w:bookmarkStart w:id="57" w:name="_Toc55548510"/>
      <w:bookmarkStart w:id="58" w:name="_Toc28857"/>
      <w:r>
        <w:t>证明货物的合格性和符合竞价文件规定的文件</w:t>
      </w:r>
      <w:bookmarkEnd w:id="57"/>
      <w:bookmarkEnd w:id="58"/>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hint="eastAsia"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hint="eastAsia"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59" w:name="_Toc55548511"/>
      <w:bookmarkStart w:id="60" w:name="_Toc1901"/>
      <w:r>
        <w:t>投标有效期</w:t>
      </w:r>
      <w:bookmarkEnd w:id="59"/>
      <w:bookmarkEnd w:id="60"/>
    </w:p>
    <w:p>
      <w:pPr>
        <w:spacing w:line="360" w:lineRule="auto"/>
        <w:ind w:firstLine="420" w:firstLineChars="200"/>
        <w:rPr>
          <w:rFonts w:hint="eastAsia" w:asciiTheme="minorEastAsia" w:hAnsiTheme="minorEastAsia"/>
          <w:szCs w:val="21"/>
        </w:rPr>
      </w:pPr>
      <w:bookmarkStart w:id="61" w:name="_Ref179620893"/>
      <w:r>
        <w:rPr>
          <w:rFonts w:asciiTheme="minorEastAsia" w:hAnsiTheme="minorEastAsia"/>
          <w:szCs w:val="21"/>
        </w:rPr>
        <w:t>投标有效期不足的投标将被视为非实质性响应，并予以拒绝。</w:t>
      </w:r>
      <w:bookmarkEnd w:id="61"/>
    </w:p>
    <w:p>
      <w:pPr>
        <w:spacing w:line="360" w:lineRule="auto"/>
        <w:ind w:firstLine="420" w:firstLineChars="200"/>
        <w:rPr>
          <w:rFonts w:hint="eastAsia"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2" w:name="_Toc55548512"/>
      <w:bookmarkStart w:id="63" w:name="_Toc28446"/>
      <w:r>
        <w:t>响应文件的式样和签署</w:t>
      </w:r>
      <w:bookmarkEnd w:id="62"/>
      <w:bookmarkEnd w:id="63"/>
    </w:p>
    <w:p>
      <w:pPr>
        <w:spacing w:line="360" w:lineRule="auto"/>
        <w:ind w:firstLine="420" w:firstLineChars="200"/>
        <w:rPr>
          <w:rFonts w:hint="eastAsia" w:asciiTheme="minorEastAsia" w:hAnsiTheme="minorEastAsia"/>
          <w:szCs w:val="21"/>
          <w:highlight w:val="yellow"/>
        </w:rPr>
      </w:pPr>
      <w:bookmarkStart w:id="64"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4"/>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5" w:name="_Toc26845"/>
      <w:bookmarkStart w:id="66" w:name="_Toc9436"/>
      <w:bookmarkStart w:id="67" w:name="_Toc55548513"/>
      <w:r>
        <w:t>四、响应文件的递交</w:t>
      </w:r>
      <w:bookmarkEnd w:id="65"/>
      <w:bookmarkEnd w:id="66"/>
      <w:bookmarkEnd w:id="67"/>
    </w:p>
    <w:p>
      <w:pPr>
        <w:pStyle w:val="4"/>
        <w:spacing w:line="360" w:lineRule="auto"/>
        <w:ind w:firstLine="482"/>
      </w:pPr>
      <w:bookmarkStart w:id="68" w:name="_Toc55548514"/>
      <w:bookmarkStart w:id="69" w:name="_Toc6626"/>
      <w:r>
        <w:t>响应文件的密封和标记</w:t>
      </w:r>
      <w:bookmarkEnd w:id="68"/>
      <w:bookmarkEnd w:id="69"/>
    </w:p>
    <w:p>
      <w:pPr>
        <w:spacing w:line="360" w:lineRule="auto"/>
        <w:ind w:firstLine="420" w:firstLineChars="200"/>
        <w:rPr>
          <w:rFonts w:hint="eastAsia" w:asciiTheme="minorEastAsia" w:hAnsiTheme="minorEastAsia"/>
          <w:szCs w:val="21"/>
          <w:highlight w:val="yellow"/>
        </w:rPr>
      </w:pPr>
      <w:bookmarkStart w:id="70"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0"/>
      <w:r>
        <w:rPr>
          <w:rFonts w:asciiTheme="minorEastAsia" w:hAnsiTheme="minorEastAsia"/>
          <w:szCs w:val="21"/>
          <w:highlight w:val="yellow"/>
        </w:rPr>
        <w:t xml:space="preserve"> </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1" w:name="_Toc8701"/>
      <w:bookmarkStart w:id="72" w:name="_Toc55548515"/>
      <w:r>
        <w:t>投标样品</w:t>
      </w:r>
      <w:bookmarkEnd w:id="71"/>
      <w:bookmarkEnd w:id="72"/>
    </w:p>
    <w:p>
      <w:pPr>
        <w:spacing w:line="360" w:lineRule="auto"/>
        <w:ind w:firstLine="420" w:firstLineChars="200"/>
        <w:rPr>
          <w:rFonts w:hint="eastAsia"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hint="eastAsia"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hint="eastAsia"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3" w:name="_Toc5724"/>
      <w:bookmarkStart w:id="74" w:name="_Toc55548516"/>
      <w:bookmarkStart w:id="75" w:name="_Ref179619638"/>
      <w:r>
        <w:t>投标截止期</w:t>
      </w:r>
      <w:bookmarkEnd w:id="73"/>
      <w:bookmarkEnd w:id="74"/>
      <w:bookmarkEnd w:id="75"/>
    </w:p>
    <w:p>
      <w:pPr>
        <w:spacing w:line="360" w:lineRule="auto"/>
        <w:ind w:firstLine="420" w:firstLineChars="200"/>
        <w:rPr>
          <w:rFonts w:hint="eastAsia" w:asciiTheme="minorEastAsia" w:hAnsiTheme="minorEastAsia"/>
          <w:szCs w:val="21"/>
        </w:rPr>
      </w:pPr>
      <w:bookmarkStart w:id="76"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7" w:name="_Ref179619679"/>
      <w:bookmarkStart w:id="78" w:name="_Toc3231"/>
      <w:bookmarkStart w:id="79" w:name="_Toc55548517"/>
      <w:r>
        <w:t>迟交的响应文件</w:t>
      </w:r>
      <w:bookmarkEnd w:id="77"/>
      <w:bookmarkEnd w:id="78"/>
      <w:bookmarkEnd w:id="79"/>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0" w:name="_Toc865"/>
      <w:bookmarkStart w:id="81" w:name="_Ref179619013"/>
      <w:bookmarkStart w:id="82" w:name="_Toc55548518"/>
      <w:r>
        <w:t>响应文件的修改与撤回</w:t>
      </w:r>
      <w:bookmarkEnd w:id="80"/>
      <w:bookmarkEnd w:id="81"/>
      <w:bookmarkEnd w:id="82"/>
    </w:p>
    <w:p>
      <w:pPr>
        <w:spacing w:line="360" w:lineRule="auto"/>
        <w:ind w:firstLine="420" w:firstLineChars="200"/>
        <w:rPr>
          <w:rFonts w:hint="eastAsia"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hint="eastAsia"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3" w:name="_Toc55548519"/>
      <w:bookmarkStart w:id="84" w:name="_Toc22375"/>
      <w:r>
        <w:t>响应文件的退还</w:t>
      </w:r>
      <w:bookmarkEnd w:id="83"/>
      <w:bookmarkEnd w:id="84"/>
    </w:p>
    <w:p>
      <w:pPr>
        <w:spacing w:line="360" w:lineRule="auto"/>
        <w:ind w:firstLine="420" w:firstLineChars="200"/>
        <w:rPr>
          <w:rFonts w:hint="eastAsia"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5" w:name="_Toc55548520"/>
      <w:bookmarkStart w:id="86" w:name="_Toc27271"/>
      <w:bookmarkStart w:id="87" w:name="_Toc9126"/>
      <w:r>
        <w:t>五、开标与评标</w:t>
      </w:r>
      <w:bookmarkEnd w:id="85"/>
      <w:bookmarkEnd w:id="86"/>
      <w:bookmarkEnd w:id="87"/>
    </w:p>
    <w:p>
      <w:pPr>
        <w:pStyle w:val="4"/>
        <w:spacing w:line="360" w:lineRule="auto"/>
        <w:ind w:firstLine="482"/>
      </w:pPr>
      <w:bookmarkStart w:id="88" w:name="_Toc55548521"/>
      <w:bookmarkStart w:id="89" w:name="_Toc21095"/>
      <w:r>
        <w:t>开标</w:t>
      </w:r>
      <w:bookmarkEnd w:id="88"/>
      <w:bookmarkEnd w:id="89"/>
    </w:p>
    <w:p>
      <w:pPr>
        <w:spacing w:line="360" w:lineRule="auto"/>
        <w:ind w:firstLine="420" w:firstLineChars="200"/>
        <w:rPr>
          <w:rFonts w:hint="eastAsia" w:asciiTheme="minorEastAsia" w:hAnsiTheme="minorEastAsia"/>
          <w:szCs w:val="21"/>
        </w:rPr>
      </w:pPr>
      <w:bookmarkStart w:id="90"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0"/>
    </w:p>
    <w:p>
      <w:pPr>
        <w:spacing w:line="360" w:lineRule="auto"/>
        <w:ind w:firstLine="420" w:firstLineChars="200"/>
        <w:rPr>
          <w:rFonts w:hint="eastAsia"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1" w:name="_Toc1622"/>
      <w:bookmarkStart w:id="92" w:name="_Toc55548522"/>
      <w:r>
        <w:t>资格核查</w:t>
      </w:r>
      <w:bookmarkEnd w:id="91"/>
      <w:bookmarkEnd w:id="92"/>
    </w:p>
    <w:p>
      <w:pPr>
        <w:spacing w:line="360" w:lineRule="auto"/>
        <w:ind w:firstLine="420" w:firstLineChars="200"/>
        <w:rPr>
          <w:rFonts w:hint="eastAsia"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hint="eastAsia"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3" w:name="_Toc55548523"/>
      <w:bookmarkStart w:id="94" w:name="_Toc31201"/>
      <w:r>
        <w:t>评标委员会和评标方法</w:t>
      </w:r>
      <w:bookmarkEnd w:id="93"/>
      <w:bookmarkEnd w:id="94"/>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hint="eastAsia" w:asciiTheme="minorEastAsia" w:hAnsiTheme="minorEastAsia"/>
          <w:szCs w:val="21"/>
        </w:rPr>
      </w:pPr>
      <w:bookmarkStart w:id="95"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5"/>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hint="eastAsia" w:asciiTheme="minorEastAsia" w:hAnsiTheme="minorEastAsia"/>
          <w:szCs w:val="21"/>
        </w:rPr>
      </w:pPr>
      <w:bookmarkStart w:id="96"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6"/>
    </w:p>
    <w:p>
      <w:pPr>
        <w:spacing w:line="360" w:lineRule="auto"/>
        <w:ind w:firstLine="420" w:firstLineChars="200"/>
        <w:rPr>
          <w:rFonts w:hint="eastAsia" w:asciiTheme="minorEastAsia" w:hAnsiTheme="minorEastAsia"/>
          <w:szCs w:val="21"/>
        </w:rPr>
      </w:pPr>
      <w:bookmarkStart w:id="97" w:name="_Toc10952"/>
      <w:bookmarkStart w:id="98" w:name="_Toc27507"/>
      <w:bookmarkStart w:id="99" w:name="_Toc3712"/>
      <w:bookmarkStart w:id="100" w:name="_Toc16749"/>
      <w:r>
        <w:rPr>
          <w:rFonts w:hint="eastAsia" w:asciiTheme="minorEastAsia" w:hAnsiTheme="minorEastAsia"/>
          <w:szCs w:val="21"/>
        </w:rPr>
        <w:t>不同投标人提供相同品牌产品</w:t>
      </w:r>
      <w:bookmarkEnd w:id="97"/>
      <w:bookmarkEnd w:id="98"/>
      <w:bookmarkEnd w:id="99"/>
      <w:bookmarkEnd w:id="100"/>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1" w:name="_Toc21426"/>
      <w:bookmarkStart w:id="102" w:name="_Toc55548524"/>
      <w:r>
        <w:rPr>
          <w:rFonts w:hint="eastAsia"/>
        </w:rPr>
        <w:t>响应文件的初审</w:t>
      </w:r>
      <w:bookmarkEnd w:id="101"/>
      <w:bookmarkEnd w:id="102"/>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hint="eastAsia"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hint="eastAsia"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hint="eastAsia" w:asciiTheme="minorEastAsia" w:hAnsiTheme="minorEastAsia"/>
          <w:szCs w:val="21"/>
        </w:rPr>
      </w:pPr>
      <w:bookmarkStart w:id="103"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3"/>
    </w:p>
    <w:p>
      <w:pPr>
        <w:spacing w:line="360" w:lineRule="auto"/>
        <w:ind w:firstLine="420" w:firstLineChars="200"/>
        <w:rPr>
          <w:rFonts w:hint="eastAsia" w:asciiTheme="minorEastAsia" w:hAnsiTheme="minorEastAsia"/>
          <w:szCs w:val="21"/>
        </w:rPr>
      </w:pPr>
      <w:bookmarkStart w:id="104" w:name="_Ref179621189"/>
      <w:r>
        <w:rPr>
          <w:rFonts w:asciiTheme="minorEastAsia" w:hAnsiTheme="minorEastAsia"/>
          <w:szCs w:val="21"/>
        </w:rPr>
        <w:t>符合性检查</w:t>
      </w:r>
      <w:bookmarkEnd w:id="104"/>
    </w:p>
    <w:p>
      <w:pPr>
        <w:spacing w:line="360" w:lineRule="auto"/>
        <w:ind w:firstLine="422" w:firstLineChars="200"/>
        <w:rPr>
          <w:rFonts w:hint="eastAsia" w:asciiTheme="minorEastAsia" w:hAnsiTheme="minorEastAsia"/>
          <w:b/>
          <w:szCs w:val="21"/>
        </w:rPr>
      </w:pPr>
      <w:bookmarkStart w:id="105" w:name="_Toc1347"/>
      <w:bookmarkStart w:id="106" w:name="_Toc5963"/>
      <w:bookmarkStart w:id="107" w:name="_Toc2459"/>
      <w:bookmarkStart w:id="108" w:name="_Toc13273"/>
      <w:bookmarkStart w:id="109" w:name="_Toc25993"/>
      <w:bookmarkStart w:id="110" w:name="_Toc32392"/>
      <w:bookmarkStart w:id="111" w:name="_Toc385"/>
      <w:r>
        <w:rPr>
          <w:rFonts w:asciiTheme="minorEastAsia" w:hAnsiTheme="minorEastAsia"/>
          <w:b/>
          <w:szCs w:val="21"/>
        </w:rPr>
        <w:t>1) 响应文件的有效性、完整性瑕疵</w:t>
      </w:r>
      <w:bookmarkEnd w:id="105"/>
      <w:bookmarkEnd w:id="106"/>
      <w:bookmarkEnd w:id="107"/>
      <w:bookmarkEnd w:id="108"/>
      <w:bookmarkEnd w:id="109"/>
      <w:bookmarkEnd w:id="110"/>
      <w:bookmarkEnd w:id="111"/>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hint="eastAsia" w:asciiTheme="minorEastAsia" w:hAnsiTheme="minorEastAsia"/>
          <w:b/>
          <w:szCs w:val="21"/>
        </w:rPr>
      </w:pPr>
      <w:bookmarkStart w:id="112" w:name="_Toc17493"/>
      <w:bookmarkStart w:id="113" w:name="_Toc6513"/>
      <w:bookmarkStart w:id="114" w:name="_Toc24825"/>
      <w:bookmarkStart w:id="115" w:name="_Toc30904"/>
      <w:bookmarkStart w:id="116" w:name="_Toc31066"/>
      <w:bookmarkStart w:id="117" w:name="_Toc4787"/>
      <w:bookmarkStart w:id="118" w:name="_Toc29078"/>
      <w:r>
        <w:rPr>
          <w:rFonts w:asciiTheme="minorEastAsia" w:hAnsiTheme="minorEastAsia"/>
          <w:b/>
          <w:szCs w:val="21"/>
        </w:rPr>
        <w:t>2) 技术响应瑕疵</w:t>
      </w:r>
      <w:bookmarkEnd w:id="112"/>
      <w:bookmarkEnd w:id="113"/>
      <w:bookmarkEnd w:id="114"/>
      <w:bookmarkEnd w:id="115"/>
      <w:bookmarkEnd w:id="116"/>
      <w:bookmarkEnd w:id="117"/>
      <w:bookmarkEnd w:id="118"/>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hint="eastAsia" w:asciiTheme="minorEastAsia" w:hAnsiTheme="minorEastAsia"/>
          <w:b/>
          <w:szCs w:val="21"/>
        </w:rPr>
      </w:pPr>
      <w:bookmarkStart w:id="119" w:name="_Toc27147"/>
      <w:bookmarkStart w:id="120" w:name="_Toc19531"/>
      <w:bookmarkStart w:id="121" w:name="_Toc6987"/>
      <w:bookmarkStart w:id="122" w:name="_Toc16856"/>
      <w:bookmarkStart w:id="123" w:name="_Toc32692"/>
      <w:bookmarkStart w:id="124" w:name="_Toc9317"/>
      <w:bookmarkStart w:id="125" w:name="_Toc13742"/>
      <w:r>
        <w:rPr>
          <w:rFonts w:asciiTheme="minorEastAsia" w:hAnsiTheme="minorEastAsia"/>
          <w:b/>
          <w:szCs w:val="21"/>
        </w:rPr>
        <w:t>3) 商务响应瑕疵</w:t>
      </w:r>
      <w:bookmarkEnd w:id="119"/>
      <w:bookmarkEnd w:id="120"/>
      <w:bookmarkEnd w:id="121"/>
      <w:bookmarkEnd w:id="122"/>
      <w:bookmarkEnd w:id="123"/>
      <w:bookmarkEnd w:id="124"/>
      <w:bookmarkEnd w:id="125"/>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hint="eastAsia"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hint="eastAsia"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hint="eastAsia"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hint="eastAsia"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6" w:name="_Toc7255"/>
      <w:bookmarkStart w:id="127" w:name="_Toc55548525"/>
      <w:r>
        <w:rPr>
          <w:rFonts w:hint="eastAsia"/>
        </w:rPr>
        <w:t>评标方法和定标原则</w:t>
      </w:r>
      <w:bookmarkEnd w:id="126"/>
      <w:bookmarkEnd w:id="127"/>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w:t>
      </w:r>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hint="eastAsia"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hint="eastAsia"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28"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8"/>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hint="eastAsia"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hint="eastAsia"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29"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9"/>
    </w:p>
    <w:p>
      <w:pPr>
        <w:spacing w:line="360" w:lineRule="auto"/>
        <w:ind w:firstLine="420" w:firstLineChars="200"/>
        <w:rPr>
          <w:rFonts w:hint="eastAsia" w:asciiTheme="minorEastAsia" w:hAnsiTheme="minorEastAsia"/>
          <w:szCs w:val="21"/>
        </w:rPr>
      </w:pPr>
      <w:r>
        <w:rPr>
          <w:rFonts w:asciiTheme="minorEastAsia" w:hAnsiTheme="minorEastAsia"/>
          <w:szCs w:val="21"/>
        </w:rPr>
        <w:t>计算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hint="eastAsia"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hint="eastAsia"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hint="eastAsia"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0" w:name="_Toc31060"/>
      <w:bookmarkStart w:id="131" w:name="_Toc55548528"/>
      <w:bookmarkStart w:id="132" w:name="_Toc12447"/>
      <w:r>
        <w:t>六、授予合同</w:t>
      </w:r>
      <w:bookmarkEnd w:id="130"/>
      <w:bookmarkEnd w:id="131"/>
      <w:bookmarkEnd w:id="132"/>
    </w:p>
    <w:p>
      <w:pPr>
        <w:pStyle w:val="4"/>
        <w:spacing w:line="360" w:lineRule="auto"/>
        <w:ind w:firstLine="482"/>
      </w:pPr>
      <w:bookmarkStart w:id="133" w:name="_Toc55548529"/>
      <w:bookmarkStart w:id="134" w:name="_Toc4551"/>
      <w:r>
        <w:rPr>
          <w:rFonts w:hint="eastAsia"/>
        </w:rPr>
        <w:t>最终审查</w:t>
      </w:r>
      <w:bookmarkEnd w:id="133"/>
      <w:bookmarkEnd w:id="134"/>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hint="eastAsia"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hint="eastAsia"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5" w:name="_Toc55548530"/>
      <w:bookmarkStart w:id="136" w:name="_Toc9998"/>
      <w:r>
        <w:rPr>
          <w:rFonts w:hint="eastAsia"/>
        </w:rPr>
        <w:t>合同授予标准</w:t>
      </w:r>
      <w:bookmarkEnd w:id="135"/>
      <w:bookmarkEnd w:id="136"/>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7" w:name="_Toc29853"/>
      <w:bookmarkStart w:id="138" w:name="_Toc55548532"/>
      <w:r>
        <w:rPr>
          <w:rFonts w:hint="eastAsia"/>
        </w:rPr>
        <w:t>中标结果公示</w:t>
      </w:r>
      <w:bookmarkEnd w:id="137"/>
      <w:bookmarkEnd w:id="138"/>
    </w:p>
    <w:p>
      <w:pPr>
        <w:spacing w:line="360" w:lineRule="auto"/>
        <w:ind w:firstLine="420" w:firstLineChars="200"/>
        <w:rPr>
          <w:rFonts w:hint="eastAsia"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hint="eastAsia"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39" w:name="_Toc55548533"/>
      <w:bookmarkStart w:id="140" w:name="_Ref179619923"/>
      <w:bookmarkStart w:id="141" w:name="_Toc5257"/>
      <w:r>
        <w:rPr>
          <w:rFonts w:hint="eastAsia"/>
        </w:rPr>
        <w:t>接受和拒绝任何或所有投标的权力</w:t>
      </w:r>
      <w:bookmarkEnd w:id="139"/>
      <w:bookmarkEnd w:id="140"/>
      <w:bookmarkEnd w:id="141"/>
    </w:p>
    <w:p>
      <w:pPr>
        <w:spacing w:line="360" w:lineRule="auto"/>
        <w:ind w:firstLine="420" w:firstLineChars="200"/>
        <w:rPr>
          <w:rFonts w:hint="eastAsia"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2" w:name="_Toc55548534"/>
      <w:bookmarkStart w:id="143" w:name="_Toc1842"/>
      <w:r>
        <w:rPr>
          <w:rFonts w:hint="eastAsia"/>
        </w:rPr>
        <w:t>中标通知书</w:t>
      </w:r>
      <w:bookmarkEnd w:id="142"/>
      <w:bookmarkEnd w:id="143"/>
    </w:p>
    <w:p>
      <w:pPr>
        <w:spacing w:line="360" w:lineRule="auto"/>
        <w:ind w:firstLine="420" w:firstLineChars="200"/>
        <w:rPr>
          <w:rFonts w:hint="eastAsia"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4" w:name="_Ref179619520"/>
      <w:bookmarkStart w:id="145" w:name="_Toc55548535"/>
      <w:bookmarkStart w:id="146" w:name="_Toc11931"/>
      <w:r>
        <w:rPr>
          <w:rFonts w:hint="eastAsia"/>
        </w:rPr>
        <w:t>签订合同</w:t>
      </w:r>
      <w:bookmarkEnd w:id="144"/>
      <w:bookmarkEnd w:id="145"/>
      <w:bookmarkEnd w:id="146"/>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hint="eastAsia"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7" w:name="_Toc86939331"/>
      <w:bookmarkStart w:id="148" w:name="_Toc61539111"/>
      <w:bookmarkStart w:id="149" w:name="_Toc61880307"/>
      <w:r>
        <w:rPr>
          <w:rFonts w:hint="eastAsia"/>
        </w:rPr>
        <w:t>第四章  附件－响应文件格式</w:t>
      </w:r>
      <w:bookmarkEnd w:id="147"/>
      <w:bookmarkEnd w:id="148"/>
      <w:bookmarkEnd w:id="149"/>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pPr>
        <w:spacing w:line="360" w:lineRule="auto"/>
        <w:ind w:firstLine="420" w:firstLineChars="200"/>
        <w:rPr>
          <w:rFonts w:hint="eastAsia"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hint="eastAsia"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hint="eastAsia" w:asciiTheme="minorEastAsia" w:hAnsiTheme="minorEastAsia"/>
          <w:color w:val="000000"/>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hint="eastAsia"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hint="eastAsia" w:asciiTheme="minorEastAsia" w:hAnsiTheme="minorEastAsia"/>
          <w:b/>
          <w:snapToGrid w:val="0"/>
          <w:kern w:val="0"/>
          <w:szCs w:val="21"/>
        </w:rPr>
      </w:pP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hint="eastAsia"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附件3：诚信承诺函格式</w:t>
      </w:r>
      <w:bookmarkEnd w:id="152"/>
    </w:p>
    <w:p>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p>
    <w:p>
      <w:pPr>
        <w:spacing w:line="360" w:lineRule="auto"/>
        <w:ind w:firstLine="422" w:firstLineChars="200"/>
        <w:rPr>
          <w:rFonts w:hint="eastAsia" w:asciiTheme="minorEastAsia" w:hAnsiTheme="minorEastAsia"/>
          <w:b/>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4" w:name="_Toc670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hint="eastAsia" w:asciiTheme="minorEastAsia" w:hAnsiTheme="minorEastAsia"/>
                <w:szCs w:val="21"/>
              </w:rPr>
            </w:pPr>
          </w:p>
        </w:tc>
        <w:tc>
          <w:tcPr>
            <w:tcW w:w="2562" w:type="dxa"/>
          </w:tcPr>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hint="eastAsia" w:asciiTheme="minorEastAsia" w:hAnsiTheme="minorEastAsia"/>
                <w:szCs w:val="21"/>
              </w:rPr>
            </w:pPr>
          </w:p>
        </w:tc>
        <w:tc>
          <w:tcPr>
            <w:tcW w:w="1493" w:type="dxa"/>
          </w:tcPr>
          <w:p>
            <w:pPr>
              <w:spacing w:line="360" w:lineRule="auto"/>
              <w:ind w:firstLine="420" w:firstLineChars="200"/>
              <w:rPr>
                <w:rFonts w:hint="eastAsia" w:asciiTheme="minorEastAsia" w:hAnsiTheme="minorEastAsia"/>
                <w:szCs w:val="21"/>
              </w:rPr>
            </w:pPr>
          </w:p>
        </w:tc>
      </w:tr>
    </w:tbl>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hint="eastAsia" w:asciiTheme="minorEastAsia" w:hAnsiTheme="minorEastAsia"/>
                <w:color w:val="000000"/>
                <w:szCs w:val="21"/>
              </w:rPr>
            </w:pPr>
          </w:p>
        </w:tc>
      </w:tr>
    </w:tbl>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hint="eastAsia" w:asciiTheme="minorEastAsia" w:hAnsiTheme="minorEastAsia"/>
          <w:szCs w:val="21"/>
        </w:rPr>
      </w:pPr>
      <w:bookmarkStart w:id="158"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pPr>
        <w:tabs>
          <w:tab w:val="left" w:pos="900"/>
        </w:tabs>
        <w:spacing w:line="360" w:lineRule="auto"/>
        <w:ind w:firstLine="420" w:firstLineChars="200"/>
        <w:rPr>
          <w:rFonts w:hint="eastAsia"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pPr>
        <w:spacing w:line="360" w:lineRule="auto"/>
        <w:ind w:firstLine="420" w:firstLineChars="200"/>
        <w:rPr>
          <w:rFonts w:hint="eastAsia"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hint="eastAsia"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3"/>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tabs>
          <w:tab w:val="left" w:pos="5115"/>
        </w:tabs>
        <w:spacing w:line="360" w:lineRule="auto"/>
        <w:ind w:firstLine="420" w:firstLineChars="200"/>
        <w:rPr>
          <w:rFonts w:hint="eastAsia" w:asciiTheme="minorEastAsia" w:hAnsiTheme="minorEastAsia"/>
          <w:szCs w:val="21"/>
        </w:rPr>
      </w:pPr>
      <w:r>
        <w:rPr>
          <w:rFonts w:asciiTheme="minorEastAsia" w:hAnsiTheme="minorEastAsia"/>
          <w:szCs w:val="21"/>
        </w:rPr>
        <w:tab/>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bookmarkStart w:id="165" w:name="_Toc3861"/>
      <w:bookmarkStart w:id="166"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bookmarkEnd w:id="166"/>
    </w:p>
    <w:p>
      <w:pPr>
        <w:keepNext/>
        <w:keepLines/>
        <w:spacing w:before="160" w:after="170"/>
        <w:ind w:firstLine="602" w:firstLineChars="200"/>
        <w:jc w:val="center"/>
        <w:outlineLvl w:val="4"/>
        <w:rPr>
          <w:b/>
          <w:bCs/>
          <w:sz w:val="30"/>
          <w:szCs w:val="28"/>
        </w:rPr>
      </w:pPr>
      <w:bookmarkStart w:id="167" w:name="_Toc55548548"/>
      <w:r>
        <w:rPr>
          <w:rFonts w:hint="eastAsia"/>
          <w:b/>
          <w:bCs/>
          <w:sz w:val="30"/>
          <w:szCs w:val="28"/>
        </w:rPr>
        <w:t>售后服务方案</w:t>
      </w:r>
      <w:bookmarkEnd w:id="167"/>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hint="eastAsia"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hint="eastAsia"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68" w:name="_Hlk109050125"/>
      <w:r>
        <w:rPr>
          <w:rFonts w:hint="eastAsia"/>
          <w:b/>
        </w:rPr>
        <w:t>技术规格偏离表</w:t>
      </w:r>
    </w:p>
    <w:bookmarkEnd w:id="168"/>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r>
              <w:rPr>
                <w:rFonts w:hint="eastAsia" w:ascii="宋体" w:hAnsi="宋体"/>
                <w:szCs w:val="21"/>
              </w:rPr>
              <w:t>序号</w:t>
            </w:r>
          </w:p>
        </w:tc>
        <w:tc>
          <w:tcPr>
            <w:tcW w:w="1418" w:type="dxa"/>
            <w:vAlign w:val="center"/>
          </w:tcPr>
          <w:p>
            <w:pPr>
              <w:spacing w:line="360" w:lineRule="auto"/>
              <w:jc w:val="center"/>
              <w:rPr>
                <w:rFonts w:hint="eastAsia" w:ascii="宋体" w:hAnsi="宋体"/>
                <w:szCs w:val="21"/>
              </w:rPr>
            </w:pPr>
            <w:r>
              <w:rPr>
                <w:rFonts w:hint="eastAsia" w:ascii="宋体" w:hAnsi="宋体"/>
                <w:szCs w:val="21"/>
              </w:rPr>
              <w:t>货物名称</w:t>
            </w:r>
          </w:p>
        </w:tc>
        <w:tc>
          <w:tcPr>
            <w:tcW w:w="2482" w:type="dxa"/>
            <w:vAlign w:val="center"/>
          </w:tcPr>
          <w:p>
            <w:pPr>
              <w:spacing w:line="360" w:lineRule="auto"/>
              <w:jc w:val="center"/>
              <w:rPr>
                <w:rFonts w:hint="eastAsia"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hint="eastAsia"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hint="eastAsia" w:ascii="宋体" w:hAnsi="宋体"/>
                <w:szCs w:val="21"/>
              </w:rPr>
            </w:pPr>
            <w:r>
              <w:rPr>
                <w:rFonts w:hint="eastAsia" w:ascii="宋体" w:hAnsi="宋体"/>
                <w:szCs w:val="21"/>
              </w:rPr>
              <w:t>偏离情况</w:t>
            </w:r>
          </w:p>
        </w:tc>
        <w:tc>
          <w:tcPr>
            <w:tcW w:w="2304" w:type="dxa"/>
            <w:vAlign w:val="center"/>
          </w:tcPr>
          <w:p>
            <w:pPr>
              <w:spacing w:line="360" w:lineRule="auto"/>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jc w:val="center"/>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bl>
    <w:p>
      <w:pPr>
        <w:spacing w:line="360" w:lineRule="auto"/>
        <w:ind w:firstLine="420" w:firstLineChars="200"/>
        <w:rPr>
          <w:rFonts w:hint="eastAsia"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jc w:val="right"/>
      <w:rPr>
        <w:sz w:val="21"/>
        <w:szCs w:val="21"/>
      </w:rPr>
    </w:pPr>
    <w:bookmarkStart w:id="169" w:name="_Hlk69568634"/>
    <w:bookmarkStart w:id="170" w:name="_Hlk69568635"/>
    <w:r>
      <w:rPr>
        <w:rFonts w:hint="eastAsia"/>
        <w:sz w:val="21"/>
        <w:szCs w:val="21"/>
      </w:rPr>
      <w:t>深圳市宝安区疾病预防控制中心采购文件</w:t>
    </w:r>
    <w:bookmarkEnd w:id="169"/>
    <w:bookmarkEnd w:id="1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AA52AE2"/>
    <w:multiLevelType w:val="multilevel"/>
    <w:tmpl w:val="5AA52AE2"/>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5F673315"/>
    <w:multiLevelType w:val="multilevel"/>
    <w:tmpl w:val="5F673315"/>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58ba53f7-94ad-4c6f-85f8-7143e45b580a"/>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54F3D"/>
    <w:rsid w:val="000620DD"/>
    <w:rsid w:val="000627B7"/>
    <w:rsid w:val="00063FB1"/>
    <w:rsid w:val="0006774B"/>
    <w:rsid w:val="00073E9D"/>
    <w:rsid w:val="0007537F"/>
    <w:rsid w:val="0007602C"/>
    <w:rsid w:val="00081A9E"/>
    <w:rsid w:val="00081D87"/>
    <w:rsid w:val="00084CCE"/>
    <w:rsid w:val="0008691A"/>
    <w:rsid w:val="00086A0D"/>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D68FB"/>
    <w:rsid w:val="000E5888"/>
    <w:rsid w:val="000F0F3D"/>
    <w:rsid w:val="000F101F"/>
    <w:rsid w:val="000F22EF"/>
    <w:rsid w:val="000F2D0A"/>
    <w:rsid w:val="000F6C66"/>
    <w:rsid w:val="000F708B"/>
    <w:rsid w:val="0010066B"/>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43C"/>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304"/>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3456"/>
    <w:rsid w:val="001C421C"/>
    <w:rsid w:val="001C42E8"/>
    <w:rsid w:val="001C7175"/>
    <w:rsid w:val="001C7613"/>
    <w:rsid w:val="001D1242"/>
    <w:rsid w:val="001D1989"/>
    <w:rsid w:val="001D283D"/>
    <w:rsid w:val="001D5451"/>
    <w:rsid w:val="001D7F0D"/>
    <w:rsid w:val="001E5120"/>
    <w:rsid w:val="001F5585"/>
    <w:rsid w:val="00202216"/>
    <w:rsid w:val="002023D7"/>
    <w:rsid w:val="00204EC0"/>
    <w:rsid w:val="00205563"/>
    <w:rsid w:val="00205A0F"/>
    <w:rsid w:val="00207D31"/>
    <w:rsid w:val="002137BD"/>
    <w:rsid w:val="0021666D"/>
    <w:rsid w:val="00216C6D"/>
    <w:rsid w:val="00217F05"/>
    <w:rsid w:val="002219B9"/>
    <w:rsid w:val="002243E9"/>
    <w:rsid w:val="0022497B"/>
    <w:rsid w:val="00226F6C"/>
    <w:rsid w:val="00227BE1"/>
    <w:rsid w:val="00227CFD"/>
    <w:rsid w:val="0023071D"/>
    <w:rsid w:val="00232ED4"/>
    <w:rsid w:val="00234ACA"/>
    <w:rsid w:val="002350B3"/>
    <w:rsid w:val="00235B08"/>
    <w:rsid w:val="00236C40"/>
    <w:rsid w:val="002429FB"/>
    <w:rsid w:val="00245BA9"/>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9A8"/>
    <w:rsid w:val="00273DD4"/>
    <w:rsid w:val="00274ADF"/>
    <w:rsid w:val="00274F47"/>
    <w:rsid w:val="00275639"/>
    <w:rsid w:val="002830A3"/>
    <w:rsid w:val="00283FB4"/>
    <w:rsid w:val="002844D3"/>
    <w:rsid w:val="002849C2"/>
    <w:rsid w:val="00285211"/>
    <w:rsid w:val="00287092"/>
    <w:rsid w:val="0028748D"/>
    <w:rsid w:val="002905B6"/>
    <w:rsid w:val="0029095D"/>
    <w:rsid w:val="00291C54"/>
    <w:rsid w:val="002969AC"/>
    <w:rsid w:val="00297795"/>
    <w:rsid w:val="002A4499"/>
    <w:rsid w:val="002A5BFA"/>
    <w:rsid w:val="002B7314"/>
    <w:rsid w:val="002C089E"/>
    <w:rsid w:val="002C0C26"/>
    <w:rsid w:val="002C12DB"/>
    <w:rsid w:val="002C4251"/>
    <w:rsid w:val="002D063D"/>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14BC"/>
    <w:rsid w:val="00312AEB"/>
    <w:rsid w:val="00314147"/>
    <w:rsid w:val="00314D97"/>
    <w:rsid w:val="00320C6D"/>
    <w:rsid w:val="003234C1"/>
    <w:rsid w:val="00323F20"/>
    <w:rsid w:val="003259E0"/>
    <w:rsid w:val="00327B91"/>
    <w:rsid w:val="00331BF3"/>
    <w:rsid w:val="003339BF"/>
    <w:rsid w:val="0033454E"/>
    <w:rsid w:val="00335D20"/>
    <w:rsid w:val="00336B2B"/>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1518"/>
    <w:rsid w:val="0039298C"/>
    <w:rsid w:val="003948C4"/>
    <w:rsid w:val="00395BD5"/>
    <w:rsid w:val="003A1AAA"/>
    <w:rsid w:val="003A2EF2"/>
    <w:rsid w:val="003B2B54"/>
    <w:rsid w:val="003B4C25"/>
    <w:rsid w:val="003B533D"/>
    <w:rsid w:val="003B5F69"/>
    <w:rsid w:val="003B664A"/>
    <w:rsid w:val="003C2BD3"/>
    <w:rsid w:val="003C5519"/>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260C9"/>
    <w:rsid w:val="00426ED1"/>
    <w:rsid w:val="00430C33"/>
    <w:rsid w:val="00431B05"/>
    <w:rsid w:val="00432BF0"/>
    <w:rsid w:val="004434FC"/>
    <w:rsid w:val="00444B83"/>
    <w:rsid w:val="004478C6"/>
    <w:rsid w:val="004503FE"/>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1DD3"/>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4DC"/>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308C"/>
    <w:rsid w:val="004E46CB"/>
    <w:rsid w:val="004E725F"/>
    <w:rsid w:val="004F0148"/>
    <w:rsid w:val="004F2B76"/>
    <w:rsid w:val="004F3645"/>
    <w:rsid w:val="004F570E"/>
    <w:rsid w:val="00500D01"/>
    <w:rsid w:val="00504CFF"/>
    <w:rsid w:val="00505176"/>
    <w:rsid w:val="00506D14"/>
    <w:rsid w:val="0051196C"/>
    <w:rsid w:val="0051279C"/>
    <w:rsid w:val="005137DA"/>
    <w:rsid w:val="00513BF2"/>
    <w:rsid w:val="005173A6"/>
    <w:rsid w:val="005214AC"/>
    <w:rsid w:val="00521779"/>
    <w:rsid w:val="00521E40"/>
    <w:rsid w:val="00521EBF"/>
    <w:rsid w:val="00526344"/>
    <w:rsid w:val="00527EDC"/>
    <w:rsid w:val="00531911"/>
    <w:rsid w:val="00532B33"/>
    <w:rsid w:val="00535144"/>
    <w:rsid w:val="005352E1"/>
    <w:rsid w:val="00535430"/>
    <w:rsid w:val="00536246"/>
    <w:rsid w:val="005472BC"/>
    <w:rsid w:val="0054740D"/>
    <w:rsid w:val="00552059"/>
    <w:rsid w:val="00552C93"/>
    <w:rsid w:val="005561D7"/>
    <w:rsid w:val="00561C21"/>
    <w:rsid w:val="00561D31"/>
    <w:rsid w:val="00563895"/>
    <w:rsid w:val="005645E6"/>
    <w:rsid w:val="0056787E"/>
    <w:rsid w:val="00567D46"/>
    <w:rsid w:val="00575615"/>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A67A1"/>
    <w:rsid w:val="005B22A4"/>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0466"/>
    <w:rsid w:val="005E11F0"/>
    <w:rsid w:val="005E12D5"/>
    <w:rsid w:val="005F3217"/>
    <w:rsid w:val="005F34BB"/>
    <w:rsid w:val="005F4BD9"/>
    <w:rsid w:val="005F72F4"/>
    <w:rsid w:val="005F73F0"/>
    <w:rsid w:val="006058BB"/>
    <w:rsid w:val="00606500"/>
    <w:rsid w:val="00606715"/>
    <w:rsid w:val="00611947"/>
    <w:rsid w:val="00617363"/>
    <w:rsid w:val="00621F05"/>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3665"/>
    <w:rsid w:val="006B10AC"/>
    <w:rsid w:val="006B15B6"/>
    <w:rsid w:val="006B1DB6"/>
    <w:rsid w:val="006B2D41"/>
    <w:rsid w:val="006B2FC4"/>
    <w:rsid w:val="006B302C"/>
    <w:rsid w:val="006B39F9"/>
    <w:rsid w:val="006B5CA7"/>
    <w:rsid w:val="006C2747"/>
    <w:rsid w:val="006C5653"/>
    <w:rsid w:val="006C60D3"/>
    <w:rsid w:val="006D0495"/>
    <w:rsid w:val="006D0AA6"/>
    <w:rsid w:val="006D1068"/>
    <w:rsid w:val="006D36F6"/>
    <w:rsid w:val="006D52B6"/>
    <w:rsid w:val="006D63F9"/>
    <w:rsid w:val="006D67E5"/>
    <w:rsid w:val="006D74CC"/>
    <w:rsid w:val="006E3571"/>
    <w:rsid w:val="006F34C6"/>
    <w:rsid w:val="006F41DA"/>
    <w:rsid w:val="00705BD8"/>
    <w:rsid w:val="007067D3"/>
    <w:rsid w:val="0071157C"/>
    <w:rsid w:val="00712BD7"/>
    <w:rsid w:val="00715E57"/>
    <w:rsid w:val="00721170"/>
    <w:rsid w:val="007231EE"/>
    <w:rsid w:val="0072335A"/>
    <w:rsid w:val="00724B87"/>
    <w:rsid w:val="0072569C"/>
    <w:rsid w:val="00726C53"/>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3E51"/>
    <w:rsid w:val="007754EA"/>
    <w:rsid w:val="007911A0"/>
    <w:rsid w:val="00792052"/>
    <w:rsid w:val="0079207E"/>
    <w:rsid w:val="00793A6A"/>
    <w:rsid w:val="00793E70"/>
    <w:rsid w:val="00795EEA"/>
    <w:rsid w:val="007A2875"/>
    <w:rsid w:val="007A31B9"/>
    <w:rsid w:val="007A351F"/>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0F1B"/>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1E49"/>
    <w:rsid w:val="008737E6"/>
    <w:rsid w:val="008747B2"/>
    <w:rsid w:val="00875B2C"/>
    <w:rsid w:val="0087626E"/>
    <w:rsid w:val="00877379"/>
    <w:rsid w:val="008807FE"/>
    <w:rsid w:val="00881C68"/>
    <w:rsid w:val="0088252F"/>
    <w:rsid w:val="00885641"/>
    <w:rsid w:val="008861D0"/>
    <w:rsid w:val="00886513"/>
    <w:rsid w:val="00887EC0"/>
    <w:rsid w:val="00893352"/>
    <w:rsid w:val="00893BD2"/>
    <w:rsid w:val="00897687"/>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87D"/>
    <w:rsid w:val="008D19C5"/>
    <w:rsid w:val="008D1E8F"/>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3232"/>
    <w:rsid w:val="0093453E"/>
    <w:rsid w:val="009419C6"/>
    <w:rsid w:val="00945543"/>
    <w:rsid w:val="00945D1E"/>
    <w:rsid w:val="009462F5"/>
    <w:rsid w:val="00947380"/>
    <w:rsid w:val="009509C6"/>
    <w:rsid w:val="00953BDB"/>
    <w:rsid w:val="009550B7"/>
    <w:rsid w:val="009551C2"/>
    <w:rsid w:val="00955F27"/>
    <w:rsid w:val="009577F3"/>
    <w:rsid w:val="00957AAC"/>
    <w:rsid w:val="00963C1D"/>
    <w:rsid w:val="00966013"/>
    <w:rsid w:val="009763C1"/>
    <w:rsid w:val="00977FBA"/>
    <w:rsid w:val="009817D5"/>
    <w:rsid w:val="009828B2"/>
    <w:rsid w:val="00983F17"/>
    <w:rsid w:val="00986C27"/>
    <w:rsid w:val="009940DA"/>
    <w:rsid w:val="009A14F1"/>
    <w:rsid w:val="009A14FC"/>
    <w:rsid w:val="009A2C14"/>
    <w:rsid w:val="009A2D94"/>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5340"/>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6EA2"/>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C85"/>
    <w:rsid w:val="00A55C4F"/>
    <w:rsid w:val="00A55D91"/>
    <w:rsid w:val="00A56485"/>
    <w:rsid w:val="00A57EBB"/>
    <w:rsid w:val="00A60952"/>
    <w:rsid w:val="00A60D7F"/>
    <w:rsid w:val="00A60D89"/>
    <w:rsid w:val="00A60EC4"/>
    <w:rsid w:val="00A61F90"/>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7BC"/>
    <w:rsid w:val="00AC0D8B"/>
    <w:rsid w:val="00AC3837"/>
    <w:rsid w:val="00AC44F0"/>
    <w:rsid w:val="00AC5EF8"/>
    <w:rsid w:val="00AD2111"/>
    <w:rsid w:val="00AD21D5"/>
    <w:rsid w:val="00AD42B4"/>
    <w:rsid w:val="00AD50B7"/>
    <w:rsid w:val="00AD7E8D"/>
    <w:rsid w:val="00AE032D"/>
    <w:rsid w:val="00AE449B"/>
    <w:rsid w:val="00AE72AB"/>
    <w:rsid w:val="00AE76C7"/>
    <w:rsid w:val="00AE78B1"/>
    <w:rsid w:val="00AF2E0D"/>
    <w:rsid w:val="00AF3EA3"/>
    <w:rsid w:val="00AF4405"/>
    <w:rsid w:val="00AF740C"/>
    <w:rsid w:val="00B00ACC"/>
    <w:rsid w:val="00B00C44"/>
    <w:rsid w:val="00B00ED0"/>
    <w:rsid w:val="00B02508"/>
    <w:rsid w:val="00B02C9B"/>
    <w:rsid w:val="00B0526C"/>
    <w:rsid w:val="00B13AB1"/>
    <w:rsid w:val="00B15B96"/>
    <w:rsid w:val="00B17A94"/>
    <w:rsid w:val="00B21FB4"/>
    <w:rsid w:val="00B27035"/>
    <w:rsid w:val="00B276CC"/>
    <w:rsid w:val="00B30B35"/>
    <w:rsid w:val="00B32F32"/>
    <w:rsid w:val="00B331DF"/>
    <w:rsid w:val="00B35B9D"/>
    <w:rsid w:val="00B4196D"/>
    <w:rsid w:val="00B42A58"/>
    <w:rsid w:val="00B4633F"/>
    <w:rsid w:val="00B50DB2"/>
    <w:rsid w:val="00B524CE"/>
    <w:rsid w:val="00B5284E"/>
    <w:rsid w:val="00B52968"/>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00F7"/>
    <w:rsid w:val="00BA1DAD"/>
    <w:rsid w:val="00BA25AD"/>
    <w:rsid w:val="00BA28BD"/>
    <w:rsid w:val="00BA5D8C"/>
    <w:rsid w:val="00BC0516"/>
    <w:rsid w:val="00BC26BF"/>
    <w:rsid w:val="00BC2FED"/>
    <w:rsid w:val="00BC3264"/>
    <w:rsid w:val="00BC3A3D"/>
    <w:rsid w:val="00BC4182"/>
    <w:rsid w:val="00BC4AA0"/>
    <w:rsid w:val="00BC71EC"/>
    <w:rsid w:val="00BD0B8A"/>
    <w:rsid w:val="00BD351E"/>
    <w:rsid w:val="00BD46C4"/>
    <w:rsid w:val="00BD5C35"/>
    <w:rsid w:val="00BD7DAB"/>
    <w:rsid w:val="00BE1D99"/>
    <w:rsid w:val="00BE23B9"/>
    <w:rsid w:val="00BE4657"/>
    <w:rsid w:val="00BE5986"/>
    <w:rsid w:val="00BF1223"/>
    <w:rsid w:val="00BF3ADD"/>
    <w:rsid w:val="00BF51A1"/>
    <w:rsid w:val="00BF6E77"/>
    <w:rsid w:val="00C00565"/>
    <w:rsid w:val="00C0683B"/>
    <w:rsid w:val="00C11BAF"/>
    <w:rsid w:val="00C17C22"/>
    <w:rsid w:val="00C20EEA"/>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22AE"/>
    <w:rsid w:val="00C63322"/>
    <w:rsid w:val="00C63DBA"/>
    <w:rsid w:val="00C66F8B"/>
    <w:rsid w:val="00C6752C"/>
    <w:rsid w:val="00C70EAA"/>
    <w:rsid w:val="00C77418"/>
    <w:rsid w:val="00C87668"/>
    <w:rsid w:val="00C9059A"/>
    <w:rsid w:val="00C912A5"/>
    <w:rsid w:val="00C92E18"/>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5694"/>
    <w:rsid w:val="00CC6334"/>
    <w:rsid w:val="00CC7092"/>
    <w:rsid w:val="00CC7F32"/>
    <w:rsid w:val="00CD44F8"/>
    <w:rsid w:val="00CD584F"/>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2C4"/>
    <w:rsid w:val="00D246A8"/>
    <w:rsid w:val="00D24885"/>
    <w:rsid w:val="00D26440"/>
    <w:rsid w:val="00D27C91"/>
    <w:rsid w:val="00D319C3"/>
    <w:rsid w:val="00D407CB"/>
    <w:rsid w:val="00D428A8"/>
    <w:rsid w:val="00D4292D"/>
    <w:rsid w:val="00D42B1C"/>
    <w:rsid w:val="00D454CB"/>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1A0"/>
    <w:rsid w:val="00DD5591"/>
    <w:rsid w:val="00DD5D15"/>
    <w:rsid w:val="00DD7C57"/>
    <w:rsid w:val="00DE39A2"/>
    <w:rsid w:val="00DE6373"/>
    <w:rsid w:val="00DE63AC"/>
    <w:rsid w:val="00DF0796"/>
    <w:rsid w:val="00DF127E"/>
    <w:rsid w:val="00DF2ECA"/>
    <w:rsid w:val="00DF446C"/>
    <w:rsid w:val="00DF768B"/>
    <w:rsid w:val="00DF77E7"/>
    <w:rsid w:val="00E0265E"/>
    <w:rsid w:val="00E045A1"/>
    <w:rsid w:val="00E05A31"/>
    <w:rsid w:val="00E07FA0"/>
    <w:rsid w:val="00E11798"/>
    <w:rsid w:val="00E17025"/>
    <w:rsid w:val="00E17EA3"/>
    <w:rsid w:val="00E20A7B"/>
    <w:rsid w:val="00E24406"/>
    <w:rsid w:val="00E24B4A"/>
    <w:rsid w:val="00E31592"/>
    <w:rsid w:val="00E32D31"/>
    <w:rsid w:val="00E4039F"/>
    <w:rsid w:val="00E419E0"/>
    <w:rsid w:val="00E452D2"/>
    <w:rsid w:val="00E45C42"/>
    <w:rsid w:val="00E477F2"/>
    <w:rsid w:val="00E47A8D"/>
    <w:rsid w:val="00E5125C"/>
    <w:rsid w:val="00E55EFA"/>
    <w:rsid w:val="00E56E41"/>
    <w:rsid w:val="00E60DCF"/>
    <w:rsid w:val="00E62194"/>
    <w:rsid w:val="00E66D09"/>
    <w:rsid w:val="00E71544"/>
    <w:rsid w:val="00E747E7"/>
    <w:rsid w:val="00E7494D"/>
    <w:rsid w:val="00E757A4"/>
    <w:rsid w:val="00E76A06"/>
    <w:rsid w:val="00E76D2D"/>
    <w:rsid w:val="00E774D0"/>
    <w:rsid w:val="00E810BD"/>
    <w:rsid w:val="00E81975"/>
    <w:rsid w:val="00E81F69"/>
    <w:rsid w:val="00E83D09"/>
    <w:rsid w:val="00E85D49"/>
    <w:rsid w:val="00E8649E"/>
    <w:rsid w:val="00E91443"/>
    <w:rsid w:val="00E91CF0"/>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1F97"/>
    <w:rsid w:val="00F02352"/>
    <w:rsid w:val="00F03DAF"/>
    <w:rsid w:val="00F04551"/>
    <w:rsid w:val="00F05A6D"/>
    <w:rsid w:val="00F07DFD"/>
    <w:rsid w:val="00F10924"/>
    <w:rsid w:val="00F109D0"/>
    <w:rsid w:val="00F15312"/>
    <w:rsid w:val="00F153E2"/>
    <w:rsid w:val="00F16D96"/>
    <w:rsid w:val="00F16E9E"/>
    <w:rsid w:val="00F172AE"/>
    <w:rsid w:val="00F216C4"/>
    <w:rsid w:val="00F21C53"/>
    <w:rsid w:val="00F22DC0"/>
    <w:rsid w:val="00F24299"/>
    <w:rsid w:val="00F277EB"/>
    <w:rsid w:val="00F27C48"/>
    <w:rsid w:val="00F3076C"/>
    <w:rsid w:val="00F32963"/>
    <w:rsid w:val="00F403B2"/>
    <w:rsid w:val="00F414BC"/>
    <w:rsid w:val="00F447B7"/>
    <w:rsid w:val="00F4480E"/>
    <w:rsid w:val="00F51571"/>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5976"/>
    <w:rsid w:val="00F77BE9"/>
    <w:rsid w:val="00F80E67"/>
    <w:rsid w:val="00F8219C"/>
    <w:rsid w:val="00F835A4"/>
    <w:rsid w:val="00F842A9"/>
    <w:rsid w:val="00F84912"/>
    <w:rsid w:val="00F86D11"/>
    <w:rsid w:val="00F906CB"/>
    <w:rsid w:val="00F90FC8"/>
    <w:rsid w:val="00F914A2"/>
    <w:rsid w:val="00F91577"/>
    <w:rsid w:val="00F944AB"/>
    <w:rsid w:val="00F96976"/>
    <w:rsid w:val="00F96D60"/>
    <w:rsid w:val="00FA22E9"/>
    <w:rsid w:val="00FA4902"/>
    <w:rsid w:val="00FB11DA"/>
    <w:rsid w:val="00FB1917"/>
    <w:rsid w:val="00FB6E20"/>
    <w:rsid w:val="00FC097B"/>
    <w:rsid w:val="00FC5177"/>
    <w:rsid w:val="00FD18F3"/>
    <w:rsid w:val="00FD2559"/>
    <w:rsid w:val="00FD2E15"/>
    <w:rsid w:val="00FD3F8A"/>
    <w:rsid w:val="00FD484A"/>
    <w:rsid w:val="00FE305B"/>
    <w:rsid w:val="00FE3355"/>
    <w:rsid w:val="00FE3D27"/>
    <w:rsid w:val="00FE4F9C"/>
    <w:rsid w:val="00FF21D8"/>
    <w:rsid w:val="00FF48FD"/>
    <w:rsid w:val="00FF5757"/>
    <w:rsid w:val="00FF6133"/>
    <w:rsid w:val="00FF7D0D"/>
    <w:rsid w:val="04B95D27"/>
    <w:rsid w:val="05A86160"/>
    <w:rsid w:val="0D2F096C"/>
    <w:rsid w:val="120A5960"/>
    <w:rsid w:val="24930B4D"/>
    <w:rsid w:val="2F292845"/>
    <w:rsid w:val="3ECF5007"/>
    <w:rsid w:val="408D55B4"/>
    <w:rsid w:val="437763C1"/>
    <w:rsid w:val="48F73E04"/>
    <w:rsid w:val="4A0E6F0B"/>
    <w:rsid w:val="4A912D42"/>
    <w:rsid w:val="4B7D49B2"/>
    <w:rsid w:val="5E9A3D53"/>
    <w:rsid w:val="64B9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30</Pages>
  <Words>16631</Words>
  <Characters>16988</Characters>
  <Lines>127</Lines>
  <Paragraphs>35</Paragraphs>
  <TotalTime>63</TotalTime>
  <ScaleCrop>false</ScaleCrop>
  <LinksUpToDate>false</LinksUpToDate>
  <CharactersWithSpaces>17315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2022-06-01T10:41:00Z</cp:lastPrinted>
  <dcterms:modified xsi:type="dcterms:W3CDTF">2024-09-19T03:23:33Z</dcterms:modified>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E96BA5E745A04FB4A19AD977ABAB9CB1_13</vt:lpwstr>
  </property>
</Properties>
</file>