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2ECE99">
      <w:pPr>
        <w:widowControl/>
        <w:spacing w:line="360" w:lineRule="atLeast"/>
        <w:jc w:val="center"/>
        <w:rPr>
          <w:rFonts w:asciiTheme="minorEastAsia" w:hAnsiTheme="minorEastAsia" w:eastAsiaTheme="minorEastAsia"/>
          <w:b/>
          <w:bCs/>
          <w:color w:val="003368"/>
          <w:sz w:val="36"/>
          <w:szCs w:val="36"/>
        </w:rPr>
      </w:pPr>
    </w:p>
    <w:p w14:paraId="4C7ABE69">
      <w:pPr>
        <w:widowControl/>
        <w:spacing w:line="360" w:lineRule="atLeast"/>
        <w:jc w:val="center"/>
        <w:rPr>
          <w:rFonts w:hint="eastAsia" w:asciiTheme="minorEastAsia" w:hAnsiTheme="minorEastAsia" w:eastAsiaTheme="minorEastAsia"/>
          <w:b/>
          <w:bCs/>
          <w:color w:val="003368"/>
          <w:sz w:val="32"/>
          <w:szCs w:val="32"/>
          <w:lang w:eastAsia="zh-CN"/>
        </w:rPr>
      </w:pPr>
      <w:r>
        <w:rPr>
          <w:rFonts w:asciiTheme="minorEastAsia" w:hAnsiTheme="minorEastAsia" w:eastAsiaTheme="minorEastAsia"/>
          <w:b/>
          <w:bCs/>
          <w:color w:val="003368"/>
          <w:sz w:val="32"/>
          <w:szCs w:val="32"/>
        </w:rPr>
        <w:t>深圳市宝安</w:t>
      </w:r>
      <w:r>
        <w:rPr>
          <w:rFonts w:hint="eastAsia" w:asciiTheme="minorEastAsia" w:hAnsiTheme="minorEastAsia" w:eastAsiaTheme="minorEastAsia"/>
          <w:b/>
          <w:bCs/>
          <w:color w:val="003368"/>
          <w:sz w:val="32"/>
          <w:szCs w:val="32"/>
        </w:rPr>
        <w:t>区石岩</w:t>
      </w:r>
      <w:r>
        <w:rPr>
          <w:rFonts w:asciiTheme="minorEastAsia" w:hAnsiTheme="minorEastAsia" w:eastAsiaTheme="minorEastAsia"/>
          <w:b/>
          <w:bCs/>
          <w:color w:val="003368"/>
          <w:sz w:val="32"/>
          <w:szCs w:val="32"/>
        </w:rPr>
        <w:t>人民医院</w:t>
      </w:r>
    </w:p>
    <w:p w14:paraId="20C53430">
      <w:pPr>
        <w:widowControl/>
        <w:spacing w:line="360" w:lineRule="atLeast"/>
        <w:jc w:val="center"/>
        <w:rPr>
          <w:rFonts w:cs="Times New Roman" w:asciiTheme="minorEastAsia" w:hAnsiTheme="minorEastAsia" w:eastAsiaTheme="minorEastAsia"/>
          <w:b/>
          <w:bCs/>
          <w:color w:val="003368"/>
          <w:sz w:val="32"/>
          <w:szCs w:val="32"/>
        </w:rPr>
      </w:pPr>
      <w:r>
        <w:rPr>
          <w:rFonts w:asciiTheme="minorEastAsia" w:hAnsiTheme="minorEastAsia" w:eastAsiaTheme="minorEastAsia"/>
          <w:b/>
          <w:bCs/>
          <w:color w:val="003368"/>
          <w:sz w:val="32"/>
          <w:szCs w:val="32"/>
        </w:rPr>
        <w:t>202</w:t>
      </w:r>
      <w:r>
        <w:rPr>
          <w:rFonts w:hint="eastAsia" w:asciiTheme="minorEastAsia" w:hAnsiTheme="minorEastAsia" w:eastAsiaTheme="minorEastAsia"/>
          <w:b/>
          <w:bCs/>
          <w:color w:val="003368"/>
          <w:sz w:val="32"/>
          <w:szCs w:val="32"/>
          <w:lang w:val="en-US" w:eastAsia="zh-CN"/>
        </w:rPr>
        <w:t>4</w:t>
      </w:r>
      <w:r>
        <w:rPr>
          <w:rFonts w:asciiTheme="minorEastAsia" w:hAnsiTheme="minorEastAsia" w:eastAsiaTheme="minorEastAsia"/>
          <w:b/>
          <w:bCs/>
          <w:color w:val="003368"/>
          <w:sz w:val="32"/>
          <w:szCs w:val="32"/>
        </w:rPr>
        <w:t>年第</w:t>
      </w:r>
      <w:r>
        <w:rPr>
          <w:rFonts w:hint="eastAsia" w:asciiTheme="minorEastAsia" w:hAnsiTheme="minorEastAsia" w:eastAsiaTheme="minorEastAsia"/>
          <w:b/>
          <w:bCs/>
          <w:color w:val="003368"/>
          <w:sz w:val="32"/>
          <w:szCs w:val="32"/>
          <w:lang w:val="en-US" w:eastAsia="zh-CN"/>
        </w:rPr>
        <w:t>52</w:t>
      </w:r>
      <w:r>
        <w:rPr>
          <w:rFonts w:hint="eastAsia" w:cs="Times New Roman" w:asciiTheme="minorEastAsia" w:hAnsiTheme="minorEastAsia" w:eastAsiaTheme="minorEastAsia"/>
          <w:b/>
          <w:bCs/>
          <w:color w:val="003368"/>
          <w:sz w:val="32"/>
          <w:szCs w:val="32"/>
          <w:lang w:val="en-US" w:eastAsia="zh-CN"/>
        </w:rPr>
        <w:t>期医用家具</w:t>
      </w:r>
      <w:r>
        <w:rPr>
          <w:rFonts w:hint="eastAsia" w:asciiTheme="minorEastAsia" w:hAnsiTheme="minorEastAsia" w:eastAsiaTheme="minorEastAsia"/>
          <w:b/>
          <w:bCs/>
          <w:color w:val="003368"/>
          <w:sz w:val="32"/>
          <w:szCs w:val="32"/>
          <w:lang w:val="en-US" w:eastAsia="zh-CN"/>
        </w:rPr>
        <w:t>采购公告</w:t>
      </w:r>
    </w:p>
    <w:p w14:paraId="20C52D8F">
      <w:pPr>
        <w:widowControl/>
        <w:ind w:left="1"/>
        <w:jc w:val="center"/>
        <w:rPr>
          <w:rFonts w:hint="default" w:asciiTheme="minorEastAsia" w:hAnsiTheme="minorEastAsia" w:eastAsiaTheme="minorEastAsia"/>
          <w:b/>
          <w:bCs/>
          <w:color w:val="003368"/>
          <w:sz w:val="28"/>
          <w:szCs w:val="28"/>
          <w:lang w:val="en-US" w:eastAsia="zh-CN"/>
        </w:rPr>
      </w:pPr>
      <w:r>
        <w:rPr>
          <w:rFonts w:hint="eastAsia" w:asciiTheme="minorEastAsia" w:hAnsiTheme="minorEastAsia" w:eastAsiaTheme="minorEastAsia"/>
          <w:b/>
          <w:bCs/>
          <w:color w:val="003368"/>
          <w:sz w:val="28"/>
          <w:szCs w:val="28"/>
          <w:lang w:eastAsia="zh-CN"/>
        </w:rPr>
        <w:t>项目编号</w:t>
      </w:r>
      <w:r>
        <w:rPr>
          <w:rFonts w:asciiTheme="minorEastAsia" w:hAnsiTheme="minorEastAsia" w:eastAsiaTheme="minorEastAsia"/>
          <w:b/>
          <w:bCs/>
          <w:color w:val="003368"/>
          <w:sz w:val="28"/>
          <w:szCs w:val="28"/>
        </w:rPr>
        <w:t>:</w:t>
      </w:r>
      <w:r>
        <w:rPr>
          <w:rFonts w:hint="eastAsia" w:asciiTheme="minorEastAsia" w:hAnsiTheme="minorEastAsia" w:eastAsiaTheme="minorEastAsia"/>
          <w:b/>
          <w:bCs/>
          <w:color w:val="003368"/>
          <w:sz w:val="28"/>
          <w:szCs w:val="28"/>
        </w:rPr>
        <w:t>SYY</w:t>
      </w:r>
      <w:r>
        <w:rPr>
          <w:rFonts w:asciiTheme="minorEastAsia" w:hAnsiTheme="minorEastAsia" w:eastAsiaTheme="minorEastAsia"/>
          <w:b/>
          <w:bCs/>
          <w:color w:val="003368"/>
          <w:sz w:val="28"/>
          <w:szCs w:val="28"/>
        </w:rPr>
        <w:t>YZBCG202</w:t>
      </w:r>
      <w:r>
        <w:rPr>
          <w:rFonts w:hint="eastAsia" w:asciiTheme="minorEastAsia" w:hAnsiTheme="minorEastAsia" w:eastAsiaTheme="minorEastAsia"/>
          <w:b/>
          <w:bCs/>
          <w:color w:val="003368"/>
          <w:sz w:val="28"/>
          <w:szCs w:val="28"/>
          <w:lang w:val="en-US" w:eastAsia="zh-CN"/>
        </w:rPr>
        <w:t>4</w:t>
      </w:r>
      <w:r>
        <w:rPr>
          <w:rFonts w:asciiTheme="minorEastAsia" w:hAnsiTheme="minorEastAsia" w:eastAsiaTheme="minorEastAsia"/>
          <w:b/>
          <w:bCs/>
          <w:color w:val="003368"/>
          <w:sz w:val="28"/>
          <w:szCs w:val="28"/>
        </w:rPr>
        <w:t>-</w:t>
      </w:r>
      <w:r>
        <w:rPr>
          <w:rFonts w:hint="eastAsia" w:asciiTheme="minorEastAsia" w:hAnsiTheme="minorEastAsia" w:eastAsiaTheme="minorEastAsia"/>
          <w:b/>
          <w:bCs/>
          <w:color w:val="003368"/>
          <w:sz w:val="28"/>
          <w:szCs w:val="28"/>
          <w:lang w:val="en-US" w:eastAsia="zh-CN"/>
        </w:rPr>
        <w:t>52</w:t>
      </w:r>
    </w:p>
    <w:p w14:paraId="482BF437">
      <w:pPr>
        <w:widowControl/>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根据国家及省市有关政策和规定,依照公开</w:t>
      </w:r>
      <w:r>
        <w:rPr>
          <w:rFonts w:hint="eastAsia" w:cs="Arial" w:asciiTheme="minorEastAsia" w:hAnsiTheme="minorEastAsia" w:eastAsiaTheme="minorEastAsia"/>
          <w:color w:val="000000"/>
          <w:kern w:val="0"/>
          <w:szCs w:val="21"/>
        </w:rPr>
        <w:t>､公平､公正的原则</w:t>
      </w:r>
      <w:r>
        <w:rPr>
          <w:rFonts w:cs="Arial" w:asciiTheme="minorEastAsia" w:hAnsiTheme="minorEastAsia" w:eastAsiaTheme="minorEastAsia"/>
          <w:color w:val="000000"/>
          <w:kern w:val="0"/>
          <w:szCs w:val="21"/>
        </w:rPr>
        <w:t>,深圳市宝安区石岩人民医院拟对以下项目进行</w:t>
      </w:r>
      <w:r>
        <w:rPr>
          <w:rFonts w:hint="eastAsia" w:cs="Arial" w:asciiTheme="minorEastAsia" w:hAnsiTheme="minorEastAsia" w:eastAsiaTheme="minorEastAsia"/>
          <w:color w:val="000000"/>
          <w:kern w:val="0"/>
          <w:szCs w:val="21"/>
          <w:lang w:val="en-US" w:eastAsia="zh-CN"/>
        </w:rPr>
        <w:t>院内招标</w:t>
      </w:r>
      <w:r>
        <w:rPr>
          <w:rFonts w:cs="Arial" w:asciiTheme="minorEastAsia" w:hAnsiTheme="minorEastAsia" w:eastAsiaTheme="minorEastAsia"/>
          <w:color w:val="000000"/>
          <w:kern w:val="0"/>
          <w:szCs w:val="21"/>
        </w:rPr>
        <w:t>采购,欢迎合格供应商对下列产品和有关服务进行谈判</w:t>
      </w:r>
      <w:r>
        <w:rPr>
          <w:rFonts w:hint="eastAsia" w:cs="Arial" w:asciiTheme="minorEastAsia" w:hAnsiTheme="minorEastAsia" w:eastAsiaTheme="minorEastAsia"/>
          <w:color w:val="000000"/>
          <w:kern w:val="0"/>
          <w:szCs w:val="21"/>
        </w:rPr>
        <w:t>｡公告如下</w:t>
      </w:r>
      <w:r>
        <w:rPr>
          <w:rFonts w:cs="Arial" w:asciiTheme="minorEastAsia" w:hAnsiTheme="minorEastAsia" w:eastAsiaTheme="minorEastAsia"/>
          <w:color w:val="000000"/>
          <w:kern w:val="0"/>
          <w:szCs w:val="21"/>
        </w:rPr>
        <w:t xml:space="preserve">: </w:t>
      </w:r>
    </w:p>
    <w:p w14:paraId="7543149E">
      <w:pPr>
        <w:widowControl/>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w:t>
      </w:r>
      <w:r>
        <w:rPr>
          <w:rFonts w:hint="eastAsia" w:cs="Arial" w:asciiTheme="minorEastAsia" w:hAnsiTheme="minorEastAsia" w:eastAsiaTheme="minorEastAsia"/>
          <w:color w:val="000000"/>
          <w:kern w:val="0"/>
          <w:szCs w:val="21"/>
        </w:rPr>
        <w:t>､采购项目的名称及数量</w:t>
      </w:r>
      <w:r>
        <w:rPr>
          <w:rFonts w:cs="Arial" w:asciiTheme="minorEastAsia" w:hAnsiTheme="minorEastAsia" w:eastAsiaTheme="minorEastAsia"/>
          <w:color w:val="000000"/>
          <w:kern w:val="0"/>
          <w:szCs w:val="21"/>
        </w:rPr>
        <w:t>:</w:t>
      </w:r>
    </w:p>
    <w:tbl>
      <w:tblPr>
        <w:tblStyle w:val="22"/>
        <w:tblW w:w="8204"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690"/>
        <w:gridCol w:w="726"/>
        <w:gridCol w:w="963"/>
        <w:gridCol w:w="1512"/>
        <w:gridCol w:w="2050"/>
      </w:tblGrid>
      <w:tr w14:paraId="5372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263" w:type="dxa"/>
            <w:vAlign w:val="center"/>
          </w:tcPr>
          <w:p w14:paraId="290E0EA0">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项目名称</w:t>
            </w:r>
          </w:p>
        </w:tc>
        <w:tc>
          <w:tcPr>
            <w:tcW w:w="690" w:type="dxa"/>
            <w:vAlign w:val="center"/>
          </w:tcPr>
          <w:p w14:paraId="07DA63C5">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是否进口</w:t>
            </w:r>
          </w:p>
        </w:tc>
        <w:tc>
          <w:tcPr>
            <w:tcW w:w="726" w:type="dxa"/>
            <w:vAlign w:val="center"/>
          </w:tcPr>
          <w:p w14:paraId="375FEB91">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采购数量</w:t>
            </w:r>
          </w:p>
        </w:tc>
        <w:tc>
          <w:tcPr>
            <w:tcW w:w="963" w:type="dxa"/>
            <w:vAlign w:val="center"/>
          </w:tcPr>
          <w:p w14:paraId="66CFE52C">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单位</w:t>
            </w:r>
          </w:p>
        </w:tc>
        <w:tc>
          <w:tcPr>
            <w:tcW w:w="1512" w:type="dxa"/>
            <w:vAlign w:val="center"/>
          </w:tcPr>
          <w:p w14:paraId="63150D89">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使用科室</w:t>
            </w:r>
          </w:p>
        </w:tc>
        <w:tc>
          <w:tcPr>
            <w:tcW w:w="2050" w:type="dxa"/>
            <w:vAlign w:val="center"/>
          </w:tcPr>
          <w:p w14:paraId="5FC9D8C7">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备注</w:t>
            </w:r>
          </w:p>
        </w:tc>
      </w:tr>
      <w:tr w14:paraId="4736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263" w:type="dxa"/>
            <w:vAlign w:val="center"/>
          </w:tcPr>
          <w:p w14:paraId="1478CF1C">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医用家具</w:t>
            </w:r>
          </w:p>
        </w:tc>
        <w:tc>
          <w:tcPr>
            <w:tcW w:w="690" w:type="dxa"/>
            <w:vAlign w:val="center"/>
          </w:tcPr>
          <w:p w14:paraId="6645C05E">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否</w:t>
            </w:r>
          </w:p>
        </w:tc>
        <w:tc>
          <w:tcPr>
            <w:tcW w:w="726" w:type="dxa"/>
            <w:vAlign w:val="center"/>
          </w:tcPr>
          <w:p w14:paraId="435FA6AC">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1</w:t>
            </w:r>
          </w:p>
        </w:tc>
        <w:tc>
          <w:tcPr>
            <w:tcW w:w="963" w:type="dxa"/>
            <w:vAlign w:val="center"/>
          </w:tcPr>
          <w:p w14:paraId="3DB19F79">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cs="宋体"/>
                <w:bCs/>
                <w:sz w:val="21"/>
                <w:szCs w:val="21"/>
                <w:lang w:val="en-US" w:eastAsia="zh-CN"/>
              </w:rPr>
              <w:t>批</w:t>
            </w:r>
          </w:p>
        </w:tc>
        <w:tc>
          <w:tcPr>
            <w:tcW w:w="1512" w:type="dxa"/>
            <w:vAlign w:val="center"/>
          </w:tcPr>
          <w:p w14:paraId="0B162E0A">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静配中心</w:t>
            </w:r>
          </w:p>
        </w:tc>
        <w:tc>
          <w:tcPr>
            <w:tcW w:w="2050" w:type="dxa"/>
            <w:vAlign w:val="center"/>
          </w:tcPr>
          <w:p w14:paraId="6D8100D6">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具体要求,</w:t>
            </w:r>
          </w:p>
          <w:p w14:paraId="5D1C631D">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详见附件｡</w:t>
            </w:r>
          </w:p>
        </w:tc>
      </w:tr>
    </w:tbl>
    <w:p w14:paraId="49DE9770">
      <w:pPr>
        <w:widowControl/>
        <w:spacing w:line="380" w:lineRule="exact"/>
        <w:ind w:right="-50" w:rightChars="-24" w:firstLine="420" w:firstLineChars="200"/>
        <w:jc w:val="left"/>
        <w:rPr>
          <w:rFonts w:cs="Arial" w:asciiTheme="minorEastAsia" w:hAnsiTheme="minorEastAsia" w:eastAsiaTheme="minorEastAsia"/>
          <w:bCs/>
          <w:color w:val="000000"/>
          <w:kern w:val="0"/>
          <w:szCs w:val="21"/>
        </w:rPr>
      </w:pPr>
      <w:r>
        <w:rPr>
          <w:rFonts w:cs="Arial" w:asciiTheme="minorEastAsia" w:hAnsiTheme="minorEastAsia" w:eastAsiaTheme="minorEastAsia"/>
          <w:b/>
          <w:color w:val="000000"/>
          <w:kern w:val="0"/>
          <w:szCs w:val="21"/>
        </w:rPr>
        <w:t>二</w:t>
      </w:r>
      <w:r>
        <w:rPr>
          <w:rFonts w:hint="eastAsia" w:cs="Arial" w:asciiTheme="minorEastAsia" w:hAnsiTheme="minorEastAsia" w:eastAsiaTheme="minorEastAsia"/>
          <w:b/>
          <w:color w:val="000000"/>
          <w:kern w:val="0"/>
          <w:szCs w:val="21"/>
        </w:rPr>
        <w:t>､报名时间和地点</w:t>
      </w:r>
      <w:r>
        <w:rPr>
          <w:rFonts w:cs="Arial" w:asciiTheme="minorEastAsia" w:hAnsiTheme="minorEastAsia" w:eastAsiaTheme="minorEastAsia"/>
          <w:b/>
          <w:color w:val="000000"/>
          <w:kern w:val="0"/>
          <w:szCs w:val="21"/>
        </w:rPr>
        <w:t>:</w:t>
      </w:r>
      <w:r>
        <w:rPr>
          <w:rFonts w:cs="Arial" w:asciiTheme="minorEastAsia" w:hAnsiTheme="minorEastAsia" w:eastAsiaTheme="minorEastAsia"/>
          <w:bCs/>
          <w:color w:val="000000"/>
          <w:kern w:val="0"/>
          <w:szCs w:val="21"/>
        </w:rPr>
        <w:t>即日起至202</w:t>
      </w:r>
      <w:r>
        <w:rPr>
          <w:rFonts w:hint="eastAsia" w:cs="Arial" w:asciiTheme="minorEastAsia" w:hAnsiTheme="minorEastAsia" w:eastAsiaTheme="minorEastAsia"/>
          <w:bCs/>
          <w:color w:val="000000"/>
          <w:kern w:val="0"/>
          <w:szCs w:val="21"/>
          <w:lang w:val="en-US" w:eastAsia="zh-CN"/>
        </w:rPr>
        <w:t>4</w:t>
      </w:r>
      <w:r>
        <w:rPr>
          <w:rFonts w:cs="Arial" w:asciiTheme="minorEastAsia" w:hAnsiTheme="minorEastAsia" w:eastAsiaTheme="minorEastAsia"/>
          <w:bCs/>
          <w:color w:val="000000"/>
          <w:kern w:val="0"/>
          <w:szCs w:val="21"/>
        </w:rPr>
        <w:t>年</w:t>
      </w:r>
      <w:r>
        <w:rPr>
          <w:rFonts w:hint="eastAsia" w:cs="Arial" w:asciiTheme="minorEastAsia" w:hAnsiTheme="minorEastAsia" w:eastAsiaTheme="minorEastAsia"/>
          <w:bCs/>
          <w:color w:val="000000"/>
          <w:kern w:val="0"/>
          <w:szCs w:val="21"/>
          <w:lang w:val="en-US" w:eastAsia="zh-CN"/>
        </w:rPr>
        <w:t>9</w:t>
      </w:r>
      <w:r>
        <w:rPr>
          <w:rFonts w:cs="Arial" w:asciiTheme="minorEastAsia" w:hAnsiTheme="minorEastAsia" w:eastAsiaTheme="minorEastAsia"/>
          <w:bCs/>
          <w:color w:val="000000"/>
          <w:kern w:val="0"/>
          <w:szCs w:val="21"/>
        </w:rPr>
        <w:t>月</w:t>
      </w:r>
      <w:r>
        <w:rPr>
          <w:rFonts w:hint="eastAsia" w:cs="Arial" w:asciiTheme="minorEastAsia" w:hAnsiTheme="minorEastAsia" w:eastAsiaTheme="minorEastAsia"/>
          <w:bCs/>
          <w:color w:val="000000"/>
          <w:kern w:val="0"/>
          <w:szCs w:val="21"/>
          <w:lang w:val="en-US" w:eastAsia="zh-CN"/>
        </w:rPr>
        <w:t>24</w:t>
      </w:r>
      <w:r>
        <w:rPr>
          <w:rFonts w:cs="Arial" w:asciiTheme="minorEastAsia" w:hAnsiTheme="minorEastAsia" w:eastAsiaTheme="minorEastAsia"/>
          <w:bCs/>
          <w:color w:val="000000"/>
          <w:kern w:val="0"/>
          <w:szCs w:val="21"/>
        </w:rPr>
        <w:t>日1</w:t>
      </w:r>
      <w:r>
        <w:rPr>
          <w:rFonts w:hint="eastAsia" w:cs="Arial" w:asciiTheme="minorEastAsia" w:hAnsiTheme="minorEastAsia" w:eastAsiaTheme="minorEastAsia"/>
          <w:bCs/>
          <w:color w:val="000000"/>
          <w:kern w:val="0"/>
          <w:szCs w:val="21"/>
          <w:lang w:val="en-US" w:eastAsia="zh-CN"/>
        </w:rPr>
        <w:t>6</w:t>
      </w:r>
      <w:r>
        <w:rPr>
          <w:rFonts w:cs="Arial" w:asciiTheme="minorEastAsia" w:hAnsiTheme="minorEastAsia" w:eastAsiaTheme="minorEastAsia"/>
          <w:bCs/>
          <w:color w:val="000000"/>
          <w:kern w:val="0"/>
          <w:szCs w:val="21"/>
        </w:rPr>
        <w:t>:00前,将1.投标书(正本1份)交</w:t>
      </w:r>
      <w:r>
        <w:rPr>
          <w:rFonts w:hint="eastAsia" w:cs="Arial" w:asciiTheme="minorEastAsia" w:hAnsiTheme="minorEastAsia" w:eastAsiaTheme="minorEastAsia"/>
          <w:bCs/>
          <w:color w:val="000000"/>
          <w:kern w:val="0"/>
          <w:szCs w:val="21"/>
        </w:rPr>
        <w:t>深圳市</w:t>
      </w:r>
      <w:r>
        <w:rPr>
          <w:rFonts w:cs="Arial" w:asciiTheme="minorEastAsia" w:hAnsiTheme="minorEastAsia" w:eastAsiaTheme="minorEastAsia"/>
          <w:bCs/>
          <w:color w:val="000000"/>
          <w:kern w:val="0"/>
          <w:szCs w:val="21"/>
        </w:rPr>
        <w:t>宝安区</w:t>
      </w:r>
      <w:r>
        <w:rPr>
          <w:rFonts w:hint="eastAsia" w:cs="Arial" w:asciiTheme="minorEastAsia" w:hAnsiTheme="minorEastAsia" w:eastAsiaTheme="minorEastAsia"/>
          <w:bCs/>
          <w:color w:val="000000"/>
          <w:kern w:val="0"/>
          <w:szCs w:val="21"/>
        </w:rPr>
        <w:t>石岩</w:t>
      </w:r>
      <w:r>
        <w:rPr>
          <w:rFonts w:cs="Arial" w:asciiTheme="minorEastAsia" w:hAnsiTheme="minorEastAsia" w:eastAsiaTheme="minorEastAsia"/>
          <w:bCs/>
          <w:color w:val="000000"/>
          <w:kern w:val="0"/>
          <w:szCs w:val="21"/>
        </w:rPr>
        <w:t>人民医院</w:t>
      </w:r>
      <w:r>
        <w:rPr>
          <w:rFonts w:hint="eastAsia" w:cs="Arial" w:asciiTheme="minorEastAsia" w:hAnsiTheme="minorEastAsia" w:eastAsiaTheme="minorEastAsia"/>
          <w:bCs/>
          <w:color w:val="000000"/>
          <w:kern w:val="0"/>
          <w:szCs w:val="21"/>
        </w:rPr>
        <w:t>综合楼510室招标办</w:t>
      </w:r>
      <w:r>
        <w:rPr>
          <w:rFonts w:cs="Arial" w:asciiTheme="minorEastAsia" w:hAnsiTheme="minorEastAsia" w:eastAsiaTheme="minorEastAsia"/>
          <w:bCs/>
          <w:color w:val="000000"/>
          <w:kern w:val="0"/>
          <w:szCs w:val="21"/>
        </w:rPr>
        <w:t>预审</w:t>
      </w:r>
      <w:r>
        <w:rPr>
          <w:rFonts w:hint="eastAsia" w:cs="Arial" w:asciiTheme="minorEastAsia" w:hAnsiTheme="minorEastAsia" w:eastAsiaTheme="minorEastAsia"/>
          <w:bCs/>
          <w:color w:val="000000"/>
          <w:kern w:val="0"/>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cs="Arial" w:asciiTheme="minorEastAsia" w:hAnsiTheme="minorEastAsia" w:eastAsiaTheme="minorEastAsia"/>
          <w:b w:val="0"/>
          <w:bCs/>
          <w:color w:val="000000"/>
          <w:kern w:val="0"/>
          <w:szCs w:val="21"/>
        </w:rPr>
        <w:t>;</w:t>
      </w:r>
      <w:r>
        <w:rPr>
          <w:rFonts w:cs="Arial" w:asciiTheme="minorEastAsia" w:hAnsiTheme="minorEastAsia" w:eastAsiaTheme="minorEastAsia"/>
          <w:bCs/>
          <w:color w:val="000000"/>
          <w:kern w:val="0"/>
          <w:szCs w:val="21"/>
        </w:rPr>
        <w:t>2.现场报名后</w:t>
      </w:r>
      <w:r>
        <w:rPr>
          <w:rFonts w:hint="eastAsia" w:cs="Arial" w:asciiTheme="minorEastAsia" w:hAnsiTheme="minorEastAsia" w:eastAsiaTheme="minorEastAsia"/>
          <w:bCs/>
          <w:color w:val="000000"/>
          <w:kern w:val="0"/>
          <w:szCs w:val="21"/>
          <w:lang w:val="en-US" w:eastAsia="zh-CN"/>
        </w:rPr>
        <w:t>将</w:t>
      </w:r>
      <w:r>
        <w:rPr>
          <w:rFonts w:cs="Arial" w:asciiTheme="minorEastAsia" w:hAnsiTheme="minorEastAsia" w:eastAsiaTheme="minorEastAsia"/>
          <w:bCs/>
          <w:color w:val="000000"/>
          <w:kern w:val="0"/>
          <w:szCs w:val="21"/>
        </w:rPr>
        <w:t>电子版文件发送至电子邮箱(电子版文件包括:①投标书正本(胶装成册)纸质扫描件(PDF格式)②封面､报价单(价格不填)为word格式)｡投标书不用密封,逾期送达或资料缺项者恕不接受｡</w:t>
      </w:r>
    </w:p>
    <w:p w14:paraId="6B896911">
      <w:pPr>
        <w:widowControl/>
        <w:spacing w:line="380" w:lineRule="exact"/>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三</w:t>
      </w:r>
      <w:r>
        <w:rPr>
          <w:rFonts w:hint="eastAsia" w:cs="Arial" w:asciiTheme="minorEastAsia" w:hAnsiTheme="minorEastAsia" w:eastAsiaTheme="minorEastAsia"/>
          <w:b/>
          <w:color w:val="000000"/>
          <w:kern w:val="0"/>
          <w:szCs w:val="21"/>
        </w:rPr>
        <w:t>､投标书要求</w:t>
      </w:r>
      <w:r>
        <w:rPr>
          <w:rFonts w:cs="Arial" w:asciiTheme="minorEastAsia" w:hAnsiTheme="minorEastAsia" w:eastAsiaTheme="minorEastAsia"/>
          <w:b/>
          <w:color w:val="000000"/>
          <w:kern w:val="0"/>
          <w:szCs w:val="21"/>
        </w:rPr>
        <w:t>:</w:t>
      </w:r>
      <w:r>
        <w:rPr>
          <w:rFonts w:cs="Arial" w:asciiTheme="minorEastAsia" w:hAnsiTheme="minorEastAsia" w:eastAsiaTheme="minorEastAsia"/>
          <w:color w:val="000000"/>
          <w:kern w:val="0"/>
          <w:szCs w:val="21"/>
        </w:rPr>
        <w:t>具体请下载以下“详细文件”,严格按《投标书模板》准备相应资料</w:t>
      </w:r>
      <w:r>
        <w:rPr>
          <w:rFonts w:hint="eastAsia" w:cs="Arial" w:asciiTheme="minorEastAsia" w:hAnsiTheme="minorEastAsia" w:eastAsiaTheme="minorEastAsia"/>
          <w:color w:val="000000"/>
          <w:kern w:val="0"/>
          <w:szCs w:val="21"/>
        </w:rPr>
        <w:t>｡</w:t>
      </w:r>
    </w:p>
    <w:p w14:paraId="4DC6364F">
      <w:pPr>
        <w:widowControl/>
        <w:spacing w:line="380" w:lineRule="exact"/>
        <w:ind w:right="-50" w:rightChars="-24"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四</w:t>
      </w:r>
      <w:r>
        <w:rPr>
          <w:rFonts w:hint="eastAsia" w:cs="Arial" w:asciiTheme="minorEastAsia" w:hAnsiTheme="minorEastAsia" w:eastAsiaTheme="minorEastAsia"/>
          <w:b/>
          <w:color w:val="000000"/>
          <w:kern w:val="0"/>
          <w:szCs w:val="21"/>
        </w:rPr>
        <w:t>､谈判时间和地点</w:t>
      </w:r>
      <w:r>
        <w:rPr>
          <w:rFonts w:cs="Arial" w:asciiTheme="minorEastAsia" w:hAnsiTheme="minorEastAsia" w:eastAsiaTheme="minorEastAsia"/>
          <w:b/>
          <w:color w:val="000000"/>
          <w:kern w:val="0"/>
          <w:szCs w:val="21"/>
        </w:rPr>
        <w:t>:</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r>
        <w:rPr>
          <w:rFonts w:hint="eastAsia" w:cs="Arial" w:asciiTheme="minorEastAsia" w:hAnsiTheme="minorEastAsia" w:eastAsiaTheme="minorEastAsia"/>
          <w:kern w:val="0"/>
          <w:szCs w:val="21"/>
        </w:rPr>
        <w:t>参加谈判时</w:t>
      </w:r>
      <w:r>
        <w:rPr>
          <w:rFonts w:cs="Arial" w:asciiTheme="minorEastAsia" w:hAnsiTheme="minorEastAsia" w:eastAsiaTheme="minorEastAsia"/>
          <w:color w:val="000000"/>
          <w:kern w:val="0"/>
          <w:szCs w:val="21"/>
        </w:rPr>
        <w:t>,供应商须提供</w:t>
      </w:r>
      <w:r>
        <w:rPr>
          <w:rFonts w:hint="eastAsia" w:cs="Arial" w:asciiTheme="minorEastAsia" w:hAnsiTheme="minorEastAsia" w:eastAsiaTheme="minorEastAsia"/>
          <w:kern w:val="0"/>
          <w:szCs w:val="21"/>
        </w:rPr>
        <w:t>密封报价单</w:t>
      </w:r>
      <w:r>
        <w:rPr>
          <w:rFonts w:hint="eastAsia" w:cs="Arial" w:asciiTheme="minorEastAsia" w:hAnsiTheme="minorEastAsia" w:eastAsiaTheme="minorEastAsia"/>
          <w:kern w:val="0"/>
          <w:szCs w:val="21"/>
          <w:lang w:eastAsia="zh-CN"/>
        </w:rPr>
        <w:t>、</w:t>
      </w:r>
      <w:r>
        <w:rPr>
          <w:rFonts w:hint="eastAsia" w:cs="Arial" w:asciiTheme="minorEastAsia" w:hAnsiTheme="minorEastAsia" w:eastAsiaTheme="minorEastAsia"/>
          <w:kern w:val="0"/>
          <w:szCs w:val="21"/>
          <w:lang w:val="en-US" w:eastAsia="zh-CN"/>
        </w:rPr>
        <w:t>投标书</w:t>
      </w:r>
      <w:r>
        <w:rPr>
          <w:rFonts w:hint="eastAsia" w:cs="Arial" w:asciiTheme="minorEastAsia" w:hAnsiTheme="minorEastAsia" w:eastAsiaTheme="minorEastAsia"/>
          <w:kern w:val="0"/>
          <w:szCs w:val="21"/>
        </w:rPr>
        <w:t>副本</w:t>
      </w:r>
      <w:r>
        <w:rPr>
          <w:rFonts w:hint="eastAsia" w:cs="Arial" w:asciiTheme="minorEastAsia" w:hAnsiTheme="minorEastAsia" w:eastAsiaTheme="minorEastAsia"/>
          <w:kern w:val="0"/>
          <w:szCs w:val="21"/>
          <w:lang w:val="en-US" w:eastAsia="zh-CN"/>
        </w:rPr>
        <w:t>5</w:t>
      </w:r>
      <w:r>
        <w:rPr>
          <w:rFonts w:hint="eastAsia" w:cs="Arial" w:asciiTheme="minorEastAsia" w:hAnsiTheme="minorEastAsia" w:eastAsiaTheme="minorEastAsia"/>
          <w:kern w:val="0"/>
          <w:szCs w:val="21"/>
        </w:rPr>
        <w:t>份</w:t>
      </w:r>
      <w:r>
        <w:rPr>
          <w:rFonts w:hint="eastAsia" w:cs="Arial" w:asciiTheme="minorEastAsia" w:hAnsiTheme="minorEastAsia" w:eastAsiaTheme="minorEastAsia"/>
          <w:kern w:val="0"/>
          <w:szCs w:val="21"/>
          <w:lang w:val="en-US" w:eastAsia="zh-CN"/>
        </w:rPr>
        <w:t>等资料</w:t>
      </w:r>
      <w:r>
        <w:rPr>
          <w:rFonts w:hint="eastAsia" w:cs="Arial" w:asciiTheme="minorEastAsia" w:hAnsiTheme="minorEastAsia" w:eastAsiaTheme="minorEastAsia"/>
          <w:kern w:val="0"/>
          <w:szCs w:val="21"/>
        </w:rPr>
        <w:t>｡报</w:t>
      </w:r>
      <w:r>
        <w:rPr>
          <w:rFonts w:hint="eastAsia" w:cs="Arial" w:asciiTheme="minorEastAsia" w:hAnsiTheme="minorEastAsia" w:eastAsiaTheme="minorEastAsia"/>
          <w:color w:val="000000"/>
          <w:kern w:val="0"/>
          <w:szCs w:val="21"/>
        </w:rPr>
        <w:t>价单须注明品名､品牌､规格､单位､报价等详细项目｡</w:t>
      </w:r>
    </w:p>
    <w:p w14:paraId="597A7EFB">
      <w:pPr>
        <w:widowControl/>
        <w:spacing w:line="380" w:lineRule="exact"/>
        <w:ind w:left="-283" w:leftChars="-135"/>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 xml:space="preserve">  </w:t>
      </w:r>
      <w:r>
        <w:rPr>
          <w:rFonts w:hint="eastAsia" w:cs="Arial" w:asciiTheme="minorEastAsia" w:hAnsiTheme="minorEastAsia" w:eastAsiaTheme="minorEastAsia"/>
          <w:b/>
          <w:color w:val="000000"/>
          <w:kern w:val="0"/>
          <w:szCs w:val="21"/>
        </w:rPr>
        <w:t xml:space="preserve">    </w:t>
      </w:r>
      <w:r>
        <w:rPr>
          <w:rFonts w:cs="Arial" w:asciiTheme="minorEastAsia" w:hAnsiTheme="minorEastAsia" w:eastAsiaTheme="minorEastAsia"/>
          <w:b/>
          <w:color w:val="000000"/>
          <w:kern w:val="0"/>
          <w:szCs w:val="21"/>
        </w:rPr>
        <w:t xml:space="preserve"> 五</w:t>
      </w:r>
      <w:r>
        <w:rPr>
          <w:rFonts w:hint="eastAsia" w:cs="Arial" w:asciiTheme="minorEastAsia" w:hAnsiTheme="minorEastAsia" w:eastAsiaTheme="minorEastAsia"/>
          <w:b/>
          <w:color w:val="000000"/>
          <w:kern w:val="0"/>
          <w:szCs w:val="21"/>
        </w:rPr>
        <w:t>､联系电话</w:t>
      </w:r>
      <w:r>
        <w:rPr>
          <w:rFonts w:cs="Arial" w:asciiTheme="minorEastAsia" w:hAnsiTheme="minorEastAsia" w:eastAsiaTheme="minorEastAsia"/>
          <w:b/>
          <w:color w:val="000000"/>
          <w:kern w:val="0"/>
          <w:szCs w:val="21"/>
        </w:rPr>
        <w:t>:</w:t>
      </w:r>
      <w:r>
        <w:rPr>
          <w:rFonts w:cs="Arial" w:asciiTheme="minorEastAsia" w:hAnsiTheme="minorEastAsia" w:eastAsiaTheme="minorEastAsia"/>
          <w:color w:val="000000"/>
          <w:kern w:val="0"/>
          <w:szCs w:val="21"/>
        </w:rPr>
        <w:t xml:space="preserve"> 0755-</w:t>
      </w:r>
      <w:r>
        <w:rPr>
          <w:rFonts w:hint="eastAsia" w:cs="Arial" w:asciiTheme="minorEastAsia" w:hAnsiTheme="minorEastAsia" w:eastAsiaTheme="minorEastAsia"/>
          <w:color w:val="000000"/>
          <w:kern w:val="0"/>
          <w:szCs w:val="21"/>
        </w:rPr>
        <w:t>81219500转6541</w:t>
      </w:r>
      <w:r>
        <w:rPr>
          <w:rFonts w:cs="Arial" w:asciiTheme="minorEastAsia" w:hAnsiTheme="minorEastAsia" w:eastAsiaTheme="minorEastAsia"/>
          <w:color w:val="000000"/>
          <w:kern w:val="0"/>
          <w:szCs w:val="21"/>
        </w:rPr>
        <w:t>(梁老师)</w:t>
      </w:r>
      <w:r>
        <w:rPr>
          <w:rFonts w:hint="eastAsia" w:cs="Arial" w:asciiTheme="minorEastAsia" w:hAnsiTheme="minorEastAsia" w:eastAsiaTheme="minorEastAsia"/>
          <w:color w:val="000000"/>
          <w:kern w:val="0"/>
          <w:szCs w:val="21"/>
        </w:rPr>
        <w:t>｡</w:t>
      </w:r>
    </w:p>
    <w:p w14:paraId="63D6FF20">
      <w:pPr>
        <w:widowControl/>
        <w:jc w:val="left"/>
        <w:rPr>
          <w:rFonts w:cs="Arial" w:asciiTheme="minorEastAsia" w:hAnsiTheme="minorEastAsia" w:eastAsiaTheme="minorEastAsia"/>
          <w:color w:val="000000"/>
          <w:kern w:val="0"/>
          <w:szCs w:val="21"/>
        </w:rPr>
      </w:pPr>
    </w:p>
    <w:p w14:paraId="5A7E9662">
      <w:pPr>
        <w:widowControl/>
        <w:jc w:val="left"/>
        <w:rPr>
          <w:rFonts w:cs="Arial" w:asciiTheme="minorEastAsia" w:hAnsiTheme="minorEastAsia" w:eastAsiaTheme="minorEastAsia"/>
          <w:color w:val="000000"/>
          <w:kern w:val="0"/>
          <w:szCs w:val="21"/>
        </w:rPr>
      </w:pPr>
    </w:p>
    <w:p w14:paraId="23CBAEE7">
      <w:pPr>
        <w:widowControl/>
        <w:ind w:firstLine="420" w:firstLineChars="200"/>
        <w:jc w:val="right"/>
        <w:rPr>
          <w:rFonts w:cs="宋体-18030" w:asciiTheme="minorEastAsia" w:hAnsiTheme="minorEastAsia" w:eastAsiaTheme="minorEastAsia"/>
          <w:b/>
          <w:bCs/>
          <w:color w:val="000000"/>
          <w:szCs w:val="21"/>
        </w:rPr>
      </w:pPr>
      <w:r>
        <w:rPr>
          <w:rFonts w:hint="eastAsia" w:cs="宋体-18030" w:asciiTheme="minorEastAsia" w:hAnsiTheme="minorEastAsia" w:eastAsiaTheme="minorEastAsia"/>
          <w:b/>
          <w:bCs/>
          <w:color w:val="000000"/>
          <w:szCs w:val="21"/>
        </w:rPr>
        <w:t xml:space="preserve">  </w:t>
      </w:r>
      <w:r>
        <w:rPr>
          <w:rFonts w:cs="宋体-18030" w:asciiTheme="minorEastAsia" w:hAnsiTheme="minorEastAsia" w:eastAsiaTheme="minorEastAsia"/>
          <w:b/>
          <w:bCs/>
          <w:color w:val="000000"/>
          <w:szCs w:val="21"/>
        </w:rPr>
        <w:t>深圳市宝安</w:t>
      </w:r>
      <w:r>
        <w:rPr>
          <w:rFonts w:hint="eastAsia" w:cs="宋体-18030" w:asciiTheme="minorEastAsia" w:hAnsiTheme="minorEastAsia" w:eastAsiaTheme="minorEastAsia"/>
          <w:b/>
          <w:bCs/>
          <w:color w:val="000000"/>
          <w:szCs w:val="21"/>
        </w:rPr>
        <w:t>区石岩</w:t>
      </w:r>
      <w:r>
        <w:rPr>
          <w:rFonts w:cs="宋体-18030" w:asciiTheme="minorEastAsia" w:hAnsiTheme="minorEastAsia" w:eastAsiaTheme="minorEastAsia"/>
          <w:b/>
          <w:bCs/>
          <w:color w:val="000000"/>
          <w:szCs w:val="21"/>
        </w:rPr>
        <w:t>人民医院</w:t>
      </w:r>
    </w:p>
    <w:p w14:paraId="6490525E">
      <w:pPr>
        <w:widowControl/>
        <w:ind w:firstLine="420" w:firstLineChars="200"/>
        <w:jc w:val="right"/>
        <w:rPr>
          <w:rFonts w:cs="宋体-18030" w:asciiTheme="minorEastAsia" w:hAnsiTheme="minorEastAsia" w:eastAsiaTheme="minorEastAsia"/>
          <w:b/>
          <w:bCs/>
          <w:color w:val="000000"/>
          <w:szCs w:val="21"/>
        </w:rPr>
      </w:pPr>
    </w:p>
    <w:p w14:paraId="6842B2A2">
      <w:pPr>
        <w:widowControl/>
        <w:ind w:firstLine="420" w:firstLineChars="200"/>
        <w:jc w:val="right"/>
        <w:rPr>
          <w:rFonts w:cs="Arial" w:asciiTheme="minorEastAsia" w:hAnsiTheme="minorEastAsia" w:eastAsiaTheme="minorEastAsia"/>
          <w:color w:val="000000" w:themeColor="text1"/>
          <w:kern w:val="0"/>
          <w:szCs w:val="21"/>
        </w:rPr>
      </w:pPr>
      <w:r>
        <w:rPr>
          <w:rFonts w:cs="Arial" w:asciiTheme="minorEastAsia" w:hAnsiTheme="minorEastAsia" w:eastAsiaTheme="minorEastAsia"/>
          <w:color w:val="000000" w:themeColor="text1"/>
          <w:kern w:val="0"/>
          <w:szCs w:val="21"/>
        </w:rPr>
        <w:t xml:space="preserve">     202</w:t>
      </w:r>
      <w:r>
        <w:rPr>
          <w:rFonts w:hint="eastAsia" w:cs="Arial" w:asciiTheme="minorEastAsia" w:hAnsiTheme="minorEastAsia" w:eastAsiaTheme="minorEastAsia"/>
          <w:color w:val="000000" w:themeColor="text1"/>
          <w:kern w:val="0"/>
          <w:szCs w:val="21"/>
          <w:lang w:val="en-US" w:eastAsia="zh-CN"/>
        </w:rPr>
        <w:t>4</w:t>
      </w:r>
      <w:r>
        <w:rPr>
          <w:rFonts w:cs="Arial" w:asciiTheme="minorEastAsia" w:hAnsiTheme="minorEastAsia" w:eastAsiaTheme="minorEastAsia"/>
          <w:color w:val="000000" w:themeColor="text1"/>
          <w:kern w:val="0"/>
          <w:szCs w:val="21"/>
        </w:rPr>
        <w:t>年</w:t>
      </w:r>
      <w:r>
        <w:rPr>
          <w:rFonts w:hint="eastAsia" w:cs="Arial" w:asciiTheme="minorEastAsia" w:hAnsiTheme="minorEastAsia" w:eastAsiaTheme="minorEastAsia"/>
          <w:color w:val="000000" w:themeColor="text1"/>
          <w:kern w:val="0"/>
          <w:szCs w:val="21"/>
          <w:lang w:val="en-US" w:eastAsia="zh-CN"/>
        </w:rPr>
        <w:t>9</w:t>
      </w:r>
      <w:r>
        <w:rPr>
          <w:rFonts w:cs="Arial" w:asciiTheme="minorEastAsia" w:hAnsiTheme="minorEastAsia" w:eastAsiaTheme="minorEastAsia"/>
          <w:color w:val="000000" w:themeColor="text1"/>
          <w:kern w:val="0"/>
          <w:szCs w:val="21"/>
        </w:rPr>
        <w:t>月</w:t>
      </w:r>
      <w:r>
        <w:rPr>
          <w:rFonts w:hint="eastAsia" w:cs="Arial" w:asciiTheme="minorEastAsia" w:hAnsiTheme="minorEastAsia" w:eastAsiaTheme="minorEastAsia"/>
          <w:color w:val="000000" w:themeColor="text1"/>
          <w:kern w:val="0"/>
          <w:szCs w:val="21"/>
          <w:lang w:val="en-US" w:eastAsia="zh-CN"/>
        </w:rPr>
        <w:t>14</w:t>
      </w:r>
      <w:r>
        <w:rPr>
          <w:rFonts w:cs="Arial" w:asciiTheme="minorEastAsia" w:hAnsiTheme="minorEastAsia" w:eastAsiaTheme="minorEastAsia"/>
          <w:color w:val="000000" w:themeColor="text1"/>
          <w:kern w:val="0"/>
          <w:szCs w:val="21"/>
        </w:rPr>
        <w:t>日</w:t>
      </w:r>
    </w:p>
    <w:p w14:paraId="3CABAA66">
      <w:pPr>
        <w:widowControl/>
        <w:ind w:firstLine="420" w:firstLineChars="200"/>
        <w:jc w:val="right"/>
        <w:rPr>
          <w:rFonts w:cs="Arial" w:asciiTheme="minorEastAsia" w:hAnsiTheme="minorEastAsia" w:eastAsiaTheme="minorEastAsia"/>
          <w:color w:val="000000" w:themeColor="text1"/>
          <w:kern w:val="0"/>
          <w:szCs w:val="21"/>
        </w:rPr>
      </w:pPr>
    </w:p>
    <w:p w14:paraId="329974F1">
      <w:pPr>
        <w:rPr>
          <w:rFonts w:cs="Arial" w:asciiTheme="minorEastAsia" w:hAnsiTheme="minorEastAsia" w:eastAsiaTheme="minorEastAsia"/>
          <w:color w:val="000000"/>
          <w:kern w:val="0"/>
          <w:szCs w:val="21"/>
        </w:rPr>
      </w:pPr>
    </w:p>
    <w:p w14:paraId="4F7206C1">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br w:type="page"/>
      </w:r>
    </w:p>
    <w:p w14:paraId="25DE1514">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谈判须知</w:t>
      </w:r>
      <w:bookmarkStart w:id="0" w:name="_Toc182848971"/>
    </w:p>
    <w:bookmarkEnd w:id="0"/>
    <w:p w14:paraId="04195466">
      <w:pPr>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085E0A9">
      <w:pPr>
        <w:widowControl/>
        <w:jc w:val="left"/>
        <w:rPr>
          <w:rFonts w:hint="eastAsia" w:ascii="宋体" w:hAnsi="宋体" w:eastAsia="宋体" w:cs="宋体"/>
          <w:color w:val="000000"/>
          <w:sz w:val="21"/>
          <w:szCs w:val="21"/>
        </w:rPr>
      </w:pPr>
      <w:r>
        <w:rPr>
          <w:rFonts w:hint="eastAsia" w:ascii="宋体" w:hAnsi="宋体" w:cs="宋体"/>
          <w:kern w:val="0"/>
          <w:sz w:val="21"/>
          <w:szCs w:val="21"/>
          <w:lang w:val="en-US" w:eastAsia="zh-CN"/>
        </w:rPr>
        <w:t>2</w:t>
      </w:r>
      <w:r>
        <w:rPr>
          <w:rFonts w:hint="eastAsia" w:ascii="宋体" w:hAnsi="宋体" w:eastAsia="宋体" w:cs="宋体"/>
          <w:kern w:val="0"/>
          <w:sz w:val="21"/>
          <w:szCs w:val="21"/>
        </w:rPr>
        <w:t>､</w:t>
      </w:r>
      <w:r>
        <w:rPr>
          <w:rFonts w:hint="eastAsia" w:ascii="宋体" w:hAnsi="宋体" w:eastAsia="宋体" w:cs="宋体"/>
          <w:sz w:val="21"/>
          <w:szCs w:val="21"/>
        </w:rPr>
        <w:t>竞价</w:t>
      </w:r>
      <w:r>
        <w:rPr>
          <w:rFonts w:hint="eastAsia" w:ascii="宋体" w:hAnsi="宋体" w:eastAsia="宋体" w:cs="宋体"/>
          <w:color w:val="000000"/>
          <w:sz w:val="21"/>
          <w:szCs w:val="21"/>
        </w:rPr>
        <w:t>公司的价格高于深圳市宝安区石岩人民医院拟定的产品</w:t>
      </w:r>
      <w:r>
        <w:rPr>
          <w:rFonts w:hint="eastAsia" w:ascii="宋体" w:hAnsi="宋体" w:cs="宋体"/>
          <w:color w:val="000000"/>
          <w:sz w:val="21"/>
          <w:szCs w:val="21"/>
          <w:lang w:val="en-US" w:eastAsia="zh-CN"/>
        </w:rPr>
        <w:t>预算价（最高限价）</w:t>
      </w:r>
      <w:r>
        <w:rPr>
          <w:rFonts w:hint="eastAsia" w:ascii="宋体" w:hAnsi="宋体" w:eastAsia="宋体" w:cs="宋体"/>
          <w:color w:val="000000"/>
          <w:sz w:val="21"/>
          <w:szCs w:val="21"/>
        </w:rPr>
        <w:t>为废标｡</w:t>
      </w:r>
    </w:p>
    <w:p w14:paraId="3C1EE612">
      <w:pPr>
        <w:widowControl/>
        <w:jc w:val="left"/>
        <w:rPr>
          <w:rFonts w:hint="eastAsia" w:ascii="宋体" w:hAnsi="宋体" w:eastAsia="宋体" w:cs="宋体"/>
          <w:color w:val="000000"/>
          <w:sz w:val="21"/>
          <w:szCs w:val="21"/>
        </w:rPr>
      </w:pPr>
      <w:r>
        <w:rPr>
          <w:rFonts w:hint="eastAsia" w:ascii="宋体" w:hAnsi="宋体" w:cs="宋体"/>
          <w:color w:val="000000"/>
          <w:sz w:val="21"/>
          <w:szCs w:val="21"/>
          <w:lang w:val="en-US" w:eastAsia="zh-CN"/>
        </w:rPr>
        <w:t>3</w:t>
      </w:r>
      <w:r>
        <w:rPr>
          <w:rFonts w:hint="eastAsia" w:ascii="宋体" w:hAnsi="宋体" w:eastAsia="宋体" w:cs="宋体"/>
          <w:color w:val="000000"/>
          <w:sz w:val="21"/>
          <w:szCs w:val="21"/>
        </w:rPr>
        <w:t>､标价应为含税实际供货价,包括验收合格前所发生的保险､运输(到指定场地)､检验､安装就位以及调试等一切费用｡</w:t>
      </w:r>
    </w:p>
    <w:p w14:paraId="514E9133">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4</w:t>
      </w:r>
      <w:r>
        <w:rPr>
          <w:rFonts w:hint="eastAsia" w:ascii="宋体" w:hAnsi="宋体" w:eastAsia="宋体" w:cs="宋体"/>
          <w:color w:val="000000"/>
          <w:kern w:val="0"/>
          <w:sz w:val="21"/>
          <w:szCs w:val="21"/>
        </w:rPr>
        <w:t>､投标人应提供</w:t>
      </w:r>
      <w:r>
        <w:rPr>
          <w:rFonts w:hint="eastAsia" w:ascii="宋体" w:hAnsi="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14:paraId="6764C187">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rPr>
        <w:t>､投标人提供的所有书面文件材料均须加盖公司</w:t>
      </w:r>
      <w:r>
        <w:rPr>
          <w:rFonts w:hint="eastAsia" w:ascii="宋体" w:hAnsi="宋体" w:cs="宋体"/>
          <w:color w:val="000000"/>
          <w:kern w:val="0"/>
          <w:sz w:val="21"/>
          <w:szCs w:val="21"/>
          <w:lang w:val="en-US" w:eastAsia="zh-CN"/>
        </w:rPr>
        <w:t>公</w:t>
      </w:r>
      <w:r>
        <w:rPr>
          <w:rFonts w:hint="eastAsia" w:ascii="宋体" w:hAnsi="宋体" w:eastAsia="宋体" w:cs="宋体"/>
          <w:color w:val="000000"/>
          <w:kern w:val="0"/>
          <w:sz w:val="21"/>
          <w:szCs w:val="21"/>
        </w:rPr>
        <w:t>章｡</w:t>
      </w:r>
    </w:p>
    <w:p w14:paraId="5C4F74EF">
      <w:pPr>
        <w:widowControl/>
        <w:jc w:val="left"/>
        <w:rPr>
          <w:rFonts w:hint="eastAsia" w:ascii="宋体" w:hAnsi="宋体" w:eastAsia="宋体" w:cs="宋体"/>
          <w:bCs/>
          <w:color w:val="000000" w:themeColor="text1"/>
          <w:kern w:val="0"/>
          <w:sz w:val="21"/>
          <w:szCs w:val="21"/>
        </w:rPr>
      </w:pPr>
      <w:r>
        <w:rPr>
          <w:rFonts w:hint="eastAsia" w:ascii="宋体" w:hAnsi="宋体" w:cs="宋体"/>
          <w:color w:val="000000" w:themeColor="text1"/>
          <w:kern w:val="0"/>
          <w:sz w:val="21"/>
          <w:szCs w:val="21"/>
          <w:lang w:val="en-US" w:eastAsia="zh-CN"/>
        </w:rPr>
        <w:t>6</w:t>
      </w:r>
      <w:r>
        <w:rPr>
          <w:rFonts w:hint="eastAsia" w:ascii="宋体" w:hAnsi="宋体" w:eastAsia="宋体" w:cs="宋体"/>
          <w:color w:val="000000" w:themeColor="text1"/>
          <w:kern w:val="0"/>
          <w:sz w:val="21"/>
          <w:szCs w:val="21"/>
        </w:rPr>
        <w:t>､</w:t>
      </w:r>
      <w:r>
        <w:rPr>
          <w:rFonts w:hint="eastAsia" w:ascii="宋体" w:hAnsi="宋体" w:eastAsia="宋体" w:cs="宋体"/>
          <w:bCs/>
          <w:color w:val="000000" w:themeColor="text1"/>
          <w:kern w:val="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2年内禁止其参加深圳市宝安区石岩人民医院招标采购活动｡</w:t>
      </w:r>
    </w:p>
    <w:p w14:paraId="5BE9A1BC">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rPr>
        <w:t>7</w:t>
      </w:r>
      <w:r>
        <w:rPr>
          <w:rFonts w:hint="eastAsia" w:ascii="宋体" w:hAnsi="宋体" w:eastAsia="宋体" w:cs="宋体"/>
          <w:color w:val="000000" w:themeColor="text1"/>
          <w:kern w:val="0"/>
          <w:sz w:val="21"/>
          <w:szCs w:val="21"/>
        </w:rPr>
        <w:t>､</w:t>
      </w:r>
      <w:bookmarkStart w:id="1" w:name="_Hlk21592778"/>
      <w:r>
        <w:rPr>
          <w:rFonts w:hint="eastAsia" w:ascii="宋体" w:hAnsi="宋体" w:eastAsia="宋体" w:cs="宋体"/>
          <w:color w:val="000000"/>
          <w:kern w:val="0"/>
          <w:szCs w:val="21"/>
        </w:rPr>
        <w:t>投标人未被列入失信被执行人</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重大税收违法案件当事人名单及政府采购严重违法失信行为记录名单</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投标人</w:t>
      </w:r>
      <w:r>
        <w:rPr>
          <w:rFonts w:hint="eastAsia" w:cs="宋体" w:asciiTheme="minorEastAsia" w:hAnsiTheme="minorEastAsia" w:eastAsiaTheme="minorEastAsia"/>
          <w:bCs/>
          <w:szCs w:val="21"/>
        </w:rPr>
        <w:t>诚信查询</w:t>
      </w:r>
      <w:r>
        <w:rPr>
          <w:rFonts w:hint="eastAsia" w:cs="宋体" w:asciiTheme="minorEastAsia" w:hAnsiTheme="minorEastAsia" w:eastAsiaTheme="minorEastAsia"/>
          <w:bCs/>
          <w:szCs w:val="21"/>
          <w:lang w:val="en-US" w:eastAsia="zh-CN"/>
        </w:rPr>
        <w:t>渠道</w:t>
      </w:r>
      <w:r>
        <w:rPr>
          <w:rFonts w:hint="eastAsia" w:cs="宋体" w:asciiTheme="minorEastAsia" w:hAnsiTheme="minorEastAsia" w:eastAsiaTheme="minorEastAsia"/>
          <w:bCs/>
          <w:szCs w:val="21"/>
        </w:rPr>
        <w:t>：</w:t>
      </w:r>
      <w:r>
        <w:rPr>
          <w:rFonts w:asciiTheme="minorEastAsia" w:hAnsiTheme="minorEastAsia" w:eastAsiaTheme="minorEastAsia"/>
          <w:szCs w:val="21"/>
        </w:rPr>
        <w:t>“信用中国”网站(</w:t>
      </w:r>
      <w:r>
        <w:fldChar w:fldCharType="begin"/>
      </w:r>
      <w:r>
        <w:instrText xml:space="preserve"> HYPERLINK "http://www.creditchina.gov.cn" </w:instrText>
      </w:r>
      <w:r>
        <w:fldChar w:fldCharType="separate"/>
      </w:r>
      <w:r>
        <w:rPr>
          <w:rStyle w:val="28"/>
          <w:rFonts w:asciiTheme="minorEastAsia" w:hAnsiTheme="minorEastAsia" w:eastAsiaTheme="minorEastAsia"/>
          <w:color w:val="auto"/>
          <w:sz w:val="21"/>
          <w:szCs w:val="21"/>
        </w:rPr>
        <w:t>www.creditchina.gov.cn</w:t>
      </w:r>
      <w:r>
        <w:rPr>
          <w:rStyle w:val="28"/>
          <w:rFonts w:asciiTheme="minorEastAsia" w:hAnsiTheme="minorEastAsia" w:eastAsiaTheme="minorEastAsia"/>
          <w:color w:val="auto"/>
          <w:sz w:val="21"/>
          <w:szCs w:val="21"/>
        </w:rPr>
        <w:fldChar w:fldCharType="end"/>
      </w:r>
      <w:r>
        <w:rPr>
          <w:rFonts w:asciiTheme="minorEastAsia" w:hAnsiTheme="minorEastAsia" w:eastAsiaTheme="minorEastAsia"/>
          <w:szCs w:val="21"/>
        </w:rPr>
        <w:t>)</w:t>
      </w:r>
      <w:r>
        <w:rPr>
          <w:rFonts w:hint="eastAsia" w:asciiTheme="minorEastAsia" w:hAnsiTheme="minorEastAsia" w:eastAsiaTheme="minorEastAsia"/>
          <w:szCs w:val="21"/>
        </w:rPr>
        <w:t>没有以下任意记录名单之一：①</w:t>
      </w:r>
      <w:r>
        <w:rPr>
          <w:rFonts w:asciiTheme="minorEastAsia" w:hAnsiTheme="minorEastAsia" w:eastAsiaTheme="minorEastAsia"/>
          <w:szCs w:val="21"/>
        </w:rPr>
        <w:t>记录失信被执行人</w:t>
      </w:r>
      <w:r>
        <w:rPr>
          <w:rFonts w:hint="eastAsia" w:asciiTheme="minorEastAsia" w:hAnsiTheme="minorEastAsia" w:eastAsiaTheme="minorEastAsia"/>
          <w:szCs w:val="21"/>
        </w:rPr>
        <w:t>；②</w:t>
      </w:r>
      <w:r>
        <w:rPr>
          <w:rFonts w:hint="eastAsia" w:asciiTheme="minorEastAsia" w:hAnsiTheme="minorEastAsia" w:eastAsiaTheme="minorEastAsia"/>
          <w:szCs w:val="21"/>
          <w:lang w:eastAsia="zh-CN"/>
        </w:rPr>
        <w:t>重大税收违法失信主体</w:t>
      </w:r>
      <w:r>
        <w:rPr>
          <w:rFonts w:hint="eastAsia" w:asciiTheme="minorEastAsia" w:hAnsiTheme="minorEastAsia" w:eastAsiaTheme="minorEastAsia"/>
          <w:szCs w:val="21"/>
        </w:rPr>
        <w:t>；③政府采购严重违法失信行为</w:t>
      </w:r>
      <w:bookmarkEnd w:id="1"/>
      <w:r>
        <w:rPr>
          <w:rFonts w:hint="eastAsia" w:asciiTheme="minorEastAsia" w:hAnsiTheme="minorEastAsia" w:eastAsiaTheme="minorEastAsia"/>
          <w:szCs w:val="21"/>
          <w:lang w:eastAsia="zh-CN"/>
        </w:rPr>
        <w:t>。“</w:t>
      </w:r>
      <w:r>
        <w:rPr>
          <w:rFonts w:hint="eastAsia" w:asciiTheme="minorEastAsia" w:hAnsiTheme="minorEastAsia" w:eastAsiaTheme="minorEastAsia"/>
          <w:snapToGrid w:val="0"/>
          <w:color w:val="auto"/>
          <w:sz w:val="21"/>
        </w:rPr>
        <w:t>中国政府采购网</w:t>
      </w:r>
      <w:r>
        <w:rPr>
          <w:rFonts w:hint="eastAsia" w:asciiTheme="minorEastAsia" w:hAnsiTheme="minorEastAsia" w:eastAsiaTheme="minorEastAsia"/>
          <w:snapToGrid w:val="0"/>
          <w:color w:val="auto"/>
          <w:sz w:val="21"/>
          <w:lang w:eastAsia="zh-CN"/>
        </w:rPr>
        <w:t>”</w:t>
      </w:r>
      <w:r>
        <w:rPr>
          <w:rFonts w:hint="eastAsia" w:ascii="宋体" w:hAnsi="宋体" w:eastAsia="宋体" w:cs="宋体"/>
          <w:color w:val="auto"/>
          <w:szCs w:val="21"/>
          <w:highlight w:val="none"/>
          <w:lang w:val="en-US" w:eastAsia="zh-CN"/>
        </w:rPr>
        <w:t>（www.ccgp.gov.cn）栏的</w:t>
      </w:r>
      <w:r>
        <w:rPr>
          <w:rFonts w:hint="eastAsia" w:asciiTheme="minorEastAsia" w:hAnsiTheme="minorEastAsia" w:eastAsiaTheme="minorEastAsia"/>
          <w:snapToGrid w:val="0"/>
          <w:color w:val="auto"/>
          <w:sz w:val="21"/>
        </w:rPr>
        <w:t>“政府采购严重违法失信行为记录名单”</w:t>
      </w:r>
      <w:r>
        <w:rPr>
          <w:rFonts w:hint="eastAsia" w:asciiTheme="minorEastAsia" w:hAnsiTheme="minorEastAsia" w:eastAsiaTheme="minorEastAsia"/>
          <w:snapToGrid w:val="0"/>
          <w:color w:val="auto"/>
          <w:sz w:val="21"/>
          <w:lang w:eastAsia="zh-CN"/>
        </w:rPr>
        <w:t>、</w:t>
      </w:r>
      <w:r>
        <w:rPr>
          <w:rFonts w:hint="eastAsia" w:cs="宋体" w:asciiTheme="minorEastAsia" w:hAnsiTheme="minorEastAsia" w:eastAsiaTheme="minorEastAsia"/>
          <w:bCs/>
          <w:szCs w:val="21"/>
        </w:rPr>
        <w:t>深圳市政府采购监督管理网（zfcg.sz.gov.cn）</w:t>
      </w:r>
      <w:r>
        <w:rPr>
          <w:rFonts w:hint="eastAsia" w:cs="宋体" w:asciiTheme="minorEastAsia" w:hAnsiTheme="minorEastAsia" w:eastAsiaTheme="minorEastAsia"/>
          <w:bCs/>
          <w:szCs w:val="21"/>
          <w:lang w:eastAsia="zh-CN"/>
        </w:rPr>
        <w:t>、</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cs="宋体" w:asciiTheme="minorEastAsia" w:hAnsiTheme="minorEastAsia" w:eastAsiaTheme="minorEastAsia"/>
          <w:bCs/>
          <w:szCs w:val="21"/>
        </w:rPr>
        <w:t>查询相关主体信用记录</w:t>
      </w:r>
      <w:r>
        <w:rPr>
          <w:rFonts w:hint="eastAsia" w:ascii="宋体" w:hAnsi="宋体" w:eastAsia="宋体" w:cs="宋体"/>
          <w:color w:val="000000"/>
          <w:kern w:val="0"/>
          <w:szCs w:val="21"/>
          <w:lang w:eastAsia="zh-CN"/>
        </w:rPr>
        <w:t>。</w:t>
      </w:r>
    </w:p>
    <w:p w14:paraId="3BEA10BA">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kern w:val="0"/>
          <w:szCs w:val="21"/>
          <w:lang w:eastAsia="zh-CN"/>
        </w:rPr>
      </w:pPr>
      <w:r>
        <w:rPr>
          <w:rFonts w:hint="eastAsia" w:ascii="宋体" w:hAnsi="宋体" w:cs="宋体"/>
          <w:color w:val="000000" w:themeColor="text1"/>
          <w:kern w:val="0"/>
          <w:sz w:val="21"/>
          <w:szCs w:val="21"/>
          <w:lang w:val="en-US" w:eastAsia="zh-CN"/>
        </w:rPr>
        <w:t>8</w:t>
      </w:r>
      <w:r>
        <w:rPr>
          <w:rFonts w:hint="eastAsia" w:ascii="宋体" w:hAnsi="宋体" w:eastAsia="宋体" w:cs="宋体"/>
          <w:color w:val="000000" w:themeColor="text1"/>
          <w:kern w:val="0"/>
          <w:sz w:val="21"/>
          <w:szCs w:val="21"/>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kern w:val="0"/>
          <w:szCs w:val="21"/>
          <w:lang w:val="en-US" w:eastAsia="zh-CN"/>
        </w:rPr>
        <w:t>投标及履约承诺函</w:t>
      </w:r>
      <w:r>
        <w:rPr>
          <w:rFonts w:hint="eastAsia" w:ascii="宋体" w:hAnsi="宋体" w:eastAsia="宋体" w:cs="宋体"/>
          <w:color w:val="000000"/>
          <w:kern w:val="0"/>
          <w:szCs w:val="21"/>
        </w:rPr>
        <w:t>》中作出声明）</w:t>
      </w:r>
      <w:r>
        <w:rPr>
          <w:rFonts w:hint="eastAsia" w:ascii="宋体" w:hAnsi="宋体" w:eastAsia="宋体" w:cs="宋体"/>
          <w:color w:val="000000"/>
          <w:kern w:val="0"/>
          <w:szCs w:val="21"/>
          <w:lang w:eastAsia="zh-CN"/>
        </w:rPr>
        <w:t>。</w:t>
      </w:r>
    </w:p>
    <w:p w14:paraId="7C0EEE0D">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rPr>
      </w:pPr>
      <w:r>
        <w:rPr>
          <w:rFonts w:hint="eastAsia" w:ascii="宋体" w:hAnsi="宋体" w:cs="宋体"/>
          <w:szCs w:val="21"/>
          <w:lang w:val="en-US" w:eastAsia="zh-CN"/>
        </w:rPr>
        <w:t>9.</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p w14:paraId="02384B56">
      <w:pPr>
        <w:widowControl/>
        <w:jc w:val="left"/>
        <w:rPr>
          <w:rFonts w:hint="eastAsia" w:ascii="宋体" w:hAnsi="宋体" w:eastAsia="宋体" w:cs="宋体"/>
          <w:bCs/>
          <w:color w:val="000000" w:themeColor="text1"/>
          <w:kern w:val="0"/>
          <w:sz w:val="21"/>
          <w:szCs w:val="21"/>
        </w:rPr>
      </w:pPr>
      <w:r>
        <w:rPr>
          <w:rFonts w:hint="eastAsia" w:ascii="宋体" w:hAnsi="宋体" w:eastAsia="宋体" w:cs="宋体"/>
          <w:bCs/>
          <w:color w:val="000000" w:themeColor="text1"/>
          <w:kern w:val="0"/>
          <w:sz w:val="21"/>
          <w:szCs w:val="21"/>
        </w:rPr>
        <w:t>1</w:t>
      </w:r>
      <w:r>
        <w:rPr>
          <w:rFonts w:hint="eastAsia" w:ascii="宋体" w:hAnsi="宋体" w:cs="宋体"/>
          <w:bCs/>
          <w:color w:val="000000" w:themeColor="text1"/>
          <w:kern w:val="0"/>
          <w:sz w:val="21"/>
          <w:szCs w:val="21"/>
          <w:lang w:val="en-US" w:eastAsia="zh-CN"/>
        </w:rPr>
        <w:t>0</w:t>
      </w:r>
      <w:r>
        <w:rPr>
          <w:rFonts w:hint="eastAsia" w:ascii="宋体" w:hAnsi="宋体" w:eastAsia="宋体" w:cs="宋体"/>
          <w:bCs/>
          <w:color w:val="000000" w:themeColor="text1"/>
          <w:kern w:val="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14:paraId="33C3EF76">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1</w:t>
      </w:r>
      <w:r>
        <w:rPr>
          <w:rFonts w:hint="eastAsia" w:ascii="宋体" w:hAnsi="宋体" w:eastAsia="宋体" w:cs="宋体"/>
          <w:color w:val="000000" w:themeColor="text1"/>
          <w:kern w:val="0"/>
          <w:sz w:val="21"/>
          <w:szCs w:val="21"/>
        </w:rPr>
        <w:t>､投标费用:不论投标的结果如何,投标人必须自行承担与参加投标有关的所有费用｡</w:t>
      </w:r>
    </w:p>
    <w:p w14:paraId="0B5B5154">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2</w:t>
      </w:r>
      <w:r>
        <w:rPr>
          <w:rFonts w:hint="eastAsia" w:ascii="宋体" w:hAnsi="宋体" w:eastAsia="宋体" w:cs="宋体"/>
          <w:color w:val="000000" w:themeColor="text1"/>
          <w:kern w:val="0"/>
          <w:sz w:val="21"/>
          <w:szCs w:val="21"/>
        </w:rPr>
        <w:t>､投标人必须接受:需方的采购谈判方法;需方不向落标方解释落标原因,不一定以最低价中标､不退还谈判响应文件｡</w:t>
      </w:r>
    </w:p>
    <w:p w14:paraId="53386D5D">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r>
        <w:rPr>
          <w:rFonts w:hint="eastAsia" w:ascii="宋体" w:hAnsi="宋体" w:cs="宋体"/>
          <w:color w:val="000000"/>
          <w:kern w:val="0"/>
          <w:sz w:val="21"/>
          <w:szCs w:val="21"/>
          <w:lang w:val="en-US" w:eastAsia="zh-CN"/>
        </w:rPr>
        <w:t>3</w:t>
      </w:r>
      <w:r>
        <w:rPr>
          <w:rFonts w:hint="eastAsia" w:ascii="宋体" w:hAnsi="宋体" w:eastAsia="宋体" w:cs="宋体"/>
          <w:color w:val="000000"/>
          <w:kern w:val="0"/>
          <w:sz w:val="21"/>
          <w:szCs w:val="21"/>
        </w:rPr>
        <w:t>､除买方事先书面同意外,卖方不得将自己应履行的全部或部分合同义务转让给他人｡</w:t>
      </w:r>
    </w:p>
    <w:p w14:paraId="32381318">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14</w:t>
      </w:r>
      <w:r>
        <w:rPr>
          <w:rFonts w:hint="eastAsia" w:ascii="宋体" w:hAnsi="宋体" w:eastAsia="宋体" w:cs="宋体"/>
          <w:color w:val="000000"/>
          <w:kern w:val="0"/>
          <w:sz w:val="21"/>
          <w:szCs w:val="21"/>
        </w:rPr>
        <w:t>､如果产品的质量和规格与合同不符,或在质量保证期内证实其产品是有缺陷的,包括潜在缺陷或</w:t>
      </w:r>
      <w:r>
        <w:rPr>
          <w:rFonts w:hint="eastAsia" w:ascii="宋体" w:hAnsi="宋体" w:cs="宋体"/>
          <w:color w:val="000000"/>
          <w:kern w:val="0"/>
          <w:sz w:val="21"/>
          <w:szCs w:val="21"/>
          <w:lang w:val="en-US" w:eastAsia="zh-CN"/>
        </w:rPr>
        <w:t>2</w:t>
      </w:r>
      <w:r>
        <w:rPr>
          <w:rFonts w:hint="eastAsia" w:ascii="宋体" w:hAnsi="宋体" w:eastAsia="宋体" w:cs="宋体"/>
          <w:color w:val="000000"/>
          <w:kern w:val="0"/>
          <w:sz w:val="21"/>
          <w:szCs w:val="21"/>
        </w:rPr>
        <w:t>使用不符合要求的材料,买方报请当地质监､药监等有关部门进行检查后,有权凭质检证书向卖方提出索赔,买方发出索赔通知后20天内,如果卖方未作答复,上述索赔将被视为已被卖方接受｡</w:t>
      </w:r>
    </w:p>
    <w:p w14:paraId="393E5EBE">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15</w:t>
      </w:r>
      <w:r>
        <w:rPr>
          <w:rFonts w:hint="eastAsia" w:ascii="宋体" w:hAnsi="宋体" w:eastAsia="宋体" w:cs="宋体"/>
          <w:color w:val="000000"/>
          <w:kern w:val="0"/>
          <w:sz w:val="21"/>
          <w:szCs w:val="21"/>
        </w:rPr>
        <w:t>､经深圳市宝安区石岩人民医院评审委员会确认预中标单位并经公示3天,由招标办通知领取中标/成交结果通知书,凭结果通知书10</w:t>
      </w:r>
      <w:r>
        <w:rPr>
          <w:rFonts w:hint="eastAsia" w:ascii="宋体" w:hAnsi="宋体" w:cs="宋体"/>
          <w:color w:val="000000"/>
          <w:kern w:val="0"/>
          <w:sz w:val="21"/>
          <w:szCs w:val="21"/>
          <w:lang w:val="en-US" w:eastAsia="zh-CN"/>
        </w:rPr>
        <w:t>个工作日</w:t>
      </w:r>
      <w:r>
        <w:rPr>
          <w:rFonts w:hint="eastAsia" w:ascii="宋体" w:hAnsi="宋体" w:eastAsia="宋体" w:cs="宋体"/>
          <w:color w:val="000000"/>
          <w:kern w:val="0"/>
          <w:sz w:val="21"/>
          <w:szCs w:val="21"/>
        </w:rPr>
        <w:t>内到深圳市宝安区石岩人民医院采购科室签订供货合同｡</w:t>
      </w:r>
    </w:p>
    <w:p w14:paraId="1035AFA2">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16</w:t>
      </w:r>
      <w:r>
        <w:rPr>
          <w:rFonts w:hint="eastAsia" w:ascii="宋体" w:hAnsi="宋体" w:eastAsia="宋体" w:cs="宋体"/>
          <w:color w:val="000000"/>
          <w:kern w:val="0"/>
          <w:sz w:val="21"/>
          <w:szCs w:val="21"/>
        </w:rPr>
        <w:t>､本项目不得转包､拆包,不接受联合体投标人｡</w:t>
      </w:r>
    </w:p>
    <w:p w14:paraId="103E1A4C">
      <w:pPr>
        <w:rPr>
          <w:rFonts w:hint="eastAsia" w:cs="Arial" w:asciiTheme="minorEastAsia" w:hAnsiTheme="minorEastAsia" w:eastAsiaTheme="minorEastAsia"/>
          <w:color w:val="000000"/>
          <w:kern w:val="0"/>
          <w:szCs w:val="21"/>
        </w:rPr>
      </w:pPr>
      <w:r>
        <w:rPr>
          <w:rFonts w:hint="eastAsia" w:cs="Arial" w:asciiTheme="minorEastAsia" w:hAnsiTheme="minorEastAsia" w:eastAsiaTheme="minorEastAsia"/>
          <w:color w:val="000000"/>
          <w:kern w:val="0"/>
          <w:szCs w:val="21"/>
        </w:rPr>
        <w:br w:type="page"/>
      </w:r>
    </w:p>
    <w:p w14:paraId="115EB319">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谈判方法和程序</w:t>
      </w:r>
      <w:bookmarkStart w:id="2" w:name="_Toc182848996"/>
    </w:p>
    <w:p w14:paraId="3D40609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w:t>
      </w:r>
      <w:r>
        <w:rPr>
          <w:rFonts w:hint="eastAsia" w:cs="Arial" w:asciiTheme="minorEastAsia" w:hAnsiTheme="minorEastAsia" w:eastAsiaTheme="minorEastAsia"/>
          <w:color w:val="000000"/>
          <w:kern w:val="0"/>
          <w:szCs w:val="21"/>
        </w:rPr>
        <w:t>､评审谈判响应文件</w:t>
      </w:r>
      <w:bookmarkEnd w:id="2"/>
    </w:p>
    <w:p w14:paraId="2896E2CC">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(一)评标工作由医院专门组织的评标委员会进行资格性和符合性评审</w:t>
      </w:r>
      <w:r>
        <w:rPr>
          <w:rFonts w:hint="eastAsia" w:cs="Arial" w:asciiTheme="minorEastAsia" w:hAnsiTheme="minorEastAsia" w:eastAsiaTheme="minorEastAsia"/>
          <w:color w:val="000000"/>
          <w:kern w:val="0"/>
          <w:szCs w:val="21"/>
        </w:rPr>
        <w:t>｡</w:t>
      </w:r>
    </w:p>
    <w:p w14:paraId="3E07C13E">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(二)在初审阶段,属于下列情况的投标书将不能进入复审阶段:</w:t>
      </w:r>
    </w:p>
    <w:p w14:paraId="1251109D">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1</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投标书法定代表人或其授权代表签字</w:t>
      </w:r>
      <w:r>
        <w:rPr>
          <w:rFonts w:hint="eastAsia" w:cs="Arial" w:asciiTheme="minorEastAsia" w:hAnsiTheme="minorEastAsia" w:eastAsiaTheme="minorEastAsia"/>
          <w:color w:val="000000"/>
          <w:kern w:val="0"/>
          <w:szCs w:val="21"/>
        </w:rPr>
        <w:t>､盖章模糊无法辨认的</w:t>
      </w:r>
      <w:r>
        <w:rPr>
          <w:rFonts w:cs="Arial" w:asciiTheme="minorEastAsia" w:hAnsiTheme="minorEastAsia" w:eastAsiaTheme="minorEastAsia"/>
          <w:color w:val="000000"/>
          <w:kern w:val="0"/>
          <w:szCs w:val="21"/>
        </w:rPr>
        <w:t>;</w:t>
      </w:r>
    </w:p>
    <w:p w14:paraId="63948A6B">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所提供文件资料存在故意隐瞒或提供不实内容的;</w:t>
      </w:r>
    </w:p>
    <w:p w14:paraId="7BF60ED3">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w:t>
      </w:r>
      <w:r>
        <w:rPr>
          <w:rFonts w:cs="宋体-18030" w:asciiTheme="minorEastAsia" w:hAnsiTheme="minorEastAsia" w:eastAsiaTheme="minorEastAsia"/>
          <w:color w:val="000000"/>
          <w:kern w:val="0"/>
          <w:szCs w:val="21"/>
        </w:rPr>
        <w:t>提供资质材料不完整的</w:t>
      </w:r>
      <w:r>
        <w:rPr>
          <w:rFonts w:hint="eastAsia" w:cs="Arial" w:asciiTheme="minorEastAsia" w:hAnsiTheme="minorEastAsia" w:eastAsiaTheme="minorEastAsia"/>
          <w:color w:val="000000"/>
          <w:kern w:val="0"/>
          <w:szCs w:val="21"/>
        </w:rPr>
        <w:t>｡</w:t>
      </w:r>
      <w:bookmarkStart w:id="3" w:name="_Toc182848999"/>
    </w:p>
    <w:p w14:paraId="32E390C4">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w:t>
      </w:r>
      <w:r>
        <w:rPr>
          <w:rFonts w:hint="eastAsia" w:cs="Arial" w:asciiTheme="minorEastAsia" w:hAnsiTheme="minorEastAsia" w:eastAsiaTheme="minorEastAsia"/>
          <w:color w:val="000000"/>
          <w:kern w:val="0"/>
          <w:szCs w:val="21"/>
        </w:rPr>
        <w:t>､谈判小组</w:t>
      </w:r>
      <w:bookmarkEnd w:id="3"/>
      <w:bookmarkStart w:id="4" w:name="_Toc182849000"/>
    </w:p>
    <w:p w14:paraId="390F43BB">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(一)谈判小组依法由5人(含)以上奇数的人员组成</w:t>
      </w:r>
      <w:r>
        <w:rPr>
          <w:rFonts w:hint="eastAsia" w:cs="Arial" w:asciiTheme="minorEastAsia" w:hAnsiTheme="minorEastAsia" w:eastAsiaTheme="minorEastAsia"/>
          <w:color w:val="000000"/>
          <w:kern w:val="0"/>
          <w:szCs w:val="21"/>
        </w:rPr>
        <w:t>｡</w:t>
      </w:r>
      <w:bookmarkEnd w:id="4"/>
    </w:p>
    <w:p w14:paraId="2F01EC4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(二)谈判期间,谈判响应方全权代表必须在场,负责解答有关事宜</w:t>
      </w:r>
      <w:r>
        <w:rPr>
          <w:rFonts w:hint="eastAsia" w:cs="Arial" w:asciiTheme="minorEastAsia" w:hAnsiTheme="minorEastAsia" w:eastAsiaTheme="minorEastAsia"/>
          <w:color w:val="000000"/>
          <w:kern w:val="0"/>
          <w:szCs w:val="21"/>
        </w:rPr>
        <w:t>｡</w:t>
      </w:r>
    </w:p>
    <w:p w14:paraId="71484C24">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w:t>
      </w:r>
      <w:r>
        <w:rPr>
          <w:rFonts w:hint="eastAsia" w:cs="Arial" w:asciiTheme="minorEastAsia" w:hAnsiTheme="minorEastAsia" w:eastAsiaTheme="minorEastAsia"/>
          <w:color w:val="000000"/>
          <w:kern w:val="0"/>
          <w:szCs w:val="21"/>
        </w:rPr>
        <w:t>､采购评审原则与方法</w:t>
      </w:r>
    </w:p>
    <w:p w14:paraId="68D566D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(一)采购将采用综合评分法,即按照招标文件中规定的因素包括价格</w:t>
      </w:r>
      <w:r>
        <w:rPr>
          <w:rFonts w:hint="eastAsia" w:cs="Arial" w:asciiTheme="minorEastAsia" w:hAnsiTheme="minorEastAsia" w:eastAsiaTheme="minorEastAsia"/>
          <w:color w:val="000000"/>
          <w:kern w:val="0"/>
          <w:szCs w:val="21"/>
        </w:rPr>
        <w:t>､技术､信誉､业绩､服务等进行谈判后</w:t>
      </w:r>
      <w:r>
        <w:rPr>
          <w:rFonts w:cs="Arial" w:asciiTheme="minorEastAsia" w:hAnsiTheme="minorEastAsia" w:eastAsiaTheme="minorEastAsia"/>
          <w:color w:val="000000"/>
          <w:kern w:val="0"/>
          <w:szCs w:val="21"/>
        </w:rPr>
        <w:t>,进行最后确认和报价,以最后得分最高的投标人作为中标候选供应商</w:t>
      </w:r>
      <w:r>
        <w:rPr>
          <w:rFonts w:hint="eastAsia" w:cs="Arial" w:asciiTheme="minorEastAsia" w:hAnsiTheme="minorEastAsia" w:eastAsiaTheme="minorEastAsia"/>
          <w:color w:val="000000"/>
          <w:kern w:val="0"/>
          <w:szCs w:val="21"/>
        </w:rPr>
        <w:t>｡</w:t>
      </w:r>
    </w:p>
    <w:p w14:paraId="6D150DA9">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(二)在采购过程中,出现下列情形之一的,应予废标:</w:t>
      </w:r>
    </w:p>
    <w:p w14:paraId="4C477985">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1</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出现影响采购公正的违法</w:t>
      </w:r>
      <w:r>
        <w:rPr>
          <w:rFonts w:hint="eastAsia" w:cs="Arial" w:asciiTheme="minorEastAsia" w:hAnsiTheme="minorEastAsia" w:eastAsiaTheme="minorEastAsia"/>
          <w:color w:val="000000"/>
          <w:kern w:val="0"/>
          <w:szCs w:val="21"/>
        </w:rPr>
        <w:t>､违规行为的</w:t>
      </w:r>
      <w:r>
        <w:rPr>
          <w:rFonts w:cs="Arial" w:asciiTheme="minorEastAsia" w:hAnsiTheme="minorEastAsia" w:eastAsiaTheme="minorEastAsia"/>
          <w:color w:val="000000"/>
          <w:kern w:val="0"/>
          <w:szCs w:val="21"/>
        </w:rPr>
        <w:t>;</w:t>
      </w:r>
    </w:p>
    <w:p w14:paraId="3E9A2B25">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供应商的报价均超过预算金额,不能支付的;</w:t>
      </w:r>
    </w:p>
    <w:p w14:paraId="2C7609FC">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因重大变故,采购任务取消的;</w:t>
      </w:r>
    </w:p>
    <w:p w14:paraId="6DEFF6C1">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4</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其他经评审小组一致认定应予废标情形的</w:t>
      </w:r>
      <w:r>
        <w:rPr>
          <w:rFonts w:hint="eastAsia" w:cs="Arial" w:asciiTheme="minorEastAsia" w:hAnsiTheme="minorEastAsia" w:eastAsiaTheme="minorEastAsia"/>
          <w:color w:val="000000"/>
          <w:kern w:val="0"/>
          <w:szCs w:val="21"/>
        </w:rPr>
        <w:t>｡</w:t>
      </w:r>
    </w:p>
    <w:p w14:paraId="5C1B4301">
      <w:pPr>
        <w:widowControl/>
        <w:ind w:left="420" w:hanging="420" w:hanging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(三)在采购过程中,投标人投标报价明显超过市场平均价格,评审小组经评审后一致认定报价不合理的,可以认定其报价无效</w:t>
      </w:r>
      <w:r>
        <w:rPr>
          <w:rFonts w:hint="eastAsia" w:cs="Arial" w:asciiTheme="minorEastAsia" w:hAnsiTheme="minorEastAsia" w:eastAsiaTheme="minorEastAsia"/>
          <w:color w:val="000000"/>
          <w:kern w:val="0"/>
          <w:szCs w:val="21"/>
        </w:rPr>
        <w:t>｡</w:t>
      </w:r>
    </w:p>
    <w:p w14:paraId="256C01A1">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(四)需方不向落标方解释落标原因,不一定以最低价中标</w:t>
      </w:r>
      <w:r>
        <w:rPr>
          <w:rFonts w:hint="eastAsia" w:cs="Arial" w:asciiTheme="minorEastAsia" w:hAnsiTheme="minorEastAsia" w:eastAsiaTheme="minorEastAsia"/>
          <w:color w:val="000000"/>
          <w:kern w:val="0"/>
          <w:szCs w:val="21"/>
        </w:rPr>
        <w:t>､不退还谈判响</w:t>
      </w:r>
      <w:r>
        <w:rPr>
          <w:rFonts w:cs="Arial" w:asciiTheme="minorEastAsia" w:hAnsiTheme="minorEastAsia" w:eastAsiaTheme="minorEastAsia"/>
          <w:color w:val="000000"/>
          <w:kern w:val="0"/>
          <w:szCs w:val="21"/>
        </w:rPr>
        <w:t>应文件</w:t>
      </w:r>
      <w:r>
        <w:rPr>
          <w:rFonts w:hint="eastAsia" w:cs="Arial" w:asciiTheme="minorEastAsia" w:hAnsiTheme="minorEastAsia" w:eastAsiaTheme="minorEastAsia"/>
          <w:color w:val="000000"/>
          <w:kern w:val="0"/>
          <w:szCs w:val="21"/>
        </w:rPr>
        <w:t>｡</w:t>
      </w:r>
    </w:p>
    <w:p w14:paraId="5A977CE2">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w:t>
      </w:r>
      <w:r>
        <w:rPr>
          <w:rFonts w:hint="eastAsia" w:cs="Arial" w:asciiTheme="minorEastAsia" w:hAnsiTheme="minorEastAsia" w:eastAsiaTheme="minorEastAsia"/>
          <w:color w:val="000000"/>
          <w:kern w:val="0"/>
          <w:szCs w:val="21"/>
        </w:rPr>
        <w:t>､谈判程序</w:t>
      </w:r>
    </w:p>
    <w:p w14:paraId="6F7ED980">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(一)评审小组审核采购响应文件</w:t>
      </w:r>
      <w:r>
        <w:rPr>
          <w:rFonts w:hint="eastAsia" w:cs="Arial" w:asciiTheme="minorEastAsia" w:hAnsiTheme="minorEastAsia" w:eastAsiaTheme="minorEastAsia"/>
          <w:color w:val="000000"/>
          <w:kern w:val="0"/>
          <w:szCs w:val="21"/>
        </w:rPr>
        <w:t>｡评审小组按照资格性和符合性进行审核响应文件｡</w:t>
      </w:r>
    </w:p>
    <w:p w14:paraId="6E1AAB29">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(二)评审小组汇总并讨论审核情况,确定采购响应方是否符合采购资格</w:t>
      </w:r>
      <w:r>
        <w:rPr>
          <w:rFonts w:hint="eastAsia" w:cs="Arial" w:asciiTheme="minorEastAsia" w:hAnsiTheme="minorEastAsia" w:eastAsiaTheme="minorEastAsia"/>
          <w:color w:val="000000"/>
          <w:kern w:val="0"/>
          <w:szCs w:val="21"/>
        </w:rPr>
        <w:t>｡</w:t>
      </w:r>
    </w:p>
    <w:p w14:paraId="1B2286C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(三)按标项与各采购响应方进行谈判和评审</w:t>
      </w:r>
      <w:r>
        <w:rPr>
          <w:rFonts w:hint="eastAsia" w:cs="Arial" w:asciiTheme="minorEastAsia" w:hAnsiTheme="minorEastAsia" w:eastAsiaTheme="minorEastAsia"/>
          <w:color w:val="000000"/>
          <w:kern w:val="0"/>
          <w:szCs w:val="21"/>
        </w:rPr>
        <w:t>｡</w:t>
      </w:r>
    </w:p>
    <w:p w14:paraId="74A34057">
      <w:pPr>
        <w:widowControl/>
        <w:ind w:firstLine="210" w:firstLineChars="100"/>
        <w:jc w:val="left"/>
        <w:rPr>
          <w:rFonts w:cs="Arial" w:asciiTheme="minorEastAsia" w:hAnsiTheme="minorEastAsia" w:eastAsiaTheme="minorEastAsia"/>
          <w:color w:val="000000" w:themeColor="text1"/>
          <w:kern w:val="0"/>
          <w:szCs w:val="21"/>
        </w:rPr>
      </w:pPr>
      <w:r>
        <w:rPr>
          <w:rFonts w:cs="Arial" w:asciiTheme="minorEastAsia" w:hAnsiTheme="minorEastAsia" w:eastAsiaTheme="minorEastAsia"/>
          <w:color w:val="000000" w:themeColor="text1"/>
          <w:kern w:val="0"/>
          <w:szCs w:val="21"/>
        </w:rPr>
        <w:t>1</w:t>
      </w:r>
      <w:r>
        <w:rPr>
          <w:rFonts w:hint="eastAsia" w:cs="Arial" w:asciiTheme="minorEastAsia" w:hAnsiTheme="minorEastAsia" w:eastAsiaTheme="minorEastAsia"/>
          <w:color w:val="000000" w:themeColor="text1"/>
          <w:kern w:val="0"/>
          <w:szCs w:val="21"/>
        </w:rPr>
        <w:t>､必要时由谈判响应方介绍公司的基本情况､产品的性质､用途､销售及价格｡</w:t>
      </w:r>
    </w:p>
    <w:p w14:paraId="367CA4A5">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､谈判小组就讨论和汇总的情况与谈</w:t>
      </w:r>
      <w:r>
        <w:rPr>
          <w:rFonts w:cs="Arial" w:asciiTheme="minorEastAsia" w:hAnsiTheme="minorEastAsia" w:eastAsiaTheme="minorEastAsia"/>
          <w:color w:val="000000"/>
          <w:kern w:val="0"/>
          <w:szCs w:val="21"/>
        </w:rPr>
        <w:t>判响应方展开谈判</w:t>
      </w:r>
      <w:r>
        <w:rPr>
          <w:rFonts w:hint="eastAsia" w:cs="Arial" w:asciiTheme="minorEastAsia" w:hAnsiTheme="minorEastAsia" w:eastAsiaTheme="minorEastAsia"/>
          <w:color w:val="000000"/>
          <w:kern w:val="0"/>
          <w:szCs w:val="21"/>
        </w:rPr>
        <w:t>｡</w:t>
      </w:r>
    </w:p>
    <w:p w14:paraId="4BD8B451">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､各谈判响应方在本标项全部谈判结束后按规定时间内进行报价｡在医院监察部门监督下</w:t>
      </w:r>
      <w:r>
        <w:rPr>
          <w:rFonts w:cs="Arial" w:asciiTheme="minorEastAsia" w:hAnsiTheme="minorEastAsia" w:eastAsiaTheme="minorEastAsia"/>
          <w:color w:val="000000"/>
          <w:kern w:val="0"/>
          <w:szCs w:val="21"/>
        </w:rPr>
        <w:t>,由工作人员当众拆封</w:t>
      </w:r>
      <w:r>
        <w:rPr>
          <w:rFonts w:hint="eastAsia" w:cs="Arial" w:asciiTheme="minorEastAsia" w:hAnsiTheme="minorEastAsia" w:eastAsiaTheme="minorEastAsia"/>
          <w:color w:val="000000"/>
          <w:kern w:val="0"/>
          <w:szCs w:val="21"/>
        </w:rPr>
        <w:t>､唱标｡唱</w:t>
      </w:r>
      <w:r>
        <w:rPr>
          <w:rFonts w:cs="Arial" w:asciiTheme="minorEastAsia" w:hAnsiTheme="minorEastAsia" w:eastAsiaTheme="minorEastAsia"/>
          <w:color w:val="000000"/>
          <w:kern w:val="0"/>
          <w:szCs w:val="21"/>
        </w:rPr>
        <w:t>标的内容包括投标人名称</w:t>
      </w:r>
      <w:r>
        <w:rPr>
          <w:rFonts w:hint="eastAsia" w:cs="Arial" w:asciiTheme="minorEastAsia" w:hAnsiTheme="minorEastAsia" w:eastAsiaTheme="minorEastAsia"/>
          <w:color w:val="000000"/>
          <w:kern w:val="0"/>
          <w:szCs w:val="21"/>
        </w:rPr>
        <w:t>､投标价格</w:t>
      </w:r>
      <w:r>
        <w:rPr>
          <w:rFonts w:cs="Arial" w:asciiTheme="minorEastAsia" w:hAnsiTheme="minorEastAsia" w:eastAsiaTheme="minorEastAsia"/>
          <w:color w:val="000000"/>
          <w:kern w:val="0"/>
          <w:szCs w:val="21"/>
        </w:rPr>
        <w:t>(按照SFDA批准的名称</w:t>
      </w:r>
      <w:r>
        <w:rPr>
          <w:rFonts w:hint="eastAsia" w:cs="Arial" w:asciiTheme="minorEastAsia" w:hAnsiTheme="minorEastAsia" w:eastAsiaTheme="minorEastAsia"/>
          <w:color w:val="000000"/>
          <w:kern w:val="0"/>
          <w:szCs w:val="21"/>
        </w:rPr>
        <w:t>､详</w:t>
      </w:r>
      <w:r>
        <w:rPr>
          <w:rFonts w:cs="Arial" w:asciiTheme="minorEastAsia" w:hAnsiTheme="minorEastAsia" w:eastAsiaTheme="minorEastAsia"/>
          <w:color w:val="000000"/>
          <w:kern w:val="0"/>
          <w:szCs w:val="21"/>
        </w:rPr>
        <w:t>细规格型号填写报价,现场递交)</w:t>
      </w:r>
      <w:r>
        <w:rPr>
          <w:rFonts w:hint="eastAsia" w:cs="Arial" w:asciiTheme="minorEastAsia" w:hAnsiTheme="minorEastAsia" w:eastAsiaTheme="minorEastAsia"/>
          <w:color w:val="000000"/>
          <w:kern w:val="0"/>
          <w:szCs w:val="21"/>
        </w:rPr>
        <w:t>｡</w:t>
      </w:r>
    </w:p>
    <w:p w14:paraId="45B4F959">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(四)谈判小组对谈判的情况进行综合评分(总分100分)</w:t>
      </w:r>
      <w:r>
        <w:rPr>
          <w:rFonts w:hint="eastAsia" w:cs="Arial" w:asciiTheme="minorEastAsia" w:hAnsiTheme="minorEastAsia" w:eastAsiaTheme="minorEastAsia"/>
          <w:color w:val="000000"/>
          <w:kern w:val="0"/>
          <w:szCs w:val="21"/>
        </w:rPr>
        <w:t>｡</w:t>
      </w:r>
      <w:r>
        <w:rPr>
          <w:rFonts w:asciiTheme="minorEastAsia" w:hAnsiTheme="minorEastAsia" w:eastAsiaTheme="minorEastAsia"/>
          <w:color w:val="000000"/>
          <w:szCs w:val="21"/>
        </w:rPr>
        <w:t>技术商务分与报价评审分相加总分最高者为预中标单位</w:t>
      </w:r>
      <w:r>
        <w:rPr>
          <w:rFonts w:hint="eastAsia" w:asciiTheme="minorEastAsia" w:hAnsiTheme="minorEastAsia" w:eastAsiaTheme="minorEastAsia"/>
          <w:color w:val="000000"/>
          <w:szCs w:val="21"/>
        </w:rPr>
        <w:t>｡</w:t>
      </w:r>
    </w:p>
    <w:tbl>
      <w:tblPr>
        <w:tblStyle w:val="22"/>
        <w:tblW w:w="8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5115"/>
      </w:tblGrid>
      <w:tr w14:paraId="6A41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14:paraId="787E51EB">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asciiTheme="minorEastAsia" w:hAnsiTheme="minorEastAsia" w:eastAsiaTheme="minorEastAsia"/>
                <w:szCs w:val="21"/>
              </w:rPr>
              <w:t>序号</w:t>
            </w:r>
          </w:p>
        </w:tc>
        <w:tc>
          <w:tcPr>
            <w:tcW w:w="1742" w:type="dxa"/>
            <w:vAlign w:val="center"/>
          </w:tcPr>
          <w:p w14:paraId="0E77ADCC">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asciiTheme="minorEastAsia" w:hAnsiTheme="minorEastAsia" w:eastAsiaTheme="minorEastAsia"/>
                <w:szCs w:val="21"/>
              </w:rPr>
              <w:t>评分因素</w:t>
            </w:r>
          </w:p>
        </w:tc>
        <w:tc>
          <w:tcPr>
            <w:tcW w:w="847" w:type="dxa"/>
            <w:vAlign w:val="center"/>
          </w:tcPr>
          <w:p w14:paraId="4AB61BB1">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cs="宋体" w:asciiTheme="minorEastAsia" w:hAnsiTheme="minorEastAsia" w:eastAsiaTheme="minorEastAsia"/>
                <w:szCs w:val="21"/>
              </w:rPr>
              <w:t>分值</w:t>
            </w:r>
          </w:p>
        </w:tc>
        <w:tc>
          <w:tcPr>
            <w:tcW w:w="5115" w:type="dxa"/>
            <w:vAlign w:val="center"/>
          </w:tcPr>
          <w:p w14:paraId="09E56092">
            <w:pPr>
              <w:keepNext w:val="0"/>
              <w:keepLines w:val="0"/>
              <w:suppressLineNumbers w:val="0"/>
              <w:wordWrap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评分准则</w:t>
            </w:r>
          </w:p>
        </w:tc>
      </w:tr>
      <w:tr w14:paraId="6718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14:paraId="2D8B2B70">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default" w:asciiTheme="minorEastAsia" w:hAnsiTheme="minorEastAsia" w:eastAsiaTheme="minorEastAsia"/>
                <w:b/>
                <w:szCs w:val="21"/>
              </w:rPr>
              <w:t>技术商务(</w:t>
            </w:r>
            <w:r>
              <w:rPr>
                <w:rFonts w:hint="eastAsia" w:asciiTheme="minorEastAsia" w:hAnsiTheme="minorEastAsia" w:eastAsiaTheme="minorEastAsia"/>
                <w:b/>
                <w:szCs w:val="21"/>
                <w:lang w:val="en-US" w:eastAsia="zh-CN"/>
              </w:rPr>
              <w:t>70</w:t>
            </w:r>
            <w:r>
              <w:rPr>
                <w:rFonts w:hint="default" w:asciiTheme="minorEastAsia" w:hAnsiTheme="minorEastAsia" w:eastAsiaTheme="minorEastAsia"/>
                <w:b/>
                <w:szCs w:val="21"/>
              </w:rPr>
              <w:t>分)</w:t>
            </w:r>
          </w:p>
        </w:tc>
        <w:tc>
          <w:tcPr>
            <w:tcW w:w="1742" w:type="dxa"/>
            <w:vAlign w:val="center"/>
          </w:tcPr>
          <w:p w14:paraId="0D77FACC">
            <w:pPr>
              <w:keepNext w:val="0"/>
              <w:keepLines w:val="0"/>
              <w:suppressLineNumbers w:val="0"/>
              <w:spacing w:before="0" w:beforeAutospacing="0" w:after="60" w:afterAutospacing="0" w:line="360" w:lineRule="auto"/>
              <w:ind w:left="0" w:right="0"/>
              <w:jc w:val="center"/>
              <w:rPr>
                <w:rFonts w:hint="default" w:asciiTheme="minorEastAsia" w:hAnsiTheme="minorEastAsia" w:eastAsiaTheme="minorEastAsia"/>
                <w:color w:val="000000"/>
                <w:szCs w:val="21"/>
                <w:lang w:val="zh-CN"/>
              </w:rPr>
            </w:pPr>
            <w:r>
              <w:rPr>
                <w:rFonts w:hint="eastAsia" w:ascii="宋体" w:hAnsi="宋体" w:cs="宋体"/>
                <w:kern w:val="0"/>
                <w:szCs w:val="21"/>
              </w:rPr>
              <w:t>技术响应</w:t>
            </w:r>
          </w:p>
        </w:tc>
        <w:tc>
          <w:tcPr>
            <w:tcW w:w="847" w:type="dxa"/>
            <w:vAlign w:val="center"/>
          </w:tcPr>
          <w:p w14:paraId="069B9D92">
            <w:pPr>
              <w:keepNext w:val="0"/>
              <w:keepLines w:val="0"/>
              <w:suppressLineNumbers w:val="0"/>
              <w:spacing w:before="0" w:beforeAutospacing="0" w:after="60" w:afterAutospacing="0" w:line="360" w:lineRule="auto"/>
              <w:ind w:left="0" w:right="0"/>
              <w:jc w:val="center"/>
              <w:rPr>
                <w:rFonts w:hint="default" w:asciiTheme="minorEastAsia" w:hAnsiTheme="minorEastAsia" w:eastAsiaTheme="minorEastAsia"/>
                <w:color w:val="000000"/>
                <w:szCs w:val="21"/>
                <w:lang w:val="en-US"/>
              </w:rPr>
            </w:pPr>
            <w:r>
              <w:rPr>
                <w:rFonts w:hint="eastAsia" w:ascii="宋体" w:hAnsi="宋体" w:cs="宋体"/>
                <w:szCs w:val="21"/>
                <w:lang w:val="en-US" w:eastAsia="zh-CN"/>
              </w:rPr>
              <w:t>24.5</w:t>
            </w:r>
          </w:p>
        </w:tc>
        <w:tc>
          <w:tcPr>
            <w:tcW w:w="5115" w:type="dxa"/>
            <w:vAlign w:val="center"/>
          </w:tcPr>
          <w:p w14:paraId="10FB0AA3">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（一）评审内容</w:t>
            </w:r>
          </w:p>
          <w:p w14:paraId="2174AB60">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投标人应如实填写《技术参数偏离表》，评审委员会根据技术需求参数响应情况进行打分。</w:t>
            </w:r>
          </w:p>
          <w:p w14:paraId="163694E9">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（二）评分标准</w:t>
            </w:r>
          </w:p>
          <w:p w14:paraId="3EF62123">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各项技术参数指标及要求全部满足的得</w:t>
            </w:r>
            <w:r>
              <w:rPr>
                <w:rFonts w:hint="eastAsia" w:ascii="宋体" w:hAnsi="宋体" w:cs="宋体"/>
                <w:szCs w:val="21"/>
                <w:lang w:val="en-US" w:eastAsia="zh-CN"/>
              </w:rPr>
              <w:t>24.5</w:t>
            </w:r>
            <w:r>
              <w:rPr>
                <w:rFonts w:hint="eastAsia" w:ascii="宋体" w:hAnsi="宋体" w:cs="宋体"/>
                <w:szCs w:val="21"/>
              </w:rPr>
              <w:t>分；标“▲”为重点参数，未响应或每负偏离一项扣</w:t>
            </w:r>
            <w:r>
              <w:rPr>
                <w:rFonts w:hint="eastAsia" w:ascii="宋体" w:hAnsi="宋体" w:cs="宋体"/>
                <w:szCs w:val="21"/>
                <w:lang w:val="en-US" w:eastAsia="zh-CN"/>
              </w:rPr>
              <w:t>1</w:t>
            </w:r>
            <w:r>
              <w:rPr>
                <w:rFonts w:hint="eastAsia" w:ascii="宋体" w:hAnsi="宋体" w:cs="宋体"/>
                <w:szCs w:val="21"/>
              </w:rPr>
              <w:t>分；一般参数，未响应或每负偏离一项扣</w:t>
            </w:r>
            <w:r>
              <w:rPr>
                <w:rFonts w:hint="eastAsia" w:ascii="宋体" w:hAnsi="宋体" w:cs="宋体"/>
                <w:szCs w:val="21"/>
                <w:lang w:val="en-US" w:eastAsia="zh-CN"/>
              </w:rPr>
              <w:t>0.5</w:t>
            </w:r>
            <w:r>
              <w:rPr>
                <w:rFonts w:hint="eastAsia" w:ascii="宋体" w:hAnsi="宋体" w:cs="宋体"/>
                <w:szCs w:val="21"/>
              </w:rPr>
              <w:t>分。扣完为止。</w:t>
            </w:r>
          </w:p>
          <w:p w14:paraId="13C283E5">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备注：</w:t>
            </w:r>
          </w:p>
          <w:p w14:paraId="09445248">
            <w:pPr>
              <w:keepNext w:val="0"/>
              <w:keepLines w:val="0"/>
              <w:suppressLineNumbers w:val="0"/>
              <w:wordWrap w:val="0"/>
              <w:spacing w:before="0" w:beforeAutospacing="0" w:after="60" w:afterAutospacing="0"/>
              <w:ind w:left="0" w:right="0"/>
              <w:jc w:val="left"/>
              <w:rPr>
                <w:rFonts w:hint="eastAsia" w:ascii="宋体" w:hAnsi="宋体" w:eastAsia="宋体" w:cs="宋体"/>
                <w:szCs w:val="21"/>
                <w:lang w:eastAsia="zh-CN"/>
              </w:rPr>
            </w:pPr>
            <w:r>
              <w:rPr>
                <w:rFonts w:hint="eastAsia" w:ascii="宋体" w:hAnsi="宋体" w:cs="宋体"/>
                <w:szCs w:val="21"/>
              </w:rPr>
              <w:t>1</w:t>
            </w:r>
            <w:r>
              <w:rPr>
                <w:rFonts w:hint="eastAsia" w:ascii="宋体" w:hAnsi="宋体" w:cs="宋体"/>
                <w:szCs w:val="21"/>
                <w:lang w:val="en-US" w:eastAsia="zh-CN"/>
              </w:rPr>
              <w:t>.</w:t>
            </w:r>
            <w:r>
              <w:rPr>
                <w:rFonts w:hint="eastAsia" w:ascii="宋体" w:hAnsi="宋体" w:cs="宋体"/>
                <w:szCs w:val="21"/>
              </w:rPr>
              <w:t>标记“▲”的重要参数是否响应以投标人提供的检测报告数据为准；对应参数在检测报告中标注，原材料名称需与检测报告名称一致</w:t>
            </w:r>
            <w:r>
              <w:rPr>
                <w:rFonts w:hint="eastAsia" w:ascii="宋体" w:hAnsi="宋体" w:cs="宋体"/>
                <w:szCs w:val="21"/>
                <w:lang w:eastAsia="zh-CN"/>
              </w:rPr>
              <w:t>。</w:t>
            </w:r>
          </w:p>
          <w:p w14:paraId="5FDD6DC1">
            <w:pPr>
              <w:keepNext w:val="0"/>
              <w:keepLines w:val="0"/>
              <w:suppressLineNumbers w:val="0"/>
              <w:wordWrap w:val="0"/>
              <w:spacing w:before="0" w:beforeAutospacing="0" w:after="60" w:afterAutospacing="0"/>
              <w:ind w:left="0" w:right="0"/>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未按要求提供或提供检测报告模糊不清的，该项视为未响应或负偏离。</w:t>
            </w:r>
          </w:p>
          <w:p w14:paraId="45A8256B">
            <w:pPr>
              <w:keepNext w:val="0"/>
              <w:keepLines w:val="0"/>
              <w:suppressLineNumbers w:val="0"/>
              <w:wordWrap w:val="0"/>
              <w:spacing w:before="0" w:beforeAutospacing="0" w:after="60" w:afterAutospacing="0"/>
              <w:ind w:left="0" w:right="0"/>
              <w:jc w:val="left"/>
              <w:rPr>
                <w:rFonts w:hint="default" w:ascii="宋体" w:hAnsi="宋体" w:cs="宋体"/>
                <w:szCs w:val="21"/>
                <w:lang w:val="zh-CN"/>
              </w:rPr>
            </w:pPr>
            <w:r>
              <w:rPr>
                <w:rFonts w:hint="eastAsia" w:ascii="宋体" w:hAnsi="宋体" w:cs="宋体"/>
                <w:szCs w:val="21"/>
                <w:lang w:val="en-US" w:eastAsia="zh-CN"/>
              </w:rPr>
              <w:t>3.</w:t>
            </w:r>
            <w:r>
              <w:rPr>
                <w:rFonts w:hint="eastAsia" w:ascii="宋体" w:hAnsi="宋体" w:cs="宋体"/>
                <w:szCs w:val="21"/>
              </w:rPr>
              <w:t>如对一项招标技术要求（以划分框为准）中的内容存在</w:t>
            </w:r>
            <w:r>
              <w:rPr>
                <w:rFonts w:hint="eastAsia" w:ascii="宋体" w:hAnsi="宋体" w:cs="宋体"/>
                <w:szCs w:val="21"/>
                <w:lang w:val="en-US" w:eastAsia="zh-CN"/>
              </w:rPr>
              <w:t>一</w:t>
            </w:r>
            <w:r>
              <w:rPr>
                <w:rFonts w:hint="eastAsia" w:ascii="宋体" w:hAnsi="宋体" w:cs="宋体"/>
                <w:szCs w:val="21"/>
              </w:rPr>
              <w:t>处（或以上）负偏离的，在评分时只作一项负偏离扣分</w:t>
            </w:r>
            <w:r>
              <w:rPr>
                <w:rFonts w:hint="eastAsia" w:ascii="宋体" w:hAnsi="宋体" w:cs="宋体"/>
                <w:szCs w:val="21"/>
                <w:lang w:eastAsia="zh-CN"/>
              </w:rPr>
              <w:t>。</w:t>
            </w:r>
          </w:p>
        </w:tc>
      </w:tr>
      <w:tr w14:paraId="543A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192162FD">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38118AF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zh-CN"/>
              </w:rPr>
            </w:pPr>
            <w:r>
              <w:rPr>
                <w:rFonts w:hint="eastAsia" w:ascii="宋体" w:hAnsi="宋体" w:cs="宋体"/>
                <w:szCs w:val="21"/>
              </w:rPr>
              <w:t>家具安装调试</w:t>
            </w:r>
          </w:p>
        </w:tc>
        <w:tc>
          <w:tcPr>
            <w:tcW w:w="847" w:type="dxa"/>
            <w:vAlign w:val="center"/>
          </w:tcPr>
          <w:p w14:paraId="418FC09C">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Cs w:val="21"/>
                <w:lang w:val="en-US" w:eastAsia="zh-CN"/>
              </w:rPr>
            </w:pPr>
            <w:r>
              <w:rPr>
                <w:rFonts w:hint="eastAsia" w:ascii="宋体" w:hAnsi="宋体" w:cs="宋体"/>
                <w:szCs w:val="21"/>
                <w:lang w:val="en-US" w:eastAsia="zh-CN"/>
              </w:rPr>
              <w:t>9</w:t>
            </w:r>
          </w:p>
        </w:tc>
        <w:tc>
          <w:tcPr>
            <w:tcW w:w="5115" w:type="dxa"/>
            <w:vAlign w:val="center"/>
          </w:tcPr>
          <w:p w14:paraId="3C84B207">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（一）评审内容</w:t>
            </w:r>
          </w:p>
          <w:p w14:paraId="05DF7AEC">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提供符合本项目的家具安装调试方案，应含：</w:t>
            </w:r>
          </w:p>
          <w:p w14:paraId="018CDF34">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1.项目实施团队；</w:t>
            </w:r>
          </w:p>
          <w:p w14:paraId="30DA5E10">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2.安装（施工）方案及进度安排；</w:t>
            </w:r>
          </w:p>
          <w:p w14:paraId="4C4BA924">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3.质量控制措施。</w:t>
            </w:r>
          </w:p>
          <w:p w14:paraId="2DD13205">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（二）评分标准</w:t>
            </w:r>
          </w:p>
          <w:p w14:paraId="2EE4B7CC">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以上三项内容，每满足一项内容得1分，最高得3分。</w:t>
            </w:r>
          </w:p>
          <w:p w14:paraId="0564FDAC">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在此基础上，评审委员会根据投标人的具体响应内容进行横向比较:</w:t>
            </w:r>
          </w:p>
          <w:p w14:paraId="420032E9">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1.评审为优：总体规划有特点，施工团队配备合理、施工方案及进度满足要求，质量保证措施得当的，得</w:t>
            </w:r>
            <w:r>
              <w:rPr>
                <w:rFonts w:hint="eastAsia" w:ascii="宋体" w:hAnsi="宋体" w:cs="宋体"/>
                <w:szCs w:val="21"/>
                <w:lang w:val="en-US" w:eastAsia="zh-CN"/>
              </w:rPr>
              <w:t>6</w:t>
            </w:r>
            <w:r>
              <w:rPr>
                <w:rFonts w:hint="eastAsia" w:ascii="宋体" w:hAnsi="宋体" w:cs="宋体"/>
                <w:szCs w:val="21"/>
              </w:rPr>
              <w:t>分；</w:t>
            </w:r>
          </w:p>
          <w:p w14:paraId="270C6DFD">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2.评审为良：总体规划有一定特点，施工团队配备较为合理、施工方案及进度较为满足要求，质量保证措施较为得当的，得</w:t>
            </w:r>
            <w:r>
              <w:rPr>
                <w:rFonts w:hint="eastAsia" w:ascii="宋体" w:hAnsi="宋体" w:cs="宋体"/>
                <w:szCs w:val="21"/>
                <w:lang w:val="en-US" w:eastAsia="zh-CN"/>
              </w:rPr>
              <w:t>4</w:t>
            </w:r>
            <w:r>
              <w:rPr>
                <w:rFonts w:hint="eastAsia" w:ascii="宋体" w:hAnsi="宋体" w:cs="宋体"/>
                <w:szCs w:val="21"/>
              </w:rPr>
              <w:t>分；</w:t>
            </w:r>
          </w:p>
          <w:p w14:paraId="4C35264D">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3.评审为中：总体规划无特点，施工团队配备一般、施工方案及进度基本满足要求，质量保证措施一般的，得</w:t>
            </w:r>
            <w:r>
              <w:rPr>
                <w:rFonts w:hint="eastAsia" w:ascii="宋体" w:hAnsi="宋体" w:cs="宋体"/>
                <w:szCs w:val="21"/>
                <w:lang w:val="en-US" w:eastAsia="zh-CN"/>
              </w:rPr>
              <w:t>2</w:t>
            </w:r>
            <w:r>
              <w:rPr>
                <w:rFonts w:hint="eastAsia" w:ascii="宋体" w:hAnsi="宋体" w:cs="宋体"/>
                <w:szCs w:val="21"/>
              </w:rPr>
              <w:t>分；</w:t>
            </w:r>
          </w:p>
          <w:p w14:paraId="104EF7EE">
            <w:pPr>
              <w:keepNext w:val="0"/>
              <w:keepLines w:val="0"/>
              <w:suppressLineNumbers w:val="0"/>
              <w:wordWrap w:val="0"/>
              <w:spacing w:before="0" w:beforeAutospacing="0" w:after="60" w:afterAutospacing="0"/>
              <w:ind w:left="0" w:right="0"/>
              <w:jc w:val="left"/>
              <w:rPr>
                <w:rFonts w:hint="default" w:ascii="宋体" w:hAnsi="宋体" w:eastAsia="宋体" w:cs="Times New Roman"/>
                <w:szCs w:val="21"/>
                <w:lang w:val="zh-CN"/>
              </w:rPr>
            </w:pPr>
            <w:r>
              <w:rPr>
                <w:rFonts w:hint="eastAsia" w:ascii="宋体" w:hAnsi="宋体" w:cs="宋体"/>
                <w:szCs w:val="21"/>
              </w:rPr>
              <w:t>4.评价为差：总体规划无特点，施工团队配备差、施工方案及进度不能满足要求，质量保证措施差，不得分。</w:t>
            </w:r>
          </w:p>
        </w:tc>
      </w:tr>
      <w:tr w14:paraId="7CAF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5" w:hRule="atLeast"/>
          <w:jc w:val="center"/>
        </w:trPr>
        <w:tc>
          <w:tcPr>
            <w:tcW w:w="709" w:type="dxa"/>
            <w:vMerge w:val="continue"/>
            <w:vAlign w:val="center"/>
          </w:tcPr>
          <w:p w14:paraId="183BE62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1D19A864">
            <w:pPr>
              <w:keepNext w:val="0"/>
              <w:keepLines w:val="0"/>
              <w:suppressLineNumbers w:val="0"/>
              <w:spacing w:before="0" w:beforeAutospacing="0" w:after="60" w:afterAutospacing="0" w:line="360" w:lineRule="auto"/>
              <w:ind w:left="0" w:right="0"/>
              <w:jc w:val="center"/>
              <w:rPr>
                <w:rFonts w:hint="default" w:asciiTheme="minorEastAsia" w:hAnsiTheme="minorEastAsia" w:eastAsiaTheme="minorEastAsia"/>
                <w:color w:val="000000"/>
                <w:szCs w:val="21"/>
                <w:lang w:val="en-US" w:eastAsia="zh-CN"/>
              </w:rPr>
            </w:pPr>
            <w:r>
              <w:rPr>
                <w:rFonts w:hint="eastAsia" w:ascii="宋体" w:hAnsi="宋体" w:cs="宋体"/>
                <w:color w:val="000000" w:themeColor="text1"/>
                <w:szCs w:val="21"/>
              </w:rPr>
              <w:t>小样质量</w:t>
            </w:r>
          </w:p>
        </w:tc>
        <w:tc>
          <w:tcPr>
            <w:tcW w:w="847" w:type="dxa"/>
            <w:vAlign w:val="center"/>
          </w:tcPr>
          <w:p w14:paraId="49E75674">
            <w:pPr>
              <w:keepNext w:val="0"/>
              <w:keepLines w:val="0"/>
              <w:suppressLineNumbers w:val="0"/>
              <w:spacing w:before="0" w:beforeAutospacing="0" w:after="60" w:afterAutospacing="0" w:line="360" w:lineRule="auto"/>
              <w:ind w:left="0" w:right="0"/>
              <w:jc w:val="center"/>
              <w:rPr>
                <w:rFonts w:hint="default" w:asciiTheme="minorEastAsia" w:hAnsiTheme="minorEastAsia" w:eastAsiaTheme="minorEastAsia"/>
                <w:color w:val="000000"/>
                <w:szCs w:val="21"/>
                <w:lang w:val="zh-CN"/>
              </w:rPr>
            </w:pPr>
            <w:r>
              <w:rPr>
                <w:rFonts w:hint="eastAsia" w:ascii="宋体" w:hAnsi="宋体" w:cs="宋体"/>
                <w:color w:val="000000" w:themeColor="text1"/>
                <w:szCs w:val="21"/>
              </w:rPr>
              <w:t>10</w:t>
            </w:r>
          </w:p>
        </w:tc>
        <w:tc>
          <w:tcPr>
            <w:tcW w:w="5115" w:type="dxa"/>
            <w:vAlign w:val="top"/>
          </w:tcPr>
          <w:p w14:paraId="41F0FA5C">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（一）评审内容</w:t>
            </w:r>
          </w:p>
          <w:p w14:paraId="0093DC1F">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按照《样品明细表》提供材料小样，评审委员会就材料小样外观与设计的符合性、产品工艺的完美性、产品功能的完备性进行评审。</w:t>
            </w:r>
          </w:p>
          <w:p w14:paraId="5DF68E68">
            <w:pPr>
              <w:keepNext w:val="0"/>
              <w:keepLines w:val="0"/>
              <w:numPr>
                <w:ilvl w:val="0"/>
                <w:numId w:val="3"/>
              </w:numPr>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评分标准</w:t>
            </w:r>
          </w:p>
          <w:p w14:paraId="2EDB728B">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优：材料小样外观与设计符合要求、产品工艺完美、产品功能完备；</w:t>
            </w:r>
          </w:p>
          <w:p w14:paraId="603F8CAA">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良：材料小样外观与设计较符合要求、产品工艺较完美、产品功能较完备</w:t>
            </w:r>
          </w:p>
          <w:p w14:paraId="32B8A263">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中：材料小样外观与设计基本符合要求、产品工艺一般、产品功能的不够完备</w:t>
            </w:r>
          </w:p>
          <w:p w14:paraId="43D042B9">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差：材料小样外观与设计不符合要求、产品工艺不完美、产品功能不完备或者未按要求提供样品。</w:t>
            </w:r>
          </w:p>
          <w:p w14:paraId="3F21DC6A">
            <w:pPr>
              <w:keepNext w:val="0"/>
              <w:keepLines w:val="0"/>
              <w:suppressLineNumbers w:val="0"/>
              <w:wordWrap w:val="0"/>
              <w:spacing w:before="0" w:beforeAutospacing="0" w:after="60" w:afterAutospacing="0"/>
              <w:ind w:left="0" w:right="0"/>
              <w:jc w:val="left"/>
              <w:rPr>
                <w:rFonts w:hint="eastAsia" w:eastAsia="宋体"/>
                <w:lang w:val="en-US" w:eastAsia="zh-CN"/>
              </w:rPr>
            </w:pPr>
            <w:r>
              <w:rPr>
                <w:rFonts w:hint="eastAsia" w:ascii="宋体" w:hAnsi="宋体" w:cs="宋体"/>
                <w:szCs w:val="21"/>
              </w:rPr>
              <w:t>评审委员会根据响应情况进行横向比较，优得10分，良得7分，中得4分，差得0分。</w:t>
            </w:r>
          </w:p>
        </w:tc>
      </w:tr>
      <w:tr w14:paraId="0F78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3" w:hRule="atLeast"/>
          <w:jc w:val="center"/>
        </w:trPr>
        <w:tc>
          <w:tcPr>
            <w:tcW w:w="709" w:type="dxa"/>
            <w:vMerge w:val="continue"/>
            <w:vAlign w:val="center"/>
          </w:tcPr>
          <w:p w14:paraId="5BEE476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1556C4C3">
            <w:pPr>
              <w:keepNext w:val="0"/>
              <w:keepLines w:val="0"/>
              <w:suppressLineNumbers w:val="0"/>
              <w:spacing w:before="0" w:beforeAutospacing="0" w:after="60" w:afterAutospacing="0" w:line="360" w:lineRule="auto"/>
              <w:ind w:left="0" w:right="0"/>
              <w:jc w:val="center"/>
              <w:rPr>
                <w:rFonts w:hint="eastAsia" w:ascii="宋体" w:hAnsi="宋体" w:cs="宋体"/>
                <w:color w:val="000000" w:themeColor="text1"/>
                <w:szCs w:val="21"/>
              </w:rPr>
            </w:pPr>
            <w:r>
              <w:rPr>
                <w:rFonts w:hint="eastAsia" w:ascii="宋体" w:hAnsi="宋体" w:cs="宋体"/>
                <w:szCs w:val="21"/>
              </w:rPr>
              <w:t>商务响应</w:t>
            </w:r>
          </w:p>
        </w:tc>
        <w:tc>
          <w:tcPr>
            <w:tcW w:w="847" w:type="dxa"/>
            <w:vAlign w:val="center"/>
          </w:tcPr>
          <w:p w14:paraId="335524E2">
            <w:pPr>
              <w:keepNext w:val="0"/>
              <w:keepLines w:val="0"/>
              <w:suppressLineNumbers w:val="0"/>
              <w:spacing w:before="0" w:beforeAutospacing="0" w:after="60" w:afterAutospacing="0" w:line="360" w:lineRule="auto"/>
              <w:ind w:left="0" w:right="0"/>
              <w:jc w:val="center"/>
              <w:rPr>
                <w:rFonts w:hint="eastAsia" w:ascii="宋体" w:hAnsi="宋体" w:eastAsia="宋体" w:cs="宋体"/>
                <w:color w:val="000000" w:themeColor="text1"/>
                <w:szCs w:val="21"/>
                <w:lang w:eastAsia="zh-CN"/>
              </w:rPr>
            </w:pPr>
            <w:r>
              <w:rPr>
                <w:rFonts w:hint="eastAsia" w:ascii="宋体" w:hAnsi="宋体" w:cs="宋体"/>
                <w:szCs w:val="21"/>
              </w:rPr>
              <w:t>1</w:t>
            </w:r>
            <w:r>
              <w:rPr>
                <w:rFonts w:hint="eastAsia" w:ascii="宋体" w:hAnsi="宋体" w:cs="宋体"/>
                <w:szCs w:val="21"/>
                <w:lang w:val="en-US" w:eastAsia="zh-CN"/>
              </w:rPr>
              <w:t>4</w:t>
            </w:r>
          </w:p>
        </w:tc>
        <w:tc>
          <w:tcPr>
            <w:tcW w:w="5115" w:type="dxa"/>
            <w:vAlign w:val="center"/>
          </w:tcPr>
          <w:p w14:paraId="59A84E13">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（一）评审内容</w:t>
            </w:r>
          </w:p>
          <w:p w14:paraId="7A774D14">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投标人应如实填写《商务条款偏离表》，评审委员会根据响应情况进行打分。</w:t>
            </w:r>
          </w:p>
          <w:p w14:paraId="1238FD5A">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（二）评分标准</w:t>
            </w:r>
          </w:p>
          <w:p w14:paraId="5824A8F8">
            <w:pPr>
              <w:keepNext w:val="0"/>
              <w:keepLines w:val="0"/>
              <w:suppressLineNumbers w:val="0"/>
              <w:wordWrap w:val="0"/>
              <w:spacing w:before="0" w:beforeAutospacing="0" w:after="60" w:afterAutospacing="0"/>
              <w:ind w:left="0" w:right="0"/>
              <w:jc w:val="left"/>
              <w:rPr>
                <w:rFonts w:hint="eastAsia" w:ascii="宋体" w:hAnsi="宋体" w:cs="宋体"/>
                <w:szCs w:val="21"/>
              </w:rPr>
            </w:pPr>
            <w:r>
              <w:rPr>
                <w:rFonts w:hint="eastAsia" w:ascii="宋体" w:hAnsi="宋体" w:cs="宋体"/>
                <w:szCs w:val="21"/>
              </w:rPr>
              <w:t>各项商务条款参数指标及要求全部满足的得1</w:t>
            </w:r>
            <w:r>
              <w:rPr>
                <w:rFonts w:hint="eastAsia" w:ascii="宋体" w:hAnsi="宋体" w:cs="宋体"/>
                <w:szCs w:val="21"/>
                <w:lang w:val="en-US" w:eastAsia="zh-CN"/>
              </w:rPr>
              <w:t>4</w:t>
            </w:r>
            <w:r>
              <w:rPr>
                <w:rFonts w:hint="eastAsia" w:ascii="宋体" w:hAnsi="宋体" w:cs="宋体"/>
                <w:szCs w:val="21"/>
              </w:rPr>
              <w:t>分；标“▲”为重点参数，未响应或每负偏离一项扣</w:t>
            </w:r>
            <w:r>
              <w:rPr>
                <w:rFonts w:hint="eastAsia" w:ascii="宋体" w:hAnsi="宋体" w:cs="宋体"/>
                <w:szCs w:val="21"/>
                <w:lang w:val="en-US" w:eastAsia="zh-CN"/>
              </w:rPr>
              <w:t>3</w:t>
            </w:r>
            <w:r>
              <w:rPr>
                <w:rFonts w:hint="eastAsia" w:ascii="宋体" w:hAnsi="宋体" w:cs="宋体"/>
                <w:szCs w:val="21"/>
              </w:rPr>
              <w:t>分；一般参数，未响应或每负偏离一项扣1分。扣完为止。</w:t>
            </w:r>
          </w:p>
        </w:tc>
      </w:tr>
      <w:tr w14:paraId="2E84B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14:paraId="4BD5844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50D74BB7">
            <w:pPr>
              <w:keepNext w:val="0"/>
              <w:keepLines w:val="0"/>
              <w:suppressLineNumbers w:val="0"/>
              <w:wordWrap w:val="0"/>
              <w:spacing w:before="0" w:beforeAutospacing="0" w:after="0" w:afterAutospacing="0"/>
              <w:ind w:left="0" w:right="0"/>
              <w:jc w:val="center"/>
              <w:rPr>
                <w:rFonts w:hint="eastAsia" w:asciiTheme="minorEastAsia" w:hAnsiTheme="minorEastAsia" w:eastAsiaTheme="minorEastAsia"/>
                <w:color w:val="000000"/>
                <w:szCs w:val="21"/>
                <w:lang w:val="en-US" w:eastAsia="zh-CN"/>
              </w:rPr>
            </w:pPr>
            <w:r>
              <w:rPr>
                <w:rFonts w:hint="eastAsia" w:ascii="宋体" w:hAnsi="宋体" w:cs="宋体"/>
                <w:szCs w:val="21"/>
              </w:rPr>
              <w:t>同类项目业绩</w:t>
            </w:r>
          </w:p>
        </w:tc>
        <w:tc>
          <w:tcPr>
            <w:tcW w:w="847" w:type="dxa"/>
            <w:vAlign w:val="center"/>
          </w:tcPr>
          <w:p w14:paraId="2407B3F7">
            <w:pPr>
              <w:keepNext w:val="0"/>
              <w:keepLines w:val="0"/>
              <w:suppressLineNumbers w:val="0"/>
              <w:wordWrap w:val="0"/>
              <w:spacing w:before="0" w:beforeAutospacing="0" w:after="0" w:afterAutospacing="0"/>
              <w:ind w:left="0" w:right="0"/>
              <w:jc w:val="center"/>
              <w:rPr>
                <w:rFonts w:hint="default" w:asciiTheme="minorEastAsia" w:hAnsiTheme="minorEastAsia" w:eastAsiaTheme="minorEastAsia"/>
                <w:color w:val="000000"/>
                <w:szCs w:val="21"/>
                <w:lang w:val="en-US" w:eastAsia="zh-CN"/>
              </w:rPr>
            </w:pPr>
            <w:r>
              <w:rPr>
                <w:rFonts w:hint="eastAsia" w:ascii="宋体" w:hAnsi="宋体" w:cs="宋体"/>
                <w:szCs w:val="21"/>
                <w:lang w:val="en-US" w:eastAsia="zh-CN"/>
              </w:rPr>
              <w:t>7.5</w:t>
            </w:r>
          </w:p>
        </w:tc>
        <w:tc>
          <w:tcPr>
            <w:tcW w:w="5115" w:type="dxa"/>
            <w:vAlign w:val="top"/>
          </w:tcPr>
          <w:p w14:paraId="7D7C8A6F">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(一)评审内容</w:t>
            </w:r>
          </w:p>
          <w:p w14:paraId="3B0C0E9B">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投标人自2021年1月1以来具有</w:t>
            </w:r>
            <w:r>
              <w:rPr>
                <w:rFonts w:hint="eastAsia" w:ascii="宋体" w:hAnsi="宋体" w:cs="宋体"/>
                <w:szCs w:val="21"/>
                <w:lang w:val="en-US" w:eastAsia="zh-CN"/>
              </w:rPr>
              <w:t>办公家具同</w:t>
            </w:r>
            <w:r>
              <w:rPr>
                <w:rFonts w:hint="eastAsia" w:ascii="宋体" w:hAnsi="宋体" w:cs="宋体"/>
                <w:szCs w:val="21"/>
              </w:rPr>
              <w:t>类案例,每提供一个得</w:t>
            </w:r>
            <w:r>
              <w:rPr>
                <w:rFonts w:hint="eastAsia" w:ascii="宋体" w:hAnsi="宋体" w:cs="宋体"/>
                <w:szCs w:val="21"/>
                <w:lang w:val="en-US" w:eastAsia="zh-CN"/>
              </w:rPr>
              <w:t>2.5</w:t>
            </w:r>
            <w:r>
              <w:rPr>
                <w:rFonts w:hint="eastAsia" w:ascii="宋体" w:hAnsi="宋体" w:cs="宋体"/>
                <w:szCs w:val="21"/>
              </w:rPr>
              <w:t>分,最高得</w:t>
            </w:r>
            <w:r>
              <w:rPr>
                <w:rFonts w:hint="eastAsia" w:ascii="宋体" w:hAnsi="宋体" w:cs="宋体"/>
                <w:szCs w:val="21"/>
                <w:lang w:val="en-US" w:eastAsia="zh-CN"/>
              </w:rPr>
              <w:t>7.5</w:t>
            </w:r>
            <w:r>
              <w:rPr>
                <w:rFonts w:hint="eastAsia" w:ascii="宋体" w:hAnsi="宋体" w:cs="宋体"/>
                <w:szCs w:val="21"/>
              </w:rPr>
              <w:t>分｡</w:t>
            </w:r>
          </w:p>
          <w:p w14:paraId="1CC63A25">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(二)评审依据</w:t>
            </w:r>
          </w:p>
          <w:p w14:paraId="7387D24C">
            <w:pPr>
              <w:keepNext w:val="0"/>
              <w:keepLines w:val="0"/>
              <w:suppressLineNumbers w:val="0"/>
              <w:wordWrap w:val="0"/>
              <w:spacing w:before="0" w:beforeAutospacing="0" w:after="60" w:afterAutospacing="0"/>
              <w:ind w:left="0" w:right="0"/>
              <w:jc w:val="left"/>
              <w:rPr>
                <w:rFonts w:hint="default" w:asciiTheme="minorEastAsia" w:hAnsiTheme="minorEastAsia" w:eastAsiaTheme="minorEastAsia"/>
                <w:szCs w:val="21"/>
              </w:rPr>
            </w:pPr>
            <w:r>
              <w:rPr>
                <w:rFonts w:hint="eastAsia" w:ascii="宋体" w:hAnsi="宋体" w:cs="宋体"/>
                <w:szCs w:val="21"/>
              </w:rPr>
              <w:t>投标人须提供合同关键页扫描件｡</w:t>
            </w:r>
          </w:p>
        </w:tc>
      </w:tr>
      <w:tr w14:paraId="092F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7492779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1150E0C6">
            <w:pPr>
              <w:keepNext w:val="0"/>
              <w:keepLines w:val="0"/>
              <w:suppressLineNumbers w:val="0"/>
              <w:spacing w:before="0" w:beforeAutospacing="0" w:after="0" w:afterAutospacing="0"/>
              <w:ind w:left="0" w:leftChars="0" w:right="0" w:rightChars="0"/>
              <w:rPr>
                <w:rFonts w:hint="default" w:asciiTheme="minorEastAsia" w:hAnsiTheme="minorEastAsia" w:eastAsiaTheme="minorEastAsia"/>
                <w:color w:val="000000"/>
                <w:szCs w:val="21"/>
                <w:lang w:val="zh-CN"/>
              </w:rPr>
            </w:pPr>
            <w:r>
              <w:rPr>
                <w:rFonts w:hint="default" w:asciiTheme="minorEastAsia" w:hAnsiTheme="minorEastAsia" w:eastAsiaTheme="minorEastAsia"/>
                <w:color w:val="000000"/>
                <w:szCs w:val="21"/>
                <w:lang w:val="zh-CN"/>
              </w:rPr>
              <w:t>企业诚信</w:t>
            </w:r>
          </w:p>
        </w:tc>
        <w:tc>
          <w:tcPr>
            <w:tcW w:w="847" w:type="dxa"/>
            <w:vAlign w:val="center"/>
          </w:tcPr>
          <w:p w14:paraId="5DE0575F">
            <w:pPr>
              <w:keepNext w:val="0"/>
              <w:keepLines w:val="0"/>
              <w:suppressLineNumbers w:val="0"/>
              <w:spacing w:before="0" w:beforeAutospacing="0" w:after="0" w:afterAutospacing="0"/>
              <w:ind w:left="0" w:leftChars="0" w:right="0" w:rightChars="0"/>
              <w:jc w:val="center"/>
              <w:rPr>
                <w:rFonts w:hint="default" w:asciiTheme="minorEastAsia" w:hAnsiTheme="minorEastAsia" w:eastAsiaTheme="minorEastAsia"/>
                <w:color w:val="000000"/>
                <w:szCs w:val="21"/>
                <w:lang w:val="zh-CN"/>
              </w:rPr>
            </w:pPr>
            <w:r>
              <w:rPr>
                <w:rFonts w:hint="eastAsia" w:asciiTheme="minorEastAsia" w:hAnsiTheme="minorEastAsia" w:eastAsiaTheme="minorEastAsia"/>
                <w:color w:val="000000"/>
                <w:szCs w:val="21"/>
                <w:lang w:val="en-US" w:eastAsia="zh-CN"/>
              </w:rPr>
              <w:t>5</w:t>
            </w:r>
          </w:p>
        </w:tc>
        <w:tc>
          <w:tcPr>
            <w:tcW w:w="5115" w:type="dxa"/>
          </w:tcPr>
          <w:p w14:paraId="71B2F821">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（一）评分内容：</w:t>
            </w:r>
          </w:p>
          <w:p w14:paraId="2A7BD459">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3FA7DB96">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（二）评分依据</w:t>
            </w:r>
            <w:r>
              <w:rPr>
                <w:rFonts w:hint="eastAsia" w:ascii="宋体" w:hAnsi="宋体" w:eastAsia="宋体" w:cs="宋体"/>
                <w:color w:val="auto"/>
                <w:szCs w:val="21"/>
                <w:highlight w:val="none"/>
                <w:lang w:eastAsia="zh-CN"/>
              </w:rPr>
              <w:t>：</w:t>
            </w:r>
          </w:p>
          <w:p w14:paraId="338EB574">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1、投标人提供“投标人诚信承诺函”</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加盖公章；</w:t>
            </w:r>
          </w:p>
          <w:p w14:paraId="479A2CC7">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宋体" w:hAnsi="宋体" w:eastAsia="宋体" w:cs="宋体"/>
                <w:color w:val="auto"/>
                <w:szCs w:val="21"/>
                <w:highlight w:val="none"/>
                <w:lang w:val="en-US" w:eastAsia="zh-CN"/>
              </w:rPr>
              <w:t>2、提供“信用中国”（www.creditchina.gov.cn）</w:t>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val="en-US" w:eastAsia="zh-CN"/>
              </w:rPr>
              <w:t>（www.ccgp.gov.cn）</w:t>
            </w:r>
            <w:r>
              <w:rPr>
                <w:rFonts w:hint="eastAsia" w:ascii="宋体" w:hAnsi="宋体" w:eastAsia="宋体" w:cs="宋体"/>
                <w:color w:val="auto"/>
                <w:szCs w:val="21"/>
                <w:highlight w:val="none"/>
              </w:rPr>
              <w:t>、“深圳市政府采购监管网”</w:t>
            </w:r>
            <w:r>
              <w:rPr>
                <w:rFonts w:hint="eastAsia" w:ascii="宋体" w:hAnsi="宋体" w:eastAsia="宋体" w:cs="宋体"/>
                <w:color w:val="auto"/>
                <w:szCs w:val="21"/>
                <w:highlight w:val="none"/>
                <w:lang w:val="en-US" w:eastAsia="zh-CN"/>
              </w:rPr>
              <w:t>（http://zfcg.sz.gov.cn）</w:t>
            </w:r>
            <w:r>
              <w:rPr>
                <w:rFonts w:hint="eastAsia" w:ascii="宋体" w:hAnsi="宋体" w:eastAsia="宋体" w:cs="宋体"/>
                <w:color w:val="auto"/>
                <w:szCs w:val="21"/>
                <w:highlight w:val="none"/>
              </w:rPr>
              <w:t>以及市、区财政部门认定的其他渠道查询供应商信用信息。</w:t>
            </w:r>
          </w:p>
        </w:tc>
      </w:tr>
      <w:tr w14:paraId="25D5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14:paraId="6D37A0F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default" w:asciiTheme="minorEastAsia" w:hAnsiTheme="minorEastAsia" w:eastAsiaTheme="minorEastAsia"/>
                <w:b/>
                <w:szCs w:val="21"/>
              </w:rPr>
              <w:t>报价(3</w:t>
            </w:r>
            <w:r>
              <w:rPr>
                <w:rFonts w:hint="eastAsia" w:asciiTheme="minorEastAsia" w:hAnsiTheme="minorEastAsia" w:eastAsiaTheme="minorEastAsia"/>
                <w:b/>
                <w:szCs w:val="21"/>
                <w:lang w:val="en-US" w:eastAsia="zh-CN"/>
              </w:rPr>
              <w:t>0</w:t>
            </w:r>
            <w:r>
              <w:rPr>
                <w:rFonts w:hint="default" w:asciiTheme="minorEastAsia" w:hAnsiTheme="minorEastAsia" w:eastAsiaTheme="minorEastAsia"/>
                <w:b/>
                <w:szCs w:val="21"/>
              </w:rPr>
              <w:t>分)</w:t>
            </w:r>
          </w:p>
        </w:tc>
        <w:tc>
          <w:tcPr>
            <w:tcW w:w="7704" w:type="dxa"/>
            <w:gridSpan w:val="3"/>
            <w:vAlign w:val="center"/>
          </w:tcPr>
          <w:p w14:paraId="7EB76D82">
            <w:pPr>
              <w:keepNext w:val="0"/>
              <w:keepLines w:val="0"/>
              <w:suppressLineNumbers w:val="0"/>
              <w:spacing w:before="0" w:beforeAutospacing="0" w:after="0" w:afterAutospacing="0"/>
              <w:ind w:left="0" w:right="0"/>
              <w:rPr>
                <w:rFonts w:hint="eastAsia" w:asciiTheme="minorEastAsia" w:hAnsiTheme="minorEastAsia" w:eastAsiaTheme="minorEastAsia"/>
                <w:szCs w:val="21"/>
                <w:lang w:val="zh-CN" w:eastAsia="zh-CN"/>
              </w:rPr>
            </w:pPr>
            <w:r>
              <w:rPr>
                <w:rFonts w:hint="default" w:asciiTheme="minorEastAsia" w:hAnsiTheme="minorEastAsia" w:eastAsiaTheme="minor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Theme="minorEastAsia" w:hAnsiTheme="minorEastAsia" w:eastAsiaTheme="minorEastAsia"/>
                <w:szCs w:val="21"/>
                <w:lang w:val="en-US" w:eastAsia="zh-CN"/>
              </w:rPr>
              <w:t>0</w:t>
            </w:r>
            <w:r>
              <w:rPr>
                <w:rFonts w:hint="default" w:asciiTheme="minorEastAsia" w:hAnsiTheme="minorEastAsia" w:eastAsiaTheme="minorEastAsia"/>
                <w:szCs w:val="21"/>
                <w:lang w:val="zh-CN"/>
              </w:rPr>
              <w:t>分)</w:t>
            </w:r>
            <w:r>
              <w:rPr>
                <w:rFonts w:hint="default" w:ascii="MS Gothic" w:hAnsi="MS Gothic" w:eastAsia="MS Gothic" w:cs="MS Gothic"/>
                <w:szCs w:val="21"/>
                <w:lang w:val="zh-CN"/>
              </w:rPr>
              <w:t>｡</w:t>
            </w:r>
            <w:r>
              <w:rPr>
                <w:rFonts w:hint="default" w:ascii="宋体" w:hAnsi="宋体" w:cs="宋体"/>
                <w:szCs w:val="21"/>
                <w:lang w:val="zh-CN"/>
              </w:rPr>
              <w:t>其他投标人</w:t>
            </w:r>
            <w:r>
              <w:rPr>
                <w:rFonts w:hint="default" w:asciiTheme="minorEastAsia" w:hAnsiTheme="minorEastAsia" w:eastAsiaTheme="minorEastAsia"/>
                <w:szCs w:val="21"/>
                <w:lang w:val="zh-CN"/>
              </w:rPr>
              <w:t>的价格分按照下列公式计算:</w:t>
            </w:r>
            <w:r>
              <w:rPr>
                <w:rFonts w:hint="default" w:asciiTheme="minorEastAsia" w:hAnsiTheme="minorEastAsia" w:eastAsiaTheme="minorEastAsia"/>
                <w:b/>
                <w:szCs w:val="21"/>
                <w:lang w:val="zh-CN"/>
              </w:rPr>
              <w:t>投标报价得分=(评标基准价/投标报价)×3</w:t>
            </w:r>
            <w:r>
              <w:rPr>
                <w:rFonts w:hint="eastAsia" w:asciiTheme="minorEastAsia" w:hAnsiTheme="minorEastAsia" w:eastAsiaTheme="minorEastAsia"/>
                <w:b/>
                <w:szCs w:val="21"/>
                <w:lang w:val="en-US" w:eastAsia="zh-CN"/>
              </w:rPr>
              <w:t>0</w:t>
            </w:r>
          </w:p>
        </w:tc>
      </w:tr>
    </w:tbl>
    <w:p w14:paraId="714F412A">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(五)谈判小组拟制谈判报告</w:t>
      </w:r>
      <w:r>
        <w:rPr>
          <w:rFonts w:ascii="MS Gothic" w:hAnsi="MS Gothic" w:eastAsia="MS Gothic" w:cs="MS Gothic"/>
          <w:color w:val="000000"/>
          <w:kern w:val="0"/>
          <w:szCs w:val="21"/>
        </w:rPr>
        <w:t>｡</w:t>
      </w:r>
    </w:p>
    <w:p w14:paraId="3A67D343">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五</w:t>
      </w:r>
      <w:r>
        <w:rPr>
          <w:rFonts w:ascii="MS Gothic" w:hAnsi="MS Gothic" w:eastAsia="MS Gothic" w:cs="MS Gothic"/>
          <w:color w:val="000000"/>
          <w:kern w:val="0"/>
          <w:szCs w:val="21"/>
        </w:rPr>
        <w:t>､</w:t>
      </w:r>
      <w:r>
        <w:rPr>
          <w:rFonts w:ascii="宋体" w:hAnsi="宋体" w:cs="宋体"/>
          <w:color w:val="000000"/>
          <w:kern w:val="0"/>
          <w:szCs w:val="21"/>
        </w:rPr>
        <w:t>中标通知</w:t>
      </w:r>
    </w:p>
    <w:p w14:paraId="5C7E0003">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(一)谈判结束后,院方将于三个工作日内在</w:t>
      </w:r>
      <w:r>
        <w:rPr>
          <w:rFonts w:cs="Arial" w:asciiTheme="minorEastAsia" w:hAnsiTheme="minorEastAsia" w:eastAsiaTheme="minorEastAsia"/>
          <w:color w:val="FF0000"/>
          <w:kern w:val="0"/>
          <w:szCs w:val="21"/>
        </w:rPr>
        <w:t>深圳市宝安区石岩人民医院官网</w:t>
      </w:r>
      <w:r>
        <w:rPr>
          <w:rFonts w:cs="Arial" w:asciiTheme="minorEastAsia" w:hAnsiTheme="minorEastAsia" w:eastAsiaTheme="minorEastAsia"/>
          <w:color w:val="000000"/>
          <w:kern w:val="0"/>
          <w:szCs w:val="21"/>
        </w:rPr>
        <w:t>发布中标公告,公告期满,如无谈判响应方质疑,由深圳市宝安区石岩人民医院招标</w:t>
      </w:r>
      <w:r>
        <w:rPr>
          <w:rFonts w:hint="eastAsia" w:cs="Arial" w:asciiTheme="minorEastAsia" w:hAnsiTheme="minorEastAsia" w:eastAsiaTheme="minorEastAsia"/>
          <w:color w:val="000000"/>
          <w:kern w:val="0"/>
          <w:szCs w:val="21"/>
        </w:rPr>
        <w:t>办</w:t>
      </w:r>
      <w:r>
        <w:rPr>
          <w:rFonts w:cs="Arial" w:asciiTheme="minorEastAsia" w:hAnsiTheme="minorEastAsia" w:eastAsiaTheme="minorEastAsia"/>
          <w:color w:val="000000"/>
          <w:kern w:val="0"/>
          <w:szCs w:val="21"/>
        </w:rPr>
        <w:t>签发《中标/成交结果通知书》</w:t>
      </w:r>
      <w:r>
        <w:rPr>
          <w:rFonts w:ascii="MS Gothic" w:hAnsi="MS Gothic" w:eastAsia="MS Gothic" w:cs="MS Gothic"/>
          <w:color w:val="000000"/>
          <w:kern w:val="0"/>
          <w:szCs w:val="21"/>
        </w:rPr>
        <w:t>｡</w:t>
      </w:r>
    </w:p>
    <w:p w14:paraId="625FB075">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(二)结果通知书发出后,若中标谈判响应方放弃中标,应当承担相应的法律责任</w:t>
      </w:r>
      <w:r>
        <w:rPr>
          <w:rFonts w:ascii="MS Gothic" w:hAnsi="MS Gothic" w:eastAsia="MS Gothic" w:cs="MS Gothic"/>
          <w:color w:val="000000"/>
          <w:kern w:val="0"/>
          <w:szCs w:val="21"/>
        </w:rPr>
        <w:t>｡</w:t>
      </w:r>
      <w:r>
        <w:rPr>
          <w:rFonts w:ascii="宋体" w:hAnsi="宋体" w:cs="宋体"/>
          <w:color w:val="000000"/>
          <w:kern w:val="0"/>
          <w:szCs w:val="21"/>
        </w:rPr>
        <w:t>中标通知书对采购人和中标谈判响应方具有同等法律效力</w:t>
      </w:r>
      <w:r>
        <w:rPr>
          <w:rFonts w:ascii="MS Gothic" w:hAnsi="MS Gothic" w:eastAsia="MS Gothic" w:cs="MS Gothic"/>
          <w:color w:val="000000"/>
          <w:kern w:val="0"/>
          <w:szCs w:val="21"/>
        </w:rPr>
        <w:t>｡</w:t>
      </w:r>
    </w:p>
    <w:p w14:paraId="3636BD47">
      <w:pPr>
        <w:widowControl/>
        <w:jc w:val="left"/>
        <w:rPr>
          <w:rFonts w:ascii="MS Gothic" w:hAnsi="MS Gothic" w:eastAsia="MS Gothic" w:cs="MS Gothic"/>
          <w:color w:val="000000"/>
          <w:kern w:val="0"/>
          <w:szCs w:val="21"/>
        </w:rPr>
      </w:pPr>
      <w:r>
        <w:rPr>
          <w:rFonts w:cs="Arial" w:asciiTheme="minorEastAsia" w:hAnsiTheme="minorEastAsia" w:eastAsiaTheme="minorEastAsia"/>
          <w:color w:val="000000"/>
          <w:kern w:val="0"/>
          <w:szCs w:val="21"/>
        </w:rPr>
        <w:t>(三)中标公告期满后,中标公司将来深圳市宝安区石岩人民医院</w:t>
      </w:r>
      <w:r>
        <w:rPr>
          <w:rFonts w:hint="eastAsia" w:cs="Arial" w:asciiTheme="minorEastAsia" w:hAnsiTheme="minorEastAsia" w:eastAsiaTheme="minorEastAsia"/>
          <w:color w:val="000000"/>
          <w:kern w:val="0"/>
          <w:szCs w:val="21"/>
        </w:rPr>
        <w:t>采购</w:t>
      </w:r>
      <w:r>
        <w:rPr>
          <w:rFonts w:cs="Arial" w:asciiTheme="minorEastAsia" w:hAnsiTheme="minorEastAsia" w:eastAsiaTheme="minorEastAsia"/>
          <w:color w:val="000000"/>
          <w:kern w:val="0"/>
          <w:szCs w:val="21"/>
        </w:rPr>
        <w:t>部门签订合同</w:t>
      </w:r>
      <w:r>
        <w:rPr>
          <w:rFonts w:ascii="MS Gothic" w:hAnsi="MS Gothic" w:eastAsia="MS Gothic" w:cs="MS Gothic"/>
          <w:color w:val="000000"/>
          <w:kern w:val="0"/>
          <w:szCs w:val="21"/>
        </w:rPr>
        <w:t>｡</w:t>
      </w:r>
    </w:p>
    <w:p w14:paraId="2588BDF8">
      <w:pPr>
        <w:widowControl/>
        <w:jc w:val="left"/>
        <w:rPr>
          <w:rFonts w:ascii="MS Gothic" w:hAnsi="MS Gothic" w:eastAsia="MS Gothic" w:cs="MS Gothic"/>
          <w:color w:val="000000"/>
          <w:kern w:val="0"/>
          <w:szCs w:val="21"/>
        </w:rPr>
      </w:pPr>
    </w:p>
    <w:p w14:paraId="540AE75D">
      <w:pPr>
        <w:widowControl/>
        <w:jc w:val="righ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深圳市宝安区石岩人民医院</w:t>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Cs w:val="21"/>
        </w:rPr>
        <w:br w:type="page"/>
      </w:r>
      <w:r>
        <w:rPr>
          <w:rFonts w:asciiTheme="minorEastAsia" w:hAnsiTheme="minorEastAsia" w:eastAsiaTheme="minorEastAsia"/>
          <w:sz w:val="28"/>
          <w:szCs w:val="28"/>
        </w:rPr>
        <w:t>附件:</w:t>
      </w:r>
    </w:p>
    <w:p w14:paraId="7E4A1C7C">
      <w:pPr>
        <w:numPr>
          <w:ilvl w:val="0"/>
          <w:numId w:val="0"/>
        </w:numPr>
        <w:ind w:firstLine="420" w:firstLineChars="200"/>
        <w:rPr>
          <w:rFonts w:hint="eastAsia"/>
          <w:b/>
          <w:bCs/>
          <w:color w:val="auto"/>
        </w:rPr>
      </w:pPr>
      <w:r>
        <w:rPr>
          <w:rFonts w:hint="eastAsia"/>
          <w:b/>
          <w:bCs/>
          <w:color w:val="auto"/>
        </w:rPr>
        <w:t>注：投标人须对本项目的技术</w:t>
      </w:r>
      <w:r>
        <w:rPr>
          <w:rFonts w:hint="eastAsia"/>
          <w:b/>
          <w:bCs/>
          <w:color w:val="auto"/>
          <w:lang w:val="en-US" w:eastAsia="zh-CN"/>
        </w:rPr>
        <w:t>参数</w:t>
      </w:r>
      <w:r>
        <w:rPr>
          <w:rFonts w:hint="eastAsia"/>
          <w:b/>
          <w:bCs/>
          <w:color w:val="auto"/>
        </w:rPr>
        <w:t>和商务条款</w:t>
      </w:r>
      <w:r>
        <w:rPr>
          <w:rFonts w:hint="eastAsia"/>
          <w:b/>
          <w:bCs/>
          <w:color w:val="auto"/>
          <w:lang w:eastAsia="zh-CN"/>
        </w:rPr>
        <w:t>（</w:t>
      </w:r>
      <w:r>
        <w:rPr>
          <w:rFonts w:hint="eastAsia"/>
          <w:b/>
          <w:bCs/>
          <w:color w:val="auto"/>
          <w:lang w:val="en-US" w:eastAsia="zh-CN"/>
        </w:rPr>
        <w:t>售后服务要求）</w:t>
      </w:r>
      <w:r>
        <w:rPr>
          <w:rFonts w:hint="eastAsia"/>
          <w:b/>
          <w:bCs/>
          <w:color w:val="auto"/>
        </w:rPr>
        <w:t>进行</w:t>
      </w:r>
      <w:r>
        <w:rPr>
          <w:rFonts w:hint="eastAsia"/>
          <w:b/>
          <w:bCs/>
          <w:color w:val="auto"/>
          <w:lang w:val="en-US" w:eastAsia="zh-CN"/>
        </w:rPr>
        <w:t>一一</w:t>
      </w:r>
      <w:r>
        <w:rPr>
          <w:rFonts w:hint="eastAsia"/>
          <w:b/>
          <w:bCs/>
          <w:color w:val="auto"/>
        </w:rPr>
        <w:t>逐条响应</w:t>
      </w:r>
    </w:p>
    <w:p w14:paraId="3A9411D7">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2E6846A5">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33FE7C65">
      <w:pPr>
        <w:jc w:val="center"/>
        <w:rPr>
          <w:rFonts w:hint="default" w:cs="Arial" w:asciiTheme="minorEastAsia" w:hAnsiTheme="minorEastAsia" w:eastAsiaTheme="minorEastAsia"/>
          <w:b/>
          <w:color w:val="000000"/>
          <w:sz w:val="32"/>
          <w:szCs w:val="32"/>
          <w:lang w:val="en-US" w:eastAsia="zh-CN"/>
        </w:rPr>
      </w:pPr>
      <w:r>
        <w:rPr>
          <w:rFonts w:hint="eastAsia" w:cs="Arial" w:asciiTheme="minorEastAsia" w:hAnsiTheme="minorEastAsia" w:eastAsiaTheme="minorEastAsia"/>
          <w:b/>
          <w:color w:val="000000"/>
          <w:sz w:val="32"/>
          <w:szCs w:val="32"/>
          <w:lang w:val="en-US" w:eastAsia="zh-CN"/>
        </w:rPr>
        <w:t>医用家具</w:t>
      </w:r>
    </w:p>
    <w:p w14:paraId="61D8829F">
      <w:pPr>
        <w:pStyle w:val="68"/>
        <w:ind w:left="723" w:hanging="723"/>
        <w:rPr>
          <w:sz w:val="28"/>
          <w:szCs w:val="28"/>
          <w:lang w:val="en-US"/>
        </w:rPr>
      </w:pPr>
      <w:r>
        <w:rPr>
          <w:rFonts w:asciiTheme="minorEastAsia" w:hAnsiTheme="minorEastAsia" w:eastAsiaTheme="minorEastAsia"/>
          <w:b/>
          <w:color w:val="000000" w:themeColor="text1"/>
          <w:szCs w:val="21"/>
        </w:rPr>
        <w:t>【</w:t>
      </w:r>
      <w:r>
        <w:rPr>
          <w:rFonts w:hint="eastAsia" w:asciiTheme="minorEastAsia" w:hAnsiTheme="minorEastAsia" w:eastAsiaTheme="minorEastAsia"/>
          <w:b/>
          <w:color w:val="000000" w:themeColor="text1"/>
          <w:szCs w:val="21"/>
          <w:lang w:val="en-US" w:eastAsia="zh-CN"/>
        </w:rPr>
        <w:t>预算总金额</w:t>
      </w:r>
      <w:r>
        <w:rPr>
          <w:rFonts w:asciiTheme="minorEastAsia" w:hAnsiTheme="minorEastAsia" w:eastAsiaTheme="minorEastAsia"/>
          <w:b/>
          <w:color w:val="000000" w:themeColor="text1"/>
          <w:szCs w:val="21"/>
        </w:rPr>
        <w:t>】</w:t>
      </w:r>
    </w:p>
    <w:p w14:paraId="313327F7">
      <w:pPr>
        <w:pStyle w:val="68"/>
        <w:ind w:left="722" w:leftChars="200" w:hanging="302" w:hangingChars="144"/>
        <w:rPr>
          <w:rFonts w:hint="eastAsia" w:eastAsia="宋体"/>
        </w:rPr>
      </w:pPr>
      <w:r>
        <w:rPr>
          <w:rFonts w:hint="eastAsia" w:cs="Times New Roman"/>
          <w:kern w:val="2"/>
          <w:sz w:val="21"/>
          <w:szCs w:val="21"/>
          <w:lang w:val="en-US" w:eastAsia="zh-CN" w:bidi="ar-SA"/>
        </w:rPr>
        <w:t>预算总金额：180000元</w:t>
      </w:r>
    </w:p>
    <w:p w14:paraId="64BCA9F5">
      <w:pPr>
        <w:widowControl/>
        <w:spacing w:line="380" w:lineRule="exact"/>
        <w:ind w:right="-758" w:rightChars="-361"/>
      </w:pPr>
      <w:r>
        <w:rPr>
          <w:rFonts w:hint="eastAsia" w:eastAsia="宋体"/>
        </w:rPr>
        <w:t>【</w:t>
      </w:r>
      <w:r>
        <w:rPr>
          <w:rFonts w:hint="eastAsia" w:eastAsia="宋体"/>
          <w:b/>
          <w:bCs/>
        </w:rPr>
        <w:t>货物清单</w:t>
      </w:r>
      <w:r>
        <w:rPr>
          <w:rFonts w:hint="eastAsia" w:eastAsia="宋体"/>
        </w:rPr>
        <w:t>】</w:t>
      </w:r>
    </w:p>
    <w:tbl>
      <w:tblPr>
        <w:tblStyle w:val="22"/>
        <w:tblW w:w="773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2444"/>
        <w:gridCol w:w="2367"/>
        <w:gridCol w:w="825"/>
        <w:gridCol w:w="1015"/>
      </w:tblGrid>
      <w:tr w14:paraId="490E1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6CF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2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1B358">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名称</w:t>
            </w:r>
          </w:p>
        </w:tc>
        <w:tc>
          <w:tcPr>
            <w:tcW w:w="2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92BD6">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规格</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A90AD">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数量</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E297C">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单位</w:t>
            </w:r>
          </w:p>
        </w:tc>
      </w:tr>
      <w:tr w14:paraId="71324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DD8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9D6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不锈钢更鞋柜凳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51E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1400*350\250*600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88B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86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7B5AF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5BD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A13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不锈钢鞋柜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A0F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650*230*2350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867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B1A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091C3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B98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197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不锈钢鞋柜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388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1000*230*2350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B8D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711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684A9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67E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5CE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床头柜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F51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400*450*500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7A0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112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2BB11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E02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6EC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折叠会议桌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6A4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1200*400*750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DEC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27B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4548D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4A6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692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B24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5A3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419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299F3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BF7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E60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7BA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800*400*850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DA0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DEA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07BA5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33B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BDB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不锈钢窗边矮柜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44D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2770\2560*1050*930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833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34C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r>
      <w:tr w14:paraId="42170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616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BAD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铁更衣柜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22D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3200*400*2000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41D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F80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r>
      <w:tr w14:paraId="56365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1BF6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453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铁办公桌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9F2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1000*600*750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A85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246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11397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81B2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E29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216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B54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490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7BA5F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F10A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1D9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铁文件柜（常规）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13A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900*400*1800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2E4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AE5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11C17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2A6D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13</w:t>
            </w:r>
          </w:p>
        </w:tc>
        <w:tc>
          <w:tcPr>
            <w:tcW w:w="2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FD7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不锈钢窗边矮柜（桌面及面板喷蓝色）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28F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2600*600*920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187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D30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r>
      <w:tr w14:paraId="16907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54BA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13E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不锈钢更鞋柜凳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B70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1140*350*500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548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340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391B5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4379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BFE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不锈钢更衣柜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56F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1600*350*2350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7A4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718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757B9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268B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E98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不锈钢审核桌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3FC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2000*500*750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A25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699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1CC0C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CC28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704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不锈钢审核桌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869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1750*500*750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834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2B7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5C9D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597A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47A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不锈钢整理桌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5CD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1340*690*850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5C5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F0C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0CA73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C501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8F8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不锈钢置物架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C16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1100*500*2000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1A5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227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11562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FBAE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28F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不锈钢置物架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C9C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2300*500*2000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4BF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042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33F1F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FC02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E64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不锈钢沥水架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6C9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1600*500*2000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0AD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361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6735B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27B3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C3D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E99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600*400*760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320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D8A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2D493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697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732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不锈钢更鞋柜凳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F1B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1780*350*500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4B4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2B9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5D669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91C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46C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不锈钢更衣柜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17D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1950*400*2350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562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2AA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17593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EA9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F1E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大输液塑钢货架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7D2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2300*500*1800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516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0B7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4D10E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47C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0E6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不锈钢摆药桌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999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1500*600*750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5F4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499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7F14B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8F9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46B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储物柜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6D6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1200*600*2000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F59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DC9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1C895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50A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A3E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不锈钢货柜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2C8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3730*600*2000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CCD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293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08FA8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E15C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C26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不锈钢货架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7D1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1300*600*2000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565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0E6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0F321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D455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290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不锈钢货架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193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2000*600*2000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682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F28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7D66C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588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8ED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不锈钢货架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903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2000*600*2000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2F8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C1A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557C6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E99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870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不锈钢货架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2BE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2200*600*2000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D59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A78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092DF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755D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F83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不锈钢操作圆凳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BA2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3F9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4ED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7E347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D3C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F64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试衣镜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1FE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2B2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B07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r>
      <w:tr w14:paraId="33769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E6C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C30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不锈钢双层推车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DB0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660*440*860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FEA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379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r>
      <w:tr w14:paraId="54182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C56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C69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不锈钢三层推车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081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800*480*860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545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93F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r>
      <w:tr w14:paraId="1A5BF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2D0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B6A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不锈钢平板推车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E49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1000*600*870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9DF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61A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r>
    </w:tbl>
    <w:p w14:paraId="0C5E0199">
      <w:pPr>
        <w:jc w:val="left"/>
        <w:rPr>
          <w:rFonts w:hint="eastAsia" w:ascii="宋体" w:hAnsi="宋体" w:cs="宋体"/>
          <w:b/>
          <w:bCs/>
          <w:color w:val="000000"/>
          <w:szCs w:val="21"/>
        </w:rPr>
      </w:pPr>
    </w:p>
    <w:p w14:paraId="5ADC374A">
      <w:pPr>
        <w:jc w:val="left"/>
        <w:rPr>
          <w:rFonts w:ascii="宋体" w:hAnsi="宋体" w:cs="宋体"/>
          <w:b/>
          <w:bCs/>
          <w:color w:val="000000"/>
          <w:szCs w:val="21"/>
        </w:rPr>
      </w:pPr>
      <w:r>
        <w:rPr>
          <w:rFonts w:hint="eastAsia" w:ascii="宋体" w:hAnsi="宋体" w:cs="宋体"/>
          <w:b/>
          <w:bCs/>
          <w:color w:val="000000"/>
          <w:szCs w:val="21"/>
        </w:rPr>
        <w:t>【</w:t>
      </w:r>
      <w:bookmarkStart w:id="5" w:name="_Toc95678465"/>
      <w:r>
        <w:rPr>
          <w:rFonts w:hint="eastAsia" w:ascii="宋体" w:hAnsi="宋体" w:cs="宋体"/>
          <w:b/>
          <w:bCs/>
          <w:kern w:val="0"/>
          <w:szCs w:val="21"/>
        </w:rPr>
        <w:t>技术参数</w:t>
      </w:r>
      <w:bookmarkEnd w:id="5"/>
      <w:r>
        <w:rPr>
          <w:rFonts w:hint="eastAsia" w:ascii="宋体" w:hAnsi="宋体" w:cs="宋体"/>
          <w:b/>
          <w:bCs/>
          <w:kern w:val="0"/>
          <w:szCs w:val="21"/>
        </w:rPr>
        <w:t>】</w:t>
      </w:r>
    </w:p>
    <w:tbl>
      <w:tblPr>
        <w:tblStyle w:val="22"/>
        <w:tblpPr w:leftFromText="180" w:rightFromText="180" w:vertAnchor="text" w:horzAnchor="page" w:tblpX="1226" w:tblpY="341"/>
        <w:tblOverlap w:val="never"/>
        <w:tblW w:w="10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08"/>
        <w:gridCol w:w="621"/>
        <w:gridCol w:w="6379"/>
        <w:gridCol w:w="2359"/>
      </w:tblGrid>
      <w:tr w14:paraId="61EE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9" w:hRule="atLeast"/>
        </w:trPr>
        <w:tc>
          <w:tcPr>
            <w:tcW w:w="808" w:type="dxa"/>
            <w:shd w:val="clear" w:color="auto" w:fill="auto"/>
            <w:noWrap/>
            <w:vAlign w:val="center"/>
          </w:tcPr>
          <w:p w14:paraId="5D55A1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621" w:type="dxa"/>
            <w:shd w:val="clear" w:color="auto" w:fill="auto"/>
            <w:noWrap/>
            <w:vAlign w:val="center"/>
          </w:tcPr>
          <w:p w14:paraId="29702A0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序号</w:t>
            </w:r>
          </w:p>
        </w:tc>
        <w:tc>
          <w:tcPr>
            <w:tcW w:w="6379" w:type="dxa"/>
            <w:shd w:val="clear" w:color="auto" w:fill="auto"/>
            <w:noWrap/>
            <w:vAlign w:val="center"/>
          </w:tcPr>
          <w:p w14:paraId="1D1D43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材质说明</w:t>
            </w:r>
          </w:p>
        </w:tc>
        <w:tc>
          <w:tcPr>
            <w:tcW w:w="2359" w:type="dxa"/>
            <w:shd w:val="clear" w:color="auto" w:fill="auto"/>
            <w:noWrap/>
            <w:vAlign w:val="center"/>
          </w:tcPr>
          <w:p w14:paraId="239C53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参考图</w:t>
            </w:r>
          </w:p>
        </w:tc>
      </w:tr>
      <w:tr w14:paraId="26B0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08" w:type="dxa"/>
            <w:vMerge w:val="restart"/>
            <w:shd w:val="clear" w:color="auto" w:fill="auto"/>
            <w:noWrap/>
            <w:vAlign w:val="center"/>
          </w:tcPr>
          <w:p w14:paraId="469413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1.不锈钢更鞋柜凳</w:t>
            </w:r>
          </w:p>
        </w:tc>
        <w:tc>
          <w:tcPr>
            <w:tcW w:w="621" w:type="dxa"/>
            <w:shd w:val="clear" w:color="auto" w:fill="auto"/>
            <w:noWrap/>
            <w:vAlign w:val="center"/>
          </w:tcPr>
          <w:p w14:paraId="701169E8">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379" w:type="dxa"/>
            <w:shd w:val="clear" w:color="auto" w:fill="auto"/>
            <w:vAlign w:val="center"/>
          </w:tcPr>
          <w:p w14:paraId="2F2289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材质:1.优质304不锈钢材质1.2厚，表面具有一层保护膜、光洁度高、抗蚀能力强，经过酸洗、脱脂磷化处理。2.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                                                       </w:t>
            </w:r>
          </w:p>
        </w:tc>
        <w:tc>
          <w:tcPr>
            <w:tcW w:w="2359" w:type="dxa"/>
            <w:vMerge w:val="restart"/>
            <w:shd w:val="clear" w:color="auto" w:fill="auto"/>
            <w:noWrap/>
            <w:vAlign w:val="center"/>
          </w:tcPr>
          <w:p w14:paraId="72B5B6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185420</wp:posOffset>
                  </wp:positionH>
                  <wp:positionV relativeFrom="paragraph">
                    <wp:posOffset>1671320</wp:posOffset>
                  </wp:positionV>
                  <wp:extent cx="986790" cy="719455"/>
                  <wp:effectExtent l="0" t="0" r="3810" b="4445"/>
                  <wp:wrapNone/>
                  <wp:docPr id="72" name="图片_19"/>
                  <wp:cNvGraphicFramePr/>
                  <a:graphic xmlns:a="http://schemas.openxmlformats.org/drawingml/2006/main">
                    <a:graphicData uri="http://schemas.openxmlformats.org/drawingml/2006/picture">
                      <pic:pic xmlns:pic="http://schemas.openxmlformats.org/drawingml/2006/picture">
                        <pic:nvPicPr>
                          <pic:cNvPr id="72" name="图片_19"/>
                          <pic:cNvPicPr/>
                        </pic:nvPicPr>
                        <pic:blipFill>
                          <a:blip r:embed="rId8"/>
                          <a:stretch>
                            <a:fillRect/>
                          </a:stretch>
                        </pic:blipFill>
                        <pic:spPr>
                          <a:xfrm>
                            <a:off x="0" y="0"/>
                            <a:ext cx="986790" cy="719455"/>
                          </a:xfrm>
                          <a:prstGeom prst="rect">
                            <a:avLst/>
                          </a:prstGeom>
                          <a:noFill/>
                          <a:ln>
                            <a:noFill/>
                          </a:ln>
                        </pic:spPr>
                      </pic:pic>
                    </a:graphicData>
                  </a:graphic>
                </wp:anchor>
              </w:drawing>
            </w:r>
          </w:p>
        </w:tc>
      </w:tr>
      <w:tr w14:paraId="433F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9" w:hRule="atLeast"/>
        </w:trPr>
        <w:tc>
          <w:tcPr>
            <w:tcW w:w="808" w:type="dxa"/>
            <w:vMerge w:val="continue"/>
            <w:shd w:val="clear" w:color="auto" w:fill="auto"/>
            <w:noWrap/>
            <w:vAlign w:val="center"/>
          </w:tcPr>
          <w:p w14:paraId="02FA4F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1"/>
                <w:szCs w:val="21"/>
              </w:rPr>
            </w:pPr>
          </w:p>
        </w:tc>
        <w:tc>
          <w:tcPr>
            <w:tcW w:w="621" w:type="dxa"/>
            <w:shd w:val="clear" w:color="auto" w:fill="auto"/>
            <w:noWrap/>
            <w:vAlign w:val="center"/>
          </w:tcPr>
          <w:p w14:paraId="2B460F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6379" w:type="dxa"/>
            <w:shd w:val="clear" w:color="auto" w:fill="auto"/>
            <w:vAlign w:val="center"/>
          </w:tcPr>
          <w:p w14:paraId="21FE40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不锈钢制连接件：检测和判定依据：GB/T 10125-2021《人造气氛腐蚀试验 盐雾试验》；QB/T 3832-1999《轻工产品金属镀层腐蚀试验结果的评价》;GB/T3280-2015《不锈钢冷轧钢板和钢带》；GB/T 1741-2020《漆膜耐霉菌性测定法》；GB/T3325-2017《金属家具通用技术条件》，金属件外观性能单项评价合格，铜加速乙酸盐雾试验（CASS)连续喷雾≥240h，镀（涂）层对基体的保护等级检测结果达到10级或以上、镀（涂）层本身耐腐蚀等级检测结果达到10级或以上，耐霉菌性等级可可毛球二孢达到0级，化学成分（质量分数）/%，碳（C）wt.%≤0.05、锰（Mn）wt.%≤1.5、磷（P)wt.%≤0.045、硫（S）wt.%≤0.01、硅（Si）wt.%≤0.55、铬（Cr）wt.%达到18-19、镍（Ni）wt.%达到8-9.</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投标人须提供第三方检测机构出具的具有 CMA 或 CNAS 标识的检测报告扫描件（检测报告须包含并符合本项参数的全部内容，原件备查，及全国认证认可信息公共服务平台网站http://cx.cnca.cn/CertECloud/qts/qts/qtsPage ）查询信息截图。</w:t>
            </w:r>
          </w:p>
        </w:tc>
        <w:tc>
          <w:tcPr>
            <w:tcW w:w="2359" w:type="dxa"/>
            <w:vMerge w:val="continue"/>
            <w:shd w:val="clear" w:color="auto" w:fill="auto"/>
            <w:noWrap/>
            <w:vAlign w:val="center"/>
          </w:tcPr>
          <w:p w14:paraId="31F0C7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r>
      <w:tr w14:paraId="1786A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3" w:hRule="atLeast"/>
        </w:trPr>
        <w:tc>
          <w:tcPr>
            <w:tcW w:w="808" w:type="dxa"/>
            <w:shd w:val="clear" w:color="auto" w:fill="auto"/>
            <w:noWrap/>
            <w:vAlign w:val="center"/>
          </w:tcPr>
          <w:p w14:paraId="751B56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2.不锈钢鞋柜</w:t>
            </w:r>
          </w:p>
        </w:tc>
        <w:tc>
          <w:tcPr>
            <w:tcW w:w="621" w:type="dxa"/>
            <w:shd w:val="clear" w:color="auto" w:fill="auto"/>
            <w:noWrap/>
            <w:vAlign w:val="center"/>
          </w:tcPr>
          <w:p w14:paraId="46511704">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6379" w:type="dxa"/>
            <w:shd w:val="clear" w:color="auto" w:fill="auto"/>
            <w:vAlign w:val="center"/>
          </w:tcPr>
          <w:p w14:paraId="737AFB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材质:1.优质304不锈钢材质.2.采用厚度1.2mm不锈钢板，表面具有一层保护膜、光洁度高、抗蚀能力强，经过酸洗、脱脂磷化处理。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抽屉导轨为优质路轨 斜边层板。</w:t>
            </w:r>
          </w:p>
        </w:tc>
        <w:tc>
          <w:tcPr>
            <w:tcW w:w="2359" w:type="dxa"/>
            <w:shd w:val="clear" w:color="auto" w:fill="auto"/>
            <w:noWrap/>
            <w:vAlign w:val="center"/>
          </w:tcPr>
          <w:p w14:paraId="2D8CB5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182245</wp:posOffset>
                  </wp:positionH>
                  <wp:positionV relativeFrom="paragraph">
                    <wp:posOffset>-100330</wp:posOffset>
                  </wp:positionV>
                  <wp:extent cx="940435" cy="1880235"/>
                  <wp:effectExtent l="0" t="0" r="12065" b="5715"/>
                  <wp:wrapNone/>
                  <wp:docPr id="70" name="图片_35"/>
                  <wp:cNvGraphicFramePr/>
                  <a:graphic xmlns:a="http://schemas.openxmlformats.org/drawingml/2006/main">
                    <a:graphicData uri="http://schemas.openxmlformats.org/drawingml/2006/picture">
                      <pic:pic xmlns:pic="http://schemas.openxmlformats.org/drawingml/2006/picture">
                        <pic:nvPicPr>
                          <pic:cNvPr id="70" name="图片_35"/>
                          <pic:cNvPicPr/>
                        </pic:nvPicPr>
                        <pic:blipFill>
                          <a:blip r:embed="rId9"/>
                          <a:stretch>
                            <a:fillRect/>
                          </a:stretch>
                        </pic:blipFill>
                        <pic:spPr>
                          <a:xfrm>
                            <a:off x="0" y="0"/>
                            <a:ext cx="940435" cy="1880235"/>
                          </a:xfrm>
                          <a:prstGeom prst="rect">
                            <a:avLst/>
                          </a:prstGeom>
                          <a:noFill/>
                          <a:ln>
                            <a:noFill/>
                          </a:ln>
                        </pic:spPr>
                      </pic:pic>
                    </a:graphicData>
                  </a:graphic>
                </wp:anchor>
              </w:drawing>
            </w:r>
          </w:p>
        </w:tc>
      </w:tr>
      <w:tr w14:paraId="15EE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50" w:hRule="atLeast"/>
        </w:trPr>
        <w:tc>
          <w:tcPr>
            <w:tcW w:w="808" w:type="dxa"/>
            <w:shd w:val="clear" w:color="auto" w:fill="auto"/>
            <w:noWrap/>
            <w:vAlign w:val="center"/>
          </w:tcPr>
          <w:p w14:paraId="1258D3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3.不锈钢鞋柜</w:t>
            </w:r>
          </w:p>
        </w:tc>
        <w:tc>
          <w:tcPr>
            <w:tcW w:w="621" w:type="dxa"/>
            <w:shd w:val="clear" w:color="auto" w:fill="auto"/>
            <w:noWrap/>
            <w:vAlign w:val="center"/>
          </w:tcPr>
          <w:p w14:paraId="5C7A2ED7">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6379" w:type="dxa"/>
            <w:shd w:val="clear" w:color="auto" w:fill="auto"/>
            <w:vAlign w:val="center"/>
          </w:tcPr>
          <w:p w14:paraId="2EC68E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材质:1.优质304不锈钢材质.2.采用厚度1.2mm不锈钢板，表面具有一层保护膜、光洁度高、抗蚀能力强，经过酸洗、脱脂磷化处理。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抽屉导轨为优质路轨 斜边层板。</w:t>
            </w:r>
          </w:p>
        </w:tc>
        <w:tc>
          <w:tcPr>
            <w:tcW w:w="2359" w:type="dxa"/>
            <w:shd w:val="clear" w:color="auto" w:fill="auto"/>
            <w:noWrap/>
            <w:vAlign w:val="center"/>
          </w:tcPr>
          <w:p w14:paraId="1E471A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800100</wp:posOffset>
                  </wp:positionH>
                  <wp:positionV relativeFrom="paragraph">
                    <wp:posOffset>511810</wp:posOffset>
                  </wp:positionV>
                  <wp:extent cx="547370" cy="942975"/>
                  <wp:effectExtent l="0" t="0" r="5080" b="9525"/>
                  <wp:wrapNone/>
                  <wp:docPr id="76" name="图片_2"/>
                  <wp:cNvGraphicFramePr/>
                  <a:graphic xmlns:a="http://schemas.openxmlformats.org/drawingml/2006/main">
                    <a:graphicData uri="http://schemas.openxmlformats.org/drawingml/2006/picture">
                      <pic:pic xmlns:pic="http://schemas.openxmlformats.org/drawingml/2006/picture">
                        <pic:nvPicPr>
                          <pic:cNvPr id="76" name="图片_2"/>
                          <pic:cNvPicPr/>
                        </pic:nvPicPr>
                        <pic:blipFill>
                          <a:blip r:embed="rId10"/>
                          <a:stretch>
                            <a:fillRect/>
                          </a:stretch>
                        </pic:blipFill>
                        <pic:spPr>
                          <a:xfrm>
                            <a:off x="0" y="0"/>
                            <a:ext cx="547370" cy="9429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154305</wp:posOffset>
                  </wp:positionH>
                  <wp:positionV relativeFrom="paragraph">
                    <wp:posOffset>358140</wp:posOffset>
                  </wp:positionV>
                  <wp:extent cx="588010" cy="1109980"/>
                  <wp:effectExtent l="0" t="0" r="2540" b="13970"/>
                  <wp:wrapNone/>
                  <wp:docPr id="73" name="图片_1"/>
                  <wp:cNvGraphicFramePr/>
                  <a:graphic xmlns:a="http://schemas.openxmlformats.org/drawingml/2006/main">
                    <a:graphicData uri="http://schemas.openxmlformats.org/drawingml/2006/picture">
                      <pic:pic xmlns:pic="http://schemas.openxmlformats.org/drawingml/2006/picture">
                        <pic:nvPicPr>
                          <pic:cNvPr id="73" name="图片_1"/>
                          <pic:cNvPicPr/>
                        </pic:nvPicPr>
                        <pic:blipFill>
                          <a:blip r:embed="rId11"/>
                          <a:stretch>
                            <a:fillRect/>
                          </a:stretch>
                        </pic:blipFill>
                        <pic:spPr>
                          <a:xfrm>
                            <a:off x="0" y="0"/>
                            <a:ext cx="588010" cy="1109980"/>
                          </a:xfrm>
                          <a:prstGeom prst="rect">
                            <a:avLst/>
                          </a:prstGeom>
                          <a:noFill/>
                          <a:ln>
                            <a:noFill/>
                          </a:ln>
                        </pic:spPr>
                      </pic:pic>
                    </a:graphicData>
                  </a:graphic>
                </wp:anchor>
              </w:drawing>
            </w:r>
          </w:p>
        </w:tc>
      </w:tr>
      <w:tr w14:paraId="4025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62" w:hRule="atLeast"/>
        </w:trPr>
        <w:tc>
          <w:tcPr>
            <w:tcW w:w="808" w:type="dxa"/>
            <w:vMerge w:val="restart"/>
            <w:shd w:val="clear" w:color="auto" w:fill="auto"/>
            <w:noWrap/>
            <w:vAlign w:val="center"/>
          </w:tcPr>
          <w:p w14:paraId="4762A7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4.床头柜</w:t>
            </w:r>
          </w:p>
        </w:tc>
        <w:tc>
          <w:tcPr>
            <w:tcW w:w="621" w:type="dxa"/>
            <w:shd w:val="clear" w:color="auto" w:fill="auto"/>
            <w:noWrap/>
            <w:vAlign w:val="center"/>
          </w:tcPr>
          <w:p w14:paraId="4953D03F">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6379" w:type="dxa"/>
            <w:shd w:val="clear" w:color="auto" w:fill="auto"/>
            <w:vAlign w:val="center"/>
          </w:tcPr>
          <w:p w14:paraId="2C428A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材质：采用实木床体框架,经干燥处理，木纹理通顺，木材经防虫，防腐等化学处理，各项技术指标均达到国际标准，环保水性清漆无异味同时使床架更耐用，耐水耐磨。  </w:t>
            </w:r>
          </w:p>
        </w:tc>
        <w:tc>
          <w:tcPr>
            <w:tcW w:w="2359" w:type="dxa"/>
            <w:vMerge w:val="restart"/>
            <w:shd w:val="clear" w:color="auto" w:fill="auto"/>
            <w:noWrap/>
            <w:vAlign w:val="center"/>
          </w:tcPr>
          <w:p w14:paraId="1A1639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46990</wp:posOffset>
                  </wp:positionH>
                  <wp:positionV relativeFrom="paragraph">
                    <wp:posOffset>364490</wp:posOffset>
                  </wp:positionV>
                  <wp:extent cx="1403985" cy="852805"/>
                  <wp:effectExtent l="0" t="0" r="5715" b="4445"/>
                  <wp:wrapNone/>
                  <wp:docPr id="75" name="图片_7"/>
                  <wp:cNvGraphicFramePr/>
                  <a:graphic xmlns:a="http://schemas.openxmlformats.org/drawingml/2006/main">
                    <a:graphicData uri="http://schemas.openxmlformats.org/drawingml/2006/picture">
                      <pic:pic xmlns:pic="http://schemas.openxmlformats.org/drawingml/2006/picture">
                        <pic:nvPicPr>
                          <pic:cNvPr id="75" name="图片_7"/>
                          <pic:cNvPicPr/>
                        </pic:nvPicPr>
                        <pic:blipFill>
                          <a:blip r:embed="rId12"/>
                          <a:stretch>
                            <a:fillRect/>
                          </a:stretch>
                        </pic:blipFill>
                        <pic:spPr>
                          <a:xfrm>
                            <a:off x="0" y="0"/>
                            <a:ext cx="1403985" cy="852805"/>
                          </a:xfrm>
                          <a:prstGeom prst="rect">
                            <a:avLst/>
                          </a:prstGeom>
                          <a:noFill/>
                          <a:ln>
                            <a:noFill/>
                          </a:ln>
                        </pic:spPr>
                      </pic:pic>
                    </a:graphicData>
                  </a:graphic>
                </wp:anchor>
              </w:drawing>
            </w:r>
          </w:p>
        </w:tc>
      </w:tr>
      <w:tr w14:paraId="40D8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63" w:hRule="atLeast"/>
        </w:trPr>
        <w:tc>
          <w:tcPr>
            <w:tcW w:w="808" w:type="dxa"/>
            <w:vMerge w:val="continue"/>
            <w:shd w:val="clear" w:color="auto" w:fill="auto"/>
            <w:noWrap/>
            <w:vAlign w:val="center"/>
          </w:tcPr>
          <w:p w14:paraId="590103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621" w:type="dxa"/>
            <w:shd w:val="clear" w:color="auto" w:fill="auto"/>
            <w:noWrap/>
            <w:vAlign w:val="center"/>
          </w:tcPr>
          <w:p w14:paraId="496B2817">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6379" w:type="dxa"/>
            <w:shd w:val="clear" w:color="auto" w:fill="auto"/>
            <w:vAlign w:val="top"/>
          </w:tcPr>
          <w:p w14:paraId="46201F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水性油漆（底漆）：检测依据：GB18581-2020《木器涂料中有害物质限量》、GB/T23993-2009《水性涂料中甲醛含量的测定乙酰丙酮分光光度法》、GB/T31414-2015《水性涂料表面活性剂的测定烷基酚聚氧乙烯醚》、GB/T1741-2020《漆膜耐霉菌性测定法》、GB/T21866-2008《抗菌涂料（漆膜）抗菌性测定法和抗菌效果》VOC含量未检出、甲醛含量未检出、乙二醇醚及醚酯总和含量(限乙二醇甲醚、乙二醇甲醚醋酸酯、乙二醇乙醚、乙二醇乙醚醋酸酯、乙二醇二甲醚、乙二醇二乙醚、二乙二醇二甲醚、三乙二醇二甲醚)未检出，苯系物总和含量[限苯、甲苯、二甲苯(含乙苯)]未检出，烷基酚聚氧乙烯醚总和含量{限辛基酚聚氧乙烯醚[C8H17-C6H4-(OC2H4)nOH，简称OPnEO]和壬基酚聚氧乙烯醚[C9H19-C6H4-(OC2H4)nOH,简称NPnEO],n=2～16}未检出，耐霉菌性能：桔青霉、可可毛球二孢防霉等级达到0级，抗菌性能：表皮葡萄球菌、白色假丝酵母抗细菌率≥99%。</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投标人须提供第三方检测机构出具的具有 CMA 或 CNAS 标识的检测报告扫描件（检测报告须包含并符合本项参数的全部内容，原件备查，及全国认证认可信息公共服务平台网站http://cx.cnca.cn/CertECloud/qts/qts/qtsPage ）查询信息截图。                                                                          </w:t>
            </w:r>
          </w:p>
        </w:tc>
        <w:tc>
          <w:tcPr>
            <w:tcW w:w="2359" w:type="dxa"/>
            <w:vMerge w:val="continue"/>
            <w:shd w:val="clear" w:color="auto" w:fill="auto"/>
            <w:noWrap/>
            <w:vAlign w:val="center"/>
          </w:tcPr>
          <w:p w14:paraId="614C4E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bdr w:val="single" w:color="000000" w:sz="4" w:space="0"/>
                <w:lang w:val="en-US" w:eastAsia="zh-CN" w:bidi="ar"/>
              </w:rPr>
            </w:pPr>
          </w:p>
        </w:tc>
      </w:tr>
      <w:tr w14:paraId="253B9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08" w:type="dxa"/>
            <w:vMerge w:val="continue"/>
            <w:shd w:val="clear" w:color="auto" w:fill="auto"/>
            <w:noWrap/>
            <w:vAlign w:val="center"/>
          </w:tcPr>
          <w:p w14:paraId="648AA7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p>
        </w:tc>
        <w:tc>
          <w:tcPr>
            <w:tcW w:w="621" w:type="dxa"/>
            <w:shd w:val="clear" w:color="auto" w:fill="auto"/>
            <w:noWrap/>
            <w:vAlign w:val="center"/>
          </w:tcPr>
          <w:p w14:paraId="5FB161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7</w:t>
            </w:r>
          </w:p>
        </w:tc>
        <w:tc>
          <w:tcPr>
            <w:tcW w:w="6379" w:type="dxa"/>
            <w:shd w:val="clear" w:color="auto" w:fill="auto"/>
            <w:vAlign w:val="top"/>
          </w:tcPr>
          <w:p w14:paraId="21911AE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水性油漆（面漆）：检测依据：GB18581-2020《木器涂料中有害物质限量》、GB/T23993-2009《水性涂料中甲醛含量的测定乙酰丙酮分光光度法》、GB/T31414-2015《水性涂料表面活性剂的测定烷基酚聚氧乙烯醚》、GB/T1741-2020《漆膜耐霉菌性测定法》、GB/T21866-2008《抗菌涂料（漆膜）抗菌性测定法和抗菌效果》VOC含量未检出、甲醛含量未检出、乙二醇醚及醚酯总和含量(限乙二醇甲醚、乙二醇甲醚醋酸酯、乙二醇乙醚、乙二醇乙醚醋酸酯、乙二醇二甲醚、乙二醇二乙醚、二乙二醇二甲醚、三乙二醇二甲醚)未检出，苯系物总和含量[限苯、甲苯、二甲苯(含乙苯)]未检出，烷基酚聚氧乙烯醚总和含量{限辛基酚聚氧乙烯醚[C8H17-C6H4-(OC2H4)nOH，简称OPnEO]和壬基酚聚氧乙烯醚[C9H19-C6H4-(OC2H4)nOH,简称NPnEO],n=2～16}未检出，耐霉菌性能：桔青霉、可可毛球二孢防霉等级达到0级，抗菌性能：表皮葡萄球菌、白色假丝酵母抗细菌率≥99%。</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投标人须提供第三方检测机构出具的具有 CMA 或 CNAS 标识的检测报告扫描件（检测报告须包含并符合本项参数的全部内容，原件备查，及全国认证认可信息公共服务平台网站http://cx.cnca.cn/CertECloud/qts/qts/qtsPage ）查询信息截图。                                                           </w:t>
            </w:r>
          </w:p>
        </w:tc>
        <w:tc>
          <w:tcPr>
            <w:tcW w:w="2359" w:type="dxa"/>
            <w:vMerge w:val="continue"/>
            <w:shd w:val="clear" w:color="auto" w:fill="auto"/>
            <w:noWrap/>
            <w:vAlign w:val="center"/>
          </w:tcPr>
          <w:p w14:paraId="0D6D87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p>
        </w:tc>
      </w:tr>
      <w:tr w14:paraId="55B64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08" w:type="dxa"/>
            <w:vMerge w:val="restart"/>
            <w:shd w:val="clear" w:color="auto" w:fill="auto"/>
            <w:noWrap/>
            <w:vAlign w:val="center"/>
          </w:tcPr>
          <w:p w14:paraId="18F4FB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5.折叠会议桌</w:t>
            </w:r>
          </w:p>
        </w:tc>
        <w:tc>
          <w:tcPr>
            <w:tcW w:w="621" w:type="dxa"/>
            <w:shd w:val="clear" w:color="auto" w:fill="auto"/>
            <w:noWrap/>
            <w:vAlign w:val="center"/>
          </w:tcPr>
          <w:p w14:paraId="7B9E9F84">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6379" w:type="dxa"/>
            <w:shd w:val="clear" w:color="auto" w:fill="FFFFFF"/>
            <w:vAlign w:val="center"/>
          </w:tcPr>
          <w:p w14:paraId="54DA20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1.台面采用 25mm 厚三聚氰胺刨花板， 表面耐磨、防污、硬度高；表面哑光效 果持久，强度高，刚性好，不变形，比 重合理；所有板材均为经防虫防腐化学处理；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2.封边：纹理配套的 2mm 厚PVC 封边带，薄边斜边工艺；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3.脚管采用铝型材，管壁厚度1.5mm，横梁采用20*60*1.2国产刨花板冷轧钢管；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4.挡板采用16mm木板；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5.采用高端万向尼龙静音刹车轮；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6.新型线控折叠机构，带多档锁定功能，可任意折叠注：颜色、尺寸、应考虑与室内装修风格相匹配，深化图纸的产品尺寸与造型微调需根据采购人要求调整，图片仅供参考，后期以深化图为准。； 、                                                                                                                          </w:t>
            </w:r>
          </w:p>
        </w:tc>
        <w:tc>
          <w:tcPr>
            <w:tcW w:w="2359" w:type="dxa"/>
            <w:vMerge w:val="restart"/>
            <w:shd w:val="clear" w:color="auto" w:fill="auto"/>
            <w:noWrap/>
            <w:vAlign w:val="center"/>
          </w:tcPr>
          <w:p w14:paraId="474C6F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250825</wp:posOffset>
                  </wp:positionH>
                  <wp:positionV relativeFrom="paragraph">
                    <wp:posOffset>2813685</wp:posOffset>
                  </wp:positionV>
                  <wp:extent cx="1083945" cy="877570"/>
                  <wp:effectExtent l="0" t="0" r="1905" b="17780"/>
                  <wp:wrapNone/>
                  <wp:docPr id="79" name="Picture_3"/>
                  <wp:cNvGraphicFramePr/>
                  <a:graphic xmlns:a="http://schemas.openxmlformats.org/drawingml/2006/main">
                    <a:graphicData uri="http://schemas.openxmlformats.org/drawingml/2006/picture">
                      <pic:pic xmlns:pic="http://schemas.openxmlformats.org/drawingml/2006/picture">
                        <pic:nvPicPr>
                          <pic:cNvPr id="79" name="Picture_3"/>
                          <pic:cNvPicPr/>
                        </pic:nvPicPr>
                        <pic:blipFill>
                          <a:blip r:embed="rId13"/>
                          <a:stretch>
                            <a:fillRect/>
                          </a:stretch>
                        </pic:blipFill>
                        <pic:spPr>
                          <a:xfrm>
                            <a:off x="0" y="0"/>
                            <a:ext cx="1083945" cy="877570"/>
                          </a:xfrm>
                          <a:prstGeom prst="rect">
                            <a:avLst/>
                          </a:prstGeom>
                          <a:noFill/>
                          <a:ln>
                            <a:noFill/>
                          </a:ln>
                        </pic:spPr>
                      </pic:pic>
                    </a:graphicData>
                  </a:graphic>
                </wp:anchor>
              </w:drawing>
            </w:r>
          </w:p>
        </w:tc>
      </w:tr>
      <w:tr w14:paraId="36898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08" w:type="dxa"/>
            <w:vMerge w:val="continue"/>
            <w:shd w:val="clear" w:color="auto" w:fill="auto"/>
            <w:noWrap/>
            <w:vAlign w:val="center"/>
          </w:tcPr>
          <w:p w14:paraId="416664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621" w:type="dxa"/>
            <w:shd w:val="clear" w:color="auto" w:fill="auto"/>
            <w:noWrap/>
            <w:vAlign w:val="center"/>
          </w:tcPr>
          <w:p w14:paraId="4E724289">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6379" w:type="dxa"/>
            <w:shd w:val="clear" w:color="auto" w:fill="FFFFFF"/>
            <w:vAlign w:val="center"/>
          </w:tcPr>
          <w:p w14:paraId="7EC0C53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三聚氰胺刨花板：检验依据：HJ 571-2010《环境标志产品技术要求 人造板及其制品》、GB 8624-2012《建筑材料及制品燃烧性能分级》、GB/T 15102-2017《浸渍胶膜纸饰面纤维板和刨花板》；JC/T2039-2010《抗菌防霉木质装饰板》，表面耐冷热循环、表面耐划痕、表面耐磨、表面耐污染腐蚀检测合格，静曲强度≥20MPa，弹性模量≥3300MPa，内结合强度≥0.50MPa，表面胶合强度≥1.30MPa,2h吸水厚度膨胀率≤0.5%，含水率为6.0-8%，密度为0.60-0.80g/cm³,握螺钉力：板面≥1200N、板边≥900N,表面耐香烟灼烧、表面耐干热、表面耐龟裂、表面耐水蒸气均≥5级，耐光色牢度≥4级，甲醛释放量（mg/m³)为未检出，总挥发性有机化合物（TVOC)释放率≤0.05mg/（m²·h）（72h）。抗菌性能铜绿假单胞菌抗细菌率≥99.5%，燃烧性能等级B1(C-S1,d0)燃烧增长速率指数FIGRAO.4MJ≤150，火焰横向蔓延未到达试样长翼边缘单项评价合格，600s的总放热量THR600S≤15MJ，产烟特性等级S1烟气生成速率指数SMOGRA≤30m²/s²，产烟特性等级S1：试验600s总烟气生成量TSP600≤50m²，燃烧滴落物/微粒等级d0：600s内无燃烧滴落物/微粒单项评价合格，60s内焰尖高度Fs≤140mm，60s内无燃烧滴落物引燃滤纸现象单项评价合格。</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投标人须提供第三方检测机构出具的具有 CMA 或 CNAS 标识的检测报告扫描件（检测报告须包含并符合本项参数的全部内容，原件备查，及全国认证认可信息公共服务平台网站http://cx.cnca.cn/CertECloud/qts/qts/qtsPage ）查询信息截图。                                    </w:t>
            </w:r>
          </w:p>
        </w:tc>
        <w:tc>
          <w:tcPr>
            <w:tcW w:w="2359" w:type="dxa"/>
            <w:vMerge w:val="continue"/>
            <w:shd w:val="clear" w:color="auto" w:fill="auto"/>
            <w:noWrap/>
            <w:vAlign w:val="center"/>
          </w:tcPr>
          <w:p w14:paraId="474825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bdr w:val="single" w:color="000000" w:sz="4" w:space="0"/>
                <w:lang w:val="en-US" w:eastAsia="zh-CN" w:bidi="ar"/>
              </w:rPr>
            </w:pPr>
          </w:p>
        </w:tc>
      </w:tr>
      <w:tr w14:paraId="579FA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08" w:type="dxa"/>
            <w:vMerge w:val="continue"/>
            <w:shd w:val="clear" w:color="auto" w:fill="auto"/>
            <w:noWrap/>
            <w:vAlign w:val="center"/>
          </w:tcPr>
          <w:p w14:paraId="4E953D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621" w:type="dxa"/>
            <w:shd w:val="clear" w:color="auto" w:fill="auto"/>
            <w:noWrap/>
            <w:vAlign w:val="center"/>
          </w:tcPr>
          <w:p w14:paraId="6F8E1B6C">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6379" w:type="dxa"/>
            <w:shd w:val="clear" w:color="auto" w:fill="FFFFFF"/>
            <w:vAlign w:val="center"/>
          </w:tcPr>
          <w:p w14:paraId="736940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PVC封边条:检验依据：QB/T 4463-2013《家具用封边条技术要求》、GB/T 24128-2018《塑料 塑料防霉剂的防霉效果评估》、GB/T 31402-2015《塑料 塑料表面抗菌性能试验方法》，理化性能：耐干热性、耐磨性、耐开裂性（耐龟裂性)、耐冷热循环检测合格，塑料封边条有害物质限量：甲醛释放量（mg/L)未检出，可迁移元素（可溶性重金属）(mg/kg)，铅(Pb)、镉(Cd)、铬(Cr)、汞(Hg)、砷(As)、钡(Ba)、锑(Sb)、硒(Se)均为未检出；氯乙烯单体(mg/kg)未检出；邻苯二甲酸酯（DBP、BBP、DEHP、DNOP、DINP和DIDP）的总量（%）未检出；多溴联苯（PBB)(mg/kg)未检出；多溴联苯谜(PBDE)(mg/kg)未检出，防霉性能：桔青霉、可可毛球二孢防霉等级达到0级，抗菌性能：表皮葡萄球菌、白色假丝酵母抗菌性能值≥99.5%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投标人须提供第三方检测机构出具的具有 CMA 或 CNAS 标识的检测报告扫描件（检测报告须包含并符合本项参数的全部内容，原件备查，及全国认证认可信息公共服务平台网站http://cx.cnca.cn/CertECloud/qts/qts/qtsPage ）查询信息截图。</w:t>
            </w:r>
          </w:p>
        </w:tc>
        <w:tc>
          <w:tcPr>
            <w:tcW w:w="2359" w:type="dxa"/>
            <w:vMerge w:val="continue"/>
            <w:shd w:val="clear" w:color="auto" w:fill="auto"/>
            <w:noWrap/>
            <w:vAlign w:val="center"/>
          </w:tcPr>
          <w:p w14:paraId="2C6C6D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bdr w:val="single" w:color="000000" w:sz="4" w:space="0"/>
                <w:lang w:val="en-US" w:eastAsia="zh-CN" w:bidi="ar"/>
              </w:rPr>
            </w:pPr>
          </w:p>
        </w:tc>
      </w:tr>
      <w:tr w14:paraId="7EE33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70" w:hRule="atLeast"/>
        </w:trPr>
        <w:tc>
          <w:tcPr>
            <w:tcW w:w="808" w:type="dxa"/>
            <w:vMerge w:val="restart"/>
            <w:shd w:val="clear" w:color="auto" w:fill="auto"/>
            <w:noWrap/>
            <w:vAlign w:val="center"/>
          </w:tcPr>
          <w:p w14:paraId="25C6E2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6.会议椅</w:t>
            </w:r>
          </w:p>
        </w:tc>
        <w:tc>
          <w:tcPr>
            <w:tcW w:w="621" w:type="dxa"/>
            <w:shd w:val="clear" w:color="auto" w:fill="auto"/>
            <w:noWrap/>
            <w:vAlign w:val="center"/>
          </w:tcPr>
          <w:p w14:paraId="0ED281E1">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p>
        </w:tc>
        <w:tc>
          <w:tcPr>
            <w:tcW w:w="6379" w:type="dxa"/>
            <w:shd w:val="clear" w:color="auto" w:fill="FFFFFF"/>
            <w:vAlign w:val="center"/>
          </w:tcPr>
          <w:p w14:paraId="0F529A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1.靠背：背框采用尼龙加玻璃纤维料制作，内框为PP尼龙料，整体设计符合人体工学。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2.扶手：为高强度PA主体料+铝合金连接件材质，并可向上翻转调节。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3.座部：坐面布料采用纳米纤维特殊处理弹力阻燃布,同样座部具备向上翻转功能，座绵采用一体成型高密度海绵。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4.铁架：整张椅型铁架管管壁厚度为2.0MM,双杆设计，表面喷粉银白色,抗静电防，堆叠摩擦。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5.脚垫：使用PU材质，防止噪音。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注：颜色、尺寸、应考虑与室内装修风格相匹配，深化图纸的产品尺寸与造型微调需根据采购人要求调整，图片仅供参考，后期以深化图为准。                                                                                                                                                                                                                         </w:t>
            </w:r>
          </w:p>
        </w:tc>
        <w:tc>
          <w:tcPr>
            <w:tcW w:w="2359" w:type="dxa"/>
            <w:vMerge w:val="restart"/>
            <w:shd w:val="clear" w:color="auto" w:fill="auto"/>
            <w:noWrap/>
            <w:vAlign w:val="center"/>
          </w:tcPr>
          <w:p w14:paraId="31122E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247650</wp:posOffset>
                  </wp:positionH>
                  <wp:positionV relativeFrom="paragraph">
                    <wp:posOffset>2501265</wp:posOffset>
                  </wp:positionV>
                  <wp:extent cx="1078865" cy="1165860"/>
                  <wp:effectExtent l="0" t="0" r="6985" b="15240"/>
                  <wp:wrapNone/>
                  <wp:docPr id="74" name="图片_5"/>
                  <wp:cNvGraphicFramePr/>
                  <a:graphic xmlns:a="http://schemas.openxmlformats.org/drawingml/2006/main">
                    <a:graphicData uri="http://schemas.openxmlformats.org/drawingml/2006/picture">
                      <pic:pic xmlns:pic="http://schemas.openxmlformats.org/drawingml/2006/picture">
                        <pic:nvPicPr>
                          <pic:cNvPr id="74" name="图片_5"/>
                          <pic:cNvPicPr/>
                        </pic:nvPicPr>
                        <pic:blipFill>
                          <a:blip r:embed="rId14"/>
                          <a:stretch>
                            <a:fillRect/>
                          </a:stretch>
                        </pic:blipFill>
                        <pic:spPr>
                          <a:xfrm>
                            <a:off x="0" y="0"/>
                            <a:ext cx="1078865" cy="1165860"/>
                          </a:xfrm>
                          <a:prstGeom prst="rect">
                            <a:avLst/>
                          </a:prstGeom>
                          <a:noFill/>
                          <a:ln>
                            <a:noFill/>
                          </a:ln>
                        </pic:spPr>
                      </pic:pic>
                    </a:graphicData>
                  </a:graphic>
                </wp:anchor>
              </w:drawing>
            </w:r>
          </w:p>
        </w:tc>
      </w:tr>
      <w:tr w14:paraId="6F177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70" w:hRule="atLeast"/>
        </w:trPr>
        <w:tc>
          <w:tcPr>
            <w:tcW w:w="808" w:type="dxa"/>
            <w:vMerge w:val="continue"/>
            <w:shd w:val="clear" w:color="auto" w:fill="auto"/>
            <w:noWrap/>
            <w:vAlign w:val="center"/>
          </w:tcPr>
          <w:p w14:paraId="56499C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621" w:type="dxa"/>
            <w:shd w:val="clear" w:color="auto" w:fill="auto"/>
            <w:noWrap/>
            <w:vAlign w:val="center"/>
          </w:tcPr>
          <w:p w14:paraId="2B318710">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6379" w:type="dxa"/>
            <w:shd w:val="clear" w:color="auto" w:fill="FFFFFF"/>
            <w:vAlign w:val="center"/>
          </w:tcPr>
          <w:p w14:paraId="2B9103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阻燃布：检验依据：GB 18401-2010 《国家纺织产品基本安全技术规范》、GB 17927.1-2011《软体家具 床垫和沙发 抗引燃特性的评定 第1部分：阴燃的香烟》、GB/T24346-2009《纺织品 防霉性能的评价》、QB/T 4371-2012《家具抗菌性能的评价》，抗引燃特性-阴燃的香烟：阻燃Ⅰ级或以上，无异味，耐干摩擦色牢度≥4级，耐碱汗渍色牢度变色≥4级、沾色≥4级，耐酸汗渍色牢度变色≥4级、沾色≥4级，耐水色牢度变色≥4级、沾色≥4级，甲醛含量（mk/kg）、可分解致癌芳香胺染料实测结果未检出，抗菌性能：表皮葡萄球菌、白色假丝酵母抑菌率≥99.5%，防霉性能：桔青霉、可可毛球二孢防霉等级达到0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投标人须提供第三方检测机构出具的具有 CMA 或 CNAS 标识的检测报告扫描件（检测报告须包含并符合本项参数的全部内容，原件备查，及全国认证认可信息公共服务平台网站http://cx.cnca.cn/CertECloud/qts/qts/qtsPage ）查询信息截图。</w:t>
            </w:r>
          </w:p>
        </w:tc>
        <w:tc>
          <w:tcPr>
            <w:tcW w:w="2359" w:type="dxa"/>
            <w:vMerge w:val="continue"/>
            <w:shd w:val="clear" w:color="auto" w:fill="auto"/>
            <w:noWrap/>
            <w:vAlign w:val="center"/>
          </w:tcPr>
          <w:p w14:paraId="449B30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bdr w:val="single" w:color="000000" w:sz="4" w:space="0"/>
                <w:lang w:val="en-US" w:eastAsia="zh-CN" w:bidi="ar"/>
              </w:rPr>
            </w:pPr>
          </w:p>
        </w:tc>
      </w:tr>
      <w:tr w14:paraId="761C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7" w:hRule="atLeast"/>
        </w:trPr>
        <w:tc>
          <w:tcPr>
            <w:tcW w:w="808" w:type="dxa"/>
            <w:vMerge w:val="continue"/>
            <w:shd w:val="clear" w:color="auto" w:fill="auto"/>
            <w:noWrap/>
            <w:vAlign w:val="center"/>
          </w:tcPr>
          <w:p w14:paraId="6BF0C8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621" w:type="dxa"/>
            <w:shd w:val="clear" w:color="auto" w:fill="auto"/>
            <w:noWrap/>
            <w:vAlign w:val="center"/>
          </w:tcPr>
          <w:p w14:paraId="09233D0A">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w:t>
            </w:r>
          </w:p>
        </w:tc>
        <w:tc>
          <w:tcPr>
            <w:tcW w:w="6379" w:type="dxa"/>
            <w:shd w:val="clear" w:color="auto" w:fill="FFFFFF"/>
            <w:vAlign w:val="center"/>
          </w:tcPr>
          <w:p w14:paraId="56DA73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玻璃纤维塑料：检验依据：HJ 2540-2015《环境标志产品技术要求 木塑制品》；GB 28481-2012《塑料家具中有害物质限量》；HJ571-2010《环境标志产品技术要求 人造板及其制品》；GB 18584-2001《室内装饰装修材料木家具中有害物质限量》；QB/T 4371-2012《家具抗菌性能的评价》，邻苯二甲酸酯总量（%）、甲醛释放量（mg/m³）为未检出，重金属（mg/㎡）：可溶性铅、可溶性镉、可溶性铬、可溶性汞均为未检出，重金属含量（限色漆）（mg/Kg）：可溶性铅、可溶性镉、可溶性铬、可溶性汞均为未检出，总挥发性有机化合物（TVOC）mg/（㎡·h)（72h)为未检出。抗菌性能乙型溶血性链球菌抑菌率≥99.5%。投标人须提供第三方检测机构出具的具有 CMA 或 CNAS 标识的检测报告扫描件（检测报告须包含并符合本项参数的全部内容，原件备查，及全国认证认可信息公共服务平台网站http://cx.cnca.cn/CertECloud/qts/qts/qtsPage ）查询信息截图。</w:t>
            </w:r>
          </w:p>
        </w:tc>
        <w:tc>
          <w:tcPr>
            <w:tcW w:w="2359" w:type="dxa"/>
            <w:vMerge w:val="continue"/>
            <w:shd w:val="clear" w:color="auto" w:fill="auto"/>
            <w:noWrap/>
            <w:vAlign w:val="center"/>
          </w:tcPr>
          <w:p w14:paraId="7CBACF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bdr w:val="single" w:color="000000" w:sz="4" w:space="0"/>
                <w:lang w:val="en-US" w:eastAsia="zh-CN" w:bidi="ar"/>
              </w:rPr>
            </w:pPr>
          </w:p>
        </w:tc>
      </w:tr>
      <w:tr w14:paraId="51C01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52" w:hRule="atLeast"/>
        </w:trPr>
        <w:tc>
          <w:tcPr>
            <w:tcW w:w="808" w:type="dxa"/>
            <w:shd w:val="clear" w:color="auto" w:fill="auto"/>
            <w:noWrap/>
            <w:vAlign w:val="center"/>
          </w:tcPr>
          <w:p w14:paraId="1BD122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7.茶水柜</w:t>
            </w:r>
          </w:p>
        </w:tc>
        <w:tc>
          <w:tcPr>
            <w:tcW w:w="621" w:type="dxa"/>
            <w:shd w:val="clear" w:color="auto" w:fill="auto"/>
            <w:noWrap/>
            <w:vAlign w:val="center"/>
          </w:tcPr>
          <w:p w14:paraId="79EAA8DF">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p>
        </w:tc>
        <w:tc>
          <w:tcPr>
            <w:tcW w:w="6379" w:type="dxa"/>
            <w:shd w:val="clear" w:color="auto" w:fill="auto"/>
            <w:vAlign w:val="center"/>
          </w:tcPr>
          <w:p w14:paraId="69F602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基材：采用符合环保标准的三聚氰胺板，厚度不低于20MM工艺：采用先进的机械垫压工艺处理，材料附面拼贴严格，平整，不允许有脱胶、鼓泡、无裂纹，压痕和划伤。五金配件：采用优质五金配件。</w:t>
            </w:r>
          </w:p>
        </w:tc>
        <w:tc>
          <w:tcPr>
            <w:tcW w:w="2359" w:type="dxa"/>
            <w:shd w:val="clear" w:color="auto" w:fill="auto"/>
            <w:noWrap/>
            <w:vAlign w:val="center"/>
          </w:tcPr>
          <w:p w14:paraId="5377CF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94615</wp:posOffset>
                  </wp:positionH>
                  <wp:positionV relativeFrom="paragraph">
                    <wp:posOffset>120015</wp:posOffset>
                  </wp:positionV>
                  <wp:extent cx="965835" cy="1042670"/>
                  <wp:effectExtent l="0" t="0" r="5715" b="5080"/>
                  <wp:wrapNone/>
                  <wp:docPr id="77" name="图片_41"/>
                  <wp:cNvGraphicFramePr/>
                  <a:graphic xmlns:a="http://schemas.openxmlformats.org/drawingml/2006/main">
                    <a:graphicData uri="http://schemas.openxmlformats.org/drawingml/2006/picture">
                      <pic:pic xmlns:pic="http://schemas.openxmlformats.org/drawingml/2006/picture">
                        <pic:nvPicPr>
                          <pic:cNvPr id="77" name="图片_41"/>
                          <pic:cNvPicPr/>
                        </pic:nvPicPr>
                        <pic:blipFill>
                          <a:blip r:embed="rId15"/>
                          <a:stretch>
                            <a:fillRect/>
                          </a:stretch>
                        </pic:blipFill>
                        <pic:spPr>
                          <a:xfrm>
                            <a:off x="0" y="0"/>
                            <a:ext cx="965835" cy="1042670"/>
                          </a:xfrm>
                          <a:prstGeom prst="rect">
                            <a:avLst/>
                          </a:prstGeom>
                          <a:noFill/>
                          <a:ln>
                            <a:noFill/>
                          </a:ln>
                        </pic:spPr>
                      </pic:pic>
                    </a:graphicData>
                  </a:graphic>
                </wp:anchor>
              </w:drawing>
            </w:r>
          </w:p>
        </w:tc>
      </w:tr>
      <w:tr w14:paraId="4F82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808" w:type="dxa"/>
            <w:vMerge w:val="restart"/>
            <w:shd w:val="clear" w:color="auto" w:fill="auto"/>
            <w:noWrap/>
            <w:vAlign w:val="center"/>
          </w:tcPr>
          <w:p w14:paraId="74AC9D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8.不锈钢窗边矮柜</w:t>
            </w:r>
          </w:p>
        </w:tc>
        <w:tc>
          <w:tcPr>
            <w:tcW w:w="621" w:type="dxa"/>
            <w:shd w:val="clear" w:color="auto" w:fill="auto"/>
            <w:noWrap/>
            <w:vAlign w:val="center"/>
          </w:tcPr>
          <w:p w14:paraId="70579D25">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p>
        </w:tc>
        <w:tc>
          <w:tcPr>
            <w:tcW w:w="6379" w:type="dxa"/>
            <w:shd w:val="clear" w:color="auto" w:fill="auto"/>
            <w:vAlign w:val="center"/>
          </w:tcPr>
          <w:p w14:paraId="5D28AE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4034155</wp:posOffset>
                  </wp:positionH>
                  <wp:positionV relativeFrom="paragraph">
                    <wp:posOffset>1558925</wp:posOffset>
                  </wp:positionV>
                  <wp:extent cx="1544955" cy="1073150"/>
                  <wp:effectExtent l="0" t="0" r="17145" b="12700"/>
                  <wp:wrapNone/>
                  <wp:docPr id="78" name="图片_20"/>
                  <wp:cNvGraphicFramePr/>
                  <a:graphic xmlns:a="http://schemas.openxmlformats.org/drawingml/2006/main">
                    <a:graphicData uri="http://schemas.openxmlformats.org/drawingml/2006/picture">
                      <pic:pic xmlns:pic="http://schemas.openxmlformats.org/drawingml/2006/picture">
                        <pic:nvPicPr>
                          <pic:cNvPr id="78" name="图片_20"/>
                          <pic:cNvPicPr/>
                        </pic:nvPicPr>
                        <pic:blipFill>
                          <a:blip r:embed="rId16"/>
                          <a:stretch>
                            <a:fillRect/>
                          </a:stretch>
                        </pic:blipFill>
                        <pic:spPr>
                          <a:xfrm>
                            <a:off x="0" y="0"/>
                            <a:ext cx="1544955" cy="107315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材质:1.优质304不锈钢材质.2.采用厚度1.2mm不锈钢板，表面具有一层保护膜、光洁度高、抗蚀能力强，经过酸洗、脱脂磷化处理。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4.台面采用12MM水曲柳切片胶合夹板基材,表面不锈钢钢板,5.带抽屉.无门板6导轨为优质的三节路轨。注：颜色、尺寸、应考虑与室内装修风格相匹配，深化图纸的产品尺寸与造型微调需根据采购人要求调整，图片仅供参考，后期以深化图为准。                                                                                         </w:t>
            </w:r>
          </w:p>
        </w:tc>
        <w:tc>
          <w:tcPr>
            <w:tcW w:w="2359" w:type="dxa"/>
            <w:vMerge w:val="restart"/>
            <w:shd w:val="clear" w:color="auto" w:fill="auto"/>
            <w:noWrap/>
            <w:vAlign w:val="center"/>
          </w:tcPr>
          <w:p w14:paraId="00684B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p>
        </w:tc>
      </w:tr>
      <w:tr w14:paraId="0A7D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96" w:hRule="atLeast"/>
        </w:trPr>
        <w:tc>
          <w:tcPr>
            <w:tcW w:w="808" w:type="dxa"/>
            <w:vMerge w:val="continue"/>
            <w:shd w:val="clear" w:color="auto" w:fill="auto"/>
            <w:noWrap/>
            <w:vAlign w:val="center"/>
          </w:tcPr>
          <w:p w14:paraId="3824F12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621" w:type="dxa"/>
            <w:shd w:val="clear" w:color="auto" w:fill="auto"/>
            <w:noWrap/>
            <w:vAlign w:val="center"/>
          </w:tcPr>
          <w:p w14:paraId="559CBF0C">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6379" w:type="dxa"/>
            <w:shd w:val="clear" w:color="auto" w:fill="auto"/>
            <w:vAlign w:val="center"/>
          </w:tcPr>
          <w:p w14:paraId="3AC76D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水曲柳切片胶合板：检验依据：HJ 571-2010《环境标志产品技术要求 人造板及其制品》、GB/T 9846-2015《普通胶合板》、GB 8624-2012《建筑材料及制品燃烧性能分级》，胶合强度、浸渍剥离、静曲强度检测合格，燃烧性能等级（B1)：燃烧增长速率指数≤140W/s、600s内总热释放量≤15MJ、火焰横向蔓延长度、燃烧长度、燃烧滴落物检测合格，附加等级（GB 8624）：烟气生成速率/600s内总烟气生成量达到s1级、燃烧滴落物/微粒等级达到d0级，甲醛释放量（HJ 571）（mg/m³）为未检出。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投标人须提供 第三方检测机构出具的具有 CMA 或 CNAS 标识的检测报告扫描件（检测报告须包含并符合本项参数的全部内容，原件备查，及全国认证认可信息公共服务平台网站http://cx.cnca.cn/CertECloud/qts/qts/qtsPage ）查询信息截图。</w:t>
            </w:r>
          </w:p>
        </w:tc>
        <w:tc>
          <w:tcPr>
            <w:tcW w:w="2359" w:type="dxa"/>
            <w:vMerge w:val="continue"/>
            <w:shd w:val="clear" w:color="auto" w:fill="auto"/>
            <w:noWrap/>
            <w:vAlign w:val="center"/>
          </w:tcPr>
          <w:p w14:paraId="548414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bdr w:val="single" w:color="000000" w:sz="4" w:space="0"/>
                <w:lang w:val="en-US" w:eastAsia="zh-CN" w:bidi="ar"/>
              </w:rPr>
            </w:pPr>
          </w:p>
        </w:tc>
      </w:tr>
      <w:tr w14:paraId="69F4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00" w:hRule="atLeast"/>
        </w:trPr>
        <w:tc>
          <w:tcPr>
            <w:tcW w:w="808" w:type="dxa"/>
            <w:shd w:val="clear" w:color="auto" w:fill="auto"/>
            <w:noWrap/>
            <w:vAlign w:val="center"/>
          </w:tcPr>
          <w:p w14:paraId="5AFF74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9.铁更衣柜</w:t>
            </w:r>
          </w:p>
        </w:tc>
        <w:tc>
          <w:tcPr>
            <w:tcW w:w="621" w:type="dxa"/>
            <w:shd w:val="clear" w:color="auto" w:fill="auto"/>
            <w:noWrap/>
            <w:vAlign w:val="center"/>
          </w:tcPr>
          <w:p w14:paraId="06B0B3A5">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p>
        </w:tc>
        <w:tc>
          <w:tcPr>
            <w:tcW w:w="6379" w:type="dxa"/>
            <w:shd w:val="clear" w:color="auto" w:fill="auto"/>
            <w:vAlign w:val="center"/>
          </w:tcPr>
          <w:p w14:paraId="077728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1.采用优质加厚1.0mm冷轧钢板制作 全钢结构，经过防锈和酸洗，耐蚀性能强，加厚隔板，承载力强，坚固耐用。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2.环保五金件，锁具钥匙。                                               3.门板为蓝色柜体为白色（配层板和挂衣杆）。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注：颜色、尺寸、应考虑与室内装修风格相匹配，深化图纸的产品尺寸与造型微调需根据采购人要求调整，图片仅供参考，后期以深化图为准。</w:t>
            </w:r>
          </w:p>
        </w:tc>
        <w:tc>
          <w:tcPr>
            <w:tcW w:w="2359" w:type="dxa"/>
            <w:shd w:val="clear" w:color="auto" w:fill="auto"/>
            <w:noWrap/>
            <w:vAlign w:val="center"/>
          </w:tcPr>
          <w:p w14:paraId="270273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669925</wp:posOffset>
                  </wp:positionH>
                  <wp:positionV relativeFrom="paragraph">
                    <wp:posOffset>316865</wp:posOffset>
                  </wp:positionV>
                  <wp:extent cx="1108710" cy="768350"/>
                  <wp:effectExtent l="0" t="0" r="15240" b="12700"/>
                  <wp:wrapNone/>
                  <wp:docPr id="71" name="图片_27"/>
                  <wp:cNvGraphicFramePr/>
                  <a:graphic xmlns:a="http://schemas.openxmlformats.org/drawingml/2006/main">
                    <a:graphicData uri="http://schemas.openxmlformats.org/drawingml/2006/picture">
                      <pic:pic xmlns:pic="http://schemas.openxmlformats.org/drawingml/2006/picture">
                        <pic:nvPicPr>
                          <pic:cNvPr id="71" name="图片_27"/>
                          <pic:cNvPicPr/>
                        </pic:nvPicPr>
                        <pic:blipFill>
                          <a:blip r:embed="rId17"/>
                          <a:stretch>
                            <a:fillRect/>
                          </a:stretch>
                        </pic:blipFill>
                        <pic:spPr>
                          <a:xfrm>
                            <a:off x="0" y="0"/>
                            <a:ext cx="1108710" cy="76835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34925</wp:posOffset>
                  </wp:positionH>
                  <wp:positionV relativeFrom="paragraph">
                    <wp:posOffset>186690</wp:posOffset>
                  </wp:positionV>
                  <wp:extent cx="619760" cy="1104900"/>
                  <wp:effectExtent l="0" t="0" r="8890" b="0"/>
                  <wp:wrapNone/>
                  <wp:docPr id="69" name="图片_33"/>
                  <wp:cNvGraphicFramePr/>
                  <a:graphic xmlns:a="http://schemas.openxmlformats.org/drawingml/2006/main">
                    <a:graphicData uri="http://schemas.openxmlformats.org/drawingml/2006/picture">
                      <pic:pic xmlns:pic="http://schemas.openxmlformats.org/drawingml/2006/picture">
                        <pic:nvPicPr>
                          <pic:cNvPr id="69" name="图片_33"/>
                          <pic:cNvPicPr/>
                        </pic:nvPicPr>
                        <pic:blipFill>
                          <a:blip r:embed="rId18"/>
                          <a:stretch>
                            <a:fillRect/>
                          </a:stretch>
                        </pic:blipFill>
                        <pic:spPr>
                          <a:xfrm>
                            <a:off x="0" y="0"/>
                            <a:ext cx="619760" cy="1104900"/>
                          </a:xfrm>
                          <a:prstGeom prst="rect">
                            <a:avLst/>
                          </a:prstGeom>
                          <a:noFill/>
                          <a:ln>
                            <a:noFill/>
                          </a:ln>
                        </pic:spPr>
                      </pic:pic>
                    </a:graphicData>
                  </a:graphic>
                </wp:anchor>
              </w:drawing>
            </w:r>
          </w:p>
        </w:tc>
      </w:tr>
      <w:tr w14:paraId="62F1E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08" w:type="dxa"/>
            <w:shd w:val="clear" w:color="auto" w:fill="auto"/>
            <w:noWrap/>
            <w:vAlign w:val="center"/>
          </w:tcPr>
          <w:p w14:paraId="69E81E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10.铁办公桌</w:t>
            </w:r>
          </w:p>
        </w:tc>
        <w:tc>
          <w:tcPr>
            <w:tcW w:w="621" w:type="dxa"/>
            <w:shd w:val="clear" w:color="auto" w:fill="auto"/>
            <w:noWrap/>
            <w:vAlign w:val="center"/>
          </w:tcPr>
          <w:p w14:paraId="289BEAE2">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w:t>
            </w:r>
          </w:p>
        </w:tc>
        <w:tc>
          <w:tcPr>
            <w:tcW w:w="6379" w:type="dxa"/>
            <w:shd w:val="clear" w:color="auto" w:fill="auto"/>
            <w:vAlign w:val="center"/>
          </w:tcPr>
          <w:p w14:paraId="010950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1.采用优质加厚1.2mm冷轧钢板制作 全钢结构，经过防锈和酸洗，加厚隔板。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2.无磷静电粉末喷涂 无甲醛 无气味 环保健康。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3.环保五金件，锁具钥匙。                                       4.配键盘架                                                     注：颜色、尺寸、应考虑与室内装修风格相匹配，深化图纸的产品尺寸与造型微调需根据采购人要求调整，图片仅供参考，后期以深化图为准。</w:t>
            </w:r>
          </w:p>
        </w:tc>
        <w:tc>
          <w:tcPr>
            <w:tcW w:w="2359" w:type="dxa"/>
            <w:shd w:val="clear" w:color="auto" w:fill="auto"/>
            <w:noWrap/>
            <w:vAlign w:val="center"/>
          </w:tcPr>
          <w:p w14:paraId="206561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125730</wp:posOffset>
                  </wp:positionH>
                  <wp:positionV relativeFrom="paragraph">
                    <wp:posOffset>462915</wp:posOffset>
                  </wp:positionV>
                  <wp:extent cx="999490" cy="755650"/>
                  <wp:effectExtent l="0" t="0" r="10160" b="6350"/>
                  <wp:wrapNone/>
                  <wp:docPr id="81" name="图片_36"/>
                  <wp:cNvGraphicFramePr/>
                  <a:graphic xmlns:a="http://schemas.openxmlformats.org/drawingml/2006/main">
                    <a:graphicData uri="http://schemas.openxmlformats.org/drawingml/2006/picture">
                      <pic:pic xmlns:pic="http://schemas.openxmlformats.org/drawingml/2006/picture">
                        <pic:nvPicPr>
                          <pic:cNvPr id="81" name="图片_36"/>
                          <pic:cNvPicPr/>
                        </pic:nvPicPr>
                        <pic:blipFill>
                          <a:blip r:embed="rId19"/>
                          <a:stretch>
                            <a:fillRect/>
                          </a:stretch>
                        </pic:blipFill>
                        <pic:spPr>
                          <a:xfrm>
                            <a:off x="0" y="0"/>
                            <a:ext cx="999490" cy="755650"/>
                          </a:xfrm>
                          <a:prstGeom prst="rect">
                            <a:avLst/>
                          </a:prstGeom>
                          <a:noFill/>
                          <a:ln>
                            <a:noFill/>
                          </a:ln>
                        </pic:spPr>
                      </pic:pic>
                    </a:graphicData>
                  </a:graphic>
                </wp:anchor>
              </w:drawing>
            </w:r>
          </w:p>
        </w:tc>
      </w:tr>
      <w:tr w14:paraId="17EF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08" w:type="dxa"/>
            <w:vMerge w:val="restart"/>
            <w:shd w:val="clear" w:color="auto" w:fill="auto"/>
            <w:noWrap/>
            <w:vAlign w:val="center"/>
          </w:tcPr>
          <w:p w14:paraId="662B8A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11.办公椅</w:t>
            </w:r>
          </w:p>
        </w:tc>
        <w:tc>
          <w:tcPr>
            <w:tcW w:w="621" w:type="dxa"/>
            <w:shd w:val="clear" w:color="auto" w:fill="auto"/>
            <w:noWrap/>
            <w:vAlign w:val="center"/>
          </w:tcPr>
          <w:p w14:paraId="23E5DF72">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w:t>
            </w:r>
          </w:p>
        </w:tc>
        <w:tc>
          <w:tcPr>
            <w:tcW w:w="6379" w:type="dxa"/>
            <w:shd w:val="clear" w:color="auto" w:fill="auto"/>
            <w:vAlign w:val="center"/>
          </w:tcPr>
          <w:p w14:paraId="3C863D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1.规格：常规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2.尼龙加玻纤背架，活动腰靠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3.40密度高弹力海绵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4.三档锁定底盘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5.PU面3D升降扶手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6.∮320电镀高脚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7.φ50M尼龙电镀轮。                                                                                                                             注：颜色、尺寸、应考虑与室内装修风格相匹配，深化图纸的产品尺寸与造型微调需根据采购人要求调整，图片仅供参考，后期以深化图为准。                                                                                                                                                                                                               </w:t>
            </w:r>
          </w:p>
        </w:tc>
        <w:tc>
          <w:tcPr>
            <w:tcW w:w="2359" w:type="dxa"/>
            <w:vMerge w:val="restart"/>
            <w:shd w:val="clear" w:color="auto" w:fill="auto"/>
            <w:noWrap/>
            <w:vAlign w:val="center"/>
          </w:tcPr>
          <w:p w14:paraId="52D63D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190500</wp:posOffset>
                  </wp:positionH>
                  <wp:positionV relativeFrom="paragraph">
                    <wp:posOffset>2256155</wp:posOffset>
                  </wp:positionV>
                  <wp:extent cx="965835" cy="1099820"/>
                  <wp:effectExtent l="0" t="0" r="5715" b="5080"/>
                  <wp:wrapNone/>
                  <wp:docPr id="80" name="图片_4"/>
                  <wp:cNvGraphicFramePr/>
                  <a:graphic xmlns:a="http://schemas.openxmlformats.org/drawingml/2006/main">
                    <a:graphicData uri="http://schemas.openxmlformats.org/drawingml/2006/picture">
                      <pic:pic xmlns:pic="http://schemas.openxmlformats.org/drawingml/2006/picture">
                        <pic:nvPicPr>
                          <pic:cNvPr id="80" name="图片_4"/>
                          <pic:cNvPicPr/>
                        </pic:nvPicPr>
                        <pic:blipFill>
                          <a:blip r:embed="rId20"/>
                          <a:stretch>
                            <a:fillRect/>
                          </a:stretch>
                        </pic:blipFill>
                        <pic:spPr>
                          <a:xfrm>
                            <a:off x="0" y="0"/>
                            <a:ext cx="965835" cy="1099820"/>
                          </a:xfrm>
                          <a:prstGeom prst="rect">
                            <a:avLst/>
                          </a:prstGeom>
                          <a:noFill/>
                          <a:ln>
                            <a:noFill/>
                          </a:ln>
                        </pic:spPr>
                      </pic:pic>
                    </a:graphicData>
                  </a:graphic>
                </wp:anchor>
              </w:drawing>
            </w:r>
          </w:p>
        </w:tc>
      </w:tr>
      <w:tr w14:paraId="1D85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08" w:type="dxa"/>
            <w:vMerge w:val="continue"/>
            <w:shd w:val="clear" w:color="auto" w:fill="auto"/>
            <w:noWrap/>
            <w:vAlign w:val="center"/>
          </w:tcPr>
          <w:p w14:paraId="7F9B0D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621" w:type="dxa"/>
            <w:shd w:val="clear" w:color="auto" w:fill="auto"/>
            <w:noWrap/>
            <w:vAlign w:val="center"/>
          </w:tcPr>
          <w:p w14:paraId="29013422">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6379" w:type="dxa"/>
            <w:shd w:val="clear" w:color="auto" w:fill="auto"/>
            <w:vAlign w:val="center"/>
          </w:tcPr>
          <w:p w14:paraId="7ED5C7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功能椅：检测和判定依据：GB/T 16799-2018《家具用皮革》；GB 28481-2012《塑料家具中有害物质限量》；GB/T 32487-2016《塑料家具通用技术条件》；GB/T 3280-2015《不锈钢冷轧钢板和钢带》；GB 18401-2010《国家纺织产品基本安全技术规范》；GB/T 1741-2020《漆膜耐霉菌性测定法》，摩擦色牢度干擦、湿擦、碱性汗液单项评价合格，涂层粘着牢度N/10mm≥7，耐折牢度（50000次）无裂纹单项评价合格，耐磨性（CS-10,500g，500r）单项评价合格，撕裂力N≥75，气味≤2级，PH≥5，游离甲醛mg/kg为未检出，挥发性有机物（VOC）mg/kg为未检出，可萃取重金属铅（Pb）mg/kg为未检出、镉（Cd）mg/kg为未检出，禁用偶氮染料：4-氨基联苯、联苯胺、4-氯邻甲苯胺、2-萘胺、邻氨基偶氮甲苯、2-氨基-4-硝基甲苯、对氯苯胺、2，4-二氨基苯甲醚、4，4’-二氨基二苯甲烷、3，3’-二氯联苯胺、3，3’-二甲氧基联苯胺、3，3’-二甲基联苯胺、3，3’-二甲基-4，4’-二氨基二苯甲烷、3-氨基对甲苯甲醚（ρ-克利酊）、4，4’-次甲基-双-（2-氯苯胺）、4，4’-二氨基二苯醚、4，4’-二氨基二苯硫醚、邻甲苯胺、2，4-二氨基甲苯、2，4，5-三甲基苯胺、邻甲氧基苯胺（邻氨基苯甲醚）、2，4-二甲基苯胺、2，6-二甲基苯胺均为未检出，感官要求：两侧表皮、裂缝、气孔、气味、污染、色泽均单项评价合格，物理力学性能：75%压缩永久变形%≤3，回弹率%≥40，拉伸强度KPa≥120，伸长率%≥180，撕裂强度N/cm≥5，干热老化后拉伸强度KPa≥110，湿热老化后拉伸强度KPa≥105，邻苯二甲酸酯/%：邻苯二甲酸二丁酯（DBP）、邻苯二甲酸丁酯苄酯（BBP）、邻苯二甲酸-2-乙基己基酯（DEHP）、邻苯二甲酸二正辛酯（DNOP)、邻苯二甲酸二异壬酯（DINP）、邻苯二甲酸二异癸酯（DIDP）均为未检出，重金属可溶性铅、可溶性镉、可溶性铬、可溶性汞mg/kg均≤3，多环芳烃苯并〔α〕芘、16种多环方烃（PAH）总量均为未检出，多溴联苯（PBB）、多溴二苯醚（PBDE）均为未检出，塑料材料耐老化性单项评价合格，冲击强度J/㎡≥15000，外观、其他外观、塑料件外观单项评价合格，塑料件硬度邵氏D硬度≥HD63，耐冷热循环单项评价合格，甲醛含量未检出，PH值在5-7，染色牢度：耐水（变色、沾色）、耐酸汗渍（变色、沾色）、耐碱汗渍（变色、沾色）、耐干摩擦、耐唾液（变色、沾色）、异味单项评价合格，可分解致癌芳香胺染料未检出，耐霉菌性等级链格孢为0级，化学成分（质量分数）/%，碳（C）wt.%≤0.05、锰（Mn）wt.%≤1.5、磷（P)wt.%≤0.04、硫（S）wt.%≤0.01、硅（Si）wt.%≤0.75、铬（Cr）wt.%达到18-19、镍（Ni）wt.%达到8-9.力学性能：抗拉强度Rm/MPa≥790，断后伸长率A/%≥55，规定塑性延伸强度Rpo.2/MPa≥300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投标人须提供第三方检测机构出具的具有 CMA 或 CNAS 标识的检测报告扫描件（检测报告须包含并符合本项参数的全部内容，原件备查，及全国认证认可信息公共服务平台网站http://cx.cnca.cn/CertECloud/qts/qts/qtsPage ）查询信息截图。</w:t>
            </w:r>
          </w:p>
        </w:tc>
        <w:tc>
          <w:tcPr>
            <w:tcW w:w="2359" w:type="dxa"/>
            <w:vMerge w:val="continue"/>
            <w:shd w:val="clear" w:color="auto" w:fill="auto"/>
            <w:noWrap/>
            <w:vAlign w:val="center"/>
          </w:tcPr>
          <w:p w14:paraId="233651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bdr w:val="single" w:color="000000" w:sz="4" w:space="0"/>
                <w:lang w:val="en-US" w:eastAsia="zh-CN" w:bidi="ar"/>
              </w:rPr>
            </w:pPr>
          </w:p>
        </w:tc>
      </w:tr>
      <w:tr w14:paraId="7AD2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08" w:type="dxa"/>
            <w:vMerge w:val="continue"/>
            <w:shd w:val="clear" w:color="auto" w:fill="auto"/>
            <w:noWrap/>
            <w:vAlign w:val="center"/>
          </w:tcPr>
          <w:p w14:paraId="64BBA7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621" w:type="dxa"/>
            <w:shd w:val="clear" w:color="auto" w:fill="auto"/>
            <w:noWrap/>
            <w:vAlign w:val="center"/>
          </w:tcPr>
          <w:p w14:paraId="561257A8">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w:t>
            </w:r>
          </w:p>
        </w:tc>
        <w:tc>
          <w:tcPr>
            <w:tcW w:w="6379" w:type="dxa"/>
            <w:shd w:val="clear" w:color="auto" w:fill="auto"/>
            <w:vAlign w:val="center"/>
          </w:tcPr>
          <w:p w14:paraId="243FAB9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高回弹海绵：检验依据：GB/T 10802-2006 《通用软质聚醚型聚氨酯泡沫塑料》、GB 17927.1-2011《软体家具 床垫和沙发抗引燃特性的评定 第1部分：阴燃的香烟》、GB/T24128-2018《塑料 塑料防霉剂的防霉效果评估》，等级≥151N，25%压陷硬度≥180N、75%压缩永久变形≤6%、回弹率≥58%、拉伸强度≥155kPa、伸长率≥120%、撕裂强度≥3.0N/cm；恒定负荷反复压陷疲劳性能≤20%；抗引燃特性-阴燃的香烟：进行试验和检查时，未观察到试样表面或内部出现任何续燃、阴燃现象，阻燃Ⅰ级，防霉性能：桔青霉、可可毛球二孢防霉等级达到0级，抗菌性能：表皮葡萄球菌、白色假丝酵母抗菌性能值≥99.5%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投标人须提供第三方检测机构出具的具有 CMA 或 CNAS 标识的检测报告扫描件（检测报告须包含并符合本项参数的全部内容，原件备查，及全国认证认可信息公共服务平台网站http://cx.cnca.cn/CertECloud/qts/qts/qtsPage ）查询信息截图。 </w:t>
            </w:r>
          </w:p>
        </w:tc>
        <w:tc>
          <w:tcPr>
            <w:tcW w:w="2359" w:type="dxa"/>
            <w:shd w:val="clear" w:color="auto" w:fill="auto"/>
            <w:noWrap/>
            <w:vAlign w:val="center"/>
          </w:tcPr>
          <w:p w14:paraId="07E8DF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bdr w:val="single" w:color="000000" w:sz="4" w:space="0"/>
                <w:lang w:val="en-US" w:eastAsia="zh-CN" w:bidi="ar"/>
              </w:rPr>
            </w:pPr>
          </w:p>
        </w:tc>
      </w:tr>
      <w:tr w14:paraId="7B604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7" w:hRule="atLeast"/>
        </w:trPr>
        <w:tc>
          <w:tcPr>
            <w:tcW w:w="808" w:type="dxa"/>
            <w:shd w:val="clear" w:color="auto" w:fill="auto"/>
            <w:noWrap/>
            <w:vAlign w:val="center"/>
          </w:tcPr>
          <w:p w14:paraId="3096B6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12.铁文件柜（常规）</w:t>
            </w:r>
          </w:p>
        </w:tc>
        <w:tc>
          <w:tcPr>
            <w:tcW w:w="621" w:type="dxa"/>
            <w:shd w:val="clear" w:color="auto" w:fill="auto"/>
            <w:noWrap/>
            <w:vAlign w:val="center"/>
          </w:tcPr>
          <w:p w14:paraId="226B9655">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w:t>
            </w:r>
          </w:p>
        </w:tc>
        <w:tc>
          <w:tcPr>
            <w:tcW w:w="6379" w:type="dxa"/>
            <w:shd w:val="clear" w:color="auto" w:fill="auto"/>
            <w:vAlign w:val="center"/>
          </w:tcPr>
          <w:p w14:paraId="440BD5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1、规格：900W400D1800H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2、采用优质加厚1.0mm冷轧钢板制作 全钢结构，经过防锈和酸洗，耐蚀性能强，加厚隔板，承载力强，坚固耐用。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3、环保五金件，锁具钥匙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注：颜色、尺寸、应考虑与室内装修风格相匹配，深化图纸的产品尺寸与造型微调需根据采购人要求调整，图片仅供参考，后期以深化图为准。</w:t>
            </w:r>
          </w:p>
        </w:tc>
        <w:tc>
          <w:tcPr>
            <w:tcW w:w="2359" w:type="dxa"/>
            <w:shd w:val="clear" w:color="auto" w:fill="auto"/>
            <w:noWrap/>
            <w:vAlign w:val="center"/>
          </w:tcPr>
          <w:p w14:paraId="6CBD0B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180975</wp:posOffset>
                  </wp:positionH>
                  <wp:positionV relativeFrom="paragraph">
                    <wp:posOffset>-129540</wp:posOffset>
                  </wp:positionV>
                  <wp:extent cx="1032510" cy="1392555"/>
                  <wp:effectExtent l="0" t="0" r="15240" b="17145"/>
                  <wp:wrapNone/>
                  <wp:docPr id="56" name="图片_37"/>
                  <wp:cNvGraphicFramePr/>
                  <a:graphic xmlns:a="http://schemas.openxmlformats.org/drawingml/2006/main">
                    <a:graphicData uri="http://schemas.openxmlformats.org/drawingml/2006/picture">
                      <pic:pic xmlns:pic="http://schemas.openxmlformats.org/drawingml/2006/picture">
                        <pic:nvPicPr>
                          <pic:cNvPr id="56" name="图片_37"/>
                          <pic:cNvPicPr/>
                        </pic:nvPicPr>
                        <pic:blipFill>
                          <a:blip r:embed="rId21"/>
                          <a:stretch>
                            <a:fillRect/>
                          </a:stretch>
                        </pic:blipFill>
                        <pic:spPr>
                          <a:xfrm>
                            <a:off x="0" y="0"/>
                            <a:ext cx="1032510" cy="1392555"/>
                          </a:xfrm>
                          <a:prstGeom prst="rect">
                            <a:avLst/>
                          </a:prstGeom>
                          <a:noFill/>
                          <a:ln>
                            <a:noFill/>
                          </a:ln>
                        </pic:spPr>
                      </pic:pic>
                    </a:graphicData>
                  </a:graphic>
                </wp:anchor>
              </w:drawing>
            </w:r>
          </w:p>
        </w:tc>
      </w:tr>
      <w:tr w14:paraId="42299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19" w:hRule="atLeast"/>
        </w:trPr>
        <w:tc>
          <w:tcPr>
            <w:tcW w:w="808" w:type="dxa"/>
            <w:shd w:val="clear" w:color="auto" w:fill="auto"/>
            <w:noWrap/>
            <w:vAlign w:val="center"/>
          </w:tcPr>
          <w:p w14:paraId="6F9168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13.不锈钢窗边矮柜（桌面及面板喷蓝色）</w:t>
            </w:r>
          </w:p>
        </w:tc>
        <w:tc>
          <w:tcPr>
            <w:tcW w:w="621" w:type="dxa"/>
            <w:shd w:val="clear" w:color="auto" w:fill="auto"/>
            <w:vAlign w:val="center"/>
          </w:tcPr>
          <w:p w14:paraId="6D0625EE">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w:t>
            </w:r>
          </w:p>
        </w:tc>
        <w:tc>
          <w:tcPr>
            <w:tcW w:w="6379" w:type="dxa"/>
            <w:shd w:val="clear" w:color="auto" w:fill="auto"/>
            <w:vAlign w:val="center"/>
          </w:tcPr>
          <w:p w14:paraId="2D8C7E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优质304不锈钢材质.2.采用厚度1.2mm不锈钢板，表面具有一层保护膜、光洁度高、抗蚀能力强，经过酸洗、脱脂磷化处理。3.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抽屉导轨为优质的三节路轨，4.面板底部用12MM环保白皮夹板，表面为不锈钢板，</w:t>
            </w:r>
          </w:p>
        </w:tc>
        <w:tc>
          <w:tcPr>
            <w:tcW w:w="2359" w:type="dxa"/>
            <w:shd w:val="clear" w:color="auto" w:fill="auto"/>
            <w:noWrap/>
            <w:vAlign w:val="center"/>
          </w:tcPr>
          <w:p w14:paraId="72E233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27305</wp:posOffset>
                  </wp:positionH>
                  <wp:positionV relativeFrom="paragraph">
                    <wp:posOffset>552450</wp:posOffset>
                  </wp:positionV>
                  <wp:extent cx="1320165" cy="673735"/>
                  <wp:effectExtent l="0" t="0" r="13335" b="12065"/>
                  <wp:wrapNone/>
                  <wp:docPr id="62" name="图片_21"/>
                  <wp:cNvGraphicFramePr/>
                  <a:graphic xmlns:a="http://schemas.openxmlformats.org/drawingml/2006/main">
                    <a:graphicData uri="http://schemas.openxmlformats.org/drawingml/2006/picture">
                      <pic:pic xmlns:pic="http://schemas.openxmlformats.org/drawingml/2006/picture">
                        <pic:nvPicPr>
                          <pic:cNvPr id="62" name="图片_21"/>
                          <pic:cNvPicPr/>
                        </pic:nvPicPr>
                        <pic:blipFill>
                          <a:blip r:embed="rId22"/>
                          <a:stretch>
                            <a:fillRect/>
                          </a:stretch>
                        </pic:blipFill>
                        <pic:spPr>
                          <a:xfrm>
                            <a:off x="0" y="0"/>
                            <a:ext cx="1320165" cy="673735"/>
                          </a:xfrm>
                          <a:prstGeom prst="rect">
                            <a:avLst/>
                          </a:prstGeom>
                          <a:noFill/>
                          <a:ln>
                            <a:noFill/>
                          </a:ln>
                        </pic:spPr>
                      </pic:pic>
                    </a:graphicData>
                  </a:graphic>
                </wp:anchor>
              </w:drawing>
            </w:r>
          </w:p>
        </w:tc>
      </w:tr>
      <w:tr w14:paraId="0D7B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0" w:hRule="atLeast"/>
        </w:trPr>
        <w:tc>
          <w:tcPr>
            <w:tcW w:w="808" w:type="dxa"/>
            <w:shd w:val="clear" w:color="auto" w:fill="auto"/>
            <w:noWrap/>
            <w:vAlign w:val="center"/>
          </w:tcPr>
          <w:p w14:paraId="50085B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14.不锈钢更鞋柜凳</w:t>
            </w:r>
          </w:p>
        </w:tc>
        <w:tc>
          <w:tcPr>
            <w:tcW w:w="621" w:type="dxa"/>
            <w:shd w:val="clear" w:color="auto" w:fill="auto"/>
            <w:noWrap/>
            <w:vAlign w:val="center"/>
          </w:tcPr>
          <w:p w14:paraId="575F1EF5">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p>
        </w:tc>
        <w:tc>
          <w:tcPr>
            <w:tcW w:w="6379" w:type="dxa"/>
            <w:shd w:val="clear" w:color="auto" w:fill="auto"/>
            <w:vAlign w:val="center"/>
          </w:tcPr>
          <w:p w14:paraId="5AB537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优质304不锈钢材质，采用厚度1.2mm不锈钢板，表面具有一层保护膜、光洁度高、抗蚀能力强，经过酸洗、脱脂磷化处理。2.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为双面。</w:t>
            </w:r>
          </w:p>
        </w:tc>
        <w:tc>
          <w:tcPr>
            <w:tcW w:w="2359" w:type="dxa"/>
            <w:shd w:val="clear" w:color="auto" w:fill="auto"/>
            <w:noWrap/>
            <w:vAlign w:val="center"/>
          </w:tcPr>
          <w:p w14:paraId="214500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94615</wp:posOffset>
                  </wp:positionH>
                  <wp:positionV relativeFrom="paragraph">
                    <wp:posOffset>1011555</wp:posOffset>
                  </wp:positionV>
                  <wp:extent cx="1381125" cy="483870"/>
                  <wp:effectExtent l="0" t="0" r="9525" b="11430"/>
                  <wp:wrapNone/>
                  <wp:docPr id="54" name="图片_23"/>
                  <wp:cNvGraphicFramePr/>
                  <a:graphic xmlns:a="http://schemas.openxmlformats.org/drawingml/2006/main">
                    <a:graphicData uri="http://schemas.openxmlformats.org/drawingml/2006/picture">
                      <pic:pic xmlns:pic="http://schemas.openxmlformats.org/drawingml/2006/picture">
                        <pic:nvPicPr>
                          <pic:cNvPr id="54" name="图片_23"/>
                          <pic:cNvPicPr/>
                        </pic:nvPicPr>
                        <pic:blipFill>
                          <a:blip r:embed="rId23"/>
                          <a:stretch>
                            <a:fillRect/>
                          </a:stretch>
                        </pic:blipFill>
                        <pic:spPr>
                          <a:xfrm>
                            <a:off x="0" y="0"/>
                            <a:ext cx="1381125" cy="48387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140335</wp:posOffset>
                  </wp:positionH>
                  <wp:positionV relativeFrom="paragraph">
                    <wp:posOffset>205105</wp:posOffset>
                  </wp:positionV>
                  <wp:extent cx="1160780" cy="502920"/>
                  <wp:effectExtent l="0" t="0" r="1270" b="11430"/>
                  <wp:wrapNone/>
                  <wp:docPr id="66" name="图片_10"/>
                  <wp:cNvGraphicFramePr/>
                  <a:graphic xmlns:a="http://schemas.openxmlformats.org/drawingml/2006/main">
                    <a:graphicData uri="http://schemas.openxmlformats.org/drawingml/2006/picture">
                      <pic:pic xmlns:pic="http://schemas.openxmlformats.org/drawingml/2006/picture">
                        <pic:nvPicPr>
                          <pic:cNvPr id="66" name="图片_10"/>
                          <pic:cNvPicPr/>
                        </pic:nvPicPr>
                        <pic:blipFill>
                          <a:blip r:embed="rId24"/>
                          <a:stretch>
                            <a:fillRect/>
                          </a:stretch>
                        </pic:blipFill>
                        <pic:spPr>
                          <a:xfrm>
                            <a:off x="0" y="0"/>
                            <a:ext cx="1160780" cy="502920"/>
                          </a:xfrm>
                          <a:prstGeom prst="rect">
                            <a:avLst/>
                          </a:prstGeom>
                          <a:noFill/>
                          <a:ln>
                            <a:noFill/>
                          </a:ln>
                        </pic:spPr>
                      </pic:pic>
                    </a:graphicData>
                  </a:graphic>
                </wp:anchor>
              </w:drawing>
            </w:r>
          </w:p>
        </w:tc>
      </w:tr>
      <w:tr w14:paraId="62AB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08" w:type="dxa"/>
            <w:vMerge w:val="restart"/>
            <w:shd w:val="clear" w:color="auto" w:fill="auto"/>
            <w:noWrap/>
            <w:vAlign w:val="center"/>
          </w:tcPr>
          <w:p w14:paraId="30A0F8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15.不锈钢更衣柜</w:t>
            </w:r>
          </w:p>
        </w:tc>
        <w:tc>
          <w:tcPr>
            <w:tcW w:w="621" w:type="dxa"/>
            <w:shd w:val="clear" w:color="auto" w:fill="auto"/>
            <w:noWrap/>
            <w:vAlign w:val="center"/>
          </w:tcPr>
          <w:p w14:paraId="6551E207">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w:t>
            </w:r>
          </w:p>
        </w:tc>
        <w:tc>
          <w:tcPr>
            <w:tcW w:w="6379" w:type="dxa"/>
            <w:shd w:val="clear" w:color="auto" w:fill="auto"/>
            <w:vAlign w:val="center"/>
          </w:tcPr>
          <w:p w14:paraId="3AAD10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材质:1.优质304不锈钢材质.2.采用厚度1.2mm不锈钢板，表面具有一层保护膜、光洁度高、抗蚀能力强，经过酸洗、脱脂磷化处理。3.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4、门板喷蓝色，里面配一块活动层板，缓冲铰链。                                                                                                                                       </w:t>
            </w:r>
          </w:p>
        </w:tc>
        <w:tc>
          <w:tcPr>
            <w:tcW w:w="2359" w:type="dxa"/>
            <w:vMerge w:val="restart"/>
            <w:shd w:val="clear" w:color="auto" w:fill="auto"/>
            <w:noWrap/>
            <w:vAlign w:val="center"/>
          </w:tcPr>
          <w:p w14:paraId="54992C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295275</wp:posOffset>
                  </wp:positionH>
                  <wp:positionV relativeFrom="paragraph">
                    <wp:posOffset>1567180</wp:posOffset>
                  </wp:positionV>
                  <wp:extent cx="999490" cy="1261110"/>
                  <wp:effectExtent l="0" t="0" r="10160" b="15240"/>
                  <wp:wrapNone/>
                  <wp:docPr id="61" name="图片_38"/>
                  <wp:cNvGraphicFramePr/>
                  <a:graphic xmlns:a="http://schemas.openxmlformats.org/drawingml/2006/main">
                    <a:graphicData uri="http://schemas.openxmlformats.org/drawingml/2006/picture">
                      <pic:pic xmlns:pic="http://schemas.openxmlformats.org/drawingml/2006/picture">
                        <pic:nvPicPr>
                          <pic:cNvPr id="61" name="图片_38"/>
                          <pic:cNvPicPr/>
                        </pic:nvPicPr>
                        <pic:blipFill>
                          <a:blip r:embed="rId25"/>
                          <a:stretch>
                            <a:fillRect/>
                          </a:stretch>
                        </pic:blipFill>
                        <pic:spPr>
                          <a:xfrm>
                            <a:off x="0" y="0"/>
                            <a:ext cx="999490" cy="1261110"/>
                          </a:xfrm>
                          <a:prstGeom prst="rect">
                            <a:avLst/>
                          </a:prstGeom>
                          <a:noFill/>
                          <a:ln>
                            <a:noFill/>
                          </a:ln>
                        </pic:spPr>
                      </pic:pic>
                    </a:graphicData>
                  </a:graphic>
                </wp:anchor>
              </w:drawing>
            </w:r>
          </w:p>
        </w:tc>
      </w:tr>
      <w:tr w14:paraId="2C4E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08" w:type="dxa"/>
            <w:vMerge w:val="continue"/>
            <w:shd w:val="clear" w:color="auto" w:fill="auto"/>
            <w:noWrap/>
            <w:vAlign w:val="center"/>
          </w:tcPr>
          <w:p w14:paraId="3329D9E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621" w:type="dxa"/>
            <w:shd w:val="clear" w:color="auto" w:fill="auto"/>
            <w:noWrap/>
            <w:vAlign w:val="center"/>
          </w:tcPr>
          <w:p w14:paraId="1C56B2EF">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w:t>
            </w:r>
          </w:p>
        </w:tc>
        <w:tc>
          <w:tcPr>
            <w:tcW w:w="6379" w:type="dxa"/>
            <w:shd w:val="clear" w:color="auto" w:fill="auto"/>
            <w:vAlign w:val="center"/>
          </w:tcPr>
          <w:p w14:paraId="7F46F1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缓冲铰链，检验依据：QB/T 2189-2013《家具五金杯状暗铰链》，GB/T11253-2019《碳素结构钢冷扎钢板及钢带》，GB/T1741-2020《漆膜耐霉菌性测定法》检测合格：过载垂直静载荷、水平静载荷，实测结果符合；耐久性试验次数30万次或以上，功能无损坏，安装B型试验门时，下沉量≤1mm；耐腐蚀试验时间:150h，无锈点，耐霉菌性：桔青霉、可可毛球二孢耐霉菌性等级达到0级，化学成分（质量分数）/%：C≤0.03、Si≤0.02，Mn≤0.2，P≤0.015，S≤0.01，力学性能：抗拉强度MPa在400-500，断后伸长率/%≥45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投标人须提供第三方检测机构出具的具有 CMA 或 CNAS 标识的检测报告扫描件（检测报告须包含并符合本项参数的全部内容，原件备查，及全国认证认可信息公共服务平台网站http://cx.cnca.cn/CertECloud/qts/qts/qtsPage ）查询信息截图。</w:t>
            </w:r>
          </w:p>
        </w:tc>
        <w:tc>
          <w:tcPr>
            <w:tcW w:w="2359" w:type="dxa"/>
            <w:vMerge w:val="continue"/>
            <w:shd w:val="clear" w:color="auto" w:fill="auto"/>
            <w:noWrap/>
            <w:vAlign w:val="center"/>
          </w:tcPr>
          <w:p w14:paraId="656DDF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bdr w:val="single" w:color="000000" w:sz="4" w:space="0"/>
                <w:lang w:val="en-US" w:eastAsia="zh-CN" w:bidi="ar"/>
              </w:rPr>
            </w:pPr>
          </w:p>
        </w:tc>
      </w:tr>
      <w:tr w14:paraId="0027C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0" w:hRule="atLeast"/>
        </w:trPr>
        <w:tc>
          <w:tcPr>
            <w:tcW w:w="808" w:type="dxa"/>
            <w:shd w:val="clear" w:color="auto" w:fill="auto"/>
            <w:noWrap/>
            <w:vAlign w:val="center"/>
          </w:tcPr>
          <w:p w14:paraId="5CAED4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16.不锈钢审核桌</w:t>
            </w:r>
          </w:p>
        </w:tc>
        <w:tc>
          <w:tcPr>
            <w:tcW w:w="621" w:type="dxa"/>
            <w:shd w:val="clear" w:color="auto" w:fill="auto"/>
            <w:noWrap/>
            <w:vAlign w:val="center"/>
          </w:tcPr>
          <w:p w14:paraId="01E860E7">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w:t>
            </w:r>
          </w:p>
        </w:tc>
        <w:tc>
          <w:tcPr>
            <w:tcW w:w="6379" w:type="dxa"/>
            <w:shd w:val="clear" w:color="auto" w:fill="auto"/>
            <w:vAlign w:val="center"/>
          </w:tcPr>
          <w:p w14:paraId="540FBE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优质304不锈钢材质.2.采用厚度1.2mm不锈钢板，表面具有一层保护膜、光洁度高、抗蚀能力强，经过酸洗、脱脂磷化处理。3.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台面面板喷蓝色，面板底部用12MM环保白皮夹板，表面为不锈钢板。</w:t>
            </w:r>
          </w:p>
        </w:tc>
        <w:tc>
          <w:tcPr>
            <w:tcW w:w="2359" w:type="dxa"/>
            <w:vMerge w:val="restart"/>
            <w:shd w:val="clear" w:color="auto" w:fill="auto"/>
            <w:noWrap/>
            <w:vAlign w:val="center"/>
          </w:tcPr>
          <w:p w14:paraId="08A713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205105</wp:posOffset>
                  </wp:positionH>
                  <wp:positionV relativeFrom="paragraph">
                    <wp:posOffset>823595</wp:posOffset>
                  </wp:positionV>
                  <wp:extent cx="1087755" cy="737235"/>
                  <wp:effectExtent l="0" t="0" r="17145" b="5715"/>
                  <wp:wrapNone/>
                  <wp:docPr id="57" name="图片_18"/>
                  <wp:cNvGraphicFramePr/>
                  <a:graphic xmlns:a="http://schemas.openxmlformats.org/drawingml/2006/main">
                    <a:graphicData uri="http://schemas.openxmlformats.org/drawingml/2006/picture">
                      <pic:pic xmlns:pic="http://schemas.openxmlformats.org/drawingml/2006/picture">
                        <pic:nvPicPr>
                          <pic:cNvPr id="57" name="图片_18"/>
                          <pic:cNvPicPr/>
                        </pic:nvPicPr>
                        <pic:blipFill>
                          <a:blip r:embed="rId26"/>
                          <a:stretch>
                            <a:fillRect/>
                          </a:stretch>
                        </pic:blipFill>
                        <pic:spPr>
                          <a:xfrm>
                            <a:off x="0" y="0"/>
                            <a:ext cx="1087755" cy="737235"/>
                          </a:xfrm>
                          <a:prstGeom prst="rect">
                            <a:avLst/>
                          </a:prstGeom>
                          <a:noFill/>
                          <a:ln>
                            <a:noFill/>
                          </a:ln>
                        </pic:spPr>
                      </pic:pic>
                    </a:graphicData>
                  </a:graphic>
                </wp:anchor>
              </w:drawing>
            </w:r>
          </w:p>
        </w:tc>
      </w:tr>
      <w:tr w14:paraId="0F68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40" w:hRule="atLeast"/>
        </w:trPr>
        <w:tc>
          <w:tcPr>
            <w:tcW w:w="808" w:type="dxa"/>
            <w:shd w:val="clear" w:color="auto" w:fill="auto"/>
            <w:noWrap/>
            <w:vAlign w:val="center"/>
          </w:tcPr>
          <w:p w14:paraId="1B54B9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17.不锈钢审核桌</w:t>
            </w:r>
          </w:p>
        </w:tc>
        <w:tc>
          <w:tcPr>
            <w:tcW w:w="621" w:type="dxa"/>
            <w:shd w:val="clear" w:color="auto" w:fill="auto"/>
            <w:noWrap/>
            <w:vAlign w:val="center"/>
          </w:tcPr>
          <w:p w14:paraId="2F493C38">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w:t>
            </w:r>
          </w:p>
        </w:tc>
        <w:tc>
          <w:tcPr>
            <w:tcW w:w="6379" w:type="dxa"/>
            <w:shd w:val="clear" w:color="auto" w:fill="auto"/>
            <w:vAlign w:val="center"/>
          </w:tcPr>
          <w:p w14:paraId="7EAC44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4285615</wp:posOffset>
                  </wp:positionH>
                  <wp:positionV relativeFrom="paragraph">
                    <wp:posOffset>319405</wp:posOffset>
                  </wp:positionV>
                  <wp:extent cx="1087755" cy="737235"/>
                  <wp:effectExtent l="0" t="0" r="17145" b="5715"/>
                  <wp:wrapNone/>
                  <wp:docPr id="3" name="图片_18"/>
                  <wp:cNvGraphicFramePr/>
                  <a:graphic xmlns:a="http://schemas.openxmlformats.org/drawingml/2006/main">
                    <a:graphicData uri="http://schemas.openxmlformats.org/drawingml/2006/picture">
                      <pic:pic xmlns:pic="http://schemas.openxmlformats.org/drawingml/2006/picture">
                        <pic:nvPicPr>
                          <pic:cNvPr id="3" name="图片_18"/>
                          <pic:cNvPicPr/>
                        </pic:nvPicPr>
                        <pic:blipFill>
                          <a:blip r:embed="rId26"/>
                          <a:stretch>
                            <a:fillRect/>
                          </a:stretch>
                        </pic:blipFill>
                        <pic:spPr>
                          <a:xfrm>
                            <a:off x="0" y="0"/>
                            <a:ext cx="1087755" cy="73723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材质:1.优质304不锈钢材质.2.采用厚度1.2mm不锈钢板，表面具有一层保护膜、光洁度高、抗蚀能力强，经过酸洗、脱脂磷化处理。3.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台面面板喷蓝色，面板底部用12MM环保白皮夹板，表面为不锈钢板。</w:t>
            </w:r>
          </w:p>
        </w:tc>
        <w:tc>
          <w:tcPr>
            <w:tcW w:w="2359" w:type="dxa"/>
            <w:vMerge w:val="continue"/>
            <w:shd w:val="clear" w:color="auto" w:fill="auto"/>
            <w:noWrap/>
            <w:vAlign w:val="center"/>
          </w:tcPr>
          <w:p w14:paraId="08F55BA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B714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08" w:type="dxa"/>
            <w:shd w:val="clear" w:color="auto" w:fill="auto"/>
            <w:noWrap/>
            <w:vAlign w:val="center"/>
          </w:tcPr>
          <w:p w14:paraId="14291A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18.不锈钢整理桌</w:t>
            </w:r>
          </w:p>
        </w:tc>
        <w:tc>
          <w:tcPr>
            <w:tcW w:w="621" w:type="dxa"/>
            <w:shd w:val="clear" w:color="auto" w:fill="auto"/>
            <w:noWrap/>
            <w:vAlign w:val="center"/>
          </w:tcPr>
          <w:p w14:paraId="5B38C317">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w:t>
            </w:r>
          </w:p>
        </w:tc>
        <w:tc>
          <w:tcPr>
            <w:tcW w:w="6379" w:type="dxa"/>
            <w:shd w:val="clear" w:color="auto" w:fill="auto"/>
            <w:vAlign w:val="center"/>
          </w:tcPr>
          <w:p w14:paraId="1E9F6E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优质304不锈钢材质.2.采用厚度1.2mm不锈钢板，表面具有一层保护膜、光洁度高、抗蚀能力强，经过酸洗、脱脂磷化处理。3.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台面面板喷蓝色，面板底部用12MM环保白皮夹板，表面为不锈钢板，带抽屉导轨使用三节导轨。</w:t>
            </w:r>
          </w:p>
        </w:tc>
        <w:tc>
          <w:tcPr>
            <w:tcW w:w="2359" w:type="dxa"/>
            <w:shd w:val="clear" w:color="auto" w:fill="auto"/>
            <w:noWrap/>
            <w:vAlign w:val="center"/>
          </w:tcPr>
          <w:p w14:paraId="5A14AA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278765</wp:posOffset>
                  </wp:positionH>
                  <wp:positionV relativeFrom="paragraph">
                    <wp:posOffset>955675</wp:posOffset>
                  </wp:positionV>
                  <wp:extent cx="903605" cy="625475"/>
                  <wp:effectExtent l="0" t="0" r="10795" b="3175"/>
                  <wp:wrapNone/>
                  <wp:docPr id="65" name="图片_24"/>
                  <wp:cNvGraphicFramePr/>
                  <a:graphic xmlns:a="http://schemas.openxmlformats.org/drawingml/2006/main">
                    <a:graphicData uri="http://schemas.openxmlformats.org/drawingml/2006/picture">
                      <pic:pic xmlns:pic="http://schemas.openxmlformats.org/drawingml/2006/picture">
                        <pic:nvPicPr>
                          <pic:cNvPr id="65" name="图片_24"/>
                          <pic:cNvPicPr/>
                        </pic:nvPicPr>
                        <pic:blipFill>
                          <a:blip r:embed="rId27"/>
                          <a:stretch>
                            <a:fillRect/>
                          </a:stretch>
                        </pic:blipFill>
                        <pic:spPr>
                          <a:xfrm>
                            <a:off x="0" y="0"/>
                            <a:ext cx="903605" cy="625475"/>
                          </a:xfrm>
                          <a:prstGeom prst="rect">
                            <a:avLst/>
                          </a:prstGeom>
                          <a:noFill/>
                          <a:ln>
                            <a:noFill/>
                          </a:ln>
                        </pic:spPr>
                      </pic:pic>
                    </a:graphicData>
                  </a:graphic>
                </wp:anchor>
              </w:drawing>
            </w:r>
          </w:p>
        </w:tc>
      </w:tr>
      <w:tr w14:paraId="53D2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7" w:hRule="atLeast"/>
        </w:trPr>
        <w:tc>
          <w:tcPr>
            <w:tcW w:w="808" w:type="dxa"/>
            <w:vMerge w:val="restart"/>
            <w:shd w:val="clear" w:color="auto" w:fill="auto"/>
            <w:noWrap/>
            <w:vAlign w:val="center"/>
          </w:tcPr>
          <w:p w14:paraId="5BEB30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19.不锈钢置物架</w:t>
            </w:r>
          </w:p>
        </w:tc>
        <w:tc>
          <w:tcPr>
            <w:tcW w:w="621" w:type="dxa"/>
            <w:shd w:val="clear" w:color="auto" w:fill="auto"/>
            <w:noWrap/>
            <w:vAlign w:val="center"/>
          </w:tcPr>
          <w:p w14:paraId="0776A504">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w:t>
            </w:r>
          </w:p>
        </w:tc>
        <w:tc>
          <w:tcPr>
            <w:tcW w:w="6379" w:type="dxa"/>
            <w:shd w:val="clear" w:color="auto" w:fill="auto"/>
            <w:vAlign w:val="center"/>
          </w:tcPr>
          <w:p w14:paraId="5B9726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材质:1.优质304不锈钢材质.2.采用厚度1.2mm不锈钢板，表面具有一层保护膜、光洁度高、抗蚀能力强，经过酸洗、脱脂磷化处理。3.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4.主体采用40*40圆管，不锈钢脚架。                                                                                                                                                      </w:t>
            </w:r>
          </w:p>
        </w:tc>
        <w:tc>
          <w:tcPr>
            <w:tcW w:w="2359" w:type="dxa"/>
            <w:vMerge w:val="restart"/>
            <w:shd w:val="clear" w:color="auto" w:fill="auto"/>
            <w:noWrap/>
            <w:vAlign w:val="center"/>
          </w:tcPr>
          <w:p w14:paraId="380BE5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139700</wp:posOffset>
                  </wp:positionH>
                  <wp:positionV relativeFrom="paragraph">
                    <wp:posOffset>505460</wp:posOffset>
                  </wp:positionV>
                  <wp:extent cx="1063625" cy="986790"/>
                  <wp:effectExtent l="0" t="0" r="3175" b="3810"/>
                  <wp:wrapNone/>
                  <wp:docPr id="67" name="图片_31"/>
                  <wp:cNvGraphicFramePr/>
                  <a:graphic xmlns:a="http://schemas.openxmlformats.org/drawingml/2006/main">
                    <a:graphicData uri="http://schemas.openxmlformats.org/drawingml/2006/picture">
                      <pic:pic xmlns:pic="http://schemas.openxmlformats.org/drawingml/2006/picture">
                        <pic:nvPicPr>
                          <pic:cNvPr id="67" name="图片_31"/>
                          <pic:cNvPicPr/>
                        </pic:nvPicPr>
                        <pic:blipFill>
                          <a:blip r:embed="rId28"/>
                          <a:stretch>
                            <a:fillRect/>
                          </a:stretch>
                        </pic:blipFill>
                        <pic:spPr>
                          <a:xfrm>
                            <a:off x="0" y="0"/>
                            <a:ext cx="1063625" cy="986790"/>
                          </a:xfrm>
                          <a:prstGeom prst="rect">
                            <a:avLst/>
                          </a:prstGeom>
                          <a:noFill/>
                          <a:ln>
                            <a:noFill/>
                          </a:ln>
                        </pic:spPr>
                      </pic:pic>
                    </a:graphicData>
                  </a:graphic>
                </wp:anchor>
              </w:drawing>
            </w:r>
          </w:p>
        </w:tc>
      </w:tr>
      <w:tr w14:paraId="7DC47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73" w:hRule="atLeast"/>
        </w:trPr>
        <w:tc>
          <w:tcPr>
            <w:tcW w:w="808" w:type="dxa"/>
            <w:vMerge w:val="continue"/>
            <w:shd w:val="clear" w:color="auto" w:fill="auto"/>
            <w:noWrap/>
            <w:vAlign w:val="center"/>
          </w:tcPr>
          <w:p w14:paraId="5270A3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1"/>
                <w:szCs w:val="21"/>
              </w:rPr>
            </w:pPr>
          </w:p>
        </w:tc>
        <w:tc>
          <w:tcPr>
            <w:tcW w:w="621" w:type="dxa"/>
            <w:shd w:val="clear" w:color="auto" w:fill="auto"/>
            <w:noWrap/>
            <w:vAlign w:val="center"/>
          </w:tcPr>
          <w:p w14:paraId="04DF406D">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31</w:t>
            </w:r>
          </w:p>
        </w:tc>
        <w:tc>
          <w:tcPr>
            <w:tcW w:w="6379" w:type="dxa"/>
            <w:shd w:val="clear" w:color="auto" w:fill="auto"/>
            <w:vAlign w:val="center"/>
          </w:tcPr>
          <w:p w14:paraId="4A4B91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不锈钢脚：检测和判定依据GB/T 3280-2015《不锈钢冷轧钢板和钢带》；GB/T 10125-2021《人造气氛腐蚀试验盐雾试验》；QB/T 3832-1999《轻工产品金属镀层腐蚀试验结果的评价》；GB/T 1741-2020《漆膜耐霉菌性测定法》；GB/T 3325-2017《金属家具通用技术条件》，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外观性能要求金属件：管材、焊接件、冲压件、喷涂层单项评价合格，</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理化性能要求：金属喷漆（塑）涂层硬度≥3H，冲击强度单项评价合格。</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铜加速乙酸盐雾试验（CASS)连续喷雾≥200h，镀（涂）层对基体的保护等级检测结果达到10级或以上、镀（涂）层本身耐腐蚀等级检测结果达到10级或以上，耐霉菌性等级宛氏拟青霉达到0级，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化学成分（质量分数）/%，碳（C）wt.%≤0.05、锰（Mn）wt.%≤1.5、磷（P)wt.%≤0.04、硫（S）wt.%≤0.01、硅（Si）wt.%≤0.5、铬（Cr）wt.%达到18-19、镍（Ni）wt.%达到8-9</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投标人须提供 第三方检测机构出具的具有 CMA 或 CNAS 标识的检测报告扫描件（检测报告须包含并符合本项参数的全部内容，原件备查，及全国认证认可信息公共服务平台网站http://cx.cnca.cn/CertECloud/qts/qts/qtsPage ）查询信息截图。</w:t>
            </w:r>
          </w:p>
        </w:tc>
        <w:tc>
          <w:tcPr>
            <w:tcW w:w="2359" w:type="dxa"/>
            <w:vMerge w:val="continue"/>
            <w:shd w:val="clear" w:color="auto" w:fill="auto"/>
            <w:noWrap/>
            <w:vAlign w:val="center"/>
          </w:tcPr>
          <w:p w14:paraId="03522D6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r>
      <w:tr w14:paraId="6199D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60" w:hRule="atLeast"/>
        </w:trPr>
        <w:tc>
          <w:tcPr>
            <w:tcW w:w="808" w:type="dxa"/>
            <w:shd w:val="clear" w:color="auto" w:fill="auto"/>
            <w:noWrap/>
            <w:vAlign w:val="center"/>
          </w:tcPr>
          <w:p w14:paraId="7A0A3B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20.不锈钢置物架</w:t>
            </w:r>
          </w:p>
        </w:tc>
        <w:tc>
          <w:tcPr>
            <w:tcW w:w="621" w:type="dxa"/>
            <w:shd w:val="clear" w:color="auto" w:fill="auto"/>
            <w:noWrap/>
            <w:vAlign w:val="center"/>
          </w:tcPr>
          <w:p w14:paraId="19D2BB44">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w:t>
            </w:r>
          </w:p>
        </w:tc>
        <w:tc>
          <w:tcPr>
            <w:tcW w:w="6379" w:type="dxa"/>
            <w:shd w:val="clear" w:color="auto" w:fill="auto"/>
            <w:vAlign w:val="center"/>
          </w:tcPr>
          <w:p w14:paraId="357920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优质304不锈钢材质.2.采用厚度1.2mm不锈钢板，表面具有一层保护膜、光洁度高、抗蚀能力强，经过酸洗、脱脂磷化处理。3.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4.主体采用40*40圆管。</w:t>
            </w:r>
          </w:p>
        </w:tc>
        <w:tc>
          <w:tcPr>
            <w:tcW w:w="2359" w:type="dxa"/>
            <w:vMerge w:val="continue"/>
            <w:shd w:val="clear" w:color="auto" w:fill="auto"/>
            <w:noWrap/>
            <w:vAlign w:val="center"/>
          </w:tcPr>
          <w:p w14:paraId="337FD76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770CF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08" w:type="dxa"/>
            <w:shd w:val="clear" w:color="auto" w:fill="auto"/>
            <w:noWrap/>
            <w:vAlign w:val="center"/>
          </w:tcPr>
          <w:p w14:paraId="07A07B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21.不锈钢沥水架</w:t>
            </w:r>
          </w:p>
        </w:tc>
        <w:tc>
          <w:tcPr>
            <w:tcW w:w="621" w:type="dxa"/>
            <w:shd w:val="clear" w:color="auto" w:fill="auto"/>
            <w:noWrap/>
            <w:vAlign w:val="center"/>
          </w:tcPr>
          <w:p w14:paraId="50AC281C">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w:t>
            </w:r>
          </w:p>
        </w:tc>
        <w:tc>
          <w:tcPr>
            <w:tcW w:w="6379" w:type="dxa"/>
            <w:shd w:val="clear" w:color="auto" w:fill="auto"/>
            <w:vAlign w:val="center"/>
          </w:tcPr>
          <w:p w14:paraId="5B5882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优质304不锈钢材质.2.采用厚度1.2mm不锈钢板，表面具有一层保护膜、光洁度高、抗蚀能力强，经过酸洗、脱脂磷化处理。3.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4.层板隔内空不超过110MM，5.立柱采用40*40方管。</w:t>
            </w:r>
          </w:p>
        </w:tc>
        <w:tc>
          <w:tcPr>
            <w:tcW w:w="2359" w:type="dxa"/>
            <w:shd w:val="clear" w:color="auto" w:fill="auto"/>
            <w:noWrap/>
            <w:vAlign w:val="center"/>
          </w:tcPr>
          <w:p w14:paraId="6C057F3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352425</wp:posOffset>
                  </wp:positionH>
                  <wp:positionV relativeFrom="paragraph">
                    <wp:posOffset>704850</wp:posOffset>
                  </wp:positionV>
                  <wp:extent cx="975360" cy="1050290"/>
                  <wp:effectExtent l="0" t="0" r="15240" b="16510"/>
                  <wp:wrapNone/>
                  <wp:docPr id="58" name="图片_32"/>
                  <wp:cNvGraphicFramePr/>
                  <a:graphic xmlns:a="http://schemas.openxmlformats.org/drawingml/2006/main">
                    <a:graphicData uri="http://schemas.openxmlformats.org/drawingml/2006/picture">
                      <pic:pic xmlns:pic="http://schemas.openxmlformats.org/drawingml/2006/picture">
                        <pic:nvPicPr>
                          <pic:cNvPr id="58" name="图片_32"/>
                          <pic:cNvPicPr/>
                        </pic:nvPicPr>
                        <pic:blipFill>
                          <a:blip r:embed="rId29"/>
                          <a:stretch>
                            <a:fillRect/>
                          </a:stretch>
                        </pic:blipFill>
                        <pic:spPr>
                          <a:xfrm>
                            <a:off x="0" y="0"/>
                            <a:ext cx="975360" cy="1050290"/>
                          </a:xfrm>
                          <a:prstGeom prst="rect">
                            <a:avLst/>
                          </a:prstGeom>
                          <a:noFill/>
                          <a:ln>
                            <a:noFill/>
                          </a:ln>
                        </pic:spPr>
                      </pic:pic>
                    </a:graphicData>
                  </a:graphic>
                </wp:anchor>
              </w:drawing>
            </w:r>
          </w:p>
        </w:tc>
      </w:tr>
      <w:tr w14:paraId="79A1C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50" w:hRule="atLeast"/>
        </w:trPr>
        <w:tc>
          <w:tcPr>
            <w:tcW w:w="808" w:type="dxa"/>
            <w:shd w:val="clear" w:color="auto" w:fill="auto"/>
            <w:noWrap/>
            <w:vAlign w:val="center"/>
          </w:tcPr>
          <w:p w14:paraId="167F4A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22.不锈钢桌</w:t>
            </w:r>
          </w:p>
        </w:tc>
        <w:tc>
          <w:tcPr>
            <w:tcW w:w="621" w:type="dxa"/>
            <w:shd w:val="clear" w:color="auto" w:fill="auto"/>
            <w:noWrap/>
            <w:vAlign w:val="center"/>
          </w:tcPr>
          <w:p w14:paraId="3BBFDB44">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w:t>
            </w:r>
          </w:p>
        </w:tc>
        <w:tc>
          <w:tcPr>
            <w:tcW w:w="6379" w:type="dxa"/>
            <w:shd w:val="clear" w:color="auto" w:fill="auto"/>
            <w:vAlign w:val="center"/>
          </w:tcPr>
          <w:p w14:paraId="68E565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优质304不锈钢材质.2.采用厚度1.2mm不锈钢板，表面具有一层保护膜、光洁度高、抗蚀能力强，经过酸洗、脱脂磷化处理。3.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台面面板喷蓝色，面板底部用12MM环保白皮夹板，表面为不锈钢板，带抽屉导轨使用三节导轨。</w:t>
            </w:r>
          </w:p>
        </w:tc>
        <w:tc>
          <w:tcPr>
            <w:tcW w:w="2359" w:type="dxa"/>
            <w:shd w:val="clear" w:color="auto" w:fill="auto"/>
            <w:noWrap/>
            <w:vAlign w:val="center"/>
          </w:tcPr>
          <w:p w14:paraId="5C032A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93980</wp:posOffset>
                  </wp:positionH>
                  <wp:positionV relativeFrom="paragraph">
                    <wp:posOffset>1044575</wp:posOffset>
                  </wp:positionV>
                  <wp:extent cx="940435" cy="641350"/>
                  <wp:effectExtent l="0" t="0" r="12065" b="6350"/>
                  <wp:wrapNone/>
                  <wp:docPr id="55" name="图片_9"/>
                  <wp:cNvGraphicFramePr/>
                  <a:graphic xmlns:a="http://schemas.openxmlformats.org/drawingml/2006/main">
                    <a:graphicData uri="http://schemas.openxmlformats.org/drawingml/2006/picture">
                      <pic:pic xmlns:pic="http://schemas.openxmlformats.org/drawingml/2006/picture">
                        <pic:nvPicPr>
                          <pic:cNvPr id="55" name="图片_9"/>
                          <pic:cNvPicPr/>
                        </pic:nvPicPr>
                        <pic:blipFill>
                          <a:blip r:embed="rId30"/>
                          <a:stretch>
                            <a:fillRect/>
                          </a:stretch>
                        </pic:blipFill>
                        <pic:spPr>
                          <a:xfrm>
                            <a:off x="0" y="0"/>
                            <a:ext cx="940435" cy="641350"/>
                          </a:xfrm>
                          <a:prstGeom prst="rect">
                            <a:avLst/>
                          </a:prstGeom>
                          <a:noFill/>
                          <a:ln>
                            <a:noFill/>
                          </a:ln>
                        </pic:spPr>
                      </pic:pic>
                    </a:graphicData>
                  </a:graphic>
                </wp:anchor>
              </w:drawing>
            </w:r>
          </w:p>
        </w:tc>
      </w:tr>
      <w:tr w14:paraId="08A2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20" w:hRule="atLeast"/>
        </w:trPr>
        <w:tc>
          <w:tcPr>
            <w:tcW w:w="808" w:type="dxa"/>
            <w:shd w:val="clear" w:color="auto" w:fill="auto"/>
            <w:noWrap/>
            <w:vAlign w:val="center"/>
          </w:tcPr>
          <w:p w14:paraId="0DFBCF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23.不锈钢更鞋柜凳</w:t>
            </w:r>
          </w:p>
        </w:tc>
        <w:tc>
          <w:tcPr>
            <w:tcW w:w="621" w:type="dxa"/>
            <w:shd w:val="clear" w:color="auto" w:fill="auto"/>
            <w:noWrap/>
            <w:vAlign w:val="center"/>
          </w:tcPr>
          <w:p w14:paraId="69CB0839">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w:t>
            </w:r>
          </w:p>
        </w:tc>
        <w:tc>
          <w:tcPr>
            <w:tcW w:w="6379" w:type="dxa"/>
            <w:shd w:val="clear" w:color="auto" w:fill="auto"/>
            <w:vAlign w:val="center"/>
          </w:tcPr>
          <w:p w14:paraId="4666F0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优质304不锈钢材质，采用厚度1.2mm不锈钢板表面具有一层保护膜、光洁度高、抗蚀能力强，经过酸洗、脱脂，磷化处理。2.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为双面。</w:t>
            </w:r>
          </w:p>
        </w:tc>
        <w:tc>
          <w:tcPr>
            <w:tcW w:w="2359" w:type="dxa"/>
            <w:shd w:val="clear" w:color="auto" w:fill="auto"/>
            <w:noWrap/>
            <w:vAlign w:val="center"/>
          </w:tcPr>
          <w:p w14:paraId="45789E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113665</wp:posOffset>
                  </wp:positionH>
                  <wp:positionV relativeFrom="paragraph">
                    <wp:posOffset>965835</wp:posOffset>
                  </wp:positionV>
                  <wp:extent cx="1096645" cy="435610"/>
                  <wp:effectExtent l="0" t="0" r="8255" b="2540"/>
                  <wp:wrapNone/>
                  <wp:docPr id="60" name="图片_22"/>
                  <wp:cNvGraphicFramePr/>
                  <a:graphic xmlns:a="http://schemas.openxmlformats.org/drawingml/2006/main">
                    <a:graphicData uri="http://schemas.openxmlformats.org/drawingml/2006/picture">
                      <pic:pic xmlns:pic="http://schemas.openxmlformats.org/drawingml/2006/picture">
                        <pic:nvPicPr>
                          <pic:cNvPr id="60" name="图片_22"/>
                          <pic:cNvPicPr/>
                        </pic:nvPicPr>
                        <pic:blipFill>
                          <a:blip r:embed="rId31"/>
                          <a:stretch>
                            <a:fillRect/>
                          </a:stretch>
                        </pic:blipFill>
                        <pic:spPr>
                          <a:xfrm>
                            <a:off x="0" y="0"/>
                            <a:ext cx="1096645" cy="4356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111125</wp:posOffset>
                  </wp:positionH>
                  <wp:positionV relativeFrom="paragraph">
                    <wp:posOffset>262890</wp:posOffset>
                  </wp:positionV>
                  <wp:extent cx="1085215" cy="621665"/>
                  <wp:effectExtent l="0" t="0" r="635" b="6985"/>
                  <wp:wrapNone/>
                  <wp:docPr id="59" name="图片_11"/>
                  <wp:cNvGraphicFramePr/>
                  <a:graphic xmlns:a="http://schemas.openxmlformats.org/drawingml/2006/main">
                    <a:graphicData uri="http://schemas.openxmlformats.org/drawingml/2006/picture">
                      <pic:pic xmlns:pic="http://schemas.openxmlformats.org/drawingml/2006/picture">
                        <pic:nvPicPr>
                          <pic:cNvPr id="59" name="图片_11"/>
                          <pic:cNvPicPr/>
                        </pic:nvPicPr>
                        <pic:blipFill>
                          <a:blip r:embed="rId32"/>
                          <a:stretch>
                            <a:fillRect/>
                          </a:stretch>
                        </pic:blipFill>
                        <pic:spPr>
                          <a:xfrm>
                            <a:off x="0" y="0"/>
                            <a:ext cx="1085215" cy="621665"/>
                          </a:xfrm>
                          <a:prstGeom prst="rect">
                            <a:avLst/>
                          </a:prstGeom>
                          <a:noFill/>
                          <a:ln>
                            <a:noFill/>
                          </a:ln>
                        </pic:spPr>
                      </pic:pic>
                    </a:graphicData>
                  </a:graphic>
                </wp:anchor>
              </w:drawing>
            </w:r>
          </w:p>
        </w:tc>
      </w:tr>
      <w:tr w14:paraId="295D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1" w:hRule="atLeast"/>
        </w:trPr>
        <w:tc>
          <w:tcPr>
            <w:tcW w:w="808" w:type="dxa"/>
            <w:shd w:val="clear" w:color="auto" w:fill="auto"/>
            <w:noWrap/>
            <w:vAlign w:val="center"/>
          </w:tcPr>
          <w:p w14:paraId="64F287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24.不锈钢更衣柜</w:t>
            </w:r>
          </w:p>
        </w:tc>
        <w:tc>
          <w:tcPr>
            <w:tcW w:w="621" w:type="dxa"/>
            <w:shd w:val="clear" w:color="auto" w:fill="auto"/>
            <w:noWrap/>
            <w:vAlign w:val="center"/>
          </w:tcPr>
          <w:p w14:paraId="0DEC07E5">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w:t>
            </w:r>
          </w:p>
        </w:tc>
        <w:tc>
          <w:tcPr>
            <w:tcW w:w="6379" w:type="dxa"/>
            <w:shd w:val="clear" w:color="auto" w:fill="auto"/>
            <w:vAlign w:val="center"/>
          </w:tcPr>
          <w:p w14:paraId="003BC7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优质304不锈钢材质.2.采用厚度1.2mm不锈钢板，表面具有一层保护膜、光洁度高、抗蚀能力强，经过酸洗、脱脂磷化处理。3.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4、门板喷蓝色，里面配一块活动层板。</w:t>
            </w:r>
          </w:p>
        </w:tc>
        <w:tc>
          <w:tcPr>
            <w:tcW w:w="2359" w:type="dxa"/>
            <w:shd w:val="clear" w:color="auto" w:fill="auto"/>
            <w:noWrap/>
            <w:vAlign w:val="center"/>
          </w:tcPr>
          <w:p w14:paraId="593BB1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33020</wp:posOffset>
                  </wp:positionH>
                  <wp:positionV relativeFrom="paragraph">
                    <wp:posOffset>-13970</wp:posOffset>
                  </wp:positionV>
                  <wp:extent cx="1156335" cy="1175385"/>
                  <wp:effectExtent l="0" t="0" r="5715" b="5715"/>
                  <wp:wrapNone/>
                  <wp:docPr id="63" name="图片_3"/>
                  <wp:cNvGraphicFramePr/>
                  <a:graphic xmlns:a="http://schemas.openxmlformats.org/drawingml/2006/main">
                    <a:graphicData uri="http://schemas.openxmlformats.org/drawingml/2006/picture">
                      <pic:pic xmlns:pic="http://schemas.openxmlformats.org/drawingml/2006/picture">
                        <pic:nvPicPr>
                          <pic:cNvPr id="63" name="图片_3"/>
                          <pic:cNvPicPr/>
                        </pic:nvPicPr>
                        <pic:blipFill>
                          <a:blip r:embed="rId33"/>
                          <a:stretch>
                            <a:fillRect/>
                          </a:stretch>
                        </pic:blipFill>
                        <pic:spPr>
                          <a:xfrm>
                            <a:off x="0" y="0"/>
                            <a:ext cx="1156335" cy="1175385"/>
                          </a:xfrm>
                          <a:prstGeom prst="rect">
                            <a:avLst/>
                          </a:prstGeom>
                          <a:noFill/>
                          <a:ln>
                            <a:noFill/>
                          </a:ln>
                        </pic:spPr>
                      </pic:pic>
                    </a:graphicData>
                  </a:graphic>
                </wp:anchor>
              </w:drawing>
            </w:r>
          </w:p>
        </w:tc>
      </w:tr>
      <w:tr w14:paraId="5FE7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50" w:hRule="atLeast"/>
        </w:trPr>
        <w:tc>
          <w:tcPr>
            <w:tcW w:w="808" w:type="dxa"/>
            <w:shd w:val="clear" w:color="auto" w:fill="auto"/>
            <w:noWrap/>
            <w:vAlign w:val="center"/>
          </w:tcPr>
          <w:p w14:paraId="0D4661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25.大输液塑钢货架</w:t>
            </w:r>
          </w:p>
        </w:tc>
        <w:tc>
          <w:tcPr>
            <w:tcW w:w="621" w:type="dxa"/>
            <w:shd w:val="clear" w:color="auto" w:fill="auto"/>
            <w:noWrap/>
            <w:vAlign w:val="center"/>
          </w:tcPr>
          <w:p w14:paraId="159B20DC">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w:t>
            </w:r>
          </w:p>
        </w:tc>
        <w:tc>
          <w:tcPr>
            <w:tcW w:w="6379" w:type="dxa"/>
            <w:shd w:val="clear" w:color="auto" w:fill="auto"/>
            <w:vAlign w:val="center"/>
          </w:tcPr>
          <w:p w14:paraId="582450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1：采用优质加厚1.0mm冷轧钢板制作 全钢结构，经过防锈和酸洗，耐蚀性能强，加厚隔板，承载力强，坚固耐用。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2.无磷静电粉末喷涂 无甲醛 无气味 环保健康. </w:t>
            </w:r>
          </w:p>
        </w:tc>
        <w:tc>
          <w:tcPr>
            <w:tcW w:w="2359" w:type="dxa"/>
            <w:shd w:val="clear" w:color="auto" w:fill="auto"/>
            <w:noWrap/>
            <w:vAlign w:val="center"/>
          </w:tcPr>
          <w:p w14:paraId="22BDAD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78740</wp:posOffset>
                  </wp:positionH>
                  <wp:positionV relativeFrom="paragraph">
                    <wp:posOffset>67945</wp:posOffset>
                  </wp:positionV>
                  <wp:extent cx="958850" cy="1483995"/>
                  <wp:effectExtent l="0" t="0" r="12700" b="1905"/>
                  <wp:wrapNone/>
                  <wp:docPr id="64" name="图片_14"/>
                  <wp:cNvGraphicFramePr/>
                  <a:graphic xmlns:a="http://schemas.openxmlformats.org/drawingml/2006/main">
                    <a:graphicData uri="http://schemas.openxmlformats.org/drawingml/2006/picture">
                      <pic:pic xmlns:pic="http://schemas.openxmlformats.org/drawingml/2006/picture">
                        <pic:nvPicPr>
                          <pic:cNvPr id="64" name="图片_14"/>
                          <pic:cNvPicPr/>
                        </pic:nvPicPr>
                        <pic:blipFill>
                          <a:blip r:embed="rId34"/>
                          <a:stretch>
                            <a:fillRect/>
                          </a:stretch>
                        </pic:blipFill>
                        <pic:spPr>
                          <a:xfrm>
                            <a:off x="0" y="0"/>
                            <a:ext cx="958850" cy="1483995"/>
                          </a:xfrm>
                          <a:prstGeom prst="rect">
                            <a:avLst/>
                          </a:prstGeom>
                          <a:noFill/>
                          <a:ln>
                            <a:noFill/>
                          </a:ln>
                        </pic:spPr>
                      </pic:pic>
                    </a:graphicData>
                  </a:graphic>
                </wp:anchor>
              </w:drawing>
            </w:r>
          </w:p>
        </w:tc>
      </w:tr>
      <w:tr w14:paraId="72FA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12" w:hRule="atLeast"/>
        </w:trPr>
        <w:tc>
          <w:tcPr>
            <w:tcW w:w="808" w:type="dxa"/>
            <w:shd w:val="clear" w:color="auto" w:fill="auto"/>
            <w:noWrap/>
            <w:vAlign w:val="center"/>
          </w:tcPr>
          <w:p w14:paraId="5C145C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26.不锈钢摆药桌</w:t>
            </w:r>
          </w:p>
        </w:tc>
        <w:tc>
          <w:tcPr>
            <w:tcW w:w="621" w:type="dxa"/>
            <w:shd w:val="clear" w:color="auto" w:fill="auto"/>
            <w:noWrap/>
            <w:vAlign w:val="center"/>
          </w:tcPr>
          <w:p w14:paraId="69188CE4">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w:t>
            </w:r>
          </w:p>
        </w:tc>
        <w:tc>
          <w:tcPr>
            <w:tcW w:w="6379" w:type="dxa"/>
            <w:shd w:val="clear" w:color="auto" w:fill="auto"/>
            <w:vAlign w:val="center"/>
          </w:tcPr>
          <w:p w14:paraId="6577F3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优质304不锈钢材质.2.采用厚度1.2mm不锈钢板，表面具有一层保护膜、光洁度高、抗蚀能力强，经过酸洗、脱脂磷化处理。3.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台面面板喷蓝色，面板底部用12MM环保白皮夹板，表面为不锈钢板。</w:t>
            </w:r>
          </w:p>
        </w:tc>
        <w:tc>
          <w:tcPr>
            <w:tcW w:w="2359" w:type="dxa"/>
            <w:shd w:val="clear" w:color="auto" w:fill="auto"/>
            <w:noWrap/>
            <w:vAlign w:val="center"/>
          </w:tcPr>
          <w:p w14:paraId="5D00A3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127635</wp:posOffset>
                  </wp:positionH>
                  <wp:positionV relativeFrom="paragraph">
                    <wp:posOffset>415290</wp:posOffset>
                  </wp:positionV>
                  <wp:extent cx="954405" cy="647700"/>
                  <wp:effectExtent l="0" t="0" r="17145" b="0"/>
                  <wp:wrapNone/>
                  <wp:docPr id="68" name="图片_8"/>
                  <wp:cNvGraphicFramePr/>
                  <a:graphic xmlns:a="http://schemas.openxmlformats.org/drawingml/2006/main">
                    <a:graphicData uri="http://schemas.openxmlformats.org/drawingml/2006/picture">
                      <pic:pic xmlns:pic="http://schemas.openxmlformats.org/drawingml/2006/picture">
                        <pic:nvPicPr>
                          <pic:cNvPr id="68" name="图片_8"/>
                          <pic:cNvPicPr/>
                        </pic:nvPicPr>
                        <pic:blipFill>
                          <a:blip r:embed="rId35"/>
                          <a:stretch>
                            <a:fillRect/>
                          </a:stretch>
                        </pic:blipFill>
                        <pic:spPr>
                          <a:xfrm>
                            <a:off x="0" y="0"/>
                            <a:ext cx="954405" cy="647700"/>
                          </a:xfrm>
                          <a:prstGeom prst="rect">
                            <a:avLst/>
                          </a:prstGeom>
                          <a:noFill/>
                          <a:ln>
                            <a:noFill/>
                          </a:ln>
                        </pic:spPr>
                      </pic:pic>
                    </a:graphicData>
                  </a:graphic>
                </wp:anchor>
              </w:drawing>
            </w:r>
          </w:p>
        </w:tc>
      </w:tr>
      <w:tr w14:paraId="2C592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08" w:type="dxa"/>
            <w:shd w:val="clear" w:color="auto" w:fill="auto"/>
            <w:noWrap/>
            <w:vAlign w:val="center"/>
          </w:tcPr>
          <w:p w14:paraId="6F9DD9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27.储物柜</w:t>
            </w:r>
          </w:p>
        </w:tc>
        <w:tc>
          <w:tcPr>
            <w:tcW w:w="621" w:type="dxa"/>
            <w:shd w:val="clear" w:color="auto" w:fill="auto"/>
            <w:noWrap/>
            <w:vAlign w:val="center"/>
          </w:tcPr>
          <w:p w14:paraId="2C94DB9E">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w:t>
            </w:r>
          </w:p>
        </w:tc>
        <w:tc>
          <w:tcPr>
            <w:tcW w:w="6379" w:type="dxa"/>
            <w:shd w:val="clear" w:color="auto" w:fill="auto"/>
            <w:vAlign w:val="center"/>
          </w:tcPr>
          <w:p w14:paraId="7BFB3B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优质304不锈钢材质.2.采用厚度1.2mm不锈钢板，表面具有一层保护膜、光洁度高、抗蚀能力强，经过酸洗、脱脂磷化处理。3.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4.门板喷蓝色，里面配一块活动层板。5.带锁。</w:t>
            </w:r>
          </w:p>
        </w:tc>
        <w:tc>
          <w:tcPr>
            <w:tcW w:w="2359" w:type="dxa"/>
            <w:shd w:val="clear" w:color="auto" w:fill="auto"/>
            <w:noWrap/>
            <w:vAlign w:val="center"/>
          </w:tcPr>
          <w:p w14:paraId="1263B2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135255</wp:posOffset>
                  </wp:positionH>
                  <wp:positionV relativeFrom="paragraph">
                    <wp:posOffset>26035</wp:posOffset>
                  </wp:positionV>
                  <wp:extent cx="1153795" cy="1461770"/>
                  <wp:effectExtent l="0" t="0" r="8255" b="5080"/>
                  <wp:wrapNone/>
                  <wp:docPr id="53" name="图片_40"/>
                  <wp:cNvGraphicFramePr/>
                  <a:graphic xmlns:a="http://schemas.openxmlformats.org/drawingml/2006/main">
                    <a:graphicData uri="http://schemas.openxmlformats.org/drawingml/2006/picture">
                      <pic:pic xmlns:pic="http://schemas.openxmlformats.org/drawingml/2006/picture">
                        <pic:nvPicPr>
                          <pic:cNvPr id="53" name="图片_40"/>
                          <pic:cNvPicPr/>
                        </pic:nvPicPr>
                        <pic:blipFill>
                          <a:blip r:embed="rId36"/>
                          <a:stretch>
                            <a:fillRect/>
                          </a:stretch>
                        </pic:blipFill>
                        <pic:spPr>
                          <a:xfrm>
                            <a:off x="0" y="0"/>
                            <a:ext cx="1153795" cy="1461770"/>
                          </a:xfrm>
                          <a:prstGeom prst="rect">
                            <a:avLst/>
                          </a:prstGeom>
                          <a:noFill/>
                          <a:ln>
                            <a:noFill/>
                          </a:ln>
                        </pic:spPr>
                      </pic:pic>
                    </a:graphicData>
                  </a:graphic>
                </wp:anchor>
              </w:drawing>
            </w:r>
          </w:p>
        </w:tc>
      </w:tr>
      <w:tr w14:paraId="10B58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08" w:type="dxa"/>
            <w:shd w:val="clear" w:color="auto" w:fill="auto"/>
            <w:noWrap/>
            <w:vAlign w:val="center"/>
          </w:tcPr>
          <w:p w14:paraId="60E821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28.不锈钢货柜</w:t>
            </w:r>
          </w:p>
        </w:tc>
        <w:tc>
          <w:tcPr>
            <w:tcW w:w="621" w:type="dxa"/>
            <w:shd w:val="clear" w:color="auto" w:fill="auto"/>
            <w:noWrap/>
            <w:vAlign w:val="center"/>
          </w:tcPr>
          <w:p w14:paraId="43530A14">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w:t>
            </w:r>
          </w:p>
        </w:tc>
        <w:tc>
          <w:tcPr>
            <w:tcW w:w="6379" w:type="dxa"/>
            <w:shd w:val="clear" w:color="auto" w:fill="auto"/>
            <w:vAlign w:val="center"/>
          </w:tcPr>
          <w:p w14:paraId="5F8A2AD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优质304不锈钢材质.2.采用厚度1.2mm不锈钢板，表面具有一层保护膜、光洁度高、抗蚀能力强，经过酸洗、脱脂磷化处理。3.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w:t>
            </w:r>
          </w:p>
        </w:tc>
        <w:tc>
          <w:tcPr>
            <w:tcW w:w="2359" w:type="dxa"/>
            <w:shd w:val="clear" w:color="auto" w:fill="auto"/>
            <w:noWrap/>
            <w:vAlign w:val="center"/>
          </w:tcPr>
          <w:p w14:paraId="420123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196215</wp:posOffset>
                  </wp:positionH>
                  <wp:positionV relativeFrom="paragraph">
                    <wp:posOffset>56515</wp:posOffset>
                  </wp:positionV>
                  <wp:extent cx="725805" cy="823595"/>
                  <wp:effectExtent l="0" t="0" r="17145" b="14605"/>
                  <wp:wrapNone/>
                  <wp:docPr id="45" name="图片_15"/>
                  <wp:cNvGraphicFramePr/>
                  <a:graphic xmlns:a="http://schemas.openxmlformats.org/drawingml/2006/main">
                    <a:graphicData uri="http://schemas.openxmlformats.org/drawingml/2006/picture">
                      <pic:pic xmlns:pic="http://schemas.openxmlformats.org/drawingml/2006/picture">
                        <pic:nvPicPr>
                          <pic:cNvPr id="45" name="图片_15"/>
                          <pic:cNvPicPr/>
                        </pic:nvPicPr>
                        <pic:blipFill>
                          <a:blip r:embed="rId37"/>
                          <a:stretch>
                            <a:fillRect/>
                          </a:stretch>
                        </pic:blipFill>
                        <pic:spPr>
                          <a:xfrm>
                            <a:off x="0" y="0"/>
                            <a:ext cx="725805" cy="823595"/>
                          </a:xfrm>
                          <a:prstGeom prst="rect">
                            <a:avLst/>
                          </a:prstGeom>
                          <a:noFill/>
                          <a:ln>
                            <a:noFill/>
                          </a:ln>
                        </pic:spPr>
                      </pic:pic>
                    </a:graphicData>
                  </a:graphic>
                </wp:anchor>
              </w:drawing>
            </w:r>
          </w:p>
        </w:tc>
      </w:tr>
      <w:tr w14:paraId="5CAB7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1" w:hRule="atLeast"/>
        </w:trPr>
        <w:tc>
          <w:tcPr>
            <w:tcW w:w="808" w:type="dxa"/>
            <w:shd w:val="clear" w:color="auto" w:fill="auto"/>
            <w:noWrap/>
            <w:vAlign w:val="center"/>
          </w:tcPr>
          <w:p w14:paraId="45F3C6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29.不锈钢货架</w:t>
            </w:r>
          </w:p>
        </w:tc>
        <w:tc>
          <w:tcPr>
            <w:tcW w:w="621" w:type="dxa"/>
            <w:shd w:val="clear" w:color="auto" w:fill="auto"/>
            <w:noWrap/>
            <w:vAlign w:val="center"/>
          </w:tcPr>
          <w:p w14:paraId="13330B9E">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41</w:t>
            </w:r>
          </w:p>
        </w:tc>
        <w:tc>
          <w:tcPr>
            <w:tcW w:w="6379" w:type="dxa"/>
            <w:shd w:val="clear" w:color="auto" w:fill="auto"/>
            <w:vAlign w:val="center"/>
          </w:tcPr>
          <w:p w14:paraId="14DF0D9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优质304不锈钢材质.2.采用厚度1.2mm不锈钢板，表面具有一层保护膜、光洁度高、抗蚀能力强，经过酸洗、脱脂磷化处理。3.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4.主体采用40*40圆管。</w:t>
            </w:r>
          </w:p>
        </w:tc>
        <w:tc>
          <w:tcPr>
            <w:tcW w:w="2359" w:type="dxa"/>
            <w:vMerge w:val="restart"/>
            <w:shd w:val="clear" w:color="auto" w:fill="auto"/>
            <w:noWrap/>
            <w:vAlign w:val="center"/>
          </w:tcPr>
          <w:p w14:paraId="191241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187325</wp:posOffset>
                  </wp:positionH>
                  <wp:positionV relativeFrom="paragraph">
                    <wp:posOffset>1708785</wp:posOffset>
                  </wp:positionV>
                  <wp:extent cx="1055370" cy="1351280"/>
                  <wp:effectExtent l="0" t="0" r="11430" b="1270"/>
                  <wp:wrapNone/>
                  <wp:docPr id="42" name="图片_30"/>
                  <wp:cNvGraphicFramePr/>
                  <a:graphic xmlns:a="http://schemas.openxmlformats.org/drawingml/2006/main">
                    <a:graphicData uri="http://schemas.openxmlformats.org/drawingml/2006/picture">
                      <pic:pic xmlns:pic="http://schemas.openxmlformats.org/drawingml/2006/picture">
                        <pic:nvPicPr>
                          <pic:cNvPr id="42" name="图片_30"/>
                          <pic:cNvPicPr/>
                        </pic:nvPicPr>
                        <pic:blipFill>
                          <a:blip r:embed="rId38"/>
                          <a:stretch>
                            <a:fillRect/>
                          </a:stretch>
                        </pic:blipFill>
                        <pic:spPr>
                          <a:xfrm>
                            <a:off x="0" y="0"/>
                            <a:ext cx="1055370" cy="13512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290195</wp:posOffset>
                  </wp:positionH>
                  <wp:positionV relativeFrom="paragraph">
                    <wp:posOffset>507365</wp:posOffset>
                  </wp:positionV>
                  <wp:extent cx="958850" cy="652145"/>
                  <wp:effectExtent l="0" t="0" r="12700" b="14605"/>
                  <wp:wrapNone/>
                  <wp:docPr id="47" name="图片_26"/>
                  <wp:cNvGraphicFramePr/>
                  <a:graphic xmlns:a="http://schemas.openxmlformats.org/drawingml/2006/main">
                    <a:graphicData uri="http://schemas.openxmlformats.org/drawingml/2006/picture">
                      <pic:pic xmlns:pic="http://schemas.openxmlformats.org/drawingml/2006/picture">
                        <pic:nvPicPr>
                          <pic:cNvPr id="47" name="图片_26"/>
                          <pic:cNvPicPr/>
                        </pic:nvPicPr>
                        <pic:blipFill>
                          <a:blip r:embed="rId39"/>
                          <a:stretch>
                            <a:fillRect/>
                          </a:stretch>
                        </pic:blipFill>
                        <pic:spPr>
                          <a:xfrm>
                            <a:off x="0" y="0"/>
                            <a:ext cx="958850" cy="652145"/>
                          </a:xfrm>
                          <a:prstGeom prst="rect">
                            <a:avLst/>
                          </a:prstGeom>
                          <a:noFill/>
                          <a:ln>
                            <a:noFill/>
                          </a:ln>
                        </pic:spPr>
                      </pic:pic>
                    </a:graphicData>
                  </a:graphic>
                </wp:anchor>
              </w:drawing>
            </w:r>
          </w:p>
        </w:tc>
      </w:tr>
      <w:tr w14:paraId="1D48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20" w:hRule="atLeast"/>
        </w:trPr>
        <w:tc>
          <w:tcPr>
            <w:tcW w:w="808" w:type="dxa"/>
            <w:shd w:val="clear" w:color="auto" w:fill="auto"/>
            <w:noWrap/>
            <w:vAlign w:val="center"/>
          </w:tcPr>
          <w:p w14:paraId="18C4C3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30.不锈钢货架</w:t>
            </w:r>
          </w:p>
        </w:tc>
        <w:tc>
          <w:tcPr>
            <w:tcW w:w="621" w:type="dxa"/>
            <w:shd w:val="clear" w:color="auto" w:fill="auto"/>
            <w:noWrap/>
            <w:vAlign w:val="center"/>
          </w:tcPr>
          <w:p w14:paraId="7B20E3B3">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w:t>
            </w:r>
          </w:p>
        </w:tc>
        <w:tc>
          <w:tcPr>
            <w:tcW w:w="6379" w:type="dxa"/>
            <w:shd w:val="clear" w:color="auto" w:fill="auto"/>
            <w:vAlign w:val="center"/>
          </w:tcPr>
          <w:p w14:paraId="031CA2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优质304不锈钢材质.2.采用厚度1.2mm不锈钢板，表面具有一层保护膜、光洁度高、抗蚀能力强，经过酸洗、脱脂磷化处理。3.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4.主体采用40*40圆管。</w:t>
            </w:r>
          </w:p>
        </w:tc>
        <w:tc>
          <w:tcPr>
            <w:tcW w:w="2359" w:type="dxa"/>
            <w:vMerge w:val="continue"/>
            <w:shd w:val="clear" w:color="auto" w:fill="auto"/>
            <w:noWrap/>
            <w:vAlign w:val="center"/>
          </w:tcPr>
          <w:p w14:paraId="02181BB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625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3" w:hRule="atLeast"/>
        </w:trPr>
        <w:tc>
          <w:tcPr>
            <w:tcW w:w="808" w:type="dxa"/>
            <w:shd w:val="clear" w:color="auto" w:fill="auto"/>
            <w:noWrap/>
            <w:vAlign w:val="center"/>
          </w:tcPr>
          <w:p w14:paraId="2A7992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31.不锈钢货架</w:t>
            </w:r>
          </w:p>
        </w:tc>
        <w:tc>
          <w:tcPr>
            <w:tcW w:w="621" w:type="dxa"/>
            <w:shd w:val="clear" w:color="auto" w:fill="auto"/>
            <w:noWrap/>
            <w:vAlign w:val="center"/>
          </w:tcPr>
          <w:p w14:paraId="28330A11">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w:t>
            </w:r>
          </w:p>
        </w:tc>
        <w:tc>
          <w:tcPr>
            <w:tcW w:w="6379" w:type="dxa"/>
            <w:shd w:val="clear" w:color="auto" w:fill="auto"/>
            <w:vAlign w:val="center"/>
          </w:tcPr>
          <w:p w14:paraId="23860E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优质304不锈钢材质.2.采用厚度1.2mm不锈钢板，表面具有一层保护膜、光洁度高、抗蚀能力强，经过酸洗、脱脂磷化处理。3.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w:t>
            </w:r>
          </w:p>
        </w:tc>
        <w:tc>
          <w:tcPr>
            <w:tcW w:w="2359" w:type="dxa"/>
            <w:shd w:val="clear" w:color="auto" w:fill="auto"/>
            <w:noWrap/>
            <w:vAlign w:val="center"/>
          </w:tcPr>
          <w:p w14:paraId="753E138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-16510</wp:posOffset>
                  </wp:positionH>
                  <wp:positionV relativeFrom="paragraph">
                    <wp:posOffset>132080</wp:posOffset>
                  </wp:positionV>
                  <wp:extent cx="1270635" cy="1132205"/>
                  <wp:effectExtent l="0" t="0" r="5715" b="10795"/>
                  <wp:wrapNone/>
                  <wp:docPr id="43" name="图片_16"/>
                  <wp:cNvGraphicFramePr/>
                  <a:graphic xmlns:a="http://schemas.openxmlformats.org/drawingml/2006/main">
                    <a:graphicData uri="http://schemas.openxmlformats.org/drawingml/2006/picture">
                      <pic:pic xmlns:pic="http://schemas.openxmlformats.org/drawingml/2006/picture">
                        <pic:nvPicPr>
                          <pic:cNvPr id="43" name="图片_16"/>
                          <pic:cNvPicPr/>
                        </pic:nvPicPr>
                        <pic:blipFill>
                          <a:blip r:embed="rId40"/>
                          <a:stretch>
                            <a:fillRect/>
                          </a:stretch>
                        </pic:blipFill>
                        <pic:spPr>
                          <a:xfrm>
                            <a:off x="0" y="0"/>
                            <a:ext cx="1270635" cy="1132205"/>
                          </a:xfrm>
                          <a:prstGeom prst="rect">
                            <a:avLst/>
                          </a:prstGeom>
                          <a:noFill/>
                          <a:ln>
                            <a:noFill/>
                          </a:ln>
                        </pic:spPr>
                      </pic:pic>
                    </a:graphicData>
                  </a:graphic>
                </wp:anchor>
              </w:drawing>
            </w:r>
          </w:p>
        </w:tc>
      </w:tr>
      <w:tr w14:paraId="08232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08" w:type="dxa"/>
            <w:shd w:val="clear" w:color="auto" w:fill="auto"/>
            <w:noWrap/>
            <w:vAlign w:val="center"/>
          </w:tcPr>
          <w:p w14:paraId="08E4EE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32.不锈钢货架</w:t>
            </w:r>
          </w:p>
        </w:tc>
        <w:tc>
          <w:tcPr>
            <w:tcW w:w="621" w:type="dxa"/>
            <w:shd w:val="clear" w:color="auto" w:fill="auto"/>
            <w:noWrap/>
            <w:vAlign w:val="center"/>
          </w:tcPr>
          <w:p w14:paraId="64C971FE">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w:t>
            </w:r>
          </w:p>
        </w:tc>
        <w:tc>
          <w:tcPr>
            <w:tcW w:w="6379" w:type="dxa"/>
            <w:shd w:val="clear" w:color="auto" w:fill="auto"/>
            <w:vAlign w:val="center"/>
          </w:tcPr>
          <w:p w14:paraId="1C5B98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优质304不锈钢材质.2.采用厚度1.2mm不锈钢板，表面具有一层保护膜、光洁度高、抗蚀能力强，经过酸洗、脱脂磷化处理。3.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w:t>
            </w:r>
          </w:p>
        </w:tc>
        <w:tc>
          <w:tcPr>
            <w:tcW w:w="2359" w:type="dxa"/>
            <w:shd w:val="clear" w:color="auto" w:fill="auto"/>
            <w:noWrap/>
            <w:vAlign w:val="center"/>
          </w:tcPr>
          <w:p w14:paraId="0B3337B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140335</wp:posOffset>
                  </wp:positionH>
                  <wp:positionV relativeFrom="paragraph">
                    <wp:posOffset>-518160</wp:posOffset>
                  </wp:positionV>
                  <wp:extent cx="923925" cy="1134745"/>
                  <wp:effectExtent l="0" t="0" r="9525" b="8255"/>
                  <wp:wrapNone/>
                  <wp:docPr id="52" name="图片_28"/>
                  <wp:cNvGraphicFramePr/>
                  <a:graphic xmlns:a="http://schemas.openxmlformats.org/drawingml/2006/main">
                    <a:graphicData uri="http://schemas.openxmlformats.org/drawingml/2006/picture">
                      <pic:pic xmlns:pic="http://schemas.openxmlformats.org/drawingml/2006/picture">
                        <pic:nvPicPr>
                          <pic:cNvPr id="52" name="图片_28"/>
                          <pic:cNvPicPr/>
                        </pic:nvPicPr>
                        <pic:blipFill>
                          <a:blip r:embed="rId41"/>
                          <a:stretch>
                            <a:fillRect/>
                          </a:stretch>
                        </pic:blipFill>
                        <pic:spPr>
                          <a:xfrm>
                            <a:off x="0" y="0"/>
                            <a:ext cx="923925" cy="1134745"/>
                          </a:xfrm>
                          <a:prstGeom prst="rect">
                            <a:avLst/>
                          </a:prstGeom>
                          <a:noFill/>
                          <a:ln>
                            <a:noFill/>
                          </a:ln>
                        </pic:spPr>
                      </pic:pic>
                    </a:graphicData>
                  </a:graphic>
                </wp:anchor>
              </w:drawing>
            </w:r>
          </w:p>
        </w:tc>
      </w:tr>
      <w:tr w14:paraId="71D8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91" w:hRule="atLeast"/>
        </w:trPr>
        <w:tc>
          <w:tcPr>
            <w:tcW w:w="808" w:type="dxa"/>
            <w:shd w:val="clear" w:color="auto" w:fill="auto"/>
            <w:noWrap/>
            <w:vAlign w:val="center"/>
          </w:tcPr>
          <w:p w14:paraId="6D7EBB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33.不锈钢操作圆凳</w:t>
            </w:r>
          </w:p>
        </w:tc>
        <w:tc>
          <w:tcPr>
            <w:tcW w:w="621" w:type="dxa"/>
            <w:shd w:val="clear" w:color="auto" w:fill="auto"/>
            <w:noWrap/>
            <w:vAlign w:val="center"/>
          </w:tcPr>
          <w:p w14:paraId="2FFABA55">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w:t>
            </w:r>
          </w:p>
        </w:tc>
        <w:tc>
          <w:tcPr>
            <w:tcW w:w="6379" w:type="dxa"/>
            <w:shd w:val="clear" w:color="auto" w:fill="auto"/>
            <w:vAlign w:val="center"/>
          </w:tcPr>
          <w:p w14:paraId="128623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2.环保西皮面料，内部填充高弹海绵；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3.钢制脚架；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4.可升降；                                                   注：颜色、尺寸、应考虑与室内装修风格相匹配，深化图纸的产品尺寸与造型微调需根据采购人要求调整，图片仅供参考，后期以深化图为准。</w:t>
            </w:r>
          </w:p>
        </w:tc>
        <w:tc>
          <w:tcPr>
            <w:tcW w:w="2359" w:type="dxa"/>
            <w:shd w:val="clear" w:color="auto" w:fill="auto"/>
            <w:noWrap/>
            <w:vAlign w:val="center"/>
          </w:tcPr>
          <w:p w14:paraId="10EEFD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323850</wp:posOffset>
                  </wp:positionH>
                  <wp:positionV relativeFrom="paragraph">
                    <wp:posOffset>199390</wp:posOffset>
                  </wp:positionV>
                  <wp:extent cx="644525" cy="951865"/>
                  <wp:effectExtent l="0" t="0" r="3175" b="635"/>
                  <wp:wrapNone/>
                  <wp:docPr id="46" name="图片_29"/>
                  <wp:cNvGraphicFramePr/>
                  <a:graphic xmlns:a="http://schemas.openxmlformats.org/drawingml/2006/main">
                    <a:graphicData uri="http://schemas.openxmlformats.org/drawingml/2006/picture">
                      <pic:pic xmlns:pic="http://schemas.openxmlformats.org/drawingml/2006/picture">
                        <pic:nvPicPr>
                          <pic:cNvPr id="46" name="图片_29"/>
                          <pic:cNvPicPr/>
                        </pic:nvPicPr>
                        <pic:blipFill>
                          <a:blip r:embed="rId42"/>
                          <a:stretch>
                            <a:fillRect/>
                          </a:stretch>
                        </pic:blipFill>
                        <pic:spPr>
                          <a:xfrm>
                            <a:off x="0" y="0"/>
                            <a:ext cx="644525" cy="951865"/>
                          </a:xfrm>
                          <a:prstGeom prst="rect">
                            <a:avLst/>
                          </a:prstGeom>
                          <a:noFill/>
                          <a:ln>
                            <a:noFill/>
                          </a:ln>
                        </pic:spPr>
                      </pic:pic>
                    </a:graphicData>
                  </a:graphic>
                </wp:anchor>
              </w:drawing>
            </w:r>
          </w:p>
        </w:tc>
      </w:tr>
      <w:tr w14:paraId="4133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85" w:hRule="atLeast"/>
        </w:trPr>
        <w:tc>
          <w:tcPr>
            <w:tcW w:w="808" w:type="dxa"/>
            <w:shd w:val="clear" w:color="auto" w:fill="auto"/>
            <w:noWrap/>
            <w:vAlign w:val="center"/>
          </w:tcPr>
          <w:p w14:paraId="77A260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34.试衣镜</w:t>
            </w:r>
          </w:p>
        </w:tc>
        <w:tc>
          <w:tcPr>
            <w:tcW w:w="621" w:type="dxa"/>
            <w:shd w:val="clear" w:color="auto" w:fill="auto"/>
            <w:noWrap/>
            <w:vAlign w:val="center"/>
          </w:tcPr>
          <w:p w14:paraId="2C26B5E4">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46</w:t>
            </w:r>
          </w:p>
        </w:tc>
        <w:tc>
          <w:tcPr>
            <w:tcW w:w="6379" w:type="dxa"/>
            <w:shd w:val="clear" w:color="auto" w:fill="auto"/>
            <w:vAlign w:val="center"/>
          </w:tcPr>
          <w:p w14:paraId="7B4442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5mm冰玻银镜，无铜耐刮镜面，防氧化防发黑成像清晰不变形，高粘防爆膜，破碎不飞溅，边缘打磨。</w:t>
            </w:r>
          </w:p>
        </w:tc>
        <w:tc>
          <w:tcPr>
            <w:tcW w:w="2359" w:type="dxa"/>
            <w:shd w:val="clear" w:color="auto" w:fill="auto"/>
            <w:noWrap/>
            <w:vAlign w:val="center"/>
          </w:tcPr>
          <w:p w14:paraId="53603A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266700</wp:posOffset>
                  </wp:positionH>
                  <wp:positionV relativeFrom="paragraph">
                    <wp:posOffset>-20955</wp:posOffset>
                  </wp:positionV>
                  <wp:extent cx="739775" cy="1563370"/>
                  <wp:effectExtent l="0" t="0" r="3175" b="17780"/>
                  <wp:wrapNone/>
                  <wp:docPr id="51" name="图片_17"/>
                  <wp:cNvGraphicFramePr/>
                  <a:graphic xmlns:a="http://schemas.openxmlformats.org/drawingml/2006/main">
                    <a:graphicData uri="http://schemas.openxmlformats.org/drawingml/2006/picture">
                      <pic:pic xmlns:pic="http://schemas.openxmlformats.org/drawingml/2006/picture">
                        <pic:nvPicPr>
                          <pic:cNvPr id="51" name="图片_17"/>
                          <pic:cNvPicPr/>
                        </pic:nvPicPr>
                        <pic:blipFill>
                          <a:blip r:embed="rId43"/>
                          <a:stretch>
                            <a:fillRect/>
                          </a:stretch>
                        </pic:blipFill>
                        <pic:spPr>
                          <a:xfrm>
                            <a:off x="0" y="0"/>
                            <a:ext cx="739775" cy="1563370"/>
                          </a:xfrm>
                          <a:prstGeom prst="rect">
                            <a:avLst/>
                          </a:prstGeom>
                          <a:noFill/>
                          <a:ln>
                            <a:noFill/>
                          </a:ln>
                        </pic:spPr>
                      </pic:pic>
                    </a:graphicData>
                  </a:graphic>
                </wp:anchor>
              </w:drawing>
            </w:r>
          </w:p>
        </w:tc>
      </w:tr>
      <w:tr w14:paraId="5AA4B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1" w:hRule="atLeast"/>
        </w:trPr>
        <w:tc>
          <w:tcPr>
            <w:tcW w:w="808" w:type="dxa"/>
            <w:shd w:val="clear" w:color="auto" w:fill="auto"/>
            <w:noWrap/>
            <w:vAlign w:val="center"/>
          </w:tcPr>
          <w:p w14:paraId="650B31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35.不锈钢双层推车</w:t>
            </w:r>
          </w:p>
        </w:tc>
        <w:tc>
          <w:tcPr>
            <w:tcW w:w="621" w:type="dxa"/>
            <w:shd w:val="clear" w:color="auto" w:fill="auto"/>
            <w:noWrap/>
            <w:vAlign w:val="center"/>
          </w:tcPr>
          <w:p w14:paraId="61062827">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w:t>
            </w:r>
          </w:p>
        </w:tc>
        <w:tc>
          <w:tcPr>
            <w:tcW w:w="6379" w:type="dxa"/>
            <w:shd w:val="clear" w:color="auto" w:fill="auto"/>
            <w:vAlign w:val="center"/>
          </w:tcPr>
          <w:p w14:paraId="19F5B1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优质304不锈钢材质.2.采用厚度1.2mm不锈钢板，表面具有一层保护膜、光洁度高、抗蚀能力强，经过酸洗、脱脂磷化处理。3.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轮子为6寸静音万向轮子,2个带刹车轮,2个为定向，4.立柱采用38厘圆管，围栏采用15厘圆管</w:t>
            </w:r>
          </w:p>
        </w:tc>
        <w:tc>
          <w:tcPr>
            <w:tcW w:w="2359" w:type="dxa"/>
            <w:shd w:val="clear" w:color="auto" w:fill="auto"/>
            <w:noWrap/>
            <w:vAlign w:val="center"/>
          </w:tcPr>
          <w:p w14:paraId="658F42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161925</wp:posOffset>
                  </wp:positionH>
                  <wp:positionV relativeFrom="paragraph">
                    <wp:posOffset>266700</wp:posOffset>
                  </wp:positionV>
                  <wp:extent cx="1016635" cy="915670"/>
                  <wp:effectExtent l="0" t="0" r="12065" b="17780"/>
                  <wp:wrapNone/>
                  <wp:docPr id="49" name="图片_12"/>
                  <wp:cNvGraphicFramePr/>
                  <a:graphic xmlns:a="http://schemas.openxmlformats.org/drawingml/2006/main">
                    <a:graphicData uri="http://schemas.openxmlformats.org/drawingml/2006/picture">
                      <pic:pic xmlns:pic="http://schemas.openxmlformats.org/drawingml/2006/picture">
                        <pic:nvPicPr>
                          <pic:cNvPr id="49" name="图片_12"/>
                          <pic:cNvPicPr/>
                        </pic:nvPicPr>
                        <pic:blipFill>
                          <a:blip r:embed="rId44"/>
                          <a:stretch>
                            <a:fillRect/>
                          </a:stretch>
                        </pic:blipFill>
                        <pic:spPr>
                          <a:xfrm>
                            <a:off x="0" y="0"/>
                            <a:ext cx="1016635" cy="915670"/>
                          </a:xfrm>
                          <a:prstGeom prst="rect">
                            <a:avLst/>
                          </a:prstGeom>
                          <a:noFill/>
                          <a:ln>
                            <a:noFill/>
                          </a:ln>
                        </pic:spPr>
                      </pic:pic>
                    </a:graphicData>
                  </a:graphic>
                </wp:anchor>
              </w:drawing>
            </w:r>
          </w:p>
        </w:tc>
      </w:tr>
      <w:tr w14:paraId="16D1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8" w:hRule="atLeast"/>
        </w:trPr>
        <w:tc>
          <w:tcPr>
            <w:tcW w:w="808" w:type="dxa"/>
            <w:shd w:val="clear" w:color="auto" w:fill="auto"/>
            <w:noWrap/>
            <w:vAlign w:val="center"/>
          </w:tcPr>
          <w:p w14:paraId="03A962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36.不锈钢三层推车</w:t>
            </w:r>
          </w:p>
        </w:tc>
        <w:tc>
          <w:tcPr>
            <w:tcW w:w="621" w:type="dxa"/>
            <w:shd w:val="clear" w:color="auto" w:fill="auto"/>
            <w:noWrap/>
            <w:vAlign w:val="center"/>
          </w:tcPr>
          <w:p w14:paraId="5307C45F">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w:t>
            </w:r>
          </w:p>
        </w:tc>
        <w:tc>
          <w:tcPr>
            <w:tcW w:w="6379" w:type="dxa"/>
            <w:shd w:val="clear" w:color="auto" w:fill="auto"/>
            <w:vAlign w:val="center"/>
          </w:tcPr>
          <w:p w14:paraId="4B99F6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优质304不锈钢材质.2.采用厚度1.2mm不锈钢板，表面具有一层保护膜、光洁度高、抗蚀能力强，经过酸洗、脱脂磷化处理。3.环保无毒害；无气味；焊接部分采用高标准熔接焊，表面平整光滑。无凹凸感，抗压能力强。零件表面干净，产品质量稳定。结合能力强，具有优异的柔韧性、耐磨性和装饰性并切属于环保产品。整体美观大方，焊缝均匀牢固，无烧损、冷裂、漏焊等缺陷，各焊接部位打磨平整,防锈，防虫咬，防串味,经久耐用，轮子为6寸静音万向轮子,2个带刹车轮,2个为定向，4.立柱采用38厘圆管，围栏采用15厘圆管</w:t>
            </w:r>
          </w:p>
        </w:tc>
        <w:tc>
          <w:tcPr>
            <w:tcW w:w="2359" w:type="dxa"/>
            <w:shd w:val="clear" w:color="auto" w:fill="auto"/>
            <w:noWrap/>
            <w:vAlign w:val="center"/>
          </w:tcPr>
          <w:p w14:paraId="49AF6F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298450</wp:posOffset>
                  </wp:positionH>
                  <wp:positionV relativeFrom="paragraph">
                    <wp:posOffset>645160</wp:posOffset>
                  </wp:positionV>
                  <wp:extent cx="930910" cy="885190"/>
                  <wp:effectExtent l="0" t="0" r="2540" b="10160"/>
                  <wp:wrapNone/>
                  <wp:docPr id="50" name="图片_13"/>
                  <wp:cNvGraphicFramePr/>
                  <a:graphic xmlns:a="http://schemas.openxmlformats.org/drawingml/2006/main">
                    <a:graphicData uri="http://schemas.openxmlformats.org/drawingml/2006/picture">
                      <pic:pic xmlns:pic="http://schemas.openxmlformats.org/drawingml/2006/picture">
                        <pic:nvPicPr>
                          <pic:cNvPr id="50" name="图片_13"/>
                          <pic:cNvPicPr/>
                        </pic:nvPicPr>
                        <pic:blipFill>
                          <a:blip r:embed="rId45"/>
                          <a:stretch>
                            <a:fillRect/>
                          </a:stretch>
                        </pic:blipFill>
                        <pic:spPr>
                          <a:xfrm>
                            <a:off x="0" y="0"/>
                            <a:ext cx="930910" cy="885190"/>
                          </a:xfrm>
                          <a:prstGeom prst="rect">
                            <a:avLst/>
                          </a:prstGeom>
                          <a:noFill/>
                          <a:ln>
                            <a:noFill/>
                          </a:ln>
                        </pic:spPr>
                      </pic:pic>
                    </a:graphicData>
                  </a:graphic>
                </wp:anchor>
              </w:drawing>
            </w:r>
          </w:p>
        </w:tc>
      </w:tr>
      <w:tr w14:paraId="2A365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46" w:hRule="atLeast"/>
        </w:trPr>
        <w:tc>
          <w:tcPr>
            <w:tcW w:w="808" w:type="dxa"/>
            <w:shd w:val="clear" w:color="auto" w:fill="auto"/>
            <w:noWrap/>
            <w:vAlign w:val="center"/>
          </w:tcPr>
          <w:p w14:paraId="4E9D08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r>
              <w:rPr>
                <w:rFonts w:hint="eastAsia" w:ascii="宋体" w:hAnsi="宋体" w:eastAsia="宋体" w:cs="宋体"/>
                <w:i w:val="0"/>
                <w:iCs w:val="0"/>
                <w:color w:val="000000"/>
                <w:kern w:val="0"/>
                <w:sz w:val="22"/>
                <w:szCs w:val="22"/>
                <w:u w:val="none"/>
                <w:lang w:val="en-US" w:eastAsia="zh-CN" w:bidi="ar"/>
              </w:rPr>
              <w:t>不锈钢平板推车</w:t>
            </w:r>
          </w:p>
        </w:tc>
        <w:tc>
          <w:tcPr>
            <w:tcW w:w="621" w:type="dxa"/>
            <w:shd w:val="clear" w:color="auto" w:fill="auto"/>
            <w:noWrap/>
            <w:vAlign w:val="center"/>
          </w:tcPr>
          <w:p w14:paraId="78A458D8">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49</w:t>
            </w:r>
          </w:p>
        </w:tc>
        <w:tc>
          <w:tcPr>
            <w:tcW w:w="6379" w:type="dxa"/>
            <w:shd w:val="clear" w:color="auto" w:fill="auto"/>
            <w:vAlign w:val="center"/>
          </w:tcPr>
          <w:p w14:paraId="253BF6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不锈钢拉丝面板，坚固耐用，受力稳妥抗压防锈防腐蚀，车板表面拉丝纹路，美观、大方，运货载重大，超轻静音设计，不绣钢采用全折弯设计，受力更强，载重更大，工艺精良，设计合理，2、车底全部使用不锈钢钢管加固，使车板更抗压，更耐用，更可靠，采用加大加厚方管焊接，整体结构牢固结实，不变形，3、扶手采用受力顶针设计，加入焊接受力顶尖的扶手防止钢管挤扁，符合车把扶手受力要求，4、车轮采用天然橡胶，脚轮尺寸为6寸，载重800KG，脚轮直经150㎜，脚轮高度190㎜。</w:t>
            </w:r>
          </w:p>
        </w:tc>
        <w:tc>
          <w:tcPr>
            <w:tcW w:w="2359" w:type="dxa"/>
            <w:shd w:val="clear" w:color="auto" w:fill="auto"/>
            <w:noWrap/>
            <w:vAlign w:val="center"/>
          </w:tcPr>
          <w:p w14:paraId="1A0E01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245110</wp:posOffset>
                  </wp:positionH>
                  <wp:positionV relativeFrom="paragraph">
                    <wp:posOffset>371475</wp:posOffset>
                  </wp:positionV>
                  <wp:extent cx="735965" cy="711200"/>
                  <wp:effectExtent l="0" t="0" r="6985" b="12700"/>
                  <wp:wrapNone/>
                  <wp:docPr id="48" name="图片_34"/>
                  <wp:cNvGraphicFramePr/>
                  <a:graphic xmlns:a="http://schemas.openxmlformats.org/drawingml/2006/main">
                    <a:graphicData uri="http://schemas.openxmlformats.org/drawingml/2006/picture">
                      <pic:pic xmlns:pic="http://schemas.openxmlformats.org/drawingml/2006/picture">
                        <pic:nvPicPr>
                          <pic:cNvPr id="48" name="图片_34"/>
                          <pic:cNvPicPr/>
                        </pic:nvPicPr>
                        <pic:blipFill>
                          <a:blip r:embed="rId46"/>
                          <a:stretch>
                            <a:fillRect/>
                          </a:stretch>
                        </pic:blipFill>
                        <pic:spPr>
                          <a:xfrm>
                            <a:off x="0" y="0"/>
                            <a:ext cx="735965" cy="711200"/>
                          </a:xfrm>
                          <a:prstGeom prst="rect">
                            <a:avLst/>
                          </a:prstGeom>
                          <a:noFill/>
                          <a:ln>
                            <a:noFill/>
                          </a:ln>
                        </pic:spPr>
                      </pic:pic>
                    </a:graphicData>
                  </a:graphic>
                </wp:anchor>
              </w:drawing>
            </w:r>
          </w:p>
        </w:tc>
      </w:tr>
    </w:tbl>
    <w:p w14:paraId="4F452C5E">
      <w:pPr>
        <w:jc w:val="left"/>
        <w:rPr>
          <w:rFonts w:hint="eastAsia" w:ascii="宋体" w:hAnsi="宋体" w:eastAsia="宋体" w:cs="宋体"/>
          <w:b/>
          <w:bCs/>
          <w:color w:val="000000"/>
          <w:sz w:val="21"/>
          <w:szCs w:val="21"/>
        </w:rPr>
      </w:pPr>
    </w:p>
    <w:p w14:paraId="2E92D1B8">
      <w:pPr>
        <w:jc w:val="left"/>
        <w:rPr>
          <w:rFonts w:hint="eastAsia" w:ascii="宋体" w:hAnsi="宋体" w:eastAsia="宋体" w:cs="宋体"/>
          <w:b/>
          <w:sz w:val="21"/>
          <w:szCs w:val="21"/>
        </w:rPr>
      </w:pPr>
      <w:bookmarkStart w:id="15" w:name="_GoBack"/>
      <w:bookmarkEnd w:id="15"/>
      <w:r>
        <w:rPr>
          <w:rFonts w:hint="eastAsia" w:ascii="宋体" w:hAnsi="宋体" w:eastAsia="宋体" w:cs="宋体"/>
          <w:b/>
          <w:bCs/>
          <w:color w:val="000000"/>
          <w:sz w:val="21"/>
          <w:szCs w:val="21"/>
        </w:rPr>
        <w:t>【商务要求】</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691"/>
        <w:gridCol w:w="5884"/>
      </w:tblGrid>
      <w:tr w14:paraId="26AC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blHeader/>
          <w:jc w:val="center"/>
        </w:trPr>
        <w:tc>
          <w:tcPr>
            <w:tcW w:w="947" w:type="dxa"/>
            <w:tcBorders>
              <w:top w:val="single" w:color="auto" w:sz="4" w:space="0"/>
              <w:left w:val="single" w:color="auto" w:sz="4" w:space="0"/>
              <w:bottom w:val="single" w:color="auto" w:sz="4" w:space="0"/>
              <w:right w:val="single" w:color="auto" w:sz="4" w:space="0"/>
            </w:tcBorders>
            <w:shd w:val="clear" w:color="auto" w:fill="auto"/>
            <w:vAlign w:val="center"/>
          </w:tcPr>
          <w:p w14:paraId="27CC2B8F">
            <w:pPr>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14:paraId="13D83C27">
            <w:pPr>
              <w:jc w:val="center"/>
              <w:rPr>
                <w:rFonts w:hint="eastAsia" w:ascii="宋体" w:hAnsi="宋体" w:eastAsia="宋体" w:cs="宋体"/>
                <w:b/>
                <w:bCs/>
                <w:sz w:val="21"/>
                <w:szCs w:val="21"/>
              </w:rPr>
            </w:pPr>
            <w:r>
              <w:rPr>
                <w:rFonts w:hint="eastAsia" w:ascii="宋体" w:hAnsi="宋体" w:eastAsia="宋体" w:cs="宋体"/>
                <w:b/>
                <w:bCs/>
                <w:sz w:val="21"/>
                <w:szCs w:val="21"/>
              </w:rPr>
              <w:t>目录</w:t>
            </w:r>
          </w:p>
        </w:tc>
        <w:tc>
          <w:tcPr>
            <w:tcW w:w="5884" w:type="dxa"/>
            <w:tcBorders>
              <w:top w:val="single" w:color="auto" w:sz="4" w:space="0"/>
              <w:left w:val="single" w:color="auto" w:sz="4" w:space="0"/>
              <w:bottom w:val="single" w:color="auto" w:sz="4" w:space="0"/>
              <w:right w:val="single" w:color="auto" w:sz="4" w:space="0"/>
            </w:tcBorders>
            <w:shd w:val="clear" w:color="auto" w:fill="auto"/>
            <w:vAlign w:val="center"/>
          </w:tcPr>
          <w:p w14:paraId="167E4B80">
            <w:pPr>
              <w:jc w:val="center"/>
              <w:rPr>
                <w:rFonts w:hint="eastAsia" w:ascii="宋体" w:hAnsi="宋体" w:eastAsia="宋体" w:cs="宋体"/>
                <w:b/>
                <w:bCs/>
                <w:sz w:val="21"/>
                <w:szCs w:val="21"/>
              </w:rPr>
            </w:pPr>
            <w:r>
              <w:rPr>
                <w:rFonts w:hint="eastAsia" w:ascii="宋体" w:hAnsi="宋体" w:eastAsia="宋体" w:cs="宋体"/>
                <w:b/>
                <w:bCs/>
                <w:sz w:val="21"/>
                <w:szCs w:val="21"/>
              </w:rPr>
              <w:t>商务要求</w:t>
            </w:r>
          </w:p>
        </w:tc>
      </w:tr>
      <w:tr w14:paraId="356C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85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EDECE52">
            <w:pPr>
              <w:jc w:val="center"/>
              <w:rPr>
                <w:rFonts w:hint="eastAsia" w:ascii="宋体" w:hAnsi="宋体" w:eastAsia="宋体" w:cs="宋体"/>
                <w:b/>
                <w:bCs/>
                <w:sz w:val="21"/>
                <w:szCs w:val="21"/>
              </w:rPr>
            </w:pPr>
            <w:r>
              <w:rPr>
                <w:rFonts w:hint="eastAsia" w:ascii="宋体" w:hAnsi="宋体" w:eastAsia="宋体" w:cs="宋体"/>
                <w:b/>
                <w:bCs/>
                <w:sz w:val="21"/>
                <w:szCs w:val="21"/>
              </w:rPr>
              <w:t>（一）免费保修期及免费保修期内售后服务要求</w:t>
            </w:r>
          </w:p>
        </w:tc>
      </w:tr>
      <w:tr w14:paraId="232E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tcBorders>
              <w:top w:val="single" w:color="auto" w:sz="4" w:space="0"/>
              <w:left w:val="single" w:color="auto" w:sz="4" w:space="0"/>
              <w:right w:val="single" w:color="auto" w:sz="4" w:space="0"/>
            </w:tcBorders>
            <w:vAlign w:val="center"/>
          </w:tcPr>
          <w:p w14:paraId="5EED1FA7">
            <w:pPr>
              <w:jc w:val="center"/>
              <w:rPr>
                <w:rFonts w:hint="eastAsia" w:ascii="宋体" w:hAnsi="宋体" w:eastAsia="宋体" w:cs="宋体"/>
                <w:sz w:val="21"/>
                <w:szCs w:val="21"/>
              </w:rPr>
            </w:pPr>
            <w:r>
              <w:rPr>
                <w:rFonts w:hint="eastAsia" w:ascii="宋体" w:hAnsi="宋体" w:eastAsia="宋体" w:cs="宋体"/>
                <w:sz w:val="21"/>
                <w:szCs w:val="21"/>
              </w:rPr>
              <w:t>1</w:t>
            </w:r>
          </w:p>
        </w:tc>
        <w:tc>
          <w:tcPr>
            <w:tcW w:w="1691" w:type="dxa"/>
            <w:tcBorders>
              <w:top w:val="single" w:color="auto" w:sz="4" w:space="0"/>
              <w:left w:val="single" w:color="auto" w:sz="4" w:space="0"/>
              <w:right w:val="single" w:color="auto" w:sz="4" w:space="0"/>
            </w:tcBorders>
            <w:vAlign w:val="center"/>
          </w:tcPr>
          <w:p w14:paraId="489DEA3B">
            <w:pPr>
              <w:jc w:val="center"/>
              <w:rPr>
                <w:rFonts w:hint="eastAsia" w:ascii="宋体" w:hAnsi="宋体" w:eastAsia="宋体" w:cs="宋体"/>
                <w:sz w:val="21"/>
                <w:szCs w:val="21"/>
              </w:rPr>
            </w:pPr>
            <w:r>
              <w:rPr>
                <w:rFonts w:hint="eastAsia" w:ascii="宋体" w:hAnsi="宋体" w:eastAsia="宋体" w:cs="宋体"/>
                <w:sz w:val="21"/>
                <w:szCs w:val="21"/>
              </w:rPr>
              <w:t>免费保修期</w:t>
            </w:r>
          </w:p>
        </w:tc>
        <w:tc>
          <w:tcPr>
            <w:tcW w:w="5884" w:type="dxa"/>
            <w:tcBorders>
              <w:top w:val="single" w:color="auto" w:sz="4" w:space="0"/>
              <w:left w:val="single" w:color="auto" w:sz="4" w:space="0"/>
              <w:bottom w:val="single" w:color="auto" w:sz="4" w:space="0"/>
              <w:right w:val="single" w:color="auto" w:sz="4" w:space="0"/>
            </w:tcBorders>
            <w:vAlign w:val="center"/>
          </w:tcPr>
          <w:p w14:paraId="2C14D5CC">
            <w:pPr>
              <w:jc w:val="left"/>
              <w:rPr>
                <w:rFonts w:hint="eastAsia" w:ascii="宋体" w:hAnsi="宋体" w:eastAsia="宋体" w:cs="宋体"/>
                <w:sz w:val="21"/>
                <w:szCs w:val="21"/>
              </w:rPr>
            </w:pPr>
            <w:r>
              <w:rPr>
                <w:rFonts w:hint="eastAsia" w:ascii="宋体" w:hAnsi="宋体" w:eastAsia="宋体" w:cs="宋体"/>
                <w:b/>
                <w:sz w:val="21"/>
                <w:szCs w:val="21"/>
              </w:rPr>
              <w:t>★</w:t>
            </w:r>
            <w:r>
              <w:rPr>
                <w:rFonts w:hint="eastAsia" w:ascii="宋体" w:hAnsi="宋体" w:eastAsia="宋体" w:cs="宋体"/>
                <w:sz w:val="21"/>
                <w:szCs w:val="21"/>
              </w:rPr>
              <w:t>中标方对所提供的货物提供10年的质保期，质保期限自货物最终验收合格并交付使用之日开始计算。质保期内非人为原因或者自然灾害、战争等原因而出现的质量问题，由中标方负责维修或更换。中标方免费提供质保期内的产品包修和零配件包换，所有货物质保服务方式均为中标方上门保修，即由中标方派人员到货物使用现场维修，由此产生的一切费用均由中标方承担。保修期外只收取配件费。</w:t>
            </w:r>
          </w:p>
        </w:tc>
      </w:tr>
      <w:tr w14:paraId="148E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tcBorders>
              <w:top w:val="single" w:color="auto" w:sz="4" w:space="0"/>
              <w:left w:val="single" w:color="auto" w:sz="4" w:space="0"/>
              <w:right w:val="single" w:color="auto" w:sz="4" w:space="0"/>
            </w:tcBorders>
            <w:vAlign w:val="center"/>
          </w:tcPr>
          <w:p w14:paraId="6BF08C91">
            <w:pPr>
              <w:jc w:val="center"/>
              <w:rPr>
                <w:rFonts w:hint="eastAsia" w:ascii="宋体" w:hAnsi="宋体" w:eastAsia="宋体" w:cs="宋体"/>
                <w:sz w:val="21"/>
                <w:szCs w:val="21"/>
              </w:rPr>
            </w:pPr>
            <w:r>
              <w:rPr>
                <w:rFonts w:hint="eastAsia" w:ascii="宋体" w:hAnsi="宋体" w:eastAsia="宋体" w:cs="宋体"/>
                <w:sz w:val="21"/>
                <w:szCs w:val="21"/>
              </w:rPr>
              <w:t>2</w:t>
            </w:r>
          </w:p>
        </w:tc>
        <w:tc>
          <w:tcPr>
            <w:tcW w:w="1691" w:type="dxa"/>
            <w:tcBorders>
              <w:top w:val="single" w:color="auto" w:sz="4" w:space="0"/>
              <w:left w:val="single" w:color="auto" w:sz="4" w:space="0"/>
              <w:right w:val="single" w:color="auto" w:sz="4" w:space="0"/>
            </w:tcBorders>
            <w:vAlign w:val="center"/>
          </w:tcPr>
          <w:p w14:paraId="0266D2BC">
            <w:pPr>
              <w:jc w:val="center"/>
              <w:rPr>
                <w:rFonts w:hint="eastAsia" w:ascii="宋体" w:hAnsi="宋体" w:eastAsia="宋体" w:cs="宋体"/>
                <w:sz w:val="21"/>
                <w:szCs w:val="21"/>
              </w:rPr>
            </w:pPr>
            <w:r>
              <w:rPr>
                <w:rFonts w:hint="eastAsia" w:ascii="宋体" w:hAnsi="宋体" w:eastAsia="宋体" w:cs="宋体"/>
                <w:sz w:val="21"/>
                <w:szCs w:val="21"/>
              </w:rPr>
              <w:t>更换服务</w:t>
            </w:r>
          </w:p>
        </w:tc>
        <w:tc>
          <w:tcPr>
            <w:tcW w:w="5884" w:type="dxa"/>
            <w:tcBorders>
              <w:top w:val="single" w:color="auto" w:sz="4" w:space="0"/>
              <w:left w:val="single" w:color="auto" w:sz="4" w:space="0"/>
              <w:bottom w:val="single" w:color="auto" w:sz="4" w:space="0"/>
              <w:right w:val="single" w:color="auto" w:sz="4" w:space="0"/>
            </w:tcBorders>
            <w:vAlign w:val="center"/>
          </w:tcPr>
          <w:p w14:paraId="35979303">
            <w:pPr>
              <w:jc w:val="left"/>
              <w:rPr>
                <w:rFonts w:hint="eastAsia" w:ascii="宋体" w:hAnsi="宋体" w:eastAsia="宋体" w:cs="宋体"/>
                <w:sz w:val="21"/>
                <w:szCs w:val="21"/>
              </w:rPr>
            </w:pPr>
            <w:r>
              <w:rPr>
                <w:rFonts w:hint="eastAsia" w:ascii="宋体" w:hAnsi="宋体" w:eastAsia="宋体" w:cs="宋体"/>
                <w:sz w:val="21"/>
                <w:szCs w:val="21"/>
              </w:rPr>
              <w:t>使用过程中一旦货物发现质量问题，中标方保证在接到维修通知后</w:t>
            </w:r>
            <w:r>
              <w:rPr>
                <w:rFonts w:hint="eastAsia" w:ascii="宋体" w:hAnsi="宋体" w:eastAsia="宋体" w:cs="宋体"/>
                <w:sz w:val="21"/>
                <w:szCs w:val="21"/>
                <w:lang w:val="en-US" w:eastAsia="zh-CN"/>
              </w:rPr>
              <w:t>3</w:t>
            </w:r>
            <w:r>
              <w:rPr>
                <w:rFonts w:hint="eastAsia" w:ascii="宋体" w:hAnsi="宋体" w:eastAsia="宋体" w:cs="宋体"/>
                <w:sz w:val="21"/>
                <w:szCs w:val="21"/>
              </w:rPr>
              <w:t>小时内赶到现场进行修理或更换。中标方应按照投标文件中的承诺，进行其他售后服务工作。</w:t>
            </w:r>
          </w:p>
        </w:tc>
      </w:tr>
      <w:tr w14:paraId="47F7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tcBorders>
              <w:top w:val="single" w:color="auto" w:sz="4" w:space="0"/>
              <w:left w:val="single" w:color="auto" w:sz="4" w:space="0"/>
              <w:right w:val="single" w:color="auto" w:sz="4" w:space="0"/>
            </w:tcBorders>
            <w:vAlign w:val="center"/>
          </w:tcPr>
          <w:p w14:paraId="3C0023E1">
            <w:pPr>
              <w:jc w:val="center"/>
              <w:rPr>
                <w:rFonts w:hint="eastAsia" w:ascii="宋体" w:hAnsi="宋体" w:eastAsia="宋体" w:cs="宋体"/>
                <w:sz w:val="21"/>
                <w:szCs w:val="21"/>
              </w:rPr>
            </w:pPr>
            <w:r>
              <w:rPr>
                <w:rFonts w:hint="eastAsia" w:ascii="宋体" w:hAnsi="宋体" w:eastAsia="宋体" w:cs="宋体"/>
                <w:sz w:val="21"/>
                <w:szCs w:val="21"/>
              </w:rPr>
              <w:t>3</w:t>
            </w:r>
          </w:p>
        </w:tc>
        <w:tc>
          <w:tcPr>
            <w:tcW w:w="1691" w:type="dxa"/>
            <w:tcBorders>
              <w:top w:val="single" w:color="auto" w:sz="4" w:space="0"/>
              <w:left w:val="single" w:color="auto" w:sz="4" w:space="0"/>
              <w:right w:val="single" w:color="auto" w:sz="4" w:space="0"/>
            </w:tcBorders>
            <w:vAlign w:val="center"/>
          </w:tcPr>
          <w:p w14:paraId="07A49A2A">
            <w:pPr>
              <w:jc w:val="center"/>
              <w:rPr>
                <w:rFonts w:hint="eastAsia" w:ascii="宋体" w:hAnsi="宋体" w:eastAsia="宋体" w:cs="宋体"/>
                <w:sz w:val="21"/>
                <w:szCs w:val="21"/>
              </w:rPr>
            </w:pPr>
            <w:r>
              <w:rPr>
                <w:rFonts w:hint="eastAsia" w:ascii="宋体" w:hAnsi="宋体" w:eastAsia="宋体" w:cs="宋体"/>
                <w:sz w:val="21"/>
                <w:szCs w:val="21"/>
              </w:rPr>
              <w:t>配送要求</w:t>
            </w:r>
          </w:p>
        </w:tc>
        <w:tc>
          <w:tcPr>
            <w:tcW w:w="5884" w:type="dxa"/>
            <w:tcBorders>
              <w:top w:val="single" w:color="auto" w:sz="4" w:space="0"/>
              <w:left w:val="single" w:color="auto" w:sz="4" w:space="0"/>
              <w:right w:val="single" w:color="auto" w:sz="4" w:space="0"/>
            </w:tcBorders>
            <w:vAlign w:val="center"/>
          </w:tcPr>
          <w:p w14:paraId="1D239807">
            <w:pPr>
              <w:jc w:val="left"/>
              <w:rPr>
                <w:rFonts w:hint="eastAsia" w:ascii="宋体" w:hAnsi="宋体" w:eastAsia="宋体" w:cs="宋体"/>
                <w:sz w:val="21"/>
                <w:szCs w:val="21"/>
                <w:lang w:eastAsia="zh-CN"/>
              </w:rPr>
            </w:pPr>
            <w:r>
              <w:rPr>
                <w:rFonts w:hint="eastAsia" w:ascii="宋体" w:hAnsi="宋体" w:eastAsia="宋体" w:cs="宋体"/>
                <w:sz w:val="21"/>
                <w:szCs w:val="21"/>
              </w:rPr>
              <w:t>▲提供货物的配送搬运及安装服务，配送地点数量为采购单位要求指定地点</w:t>
            </w:r>
            <w:r>
              <w:rPr>
                <w:rFonts w:hint="eastAsia" w:ascii="宋体" w:hAnsi="宋体" w:eastAsia="宋体" w:cs="宋体"/>
                <w:sz w:val="21"/>
                <w:szCs w:val="21"/>
                <w:lang w:eastAsia="zh-CN"/>
              </w:rPr>
              <w:t>。</w:t>
            </w:r>
          </w:p>
        </w:tc>
      </w:tr>
      <w:tr w14:paraId="2836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8522" w:type="dxa"/>
            <w:gridSpan w:val="3"/>
            <w:tcBorders>
              <w:top w:val="single" w:color="auto" w:sz="4" w:space="0"/>
              <w:left w:val="single" w:color="auto" w:sz="4" w:space="0"/>
              <w:bottom w:val="single" w:color="auto" w:sz="4" w:space="0"/>
              <w:right w:val="single" w:color="auto" w:sz="4" w:space="0"/>
            </w:tcBorders>
            <w:vAlign w:val="center"/>
          </w:tcPr>
          <w:p w14:paraId="0D6FEA2D">
            <w:pPr>
              <w:jc w:val="center"/>
              <w:rPr>
                <w:rFonts w:hint="eastAsia" w:ascii="宋体" w:hAnsi="宋体" w:eastAsia="宋体" w:cs="宋体"/>
                <w:b/>
                <w:bCs/>
                <w:sz w:val="21"/>
                <w:szCs w:val="21"/>
              </w:rPr>
            </w:pPr>
            <w:r>
              <w:rPr>
                <w:rFonts w:hint="eastAsia" w:ascii="宋体" w:hAnsi="宋体" w:eastAsia="宋体" w:cs="宋体"/>
                <w:b/>
                <w:bCs/>
                <w:sz w:val="21"/>
                <w:szCs w:val="21"/>
              </w:rPr>
              <w:t>（二）其他商务要求</w:t>
            </w:r>
          </w:p>
        </w:tc>
      </w:tr>
      <w:tr w14:paraId="01428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947" w:type="dxa"/>
            <w:tcBorders>
              <w:top w:val="single" w:color="auto" w:sz="4" w:space="0"/>
              <w:left w:val="single" w:color="auto" w:sz="4" w:space="0"/>
              <w:right w:val="single" w:color="auto" w:sz="4" w:space="0"/>
            </w:tcBorders>
            <w:vAlign w:val="center"/>
          </w:tcPr>
          <w:p w14:paraId="34B1657D">
            <w:pPr>
              <w:jc w:val="center"/>
              <w:rPr>
                <w:rFonts w:hint="eastAsia" w:ascii="宋体" w:hAnsi="宋体" w:eastAsia="宋体" w:cs="宋体"/>
                <w:sz w:val="21"/>
                <w:szCs w:val="21"/>
              </w:rPr>
            </w:pPr>
            <w:r>
              <w:rPr>
                <w:rFonts w:hint="eastAsia" w:ascii="宋体" w:hAnsi="宋体" w:eastAsia="宋体" w:cs="宋体"/>
                <w:sz w:val="21"/>
                <w:szCs w:val="21"/>
              </w:rPr>
              <w:t>1</w:t>
            </w:r>
          </w:p>
        </w:tc>
        <w:tc>
          <w:tcPr>
            <w:tcW w:w="1691" w:type="dxa"/>
            <w:tcBorders>
              <w:top w:val="single" w:color="auto" w:sz="4" w:space="0"/>
              <w:left w:val="single" w:color="auto" w:sz="4" w:space="0"/>
              <w:right w:val="single" w:color="auto" w:sz="4" w:space="0"/>
            </w:tcBorders>
            <w:vAlign w:val="center"/>
          </w:tcPr>
          <w:p w14:paraId="7F5B1F80">
            <w:pPr>
              <w:jc w:val="center"/>
              <w:rPr>
                <w:rFonts w:hint="eastAsia" w:ascii="宋体" w:hAnsi="宋体" w:eastAsia="宋体" w:cs="宋体"/>
                <w:sz w:val="21"/>
                <w:szCs w:val="21"/>
              </w:rPr>
            </w:pPr>
            <w:r>
              <w:rPr>
                <w:rFonts w:hint="eastAsia" w:ascii="宋体" w:hAnsi="宋体" w:eastAsia="宋体" w:cs="宋体"/>
                <w:sz w:val="21"/>
                <w:szCs w:val="21"/>
              </w:rPr>
              <w:t>关于交货</w:t>
            </w:r>
          </w:p>
        </w:tc>
        <w:tc>
          <w:tcPr>
            <w:tcW w:w="5884" w:type="dxa"/>
            <w:tcBorders>
              <w:top w:val="single" w:color="auto" w:sz="4" w:space="0"/>
              <w:left w:val="single" w:color="auto" w:sz="4" w:space="0"/>
              <w:bottom w:val="single" w:color="auto" w:sz="4" w:space="0"/>
              <w:right w:val="single" w:color="auto" w:sz="4" w:space="0"/>
            </w:tcBorders>
            <w:vAlign w:val="center"/>
          </w:tcPr>
          <w:p w14:paraId="32F6313E">
            <w:pPr>
              <w:jc w:val="left"/>
              <w:rPr>
                <w:rFonts w:hint="eastAsia" w:ascii="宋体" w:hAnsi="宋体" w:eastAsia="宋体" w:cs="宋体"/>
                <w:sz w:val="21"/>
                <w:szCs w:val="21"/>
              </w:rPr>
            </w:pPr>
            <w:r>
              <w:rPr>
                <w:rFonts w:hint="eastAsia" w:ascii="宋体" w:hAnsi="宋体" w:eastAsia="宋体" w:cs="宋体"/>
                <w:sz w:val="21"/>
                <w:szCs w:val="21"/>
              </w:rPr>
              <w:t>▲交货期：合同签订后</w:t>
            </w:r>
            <w:r>
              <w:rPr>
                <w:rFonts w:hint="eastAsia" w:ascii="宋体" w:hAnsi="宋体" w:eastAsia="宋体" w:cs="宋体"/>
                <w:sz w:val="21"/>
                <w:szCs w:val="21"/>
                <w:lang w:val="en-US" w:eastAsia="zh-CN"/>
              </w:rPr>
              <w:t>15</w:t>
            </w:r>
            <w:r>
              <w:rPr>
                <w:rFonts w:hint="eastAsia" w:ascii="宋体" w:hAnsi="宋体" w:eastAsia="宋体" w:cs="宋体"/>
                <w:sz w:val="21"/>
                <w:szCs w:val="21"/>
              </w:rPr>
              <w:t>个自然日内完成本项目到货、检验正常且交付，项目进度必须满足采购人对项目的总体计划和进度要求。每次交货需附带供货清单，供双方签字留存。</w:t>
            </w:r>
          </w:p>
        </w:tc>
      </w:tr>
      <w:tr w14:paraId="74C3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47" w:type="dxa"/>
            <w:vMerge w:val="restart"/>
            <w:tcBorders>
              <w:top w:val="single" w:color="auto" w:sz="4" w:space="0"/>
              <w:left w:val="single" w:color="auto" w:sz="4" w:space="0"/>
              <w:right w:val="single" w:color="auto" w:sz="4" w:space="0"/>
            </w:tcBorders>
            <w:vAlign w:val="center"/>
          </w:tcPr>
          <w:p w14:paraId="33C64F3B">
            <w:pPr>
              <w:jc w:val="center"/>
              <w:rPr>
                <w:rFonts w:hint="eastAsia" w:ascii="宋体" w:hAnsi="宋体" w:eastAsia="宋体" w:cs="宋体"/>
                <w:sz w:val="21"/>
                <w:szCs w:val="21"/>
              </w:rPr>
            </w:pPr>
            <w:r>
              <w:rPr>
                <w:rFonts w:hint="eastAsia" w:ascii="宋体" w:hAnsi="宋体" w:eastAsia="宋体" w:cs="宋体"/>
                <w:sz w:val="21"/>
                <w:szCs w:val="21"/>
              </w:rPr>
              <w:t>2</w:t>
            </w:r>
          </w:p>
        </w:tc>
        <w:tc>
          <w:tcPr>
            <w:tcW w:w="1691" w:type="dxa"/>
            <w:vMerge w:val="restart"/>
            <w:tcBorders>
              <w:top w:val="single" w:color="auto" w:sz="4" w:space="0"/>
              <w:left w:val="single" w:color="auto" w:sz="4" w:space="0"/>
              <w:right w:val="single" w:color="auto" w:sz="4" w:space="0"/>
            </w:tcBorders>
            <w:vAlign w:val="center"/>
          </w:tcPr>
          <w:p w14:paraId="30BA75B4">
            <w:pPr>
              <w:jc w:val="center"/>
              <w:rPr>
                <w:rFonts w:hint="eastAsia" w:ascii="宋体" w:hAnsi="宋体" w:eastAsia="宋体" w:cs="宋体"/>
                <w:sz w:val="21"/>
                <w:szCs w:val="21"/>
              </w:rPr>
            </w:pPr>
            <w:r>
              <w:rPr>
                <w:rFonts w:hint="eastAsia" w:ascii="宋体" w:hAnsi="宋体" w:eastAsia="宋体" w:cs="宋体"/>
                <w:sz w:val="21"/>
                <w:szCs w:val="21"/>
              </w:rPr>
              <w:t>关于验收</w:t>
            </w:r>
          </w:p>
        </w:tc>
        <w:tc>
          <w:tcPr>
            <w:tcW w:w="5884" w:type="dxa"/>
            <w:tcBorders>
              <w:top w:val="single" w:color="auto" w:sz="4" w:space="0"/>
              <w:left w:val="single" w:color="auto" w:sz="4" w:space="0"/>
              <w:bottom w:val="single" w:color="auto" w:sz="4" w:space="0"/>
              <w:right w:val="single" w:color="auto" w:sz="4" w:space="0"/>
            </w:tcBorders>
            <w:vAlign w:val="center"/>
          </w:tcPr>
          <w:p w14:paraId="46395735">
            <w:pPr>
              <w:jc w:val="left"/>
              <w:rPr>
                <w:rFonts w:hint="eastAsia" w:ascii="宋体" w:hAnsi="宋体" w:eastAsia="宋体" w:cs="宋体"/>
                <w:sz w:val="21"/>
                <w:szCs w:val="21"/>
              </w:rPr>
            </w:pPr>
            <w:r>
              <w:rPr>
                <w:rFonts w:hint="eastAsia" w:ascii="宋体" w:hAnsi="宋体" w:eastAsia="宋体" w:cs="宋体"/>
                <w:sz w:val="21"/>
                <w:szCs w:val="21"/>
              </w:rPr>
              <w:t>1.中标人提供的家具必须是全新的（包括零部件），有关家具必须符合国家检测标准，或具有有关质检部门出具的家具检验合格证明并保证家具的任何权利无疵，货物经过双方检验认可后，签署验收报告。</w:t>
            </w:r>
          </w:p>
        </w:tc>
      </w:tr>
      <w:tr w14:paraId="04008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vMerge w:val="continue"/>
            <w:tcBorders>
              <w:left w:val="single" w:color="auto" w:sz="4" w:space="0"/>
              <w:right w:val="single" w:color="auto" w:sz="4" w:space="0"/>
            </w:tcBorders>
            <w:vAlign w:val="center"/>
          </w:tcPr>
          <w:p w14:paraId="130E8B5A">
            <w:pPr>
              <w:jc w:val="center"/>
              <w:rPr>
                <w:rFonts w:hint="eastAsia" w:ascii="宋体" w:hAnsi="宋体" w:eastAsia="宋体" w:cs="宋体"/>
                <w:sz w:val="21"/>
                <w:szCs w:val="21"/>
              </w:rPr>
            </w:pPr>
          </w:p>
        </w:tc>
        <w:tc>
          <w:tcPr>
            <w:tcW w:w="1691" w:type="dxa"/>
            <w:vMerge w:val="continue"/>
            <w:tcBorders>
              <w:left w:val="single" w:color="auto" w:sz="4" w:space="0"/>
              <w:right w:val="single" w:color="auto" w:sz="4" w:space="0"/>
            </w:tcBorders>
            <w:vAlign w:val="center"/>
          </w:tcPr>
          <w:p w14:paraId="1617FC2D">
            <w:pPr>
              <w:jc w:val="center"/>
              <w:rPr>
                <w:rFonts w:hint="eastAsia" w:ascii="宋体" w:hAnsi="宋体" w:eastAsia="宋体" w:cs="宋体"/>
                <w:sz w:val="21"/>
                <w:szCs w:val="21"/>
              </w:rPr>
            </w:pPr>
          </w:p>
        </w:tc>
        <w:tc>
          <w:tcPr>
            <w:tcW w:w="5884" w:type="dxa"/>
            <w:tcBorders>
              <w:top w:val="single" w:color="auto" w:sz="4" w:space="0"/>
              <w:left w:val="single" w:color="auto" w:sz="4" w:space="0"/>
              <w:bottom w:val="single" w:color="auto" w:sz="4" w:space="0"/>
              <w:right w:val="single" w:color="auto" w:sz="4" w:space="0"/>
            </w:tcBorders>
            <w:vAlign w:val="center"/>
          </w:tcPr>
          <w:p w14:paraId="626773FD">
            <w:pPr>
              <w:jc w:val="left"/>
              <w:rPr>
                <w:rFonts w:hint="eastAsia" w:ascii="宋体" w:hAnsi="宋体" w:eastAsia="宋体" w:cs="宋体"/>
                <w:sz w:val="21"/>
                <w:szCs w:val="21"/>
              </w:rPr>
            </w:pPr>
            <w:r>
              <w:rPr>
                <w:rFonts w:hint="eastAsia" w:ascii="宋体" w:hAnsi="宋体" w:eastAsia="宋体" w:cs="宋体"/>
                <w:sz w:val="21"/>
                <w:szCs w:val="21"/>
              </w:rPr>
              <w:t>2. 采购人有权委托第三方机构对本项目的成品家具中的原材料板材进行抽样，抽取部件为本项目任一产品板材零部件，检测标准为GB/T18510甲醛检测，均应出具有检测资质的权威机构检测报告，抽样地点为交货地址（采购人安装现场）。因检测产品板材抽样检测，暂时缺少的家具，为不影响采购人正常使用，中标人须提供可临时替用家具，直到新补的产品到位。因检测导致家具不能再使用的，中标人根据采购人的要求免费增补。由此产生的一切后果由中标人负责。此项目的检测费用均由中标供应商支付。</w:t>
            </w:r>
          </w:p>
        </w:tc>
      </w:tr>
      <w:tr w14:paraId="17FA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vMerge w:val="continue"/>
            <w:tcBorders>
              <w:left w:val="single" w:color="auto" w:sz="4" w:space="0"/>
              <w:bottom w:val="single" w:color="auto" w:sz="4" w:space="0"/>
              <w:right w:val="single" w:color="auto" w:sz="4" w:space="0"/>
            </w:tcBorders>
            <w:vAlign w:val="center"/>
          </w:tcPr>
          <w:p w14:paraId="5F445786">
            <w:pPr>
              <w:jc w:val="center"/>
              <w:rPr>
                <w:rFonts w:hint="eastAsia" w:ascii="宋体" w:hAnsi="宋体" w:eastAsia="宋体" w:cs="宋体"/>
                <w:sz w:val="21"/>
                <w:szCs w:val="21"/>
              </w:rPr>
            </w:pPr>
          </w:p>
        </w:tc>
        <w:tc>
          <w:tcPr>
            <w:tcW w:w="1691" w:type="dxa"/>
            <w:vMerge w:val="continue"/>
            <w:tcBorders>
              <w:left w:val="single" w:color="auto" w:sz="4" w:space="0"/>
              <w:bottom w:val="single" w:color="auto" w:sz="4" w:space="0"/>
              <w:right w:val="single" w:color="auto" w:sz="4" w:space="0"/>
            </w:tcBorders>
            <w:vAlign w:val="center"/>
          </w:tcPr>
          <w:p w14:paraId="22CD184B">
            <w:pPr>
              <w:jc w:val="center"/>
              <w:rPr>
                <w:rFonts w:hint="eastAsia" w:ascii="宋体" w:hAnsi="宋体" w:eastAsia="宋体" w:cs="宋体"/>
                <w:sz w:val="21"/>
                <w:szCs w:val="21"/>
              </w:rPr>
            </w:pPr>
          </w:p>
        </w:tc>
        <w:tc>
          <w:tcPr>
            <w:tcW w:w="5884" w:type="dxa"/>
            <w:tcBorders>
              <w:top w:val="single" w:color="auto" w:sz="4" w:space="0"/>
              <w:left w:val="single" w:color="auto" w:sz="4" w:space="0"/>
              <w:bottom w:val="single" w:color="auto" w:sz="4" w:space="0"/>
              <w:right w:val="single" w:color="auto" w:sz="4" w:space="0"/>
            </w:tcBorders>
            <w:vAlign w:val="center"/>
          </w:tcPr>
          <w:p w14:paraId="11B442B0">
            <w:pPr>
              <w:jc w:val="left"/>
              <w:rPr>
                <w:rFonts w:hint="eastAsia" w:ascii="宋体" w:hAnsi="宋体" w:eastAsia="宋体" w:cs="宋体"/>
                <w:sz w:val="21"/>
                <w:szCs w:val="21"/>
              </w:rPr>
            </w:pPr>
            <w:r>
              <w:rPr>
                <w:rFonts w:hint="eastAsia" w:ascii="宋体" w:hAnsi="宋体" w:eastAsia="宋体" w:cs="宋体"/>
                <w:sz w:val="21"/>
                <w:szCs w:val="21"/>
              </w:rPr>
              <w:t>3.当满足以下条件时，采购人才向中标人签发货物验收报告：中标人已按照合同规定提供了全部合格的产品，并完成采购人要求的相关服务。</w:t>
            </w:r>
          </w:p>
        </w:tc>
      </w:tr>
      <w:tr w14:paraId="0B310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947" w:type="dxa"/>
            <w:tcBorders>
              <w:top w:val="single" w:color="auto" w:sz="4" w:space="0"/>
              <w:left w:val="single" w:color="auto" w:sz="4" w:space="0"/>
              <w:bottom w:val="single" w:color="auto" w:sz="4" w:space="0"/>
              <w:right w:val="single" w:color="auto" w:sz="4" w:space="0"/>
            </w:tcBorders>
            <w:vAlign w:val="center"/>
          </w:tcPr>
          <w:p w14:paraId="5D985598">
            <w:pPr>
              <w:jc w:val="center"/>
              <w:rPr>
                <w:rFonts w:hint="eastAsia" w:ascii="宋体" w:hAnsi="宋体" w:eastAsia="宋体" w:cs="宋体"/>
                <w:sz w:val="21"/>
                <w:szCs w:val="21"/>
              </w:rPr>
            </w:pPr>
            <w:r>
              <w:rPr>
                <w:rFonts w:hint="eastAsia" w:ascii="宋体" w:hAnsi="宋体" w:eastAsia="宋体" w:cs="宋体"/>
                <w:sz w:val="21"/>
                <w:szCs w:val="21"/>
              </w:rPr>
              <w:t>3</w:t>
            </w:r>
          </w:p>
        </w:tc>
        <w:tc>
          <w:tcPr>
            <w:tcW w:w="1691" w:type="dxa"/>
            <w:tcBorders>
              <w:top w:val="single" w:color="auto" w:sz="4" w:space="0"/>
              <w:left w:val="single" w:color="auto" w:sz="4" w:space="0"/>
              <w:bottom w:val="single" w:color="auto" w:sz="4" w:space="0"/>
              <w:right w:val="single" w:color="auto" w:sz="4" w:space="0"/>
            </w:tcBorders>
            <w:vAlign w:val="center"/>
          </w:tcPr>
          <w:p w14:paraId="208C7FBB">
            <w:pPr>
              <w:jc w:val="center"/>
              <w:rPr>
                <w:rFonts w:hint="eastAsia" w:ascii="宋体" w:hAnsi="宋体" w:eastAsia="宋体" w:cs="宋体"/>
                <w:sz w:val="21"/>
                <w:szCs w:val="21"/>
              </w:rPr>
            </w:pPr>
            <w:r>
              <w:rPr>
                <w:rFonts w:hint="eastAsia" w:ascii="宋体" w:hAnsi="宋体" w:eastAsia="宋体" w:cs="宋体"/>
                <w:sz w:val="21"/>
                <w:szCs w:val="21"/>
              </w:rPr>
              <w:t>关于付款方式</w:t>
            </w:r>
          </w:p>
        </w:tc>
        <w:tc>
          <w:tcPr>
            <w:tcW w:w="5884" w:type="dxa"/>
            <w:tcBorders>
              <w:top w:val="single" w:color="auto" w:sz="4" w:space="0"/>
              <w:left w:val="single" w:color="auto" w:sz="4" w:space="0"/>
              <w:bottom w:val="single" w:color="auto" w:sz="4" w:space="0"/>
              <w:right w:val="single" w:color="auto" w:sz="4" w:space="0"/>
            </w:tcBorders>
            <w:vAlign w:val="center"/>
          </w:tcPr>
          <w:p w14:paraId="6DF35142">
            <w:pPr>
              <w:jc w:val="left"/>
              <w:rPr>
                <w:rFonts w:hint="eastAsia" w:ascii="宋体" w:hAnsi="宋体" w:eastAsia="宋体" w:cs="宋体"/>
                <w:sz w:val="21"/>
                <w:szCs w:val="21"/>
              </w:rPr>
            </w:pPr>
            <w:r>
              <w:rPr>
                <w:rFonts w:hint="eastAsia" w:ascii="宋体" w:hAnsi="宋体" w:eastAsia="宋体" w:cs="宋体"/>
                <w:sz w:val="21"/>
                <w:szCs w:val="21"/>
              </w:rPr>
              <w:t>货物配送到位，验收通过后首次支付100%</w:t>
            </w:r>
          </w:p>
        </w:tc>
      </w:tr>
      <w:tr w14:paraId="7FE50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947" w:type="dxa"/>
            <w:tcBorders>
              <w:top w:val="single" w:color="auto" w:sz="4" w:space="0"/>
              <w:left w:val="single" w:color="auto" w:sz="4" w:space="0"/>
              <w:bottom w:val="single" w:color="auto" w:sz="4" w:space="0"/>
              <w:right w:val="single" w:color="auto" w:sz="4" w:space="0"/>
            </w:tcBorders>
            <w:vAlign w:val="center"/>
          </w:tcPr>
          <w:p w14:paraId="57DBFBB2">
            <w:pPr>
              <w:jc w:val="center"/>
              <w:rPr>
                <w:rFonts w:hint="eastAsia" w:ascii="宋体" w:hAnsi="宋体" w:eastAsia="宋体" w:cs="宋体"/>
                <w:sz w:val="21"/>
                <w:szCs w:val="21"/>
              </w:rPr>
            </w:pPr>
            <w:r>
              <w:rPr>
                <w:rFonts w:hint="eastAsia" w:ascii="宋体" w:hAnsi="宋体" w:eastAsia="宋体" w:cs="宋体"/>
                <w:sz w:val="21"/>
                <w:szCs w:val="21"/>
              </w:rPr>
              <w:t>4</w:t>
            </w:r>
          </w:p>
        </w:tc>
        <w:tc>
          <w:tcPr>
            <w:tcW w:w="1691" w:type="dxa"/>
            <w:tcBorders>
              <w:top w:val="single" w:color="auto" w:sz="4" w:space="0"/>
              <w:left w:val="single" w:color="auto" w:sz="4" w:space="0"/>
              <w:bottom w:val="single" w:color="auto" w:sz="4" w:space="0"/>
              <w:right w:val="single" w:color="auto" w:sz="4" w:space="0"/>
            </w:tcBorders>
            <w:vAlign w:val="center"/>
          </w:tcPr>
          <w:p w14:paraId="549077D7">
            <w:pPr>
              <w:jc w:val="center"/>
              <w:rPr>
                <w:rFonts w:hint="eastAsia" w:ascii="宋体" w:hAnsi="宋体" w:eastAsia="宋体" w:cs="宋体"/>
                <w:sz w:val="21"/>
                <w:szCs w:val="21"/>
              </w:rPr>
            </w:pPr>
            <w:r>
              <w:rPr>
                <w:rFonts w:hint="eastAsia" w:ascii="宋体" w:hAnsi="宋体" w:eastAsia="宋体" w:cs="宋体"/>
                <w:sz w:val="21"/>
                <w:szCs w:val="21"/>
              </w:rPr>
              <w:t>关于违约责任</w:t>
            </w:r>
          </w:p>
        </w:tc>
        <w:tc>
          <w:tcPr>
            <w:tcW w:w="5884" w:type="dxa"/>
            <w:tcBorders>
              <w:top w:val="single" w:color="auto" w:sz="4" w:space="0"/>
              <w:left w:val="single" w:color="auto" w:sz="4" w:space="0"/>
              <w:bottom w:val="single" w:color="auto" w:sz="4" w:space="0"/>
              <w:right w:val="single" w:color="auto" w:sz="4" w:space="0"/>
            </w:tcBorders>
            <w:vAlign w:val="center"/>
          </w:tcPr>
          <w:p w14:paraId="62A11708">
            <w:pPr>
              <w:jc w:val="left"/>
              <w:rPr>
                <w:rFonts w:hint="eastAsia" w:ascii="宋体" w:hAnsi="宋体" w:eastAsia="宋体" w:cs="宋体"/>
                <w:sz w:val="21"/>
                <w:szCs w:val="21"/>
              </w:rPr>
            </w:pPr>
            <w:r>
              <w:rPr>
                <w:rFonts w:hint="eastAsia" w:ascii="宋体" w:hAnsi="宋体" w:eastAsia="宋体" w:cs="宋体"/>
                <w:sz w:val="21"/>
                <w:szCs w:val="21"/>
              </w:rPr>
              <w:t>合同签订后根据合同内的违约责任条款的规定执行。</w:t>
            </w:r>
          </w:p>
        </w:tc>
      </w:tr>
      <w:tr w14:paraId="4608A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tcBorders>
              <w:top w:val="single" w:color="auto" w:sz="4" w:space="0"/>
              <w:left w:val="single" w:color="auto" w:sz="4" w:space="0"/>
              <w:bottom w:val="single" w:color="auto" w:sz="4" w:space="0"/>
              <w:right w:val="single" w:color="auto" w:sz="4" w:space="0"/>
            </w:tcBorders>
            <w:vAlign w:val="center"/>
          </w:tcPr>
          <w:p w14:paraId="1209E143">
            <w:pPr>
              <w:jc w:val="center"/>
              <w:rPr>
                <w:rFonts w:hint="eastAsia" w:ascii="宋体" w:hAnsi="宋体" w:eastAsia="宋体" w:cs="宋体"/>
                <w:sz w:val="21"/>
                <w:szCs w:val="21"/>
              </w:rPr>
            </w:pPr>
            <w:r>
              <w:rPr>
                <w:rFonts w:hint="eastAsia" w:ascii="宋体" w:hAnsi="宋体" w:eastAsia="宋体" w:cs="宋体"/>
                <w:sz w:val="21"/>
                <w:szCs w:val="21"/>
              </w:rPr>
              <w:t>5</w:t>
            </w:r>
          </w:p>
        </w:tc>
        <w:tc>
          <w:tcPr>
            <w:tcW w:w="1691" w:type="dxa"/>
            <w:tcBorders>
              <w:top w:val="single" w:color="auto" w:sz="4" w:space="0"/>
              <w:left w:val="single" w:color="auto" w:sz="4" w:space="0"/>
              <w:bottom w:val="single" w:color="auto" w:sz="4" w:space="0"/>
              <w:right w:val="single" w:color="auto" w:sz="4" w:space="0"/>
            </w:tcBorders>
            <w:vAlign w:val="center"/>
          </w:tcPr>
          <w:p w14:paraId="14685297">
            <w:pPr>
              <w:jc w:val="center"/>
              <w:rPr>
                <w:rFonts w:hint="eastAsia" w:ascii="宋体" w:hAnsi="宋体" w:eastAsia="宋体" w:cs="宋体"/>
                <w:sz w:val="21"/>
                <w:szCs w:val="21"/>
              </w:rPr>
            </w:pPr>
            <w:r>
              <w:rPr>
                <w:rFonts w:hint="eastAsia" w:ascii="宋体" w:hAnsi="宋体" w:eastAsia="宋体" w:cs="宋体"/>
                <w:sz w:val="21"/>
                <w:szCs w:val="21"/>
              </w:rPr>
              <w:t>关于知识产权</w:t>
            </w:r>
          </w:p>
        </w:tc>
        <w:tc>
          <w:tcPr>
            <w:tcW w:w="5884" w:type="dxa"/>
            <w:tcBorders>
              <w:top w:val="single" w:color="auto" w:sz="4" w:space="0"/>
              <w:left w:val="single" w:color="auto" w:sz="4" w:space="0"/>
              <w:bottom w:val="single" w:color="auto" w:sz="4" w:space="0"/>
              <w:right w:val="single" w:color="auto" w:sz="4" w:space="0"/>
            </w:tcBorders>
            <w:vAlign w:val="center"/>
          </w:tcPr>
          <w:p w14:paraId="608C3E23">
            <w:pPr>
              <w:jc w:val="left"/>
              <w:rPr>
                <w:rFonts w:hint="eastAsia" w:ascii="宋体" w:hAnsi="宋体" w:eastAsia="宋体" w:cs="宋体"/>
                <w:sz w:val="21"/>
                <w:szCs w:val="21"/>
              </w:rPr>
            </w:pPr>
            <w:r>
              <w:rPr>
                <w:rFonts w:hint="eastAsia" w:ascii="宋体" w:hAnsi="宋体" w:eastAsia="宋体" w:cs="宋体"/>
                <w:sz w:val="21"/>
                <w:szCs w:val="21"/>
              </w:rPr>
              <w:t>中标人保证其交付的产品不侵犯任何第三方的知识产权。如果任何第三方提出侵权，中标人必须负责与第三方交涉和承担可能发生的一切法律责任，并承担采购人因此而遭受的一切损失和费用（包括但不限于律师费、诉讼费）。</w:t>
            </w:r>
          </w:p>
        </w:tc>
      </w:tr>
      <w:tr w14:paraId="2652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tcBorders>
              <w:top w:val="single" w:color="auto" w:sz="4" w:space="0"/>
              <w:left w:val="single" w:color="auto" w:sz="4" w:space="0"/>
              <w:bottom w:val="single" w:color="auto" w:sz="4" w:space="0"/>
              <w:right w:val="single" w:color="auto" w:sz="4" w:space="0"/>
            </w:tcBorders>
            <w:vAlign w:val="center"/>
          </w:tcPr>
          <w:p w14:paraId="7C6171AC">
            <w:pPr>
              <w:jc w:val="center"/>
              <w:rPr>
                <w:rFonts w:hint="eastAsia" w:ascii="宋体" w:hAnsi="宋体" w:eastAsia="宋体" w:cs="宋体"/>
                <w:sz w:val="21"/>
                <w:szCs w:val="21"/>
              </w:rPr>
            </w:pPr>
            <w:r>
              <w:rPr>
                <w:rFonts w:hint="eastAsia" w:ascii="宋体" w:hAnsi="宋体" w:eastAsia="宋体" w:cs="宋体"/>
                <w:sz w:val="21"/>
                <w:szCs w:val="21"/>
              </w:rPr>
              <w:t>6</w:t>
            </w:r>
          </w:p>
        </w:tc>
        <w:tc>
          <w:tcPr>
            <w:tcW w:w="1691" w:type="dxa"/>
            <w:tcBorders>
              <w:top w:val="single" w:color="auto" w:sz="4" w:space="0"/>
              <w:left w:val="single" w:color="auto" w:sz="4" w:space="0"/>
              <w:bottom w:val="single" w:color="auto" w:sz="4" w:space="0"/>
              <w:right w:val="single" w:color="auto" w:sz="4" w:space="0"/>
            </w:tcBorders>
            <w:vAlign w:val="center"/>
          </w:tcPr>
          <w:p w14:paraId="0B65F60C">
            <w:pPr>
              <w:jc w:val="center"/>
              <w:rPr>
                <w:rFonts w:hint="eastAsia" w:ascii="宋体" w:hAnsi="宋体" w:eastAsia="宋体" w:cs="宋体"/>
                <w:sz w:val="21"/>
                <w:szCs w:val="21"/>
              </w:rPr>
            </w:pPr>
            <w:r>
              <w:rPr>
                <w:rFonts w:hint="eastAsia" w:ascii="宋体" w:hAnsi="宋体" w:eastAsia="宋体" w:cs="宋体"/>
                <w:sz w:val="21"/>
                <w:szCs w:val="21"/>
              </w:rPr>
              <w:t>关于报价和结算</w:t>
            </w:r>
          </w:p>
        </w:tc>
        <w:tc>
          <w:tcPr>
            <w:tcW w:w="5884" w:type="dxa"/>
            <w:tcBorders>
              <w:top w:val="single" w:color="auto" w:sz="4" w:space="0"/>
              <w:left w:val="single" w:color="auto" w:sz="4" w:space="0"/>
              <w:bottom w:val="single" w:color="auto" w:sz="4" w:space="0"/>
              <w:right w:val="single" w:color="auto" w:sz="4" w:space="0"/>
            </w:tcBorders>
            <w:vAlign w:val="center"/>
          </w:tcPr>
          <w:p w14:paraId="306C7188">
            <w:pPr>
              <w:jc w:val="left"/>
              <w:rPr>
                <w:rFonts w:hint="eastAsia" w:ascii="宋体" w:hAnsi="宋体" w:eastAsia="宋体" w:cs="宋体"/>
                <w:sz w:val="21"/>
                <w:szCs w:val="21"/>
              </w:rPr>
            </w:pPr>
            <w:r>
              <w:rPr>
                <w:rFonts w:hint="eastAsia" w:ascii="宋体" w:hAnsi="宋体" w:eastAsia="宋体" w:cs="宋体"/>
                <w:sz w:val="21"/>
                <w:szCs w:val="21"/>
              </w:rPr>
              <w:t>本项目费用采用包干制，应包括货物成本、服务成本、法定税费和企业的利润</w:t>
            </w:r>
            <w:r>
              <w:rPr>
                <w:rFonts w:hint="eastAsia" w:ascii="宋体" w:hAnsi="宋体" w:eastAsia="宋体" w:cs="宋体"/>
                <w:sz w:val="21"/>
                <w:szCs w:val="21"/>
                <w:lang w:val="en-US" w:eastAsia="zh-CN"/>
              </w:rPr>
              <w:t>等</w:t>
            </w:r>
            <w:r>
              <w:rPr>
                <w:rFonts w:hint="eastAsia" w:ascii="宋体" w:hAnsi="宋体" w:eastAsia="宋体" w:cs="宋体"/>
                <w:sz w:val="21"/>
                <w:szCs w:val="21"/>
              </w:rPr>
              <w:t>。由企业根据采购文件所提供的资料自行测算进行报价；一经中标，投标报价总价作为中标人与采购人签定的合同金额，为本项目的支付上限。</w:t>
            </w:r>
          </w:p>
        </w:tc>
      </w:tr>
    </w:tbl>
    <w:p w14:paraId="1417698B">
      <w:pPr>
        <w:jc w:val="left"/>
        <w:rPr>
          <w:rFonts w:hint="eastAsia" w:ascii="宋体" w:hAnsi="宋体" w:eastAsia="宋体" w:cs="宋体"/>
          <w:b/>
          <w:bCs/>
          <w:color w:val="000000"/>
          <w:sz w:val="21"/>
          <w:szCs w:val="21"/>
        </w:rPr>
      </w:pPr>
    </w:p>
    <w:p w14:paraId="21D32ED5">
      <w:pPr>
        <w:pStyle w:val="5"/>
        <w:rPr>
          <w:rFonts w:hint="eastAsia" w:ascii="宋体" w:hAnsi="宋体" w:eastAsia="宋体" w:cs="宋体"/>
          <w:b/>
          <w:bCs/>
          <w:color w:val="000000"/>
          <w:sz w:val="21"/>
          <w:szCs w:val="21"/>
        </w:rPr>
      </w:pPr>
    </w:p>
    <w:p w14:paraId="4E23E9C4">
      <w:pPr>
        <w:rPr>
          <w:rFonts w:hint="eastAsia" w:ascii="宋体" w:hAnsi="宋体" w:eastAsia="宋体" w:cs="宋体"/>
          <w:b/>
          <w:bCs/>
          <w:color w:val="000000"/>
          <w:sz w:val="21"/>
          <w:szCs w:val="21"/>
        </w:rPr>
      </w:pPr>
    </w:p>
    <w:p w14:paraId="6E0462DA">
      <w:pPr>
        <w:pStyle w:val="5"/>
        <w:rPr>
          <w:rFonts w:hint="eastAsia" w:ascii="宋体" w:hAnsi="宋体" w:eastAsia="宋体" w:cs="宋体"/>
          <w:b/>
          <w:bCs/>
          <w:color w:val="000000"/>
          <w:sz w:val="21"/>
          <w:szCs w:val="21"/>
        </w:rPr>
      </w:pPr>
    </w:p>
    <w:p w14:paraId="16A4F69F">
      <w:pPr>
        <w:rPr>
          <w:rFonts w:hint="eastAsia" w:ascii="宋体" w:hAnsi="宋体" w:eastAsia="宋体" w:cs="宋体"/>
          <w:sz w:val="21"/>
          <w:szCs w:val="21"/>
        </w:rPr>
      </w:pPr>
    </w:p>
    <w:p w14:paraId="30987583">
      <w:pPr>
        <w:pStyle w:val="3"/>
        <w:numPr>
          <w:ilvl w:val="3"/>
          <w:numId w:val="0"/>
        </w:numPr>
        <w:rPr>
          <w:rFonts w:hint="eastAsia" w:ascii="宋体" w:hAnsi="宋体" w:eastAsia="宋体" w:cs="宋体"/>
          <w:sz w:val="21"/>
          <w:szCs w:val="21"/>
        </w:rPr>
      </w:pPr>
      <w:r>
        <w:rPr>
          <w:rFonts w:hint="eastAsia" w:ascii="宋体" w:hAnsi="宋体" w:eastAsia="宋体" w:cs="宋体"/>
          <w:sz w:val="21"/>
          <w:szCs w:val="21"/>
        </w:rPr>
        <w:t>【样品明细表】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3884"/>
        <w:gridCol w:w="1216"/>
        <w:gridCol w:w="1367"/>
        <w:gridCol w:w="1189"/>
      </w:tblGrid>
      <w:tr w14:paraId="7797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6" w:type="dxa"/>
            <w:vAlign w:val="center"/>
          </w:tcPr>
          <w:p w14:paraId="6953E1A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序号</w:t>
            </w:r>
          </w:p>
        </w:tc>
        <w:tc>
          <w:tcPr>
            <w:tcW w:w="3884" w:type="dxa"/>
            <w:vAlign w:val="center"/>
          </w:tcPr>
          <w:p w14:paraId="6D7532E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样品名称</w:t>
            </w:r>
          </w:p>
        </w:tc>
        <w:tc>
          <w:tcPr>
            <w:tcW w:w="1216" w:type="dxa"/>
            <w:vAlign w:val="center"/>
          </w:tcPr>
          <w:p w14:paraId="3D7A789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单位</w:t>
            </w:r>
          </w:p>
        </w:tc>
        <w:tc>
          <w:tcPr>
            <w:tcW w:w="1367" w:type="dxa"/>
            <w:vAlign w:val="center"/>
          </w:tcPr>
          <w:p w14:paraId="67C6DB8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数量</w:t>
            </w:r>
          </w:p>
        </w:tc>
        <w:tc>
          <w:tcPr>
            <w:tcW w:w="1189" w:type="dxa"/>
            <w:vAlign w:val="center"/>
          </w:tcPr>
          <w:p w14:paraId="4351793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备注</w:t>
            </w:r>
          </w:p>
        </w:tc>
      </w:tr>
      <w:tr w14:paraId="010E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6" w:type="dxa"/>
            <w:vAlign w:val="center"/>
          </w:tcPr>
          <w:p w14:paraId="4FDC47A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3884" w:type="dxa"/>
            <w:vAlign w:val="center"/>
          </w:tcPr>
          <w:p w14:paraId="208ECDD5">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304不锈钢钢板</w:t>
            </w:r>
          </w:p>
        </w:tc>
        <w:tc>
          <w:tcPr>
            <w:tcW w:w="1216" w:type="dxa"/>
            <w:vAlign w:val="center"/>
          </w:tcPr>
          <w:p w14:paraId="5747610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块</w:t>
            </w:r>
          </w:p>
        </w:tc>
        <w:tc>
          <w:tcPr>
            <w:tcW w:w="1367" w:type="dxa"/>
            <w:vAlign w:val="center"/>
          </w:tcPr>
          <w:p w14:paraId="3E3A41D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1189" w:type="dxa"/>
            <w:vAlign w:val="center"/>
          </w:tcPr>
          <w:p w14:paraId="6B41D15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w:t>
            </w:r>
          </w:p>
        </w:tc>
      </w:tr>
      <w:tr w14:paraId="7B37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6" w:type="dxa"/>
            <w:vAlign w:val="center"/>
          </w:tcPr>
          <w:p w14:paraId="747BF36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884" w:type="dxa"/>
            <w:vAlign w:val="center"/>
          </w:tcPr>
          <w:p w14:paraId="0168D0A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冷</w:t>
            </w:r>
            <w:r>
              <w:rPr>
                <w:rFonts w:hint="eastAsia" w:ascii="宋体" w:hAnsi="宋体" w:eastAsia="宋体" w:cs="宋体"/>
                <w:color w:val="000000"/>
                <w:kern w:val="0"/>
                <w:sz w:val="21"/>
                <w:szCs w:val="21"/>
                <w:lang w:bidi="ar"/>
              </w:rPr>
              <w:t>轧钢板</w:t>
            </w:r>
          </w:p>
        </w:tc>
        <w:tc>
          <w:tcPr>
            <w:tcW w:w="1216" w:type="dxa"/>
            <w:vAlign w:val="center"/>
          </w:tcPr>
          <w:p w14:paraId="6ACD57E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块</w:t>
            </w:r>
          </w:p>
        </w:tc>
        <w:tc>
          <w:tcPr>
            <w:tcW w:w="1367" w:type="dxa"/>
            <w:vAlign w:val="center"/>
          </w:tcPr>
          <w:p w14:paraId="435EEDF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1189" w:type="dxa"/>
            <w:vAlign w:val="center"/>
          </w:tcPr>
          <w:p w14:paraId="44866A2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w:t>
            </w:r>
          </w:p>
        </w:tc>
      </w:tr>
      <w:tr w14:paraId="08B5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6" w:type="dxa"/>
            <w:vAlign w:val="center"/>
          </w:tcPr>
          <w:p w14:paraId="09BC499C">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3884" w:type="dxa"/>
            <w:vAlign w:val="center"/>
          </w:tcPr>
          <w:p w14:paraId="6F33CAC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导轨</w:t>
            </w:r>
          </w:p>
        </w:tc>
        <w:tc>
          <w:tcPr>
            <w:tcW w:w="1216" w:type="dxa"/>
            <w:vAlign w:val="center"/>
          </w:tcPr>
          <w:p w14:paraId="49EC9B5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个</w:t>
            </w:r>
          </w:p>
        </w:tc>
        <w:tc>
          <w:tcPr>
            <w:tcW w:w="1367" w:type="dxa"/>
            <w:vAlign w:val="center"/>
          </w:tcPr>
          <w:p w14:paraId="0B1261E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1189" w:type="dxa"/>
            <w:vAlign w:val="center"/>
          </w:tcPr>
          <w:p w14:paraId="3DE456A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w:t>
            </w:r>
          </w:p>
        </w:tc>
      </w:tr>
      <w:tr w14:paraId="1CD9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6" w:type="dxa"/>
            <w:vAlign w:val="center"/>
          </w:tcPr>
          <w:p w14:paraId="6E812835">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3884" w:type="dxa"/>
            <w:vAlign w:val="center"/>
          </w:tcPr>
          <w:p w14:paraId="3C081BB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气压棒</w:t>
            </w:r>
          </w:p>
        </w:tc>
        <w:tc>
          <w:tcPr>
            <w:tcW w:w="1216" w:type="dxa"/>
            <w:vAlign w:val="center"/>
          </w:tcPr>
          <w:p w14:paraId="7203C81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个</w:t>
            </w:r>
          </w:p>
        </w:tc>
        <w:tc>
          <w:tcPr>
            <w:tcW w:w="1367" w:type="dxa"/>
            <w:vAlign w:val="center"/>
          </w:tcPr>
          <w:p w14:paraId="1167138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1189" w:type="dxa"/>
            <w:vAlign w:val="center"/>
          </w:tcPr>
          <w:p w14:paraId="4EFE535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w:t>
            </w:r>
          </w:p>
        </w:tc>
      </w:tr>
      <w:tr w14:paraId="122C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6" w:type="dxa"/>
            <w:vAlign w:val="center"/>
          </w:tcPr>
          <w:p w14:paraId="15B868A6">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p>
        </w:tc>
        <w:tc>
          <w:tcPr>
            <w:tcW w:w="3884" w:type="dxa"/>
            <w:vAlign w:val="center"/>
          </w:tcPr>
          <w:p w14:paraId="562506B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铰链</w:t>
            </w:r>
          </w:p>
        </w:tc>
        <w:tc>
          <w:tcPr>
            <w:tcW w:w="1216" w:type="dxa"/>
            <w:vAlign w:val="center"/>
          </w:tcPr>
          <w:p w14:paraId="00AD778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个</w:t>
            </w:r>
          </w:p>
        </w:tc>
        <w:tc>
          <w:tcPr>
            <w:tcW w:w="1367" w:type="dxa"/>
            <w:vAlign w:val="center"/>
          </w:tcPr>
          <w:p w14:paraId="0E850AA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1189" w:type="dxa"/>
            <w:vAlign w:val="center"/>
          </w:tcPr>
          <w:p w14:paraId="2E98246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w:t>
            </w:r>
          </w:p>
        </w:tc>
      </w:tr>
    </w:tbl>
    <w:p w14:paraId="220D5356">
      <w:pPr>
        <w:rPr>
          <w:rFonts w:eastAsiaTheme="minorEastAsia"/>
          <w:b/>
          <w:szCs w:val="21"/>
        </w:rPr>
      </w:pPr>
    </w:p>
    <w:p w14:paraId="15BD4D37">
      <w:pPr>
        <w:rPr>
          <w:rFonts w:cs="Arial" w:asciiTheme="minorEastAsia" w:hAnsiTheme="minorEastAsia" w:eastAsiaTheme="minorEastAsia"/>
          <w:b/>
          <w:color w:val="000000"/>
          <w:sz w:val="32"/>
          <w:szCs w:val="32"/>
        </w:rPr>
      </w:pPr>
      <w:r>
        <w:rPr>
          <w:rFonts w:cs="Arial" w:asciiTheme="minorEastAsia" w:hAnsiTheme="minorEastAsia" w:eastAsiaTheme="minorEastAsia"/>
          <w:b/>
          <w:color w:val="000000"/>
          <w:sz w:val="32"/>
          <w:szCs w:val="32"/>
        </w:rPr>
        <w:br w:type="page"/>
      </w:r>
    </w:p>
    <w:p w14:paraId="16415779">
      <w:pPr>
        <w:pStyle w:val="29"/>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w:pict>
          <v:shape id="_x0000_s2069" o:spid="_x0000_s2069" o:spt="202" type="#_x0000_t202" style="position:absolute;left:0pt;margin-left:392.25pt;margin-top:4.5pt;height:23.4pt;width:51.1pt;z-index:251663360;mso-width-relative:page;mso-height-relative:page;" coordsize="21600,21600">
            <v:path/>
            <v:fill focussize="0,0"/>
            <v:stroke joinstyle="miter"/>
            <v:imagedata o:title=""/>
            <o:lock v:ext="edit"/>
            <v:textbox>
              <w:txbxContent>
                <w:p w14:paraId="51DE9E7D">
                  <w:pPr>
                    <w:jc w:val="center"/>
                    <w:rPr>
                      <w:rFonts w:ascii="宋体" w:hAnsi="宋体"/>
                      <w:b/>
                      <w:sz w:val="24"/>
                    </w:rPr>
                  </w:pPr>
                  <w:r>
                    <w:rPr>
                      <w:rFonts w:hint="eastAsia" w:ascii="宋体" w:hAnsi="宋体"/>
                      <w:b/>
                      <w:sz w:val="24"/>
                    </w:rPr>
                    <w:t>正本</w:t>
                  </w:r>
                </w:p>
              </w:txbxContent>
            </v:textbox>
          </v:shape>
        </w:pic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39D8C223">
      <w:pPr>
        <w:widowControl/>
        <w:spacing w:line="360" w:lineRule="atLeast"/>
        <w:jc w:val="center"/>
        <w:rPr>
          <w:rFonts w:asciiTheme="minorEastAsia" w:hAnsiTheme="minorEastAsia" w:eastAsiaTheme="minorEastAsia"/>
          <w:b/>
          <w:bCs/>
          <w:color w:val="000000"/>
          <w:sz w:val="24"/>
        </w:rPr>
      </w:pPr>
      <w:r>
        <w:rPr>
          <w:rFonts w:cs="宋体-18030" w:asciiTheme="minorEastAsia" w:hAnsiTheme="minorEastAsia" w:eastAsiaTheme="minorEastAsia"/>
          <w:b/>
          <w:bCs/>
          <w:color w:val="000000"/>
          <w:sz w:val="24"/>
        </w:rPr>
        <w:t>深圳市宝安区石岩人民医院</w:t>
      </w:r>
      <w:r>
        <w:rPr>
          <w:rFonts w:asciiTheme="minorEastAsia" w:hAnsiTheme="minorEastAsia" w:eastAsiaTheme="minorEastAsia"/>
          <w:b/>
          <w:bCs/>
          <w:color w:val="000000"/>
          <w:sz w:val="24"/>
        </w:rPr>
        <w:t>202</w:t>
      </w:r>
      <w:r>
        <w:rPr>
          <w:rFonts w:hint="eastAsia" w:asciiTheme="minorEastAsia" w:hAnsiTheme="minorEastAsia" w:eastAsiaTheme="minorEastAsia"/>
          <w:b/>
          <w:bCs/>
          <w:color w:val="000000"/>
          <w:sz w:val="24"/>
          <w:lang w:val="en-US" w:eastAsia="zh-CN"/>
        </w:rPr>
        <w:t>4</w:t>
      </w:r>
      <w:r>
        <w:rPr>
          <w:rFonts w:asciiTheme="minorEastAsia" w:hAnsiTheme="minorEastAsia" w:eastAsiaTheme="minorEastAsia"/>
          <w:b/>
          <w:bCs/>
          <w:color w:val="000000"/>
          <w:sz w:val="24"/>
        </w:rPr>
        <w:t>年第</w:t>
      </w:r>
      <w:r>
        <w:rPr>
          <w:rFonts w:hint="eastAsia" w:asciiTheme="minorEastAsia" w:hAnsiTheme="minorEastAsia" w:eastAsiaTheme="minorEastAsia"/>
          <w:b/>
          <w:bCs/>
          <w:color w:val="000000"/>
          <w:sz w:val="24"/>
          <w:lang w:val="en-US" w:eastAsia="zh-CN"/>
        </w:rPr>
        <w:t>52</w:t>
      </w:r>
      <w:r>
        <w:rPr>
          <w:rFonts w:asciiTheme="minorEastAsia" w:hAnsiTheme="minorEastAsia" w:eastAsiaTheme="minorEastAsia"/>
          <w:b/>
          <w:bCs/>
          <w:color w:val="000000"/>
          <w:sz w:val="24"/>
        </w:rPr>
        <w:t>期</w:t>
      </w:r>
    </w:p>
    <w:p w14:paraId="5E2DF093">
      <w:pPr>
        <w:spacing w:after="60"/>
        <w:rPr>
          <w:rFonts w:asciiTheme="minorEastAsia" w:hAnsiTheme="minorEastAsia" w:eastAsiaTheme="minorEastAsia"/>
          <w:b/>
          <w:bCs/>
          <w:color w:val="003368"/>
          <w:sz w:val="24"/>
        </w:rPr>
      </w:pP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355E57AF">
      <w:pPr>
        <w:widowControl/>
        <w:ind w:left="1"/>
        <w:jc w:val="center"/>
        <w:rPr>
          <w:rFonts w:hint="default" w:asciiTheme="minorEastAsia" w:hAnsiTheme="minorEastAsia" w:eastAsiaTheme="minorEastAsia"/>
          <w:b/>
          <w:bCs/>
          <w:color w:val="000000"/>
          <w:lang w:val="en-US" w:eastAsia="zh-CN"/>
        </w:rPr>
      </w:pPr>
      <w:r>
        <w:rPr>
          <w:rFonts w:asciiTheme="minorEastAsia" w:hAnsiTheme="minorEastAsia" w:eastAsiaTheme="minorEastAsia"/>
          <w:b/>
          <w:bCs/>
          <w:color w:val="000000"/>
          <w:sz w:val="28"/>
          <w:szCs w:val="28"/>
        </w:rPr>
        <w:t>项目编号:</w:t>
      </w:r>
      <w:r>
        <w:rPr>
          <w:rFonts w:hint="eastAsia" w:asciiTheme="minorEastAsia" w:hAnsiTheme="minorEastAsia" w:eastAsiaTheme="minorEastAsia"/>
          <w:b/>
          <w:bCs/>
          <w:color w:val="000000"/>
          <w:sz w:val="28"/>
          <w:szCs w:val="28"/>
        </w:rPr>
        <w:t>SYYY</w:t>
      </w:r>
      <w:r>
        <w:rPr>
          <w:rFonts w:asciiTheme="minorEastAsia" w:hAnsiTheme="minorEastAsia" w:eastAsiaTheme="minorEastAsia"/>
          <w:b/>
          <w:bCs/>
          <w:color w:val="000000"/>
          <w:sz w:val="28"/>
          <w:szCs w:val="28"/>
        </w:rPr>
        <w:t>ZBCG202</w:t>
      </w:r>
      <w:r>
        <w:rPr>
          <w:rFonts w:hint="eastAsia" w:asciiTheme="minorEastAsia" w:hAnsiTheme="minorEastAsia" w:eastAsiaTheme="minorEastAsia"/>
          <w:b/>
          <w:bCs/>
          <w:color w:val="000000"/>
          <w:sz w:val="28"/>
          <w:szCs w:val="28"/>
          <w:lang w:val="en-US" w:eastAsia="zh-CN"/>
        </w:rPr>
        <w:t>4</w:t>
      </w:r>
      <w:r>
        <w:rPr>
          <w:rFonts w:asciiTheme="minorEastAsia" w:hAnsiTheme="minorEastAsia" w:eastAsiaTheme="minorEastAsia"/>
          <w:b/>
          <w:bCs/>
          <w:color w:val="000000"/>
          <w:sz w:val="28"/>
          <w:szCs w:val="28"/>
        </w:rPr>
        <w:t>-</w:t>
      </w:r>
      <w:r>
        <w:rPr>
          <w:rFonts w:hint="eastAsia" w:asciiTheme="minorEastAsia" w:hAnsiTheme="minorEastAsia" w:eastAsiaTheme="minorEastAsia"/>
          <w:b/>
          <w:bCs/>
          <w:color w:val="000000"/>
          <w:sz w:val="28"/>
          <w:szCs w:val="28"/>
          <w:lang w:val="en-US" w:eastAsia="zh-CN"/>
        </w:rPr>
        <w:t>52</w:t>
      </w:r>
    </w:p>
    <w:p w14:paraId="1ED54C4E">
      <w:pPr>
        <w:widowControl/>
        <w:spacing w:line="360" w:lineRule="atLeast"/>
        <w:rPr>
          <w:rStyle w:val="32"/>
          <w:rFonts w:asciiTheme="minorEastAsia" w:hAnsiTheme="minorEastAsia" w:eastAsiaTheme="minorEastAsia"/>
          <w:color w:val="000000"/>
          <w:szCs w:val="28"/>
        </w:rPr>
      </w:pPr>
    </w:p>
    <w:p w14:paraId="052B83D0">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项目序号:</w:t>
      </w:r>
      <w:r>
        <w:rPr>
          <w:rStyle w:val="32"/>
          <w:rFonts w:asciiTheme="minorEastAsia" w:hAnsiTheme="minorEastAsia" w:eastAsiaTheme="minorEastAsia"/>
          <w:color w:val="000000"/>
          <w:szCs w:val="28"/>
          <w:u w:val="single"/>
        </w:rPr>
        <w:t xml:space="preserve">              </w:t>
      </w:r>
      <w:r>
        <w:rPr>
          <w:rStyle w:val="32"/>
          <w:rFonts w:hint="eastAsia" w:asciiTheme="minorEastAsia" w:hAnsiTheme="minorEastAsia" w:eastAsiaTheme="minorEastAsia"/>
          <w:color w:val="000000"/>
          <w:szCs w:val="28"/>
          <w:u w:val="single"/>
          <w:lang w:val="en-US"/>
        </w:rPr>
        <w:t>/</w:t>
      </w:r>
      <w:r>
        <w:rPr>
          <w:rStyle w:val="32"/>
          <w:rFonts w:asciiTheme="minorEastAsia" w:hAnsiTheme="minorEastAsia" w:eastAsiaTheme="minorEastAsia"/>
          <w:color w:val="000000"/>
          <w:szCs w:val="28"/>
          <w:u w:val="single"/>
        </w:rPr>
        <w:t xml:space="preserve">                        </w:t>
      </w: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79F3088E">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4</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14:paraId="6B4FA0C2">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                                           </w:t>
      </w:r>
    </w:p>
    <w:p w14:paraId="4143BB7E">
      <w:pPr>
        <w:widowControl/>
        <w:spacing w:line="360" w:lineRule="atLeast"/>
        <w:rPr>
          <w:rStyle w:val="32"/>
          <w:color w:val="FF0000"/>
          <w:szCs w:val="28"/>
        </w:rPr>
      </w:pPr>
      <w:r>
        <w:rPr>
          <w:rStyle w:val="32"/>
          <w:color w:val="000000"/>
          <w:szCs w:val="28"/>
        </w:rPr>
        <w:t>备注:一</w:t>
      </w:r>
      <w:r>
        <w:rPr>
          <w:rStyle w:val="32"/>
          <w:rFonts w:hint="eastAsia"/>
          <w:color w:val="000000"/>
          <w:szCs w:val="28"/>
        </w:rPr>
        <w:t>､</w:t>
      </w:r>
      <w:r>
        <w:rPr>
          <w:rStyle w:val="32"/>
          <w:szCs w:val="28"/>
        </w:rPr>
        <w:t>将1.投标书(正本1份)交至</w:t>
      </w:r>
      <w:r>
        <w:rPr>
          <w:rStyle w:val="32"/>
          <w:rFonts w:hint="eastAsia"/>
          <w:szCs w:val="28"/>
        </w:rPr>
        <w:t>深圳市</w:t>
      </w:r>
      <w:r>
        <w:rPr>
          <w:rStyle w:val="32"/>
          <w:szCs w:val="28"/>
        </w:rPr>
        <w:t>宝安区</w:t>
      </w:r>
      <w:r>
        <w:rPr>
          <w:rStyle w:val="32"/>
          <w:rFonts w:hint="eastAsia"/>
          <w:szCs w:val="28"/>
        </w:rPr>
        <w:t>石岩</w:t>
      </w:r>
      <w:r>
        <w:rPr>
          <w:rStyle w:val="32"/>
          <w:szCs w:val="28"/>
        </w:rPr>
        <w:t>人民医院</w:t>
      </w:r>
      <w:r>
        <w:rPr>
          <w:rStyle w:val="32"/>
          <w:rFonts w:hint="eastAsia"/>
          <w:szCs w:val="28"/>
        </w:rPr>
        <w:t>综合楼510室招标办</w:t>
      </w:r>
      <w:r>
        <w:rPr>
          <w:rStyle w:val="32"/>
          <w:szCs w:val="28"/>
        </w:rPr>
        <w:t>预审;2.现场报名后</w:t>
      </w:r>
      <w:r>
        <w:rPr>
          <w:rStyle w:val="32"/>
          <w:rFonts w:hint="eastAsia"/>
          <w:szCs w:val="28"/>
          <w:lang w:val="en-US"/>
        </w:rPr>
        <w:t>将</w:t>
      </w:r>
      <w:r>
        <w:rPr>
          <w:rStyle w:val="32"/>
          <w:szCs w:val="28"/>
        </w:rPr>
        <w:t>电子版文件发送至电子邮箱,(电子版文件包括:①投标书正本(胶装成册)纸质扫描件(PDF格式)②封面</w:t>
      </w:r>
      <w:r>
        <w:rPr>
          <w:rStyle w:val="32"/>
          <w:rFonts w:hint="eastAsia"/>
          <w:szCs w:val="28"/>
        </w:rPr>
        <w:t>､报价单</w:t>
      </w:r>
      <w:r>
        <w:rPr>
          <w:rStyle w:val="32"/>
          <w:szCs w:val="28"/>
        </w:rPr>
        <w:t>(价格不填)为word格式</w:t>
      </w:r>
      <w:r>
        <w:rPr>
          <w:rStyle w:val="32"/>
          <w:rFonts w:hint="eastAsia"/>
          <w:szCs w:val="28"/>
        </w:rPr>
        <w:t>｡</w:t>
      </w:r>
      <w:r>
        <w:rPr>
          <w:rStyle w:val="32"/>
          <w:szCs w:val="28"/>
        </w:rPr>
        <w:t>)投标书不用密封,逾期</w:t>
      </w:r>
      <w:r>
        <w:rPr>
          <w:rStyle w:val="32"/>
          <w:rFonts w:hint="eastAsia"/>
          <w:color w:val="000000"/>
          <w:szCs w:val="28"/>
        </w:rPr>
        <w:t>送达或资料缺项者恕不接受｡二､谈判现场,提交副本</w:t>
      </w:r>
      <w:r>
        <w:rPr>
          <w:rStyle w:val="32"/>
          <w:rFonts w:hint="eastAsia"/>
          <w:color w:val="000000"/>
          <w:szCs w:val="28"/>
          <w:lang w:val="en-US"/>
        </w:rPr>
        <w:t>5</w:t>
      </w:r>
      <w:r>
        <w:rPr>
          <w:rStyle w:val="32"/>
          <w:rFonts w:hint="eastAsia"/>
          <w:color w:val="000000"/>
          <w:szCs w:val="28"/>
        </w:rPr>
        <w:t>份(纸质胶装封面)、密封报价单｡</w:t>
      </w:r>
      <w:r>
        <w:rPr>
          <w:rStyle w:val="32"/>
          <w:color w:val="FF0000"/>
          <w:szCs w:val="28"/>
        </w:rPr>
        <w:t>三</w:t>
      </w:r>
      <w:r>
        <w:rPr>
          <w:rStyle w:val="32"/>
          <w:rFonts w:hint="eastAsia"/>
          <w:color w:val="FF0000"/>
          <w:szCs w:val="28"/>
        </w:rPr>
        <w:t>､节约纸张</w:t>
      </w:r>
      <w:r>
        <w:rPr>
          <w:rStyle w:val="32"/>
          <w:color w:val="FF0000"/>
          <w:szCs w:val="28"/>
        </w:rPr>
        <w:t>,请双面打印使用</w:t>
      </w:r>
    </w:p>
    <w:p w14:paraId="4CCC08DD">
      <w:pPr>
        <w:widowControl/>
        <w:spacing w:line="360" w:lineRule="atLeast"/>
        <w:rPr>
          <w:rStyle w:val="32"/>
          <w:color w:val="FF0000"/>
          <w:szCs w:val="28"/>
        </w:rPr>
      </w:pP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29"/>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w:t>
      </w:r>
      <w:r>
        <w:rPr>
          <w:rFonts w:hint="eastAsia" w:ascii="宋体" w:hAnsi="宋体"/>
          <w:color w:val="auto"/>
          <w:szCs w:val="21"/>
        </w:rPr>
        <w:t>-----见第（）页</w:t>
      </w:r>
    </w:p>
    <w:p w14:paraId="523ED49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s="宋体"/>
          <w:szCs w:val="21"/>
          <w:lang w:val="en-US" w:eastAsia="zh-CN"/>
        </w:rPr>
        <w:t>2</w:t>
      </w:r>
      <w:r>
        <w:rPr>
          <w:rFonts w:hint="eastAsia" w:ascii="宋体" w:hAnsi="宋体" w:eastAsia="宋体" w:cs="宋体"/>
          <w:szCs w:val="21"/>
        </w:rPr>
        <w:t>､</w:t>
      </w:r>
      <w:r>
        <w:rPr>
          <w:rFonts w:hint="eastAsia" w:ascii="宋体" w:hAnsi="宋体" w:eastAsia="宋体" w:cs="宋体"/>
          <w:szCs w:val="21"/>
          <w:lang w:val="en-US" w:eastAsia="zh-CN"/>
        </w:rPr>
        <w:t>股东构成审查表</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5</w:t>
      </w:r>
      <w:r>
        <w:rPr>
          <w:rFonts w:hint="eastAsia" w:ascii="宋体" w:hAnsi="宋体" w:eastAsia="宋体" w:cs="宋体"/>
          <w:color w:val="auto"/>
          <w:szCs w:val="21"/>
        </w:rPr>
        <w:t>､</w:t>
      </w:r>
      <w:r>
        <w:rPr>
          <w:rFonts w:hint="eastAsia" w:ascii="宋体" w:hAnsi="宋体" w:cs="宋体"/>
          <w:color w:val="auto"/>
          <w:szCs w:val="21"/>
          <w:lang w:val="en-US" w:eastAsia="zh-CN"/>
        </w:rPr>
        <w:t>谈判响应书</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1E32FA0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olor w:val="auto"/>
          <w:szCs w:val="21"/>
          <w:lang w:val="en-US" w:eastAsia="zh-CN"/>
        </w:rPr>
        <w:t>6</w:t>
      </w:r>
      <w:r>
        <w:rPr>
          <w:rFonts w:hint="eastAsia" w:ascii="宋体" w:hAnsi="宋体" w:eastAsia="宋体" w:cs="宋体"/>
          <w:szCs w:val="21"/>
        </w:rPr>
        <w:t>､</w:t>
      </w:r>
      <w:r>
        <w:rPr>
          <w:rFonts w:hint="eastAsia" w:ascii="宋体" w:hAnsi="宋体"/>
          <w:color w:val="auto"/>
          <w:szCs w:val="21"/>
          <w:lang w:val="en-US" w:eastAsia="zh-CN"/>
        </w:rPr>
        <w:t>投标及履约承诺函-------------------------------------------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10</w:t>
      </w:r>
      <w:r>
        <w:rPr>
          <w:rFonts w:hint="eastAsia" w:ascii="宋体" w:hAnsi="宋体" w:eastAsia="宋体" w:cs="宋体"/>
          <w:szCs w:val="21"/>
        </w:rPr>
        <w:t>､</w:t>
      </w:r>
      <w:bookmarkStart w:id="6" w:name="_Toc14751"/>
      <w:r>
        <w:rPr>
          <w:rFonts w:hint="eastAsia" w:ascii="宋体" w:hAnsi="宋体" w:eastAsia="宋体" w:cs="宋体"/>
          <w:szCs w:val="21"/>
        </w:rPr>
        <w:t>营业执照等资质文件</w:t>
      </w:r>
      <w:bookmarkEnd w:id="6"/>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Cs w:val="21"/>
          <w:lang w:val="en-US" w:eastAsia="zh-CN"/>
        </w:rPr>
        <w:t>代理商）</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1B0899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11</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1CE6F1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12</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14:paraId="7B80335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6EC6D1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4</w:t>
      </w:r>
      <w:r>
        <w:rPr>
          <w:rFonts w:hint="eastAsia" w:ascii="宋体" w:hAnsi="宋体" w:eastAsia="宋体" w:cs="宋体"/>
          <w:sz w:val="21"/>
          <w:szCs w:val="21"/>
        </w:rPr>
        <w:t>､制造商情况简介</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2866356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Cs w:val="21"/>
          <w:lang w:val="en-US" w:eastAsia="zh-CN"/>
        </w:rPr>
        <w:t>1</w:t>
      </w:r>
      <w:r>
        <w:rPr>
          <w:rFonts w:hint="eastAsia" w:ascii="宋体" w:hAnsi="宋体" w:cs="宋体"/>
          <w:szCs w:val="21"/>
          <w:lang w:val="en-US" w:eastAsia="zh-CN"/>
        </w:rPr>
        <w:t>5</w:t>
      </w:r>
      <w:r>
        <w:rPr>
          <w:rFonts w:hint="eastAsia" w:ascii="宋体" w:hAnsi="宋体" w:eastAsia="宋体" w:cs="宋体"/>
          <w:szCs w:val="21"/>
        </w:rPr>
        <w:t>､项目管理主要技术和售后服务人员情况表</w:t>
      </w:r>
      <w:r>
        <w:rPr>
          <w:rFonts w:hint="eastAsia" w:ascii="宋体" w:hAnsi="宋体"/>
          <w:color w:val="auto"/>
          <w:szCs w:val="21"/>
          <w:lang w:val="en-US" w:eastAsia="zh-CN"/>
        </w:rPr>
        <w:t>--------------------</w:t>
      </w:r>
      <w:r>
        <w:rPr>
          <w:rFonts w:hint="eastAsia" w:ascii="宋体" w:hAnsi="宋体"/>
          <w:color w:val="auto"/>
          <w:szCs w:val="21"/>
        </w:rPr>
        <w:t>-----见第（）页</w:t>
      </w:r>
    </w:p>
    <w:p w14:paraId="0C198B0D">
      <w:pPr>
        <w:keepNext w:val="0"/>
        <w:keepLines w:val="0"/>
        <w:pageBreakBefore w:val="0"/>
        <w:widowControl w:val="0"/>
        <w:numPr>
          <w:ilvl w:val="0"/>
          <w:numId w:val="0"/>
        </w:numPr>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cs="宋体"/>
          <w:szCs w:val="21"/>
          <w:lang w:val="en-US" w:eastAsia="zh-CN"/>
        </w:rPr>
        <w:t>16</w:t>
      </w:r>
      <w:r>
        <w:rPr>
          <w:rFonts w:hint="eastAsia" w:ascii="宋体" w:hAnsi="宋体" w:eastAsia="宋体" w:cs="宋体"/>
          <w:szCs w:val="21"/>
        </w:rPr>
        <w:t>､</w:t>
      </w:r>
      <w:r>
        <w:rPr>
          <w:rFonts w:hint="eastAsia" w:ascii="宋体" w:hAnsi="宋体" w:eastAsia="宋体" w:cs="宋体"/>
          <w:szCs w:val="21"/>
          <w:lang w:val="en-US" w:eastAsia="zh-CN"/>
        </w:rPr>
        <w:t>供法定代表人、主要经营负责人、项目投标授权代表人、项目负责人、主要技术人员最近一个月的社会保险证明-----------</w:t>
      </w:r>
      <w:r>
        <w:rPr>
          <w:rFonts w:hint="eastAsia" w:ascii="宋体" w:hAnsi="宋体" w:cs="宋体"/>
          <w:szCs w:val="21"/>
          <w:lang w:val="en-US" w:eastAsia="zh-CN"/>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5BF1A12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17</w:t>
      </w:r>
      <w:r>
        <w:rPr>
          <w:rFonts w:hint="eastAsia" w:ascii="宋体" w:hAnsi="宋体" w:eastAsia="宋体" w:cs="宋体"/>
          <w:szCs w:val="21"/>
        </w:rPr>
        <w:t>､</w:t>
      </w:r>
      <w:r>
        <w:rPr>
          <w:rFonts w:hint="eastAsia" w:ascii="宋体" w:hAnsi="宋体" w:cs="宋体"/>
          <w:szCs w:val="21"/>
        </w:rPr>
        <w:t>家具安装调试</w:t>
      </w:r>
      <w:r>
        <w:rPr>
          <w:rFonts w:hint="eastAsia" w:ascii="宋体" w:hAnsi="宋体" w:cs="宋体"/>
          <w:szCs w:val="21"/>
          <w:lang w:val="en-US" w:eastAsia="zh-CN"/>
        </w:rPr>
        <w:t>方案</w:t>
      </w:r>
      <w:r>
        <w:rPr>
          <w:rFonts w:hint="eastAsia" w:ascii="宋体" w:hAnsi="宋体"/>
          <w:szCs w:val="21"/>
          <w:lang w:eastAsia="zh-CN"/>
        </w:rPr>
        <w:t>（</w:t>
      </w:r>
      <w:r>
        <w:rPr>
          <w:rFonts w:hint="eastAsia" w:ascii="宋体" w:hAnsi="宋体"/>
          <w:szCs w:val="21"/>
          <w:lang w:val="en-US" w:eastAsia="zh-CN"/>
        </w:rPr>
        <w:t>按评分表要求提供）</w:t>
      </w:r>
      <w:r>
        <w:rPr>
          <w:rFonts w:hint="eastAsia" w:ascii="宋体" w:hAnsi="宋体"/>
          <w:color w:val="auto"/>
          <w:szCs w:val="21"/>
          <w:lang w:val="en-US" w:eastAsia="zh-CN"/>
        </w:rPr>
        <w:t>-----------------------</w:t>
      </w:r>
      <w:r>
        <w:rPr>
          <w:rFonts w:hint="eastAsia" w:ascii="宋体" w:hAnsi="宋体"/>
          <w:color w:val="auto"/>
          <w:szCs w:val="21"/>
        </w:rPr>
        <w:t>--见第（）页</w:t>
      </w:r>
    </w:p>
    <w:p w14:paraId="785B4C06">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rPr>
      </w:pPr>
      <w:r>
        <w:rPr>
          <w:rFonts w:hint="eastAsia" w:ascii="宋体" w:hAnsi="宋体" w:cs="宋体"/>
          <w:szCs w:val="21"/>
          <w:lang w:val="en-US" w:eastAsia="zh-CN"/>
        </w:rPr>
        <w:t>18</w:t>
      </w:r>
      <w:r>
        <w:rPr>
          <w:rFonts w:hint="eastAsia" w:ascii="宋体" w:hAnsi="宋体" w:eastAsia="宋体" w:cs="宋体"/>
          <w:szCs w:val="21"/>
        </w:rPr>
        <w:t>､同类项目成功案例一览表(合同关键页或验收报告原件</w:t>
      </w:r>
      <w:r>
        <w:rPr>
          <w:rFonts w:hint="eastAsia" w:ascii="宋体" w:hAnsi="宋体" w:cs="宋体"/>
          <w:szCs w:val="21"/>
          <w:lang w:val="en-US" w:eastAsia="zh-CN"/>
        </w:rPr>
        <w:t>备查，交复印件/</w:t>
      </w:r>
      <w:r>
        <w:rPr>
          <w:rFonts w:hint="eastAsia" w:ascii="宋体" w:hAnsi="宋体" w:eastAsia="宋体" w:cs="宋体"/>
          <w:szCs w:val="21"/>
        </w:rPr>
        <w:t>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5A0EDB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rPr>
      </w:pPr>
      <w:r>
        <w:rPr>
          <w:rFonts w:hint="eastAsia" w:ascii="宋体" w:hAnsi="宋体" w:cs="宋体"/>
          <w:szCs w:val="21"/>
          <w:lang w:val="en-US" w:eastAsia="zh-CN"/>
        </w:rPr>
        <w:t>19</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6F4AE94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both"/>
        <w:textAlignment w:val="auto"/>
        <w:rPr>
          <w:rFonts w:hint="eastAsia" w:ascii="宋体" w:hAnsi="宋体"/>
          <w:color w:val="auto"/>
          <w:szCs w:val="21"/>
          <w:lang w:eastAsia="zh-CN"/>
        </w:rPr>
      </w:pPr>
      <w:r>
        <w:rPr>
          <w:rFonts w:hint="eastAsia" w:ascii="宋体" w:hAnsi="宋体" w:cs="宋体"/>
          <w:szCs w:val="21"/>
          <w:lang w:val="en-US" w:eastAsia="zh-CN"/>
        </w:rPr>
        <w:t>20</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1D9D3DC6">
      <w:pPr>
        <w:keepNext w:val="0"/>
        <w:keepLines w:val="0"/>
        <w:pageBreakBefore w:val="0"/>
        <w:widowControl w:val="0"/>
        <w:kinsoku/>
        <w:wordWrap/>
        <w:overflowPunct/>
        <w:topLinePunct w:val="0"/>
        <w:autoSpaceDE/>
        <w:autoSpaceDN/>
        <w:bidi w:val="0"/>
        <w:adjustRightInd/>
        <w:snapToGrid/>
        <w:spacing w:after="60" w:line="240" w:lineRule="auto"/>
        <w:ind w:left="1050" w:leftChars="200" w:hanging="630" w:hangingChars="300"/>
        <w:textAlignment w:val="auto"/>
        <w:rPr>
          <w:rFonts w:hint="eastAsia" w:ascii="宋体" w:hAnsi="宋体"/>
          <w:color w:val="auto"/>
          <w:szCs w:val="21"/>
        </w:rPr>
      </w:pPr>
      <w:r>
        <w:rPr>
          <w:rFonts w:hint="eastAsia" w:ascii="宋体" w:hAnsi="宋体" w:cs="宋体"/>
          <w:szCs w:val="21"/>
          <w:lang w:val="en-US" w:eastAsia="zh-CN"/>
        </w:rPr>
        <w:t>21</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-----见第（）页</w:t>
      </w:r>
    </w:p>
    <w:p w14:paraId="27F3D544">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Cs w:val="21"/>
          <w:lang w:val="en-US" w:eastAsia="zh-CN"/>
        </w:rPr>
      </w:pPr>
      <w:r>
        <w:rPr>
          <w:rFonts w:hint="eastAsia" w:ascii="宋体" w:hAnsi="宋体" w:eastAsia="宋体" w:cs="宋体"/>
          <w:sz w:val="21"/>
          <w:szCs w:val="21"/>
        </w:rPr>
        <w:t>2</w:t>
      </w:r>
      <w:r>
        <w:rPr>
          <w:rFonts w:hint="eastAsia" w:ascii="宋体" w:hAnsi="宋体" w:cs="宋体"/>
          <w:sz w:val="21"/>
          <w:szCs w:val="21"/>
          <w:lang w:val="en-US" w:eastAsia="zh-CN"/>
        </w:rPr>
        <w:t>2</w:t>
      </w:r>
      <w:r>
        <w:rPr>
          <w:rFonts w:hint="eastAsia" w:ascii="宋体" w:hAnsi="宋体" w:eastAsia="宋体" w:cs="宋体"/>
          <w:sz w:val="21"/>
          <w:szCs w:val="21"/>
        </w:rPr>
        <w:t>､满足招标功能使用的</w:t>
      </w:r>
      <w:r>
        <w:rPr>
          <w:rFonts w:hint="eastAsia" w:ascii="宋体" w:hAnsi="宋体" w:cs="宋体"/>
          <w:sz w:val="21"/>
          <w:szCs w:val="21"/>
          <w:lang w:val="en-US" w:eastAsia="zh-CN"/>
        </w:rPr>
        <w:t>货物</w:t>
      </w:r>
      <w:r>
        <w:rPr>
          <w:rFonts w:hint="eastAsia" w:ascii="宋体" w:hAnsi="宋体" w:eastAsia="宋体" w:cs="宋体"/>
          <w:sz w:val="21"/>
          <w:szCs w:val="21"/>
        </w:rPr>
        <w:t>清单</w:t>
      </w:r>
      <w:r>
        <w:rPr>
          <w:rFonts w:hint="eastAsia" w:ascii="宋体" w:hAnsi="宋体" w:eastAsia="宋体" w:cs="宋体"/>
          <w:szCs w:val="21"/>
          <w:lang w:val="en-US" w:eastAsia="zh-CN"/>
        </w:rPr>
        <w:t>---------------------------------见第（）页</w:t>
      </w:r>
    </w:p>
    <w:p w14:paraId="6855BEFB">
      <w:pPr>
        <w:pStyle w:val="9"/>
        <w:ind w:left="630" w:leftChars="200" w:hanging="210" w:hangingChars="100"/>
        <w:rPr>
          <w:rFonts w:hint="eastAsia"/>
        </w:rPr>
      </w:pPr>
      <w:r>
        <w:rPr>
          <w:rFonts w:hint="eastAsia" w:ascii="宋体" w:hAnsi="宋体" w:eastAsia="宋体" w:cs="宋体"/>
          <w:sz w:val="21"/>
          <w:szCs w:val="21"/>
        </w:rPr>
        <w:t>2</w:t>
      </w:r>
      <w:r>
        <w:rPr>
          <w:rFonts w:hint="eastAsia" w:ascii="宋体" w:hAnsi="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en-US" w:eastAsia="zh-CN"/>
        </w:rPr>
        <w:t>质量检测报告----------------</w:t>
      </w:r>
      <w:r>
        <w:rPr>
          <w:rFonts w:hint="eastAsia" w:ascii="宋体" w:hAnsi="宋体" w:eastAsia="宋体" w:cs="宋体"/>
          <w:szCs w:val="21"/>
          <w:lang w:val="en-US" w:eastAsia="zh-CN"/>
        </w:rPr>
        <w:t>-----------------------------</w:t>
      </w:r>
      <w:r>
        <w:rPr>
          <w:rFonts w:hint="eastAsia" w:ascii="宋体" w:hAnsi="宋体" w:eastAsia="宋体" w:cs="宋体"/>
          <w:kern w:val="2"/>
          <w:sz w:val="21"/>
          <w:szCs w:val="21"/>
          <w:lang w:val="en-US" w:eastAsia="zh-CN" w:bidi="ar-SA"/>
        </w:rPr>
        <w:t>见第（）页</w:t>
      </w:r>
    </w:p>
    <w:p w14:paraId="648A75F5">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4</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415BEC6A">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25</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705EF0B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26</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7B90FB3A">
      <w:pPr>
        <w:keepNext w:val="0"/>
        <w:keepLines w:val="0"/>
        <w:pageBreakBefore w:val="0"/>
        <w:widowControl/>
        <w:kinsoku/>
        <w:wordWrap/>
        <w:overflowPunct/>
        <w:topLinePunct w:val="0"/>
        <w:autoSpaceDE/>
        <w:autoSpaceDN/>
        <w:bidi w:val="0"/>
        <w:adjustRightInd/>
        <w:snapToGrid w:val="0"/>
        <w:spacing w:line="260" w:lineRule="exact"/>
        <w:ind w:firstLine="411" w:firstLineChars="196"/>
        <w:textAlignment w:val="auto"/>
        <w:rPr>
          <w:rFonts w:hint="eastAsia" w:ascii="宋体" w:hAnsi="宋体" w:eastAsia="宋体" w:cs="宋体"/>
          <w:bCs/>
          <w:color w:val="FF0000"/>
          <w:kern w:val="0"/>
          <w:sz w:val="21"/>
          <w:szCs w:val="21"/>
        </w:rPr>
      </w:pPr>
    </w:p>
    <w:p w14:paraId="1ACF0A00">
      <w:pPr>
        <w:pStyle w:val="18"/>
        <w:spacing w:line="240" w:lineRule="auto"/>
        <w:jc w:val="center"/>
        <w:rPr>
          <w:rFonts w:ascii="宋体" w:hAnsi="宋体"/>
          <w:b/>
          <w:bCs/>
          <w:color w:val="000000"/>
          <w:sz w:val="24"/>
          <w:szCs w:val="24"/>
        </w:rPr>
      </w:pPr>
      <w:bookmarkStart w:id="7"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2"/>
        <w:tblW w:w="5723"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45"/>
        <w:gridCol w:w="1098"/>
        <w:gridCol w:w="1546"/>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eastAsia"/>
                <w:sz w:val="21"/>
                <w:szCs w:val="21"/>
              </w:rPr>
              <w:t>招标</w:t>
            </w:r>
            <w:r>
              <w:rPr>
                <w:rStyle w:val="25"/>
                <w:rFonts w:hint="default"/>
                <w:sz w:val="21"/>
                <w:szCs w:val="21"/>
              </w:rPr>
              <w:t>文件要求</w:t>
            </w:r>
          </w:p>
        </w:tc>
        <w:tc>
          <w:tcPr>
            <w:tcW w:w="1098"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5"/>
                <w:rFonts w:hint="default"/>
              </w:rPr>
            </w:pPr>
            <w:r>
              <w:rPr>
                <w:rStyle w:val="25"/>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default"/>
              </w:rPr>
              <w:t>结论</w:t>
            </w:r>
          </w:p>
        </w:tc>
        <w:tc>
          <w:tcPr>
            <w:tcW w:w="1546"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5"/>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98"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2.按招标文件要求提供《投标及履约承诺函》。</w:t>
            </w:r>
          </w:p>
        </w:tc>
        <w:tc>
          <w:tcPr>
            <w:tcW w:w="1098"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92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3.</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98"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4.</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p>
        </w:tc>
        <w:tc>
          <w:tcPr>
            <w:tcW w:w="1098"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587"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5.</w:t>
            </w:r>
            <w:r>
              <w:rPr>
                <w:rFonts w:hint="eastAsia" w:ascii="宋体" w:hAnsi="宋体" w:cs="宋体"/>
                <w:szCs w:val="21"/>
              </w:rPr>
              <w:t>投标截止时间前，投标人未被列入失信被执行人、重大税收违法案件当事人名单、政府采购严重违法失信行为记录名单（通过“信用中国”网站（www.creditchina.gov.cn）、中国政府采购网（www.ccgp.gov.cn）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提供网络截图</w:t>
            </w:r>
            <w:r>
              <w:rPr>
                <w:rFonts w:hint="eastAsia" w:ascii="宋体" w:hAnsi="宋体" w:cs="宋体"/>
                <w:szCs w:val="21"/>
              </w:rPr>
              <w:t>）</w:t>
            </w:r>
            <w:r>
              <w:rPr>
                <w:rFonts w:hint="eastAsia" w:ascii="宋体" w:hAnsi="宋体" w:cs="宋体"/>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6.</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6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7.</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(1.</w:t>
            </w:r>
            <w:r>
              <w:rPr>
                <w:rFonts w:hint="eastAsia" w:ascii="宋体" w:hAnsi="宋体" w:eastAsia="宋体" w:cs="宋体"/>
                <w:b w:val="0"/>
                <w:bCs w:val="0"/>
                <w:color w:val="auto"/>
                <w:szCs w:val="21"/>
              </w:rPr>
              <w:t>须按本项目招标文件格式要求提供《股东构成审查表》加盖投标人公章</w:t>
            </w:r>
            <w:r>
              <w:rPr>
                <w:rFonts w:hint="eastAsia" w:ascii="宋体" w:hAnsi="宋体" w:eastAsia="宋体" w:cs="宋体"/>
                <w:b w:val="0"/>
                <w:bCs w:val="0"/>
                <w:color w:val="auto"/>
                <w:szCs w:val="21"/>
                <w:lang w:val="en-US" w:eastAsia="zh-CN"/>
              </w:rPr>
              <w:t>2.国家企业信用信息公示系统（https://www.gsxt.gov.cn/index.html)</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机关赋码和事业单位登记管理网（http://www.gjsy.gov.cn/sydwfrxxcx/)</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全国社会组织信用信息公开平台（https://xxgs.chinanpo.mca.gov.cn/gxxt/newlist)等网站查询</w:t>
            </w:r>
            <w:r>
              <w:rPr>
                <w:rFonts w:hint="eastAsia" w:ascii="宋体" w:hAnsi="宋体" w:cs="宋体"/>
                <w:b w:val="0"/>
                <w:bCs w:val="0"/>
                <w:color w:val="auto"/>
                <w:szCs w:val="21"/>
                <w:lang w:val="en-US" w:eastAsia="zh-CN"/>
              </w:rPr>
              <w:t>，并提供网络截图</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8</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投标及履约承诺函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）页</w:t>
            </w:r>
          </w:p>
        </w:tc>
      </w:tr>
    </w:tbl>
    <w:p w14:paraId="2AB4EF28">
      <w:pPr>
        <w:rPr>
          <w:rFonts w:hint="eastAsia" w:ascii="宋体" w:hAnsi="宋体" w:eastAsia="宋体" w:cs="宋体"/>
          <w:kern w:val="0"/>
          <w:sz w:val="24"/>
          <w:szCs w:val="20"/>
          <w:lang w:val="en-US" w:eastAsia="zh-CN"/>
        </w:rPr>
      </w:pPr>
    </w:p>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2"/>
        <w:tblW w:w="569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67"/>
        <w:gridCol w:w="1034"/>
        <w:gridCol w:w="1533"/>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eastAsia"/>
                <w:sz w:val="21"/>
                <w:szCs w:val="21"/>
              </w:rPr>
              <w:t>招标</w:t>
            </w:r>
            <w:r>
              <w:rPr>
                <w:rStyle w:val="25"/>
                <w:rFonts w:hint="default"/>
                <w:sz w:val="21"/>
                <w:szCs w:val="21"/>
              </w:rPr>
              <w:t>文件要求</w:t>
            </w:r>
          </w:p>
        </w:tc>
        <w:tc>
          <w:tcPr>
            <w:tcW w:w="1034"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5"/>
                <w:rFonts w:hint="default"/>
              </w:rPr>
            </w:pPr>
            <w:r>
              <w:rPr>
                <w:rStyle w:val="25"/>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default"/>
              </w:rPr>
              <w:t>结论</w:t>
            </w:r>
          </w:p>
        </w:tc>
        <w:tc>
          <w:tcPr>
            <w:tcW w:w="1533"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5"/>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47"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谈判响应书》</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BBAE551">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6C720099">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.按招标文件要求提供法定代表人证明书和法定代表人授权委托证明书</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5E540581">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49E301E6">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37881E21">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3CE548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608"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16B93C9C">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lang w:eastAsia="zh-CN"/>
              </w:rPr>
            </w:pPr>
            <w:r>
              <w:rPr>
                <w:rFonts w:hint="eastAsia" w:ascii="宋体" w:hAnsi="宋体" w:cs="宋体"/>
                <w:szCs w:val="21"/>
                <w:lang w:val="en-US" w:eastAsia="zh-CN"/>
              </w:rPr>
              <w:t>8.</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p>
          <w:p w14:paraId="75985DBA">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r>
              <w:rPr>
                <w:rFonts w:hint="eastAsia" w:ascii="宋体" w:hAnsi="宋体" w:cs="宋体"/>
                <w:szCs w:val="21"/>
                <w:lang w:eastAsia="zh-CN"/>
              </w:rPr>
              <w:t>注：</w:t>
            </w:r>
            <w:r>
              <w:rPr>
                <w:rFonts w:hint="eastAsia" w:ascii="宋体" w:hAnsi="宋体" w:cs="宋体"/>
                <w:szCs w:val="21"/>
              </w:rPr>
              <w:t>由于社保部门或税务部门原因最近一个月的社保证明无法提供的可往前顺延一个月</w:t>
            </w:r>
            <w:r>
              <w:rPr>
                <w:rFonts w:hint="eastAsia" w:ascii="宋体" w:hAnsi="宋体" w:cs="宋体"/>
                <w:szCs w:val="21"/>
                <w:lang w:eastAsia="zh-CN"/>
              </w:rPr>
              <w:t>；如投标人为新成立企业且成立时间不足一个月可提供加盖投标人公章的情况说明或者证明材料亦视为符合；如依法不需要缴纳社会保险的，应提供相应文件证明；</w:t>
            </w:r>
            <w:r>
              <w:rPr>
                <w:rFonts w:hint="eastAsia" w:ascii="宋体" w:hAnsi="宋体" w:cs="宋体"/>
                <w:szCs w:val="21"/>
              </w:rPr>
              <w:t>如为退休返聘人员提供退休证明和聘用合同</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6B3EA763">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97CC6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4B8AF8F7">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9</w:t>
            </w:r>
            <w:r>
              <w:rPr>
                <w:rFonts w:hint="eastAsia" w:ascii="宋体" w:hAnsi="宋体" w:cs="宋体"/>
                <w:szCs w:val="21"/>
              </w:rPr>
              <w:t>.投标文件未附有采购人或招标需求不能接受的条件。</w:t>
            </w:r>
          </w:p>
        </w:tc>
        <w:tc>
          <w:tcPr>
            <w:tcW w:w="1034"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5"/>
          <w:rFonts w:hint="eastAsia"/>
          <w:b w:val="0"/>
          <w:bCs w:val="0"/>
          <w:color w:val="FF0000"/>
          <w:sz w:val="21"/>
          <w:szCs w:val="21"/>
        </w:rPr>
        <w:t>请在</w:t>
      </w:r>
      <w:r>
        <w:rPr>
          <w:rStyle w:val="25"/>
          <w:b w:val="0"/>
          <w:bCs w:val="0"/>
          <w:color w:val="FF0000"/>
          <w:sz w:val="21"/>
          <w:szCs w:val="21"/>
        </w:rPr>
        <w:t>自查结论</w:t>
      </w:r>
      <w:r>
        <w:rPr>
          <w:rStyle w:val="25"/>
          <w:rFonts w:hint="eastAsia"/>
          <w:b w:val="0"/>
          <w:bCs w:val="0"/>
          <w:color w:val="FF0000"/>
          <w:sz w:val="21"/>
          <w:szCs w:val="21"/>
        </w:rPr>
        <w:t>表格中“</w:t>
      </w:r>
      <w:r>
        <w:rPr>
          <w:rStyle w:val="25"/>
          <w:b w:val="0"/>
          <w:bCs w:val="0"/>
          <w:color w:val="FF0000"/>
          <w:sz w:val="21"/>
          <w:szCs w:val="21"/>
        </w:rPr>
        <w:t>通过</w:t>
      </w:r>
      <w:r>
        <w:rPr>
          <w:rStyle w:val="25"/>
          <w:rFonts w:hint="eastAsia"/>
          <w:b w:val="0"/>
          <w:bCs w:val="0"/>
          <w:color w:val="FF0000"/>
          <w:sz w:val="21"/>
          <w:szCs w:val="21"/>
        </w:rPr>
        <w:t>”或“不</w:t>
      </w:r>
      <w:r>
        <w:rPr>
          <w:rStyle w:val="25"/>
          <w:b w:val="0"/>
          <w:bCs w:val="0"/>
          <w:color w:val="FF0000"/>
          <w:sz w:val="21"/>
          <w:szCs w:val="21"/>
        </w:rPr>
        <w:t>通过</w:t>
      </w:r>
      <w:r>
        <w:rPr>
          <w:rStyle w:val="25"/>
          <w:rFonts w:hint="eastAsia"/>
          <w:b w:val="0"/>
          <w:bCs w:val="0"/>
          <w:color w:val="FF0000"/>
          <w:sz w:val="21"/>
          <w:szCs w:val="21"/>
        </w:rPr>
        <w:t>”中：☑,投标人必须严格按照《资格性/符合性审查表》的评审内容的要求如实提供证明材料并加盖投标人公章,对缺漏或不符合项将直接导致无效投标。</w:t>
      </w:r>
      <w:r>
        <w:rPr>
          <w:rFonts w:hint="eastAsia" w:ascii="宋体" w:hAnsi="宋体" w:eastAsia="宋体" w:cs="宋体"/>
          <w:kern w:val="0"/>
          <w:sz w:val="24"/>
          <w:szCs w:val="20"/>
          <w:lang w:val="en-US" w:eastAsia="zh-CN"/>
        </w:rPr>
        <w:br w:type="page"/>
      </w:r>
    </w:p>
    <w:bookmarkEnd w:id="7"/>
    <w:p w14:paraId="3B3D10CC">
      <w:pPr>
        <w:bidi w:val="0"/>
        <w:jc w:val="center"/>
        <w:rPr>
          <w:b/>
          <w:bCs/>
          <w:sz w:val="24"/>
          <w:szCs w:val="24"/>
        </w:rPr>
      </w:pPr>
      <w:r>
        <w:rPr>
          <w:rFonts w:hint="eastAsia"/>
          <w:b/>
          <w:bCs/>
          <w:sz w:val="24"/>
          <w:szCs w:val="24"/>
          <w:lang w:val="en-US" w:eastAsia="zh-CN"/>
        </w:rPr>
        <w:t>2</w:t>
      </w:r>
      <w:r>
        <w:rPr>
          <w:rFonts w:hint="eastAsia"/>
          <w:b/>
          <w:bCs/>
          <w:sz w:val="24"/>
          <w:szCs w:val="24"/>
          <w:lang w:eastAsia="zh-CN"/>
        </w:rPr>
        <w:t>、</w:t>
      </w:r>
      <w:r>
        <w:rPr>
          <w:rFonts w:hint="eastAsia"/>
          <w:b/>
          <w:bCs/>
          <w:sz w:val="24"/>
          <w:szCs w:val="24"/>
        </w:rPr>
        <w:t>股东构成审查表</w:t>
      </w:r>
    </w:p>
    <w:p w14:paraId="4E884AA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18315AA4"/>
    <w:tbl>
      <w:tblPr>
        <w:tblStyle w:val="22"/>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2F9F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8614AD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79F65E7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109B8FA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3BAE813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21AAD32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33F5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1B9A24A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326F8A9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137B539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C6BED3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1C37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66C6DE4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81FFF1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6D31E96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22F6748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503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603D71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2E47A88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6ADA089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49A4031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72CE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6B9DEF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3BD9068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53B2F91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7ED4F5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1A1C56EB">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5EF39EE3">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2CA42286">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63581EE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EC11B1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291F8A27">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2DDB77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721962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1C18FF04">
      <w:pPr>
        <w:pStyle w:val="8"/>
        <w:tabs>
          <w:tab w:val="left" w:pos="562"/>
          <w:tab w:val="left" w:pos="3372"/>
          <w:tab w:val="left" w:pos="3653"/>
        </w:tabs>
        <w:rPr>
          <w:rFonts w:hint="eastAsia"/>
          <w:lang w:eastAsia="zh-CN"/>
        </w:rPr>
      </w:pPr>
    </w:p>
    <w:p w14:paraId="7951D05D">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45A5E0AF">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081E97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3E5B72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EDF62F9">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2C6FC45">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2D88F7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0E4168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83B4996">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DB27C82">
      <w:pPr>
        <w:jc w:val="center"/>
        <w:rPr>
          <w:rFonts w:hint="eastAsia" w:ascii="宋体" w:hAnsi="宋体" w:cs="Arial"/>
          <w:b/>
          <w:sz w:val="24"/>
        </w:rPr>
      </w:pPr>
      <w:r>
        <w:rPr>
          <w:rFonts w:hint="eastAsia" w:ascii="宋体" w:hAnsi="宋体" w:cs="Arial"/>
          <w:b/>
          <w:sz w:val="24"/>
        </w:rPr>
        <w:t xml:space="preserve"> 国家企业信用信息公示系统</w:t>
      </w:r>
    </w:p>
    <w:p w14:paraId="13C61D0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32552F33">
      <w:pPr>
        <w:rPr>
          <w:rFonts w:hint="eastAsia" w:ascii="宋体" w:hAnsi="宋体" w:cs="宋体"/>
          <w:b/>
          <w:bCs/>
          <w:kern w:val="0"/>
          <w:szCs w:val="21"/>
        </w:rPr>
      </w:pPr>
      <w:r>
        <w:rPr>
          <w:rFonts w:ascii="宋体" w:hAnsi="宋体" w:cs="宋体"/>
          <w:b/>
          <w:bCs/>
          <w:kern w:val="0"/>
          <w:szCs w:val="21"/>
        </w:rPr>
        <w:t>示例图片:</w:t>
      </w:r>
    </w:p>
    <w:p w14:paraId="09008934">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749C42EA">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29BFFF99">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5BD5C56"/>
    <w:p w14:paraId="0C8C1B39">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3E32C15F">
      <w:pPr>
        <w:pStyle w:val="29"/>
        <w:rPr>
          <w:rFonts w:hint="eastAsia" w:ascii="宋体" w:hAnsi="宋体" w:eastAsia="宋体" w:cs="宋体"/>
          <w:szCs w:val="21"/>
        </w:rPr>
        <w:sectPr>
          <w:headerReference r:id="rId3" w:type="default"/>
          <w:footerReference r:id="rId4" w:type="default"/>
          <w:pgSz w:w="11906" w:h="16838"/>
          <w:pgMar w:top="1440" w:right="1797" w:bottom="1440" w:left="1797" w:header="851" w:footer="992" w:gutter="0"/>
          <w:cols w:space="0" w:num="1"/>
          <w:rtlGutter w:val="0"/>
          <w:docGrid w:type="linesAndChars" w:linePitch="312" w:charSpace="0"/>
        </w:sectPr>
      </w:pPr>
    </w:p>
    <w:p w14:paraId="3407ABB3">
      <w:pPr>
        <w:rPr>
          <w:rFonts w:hint="eastAsia" w:ascii="宋体" w:hAnsi="宋体" w:eastAsia="宋体" w:cs="宋体"/>
          <w:szCs w:val="21"/>
        </w:rPr>
      </w:pPr>
    </w:p>
    <w:p w14:paraId="3409E56B">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3、综合评分指引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2"/>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74"/>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8"/>
          <w:szCs w:val="28"/>
        </w:rPr>
      </w:pPr>
      <w:r>
        <w:rPr>
          <w:rFonts w:hint="eastAsia" w:ascii="宋体" w:hAnsi="宋体" w:cs="宋体"/>
          <w:b/>
          <w:sz w:val="24"/>
          <w:lang w:val="en-US" w:eastAsia="zh-CN"/>
        </w:rPr>
        <w:t>4</w:t>
      </w:r>
      <w:r>
        <w:rPr>
          <w:rFonts w:hint="eastAsia" w:ascii="宋体" w:hAnsi="宋体" w:eastAsia="宋体" w:cs="宋体"/>
          <w:b/>
          <w:sz w:val="24"/>
        </w:rPr>
        <w:t>､</w:t>
      </w:r>
      <w:r>
        <w:rPr>
          <w:rFonts w:hint="eastAsia" w:ascii="宋体" w:hAnsi="宋体" w:eastAsia="宋体" w:cs="宋体"/>
          <w:b/>
          <w:color w:val="000000"/>
          <w:sz w:val="28"/>
          <w:szCs w:val="28"/>
        </w:rPr>
        <w:t>技术</w:t>
      </w:r>
      <w:r>
        <w:rPr>
          <w:rFonts w:hint="eastAsia" w:ascii="宋体" w:hAnsi="宋体" w:eastAsia="宋体" w:cs="宋体"/>
          <w:b/>
          <w:color w:val="000000"/>
          <w:sz w:val="28"/>
          <w:szCs w:val="28"/>
          <w:lang w:val="en-US" w:eastAsia="zh-CN"/>
        </w:rPr>
        <w:t>/商务条款</w:t>
      </w:r>
      <w:r>
        <w:rPr>
          <w:rFonts w:hint="eastAsia" w:ascii="宋体" w:hAnsi="宋体" w:eastAsia="宋体" w:cs="宋体"/>
          <w:b/>
          <w:color w:val="000000"/>
          <w:sz w:val="28"/>
          <w:szCs w:val="28"/>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情节严重的，经查实，将作废标处理，并列入不良行为记录名单，两年之内不得参与本单位的采购活动</w:t>
      </w:r>
      <w:r>
        <w:rPr>
          <w:rFonts w:hint="eastAsia" w:ascii="宋体" w:hAnsi="宋体" w:eastAsia="宋体" w:cs="宋体"/>
          <w:b/>
          <w:bCs/>
          <w:color w:val="FF0000"/>
          <w:sz w:val="24"/>
          <w:szCs w:val="24"/>
          <w:lang w:val="zh-CN" w:eastAsia="zh-CN"/>
        </w:rPr>
        <w:t>。</w:t>
      </w:r>
    </w:p>
    <w:p w14:paraId="06DE59EC">
      <w:pPr>
        <w:pStyle w:val="10"/>
        <w:ind w:firstLine="207" w:firstLineChars="98"/>
        <w:jc w:val="center"/>
        <w:rPr>
          <w:rFonts w:hint="default" w:hAnsi="宋体" w:cs="宋体"/>
          <w:b/>
          <w:color w:val="000000"/>
          <w:lang w:val="en-US" w:eastAsia="zh-CN"/>
        </w:rPr>
      </w:pPr>
      <w:r>
        <w:rPr>
          <w:rFonts w:hint="eastAsia" w:hAnsi="宋体" w:cs="宋体"/>
          <w:b/>
          <w:color w:val="000000"/>
          <w:lang w:val="en-US" w:eastAsia="zh-CN"/>
        </w:rPr>
        <w:t>4.1技术条款偏离表</w:t>
      </w:r>
    </w:p>
    <w:tbl>
      <w:tblPr>
        <w:tblStyle w:val="22"/>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EC016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1796538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EB0D1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14:paraId="6518D13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C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3C460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14:paraId="4554575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E0FC3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65AE6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E9309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1B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4F6E9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14:paraId="7005CFD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10C77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69ED8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EEEABC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A04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9D44367">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14:paraId="5D57FA2B">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4B8D1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7FB23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66266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44A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3BAF32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14:paraId="62B8E73E">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A41D8F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CC4B2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664D0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default" w:ascii="宋体" w:hAnsi="宋体" w:eastAsia="宋体" w:cs="宋体"/>
          <w:color w:val="000000"/>
          <w:lang w:val="en-US" w:eastAsia="zh-CN"/>
        </w:rPr>
      </w:pPr>
      <w:r>
        <w:rPr>
          <w:rFonts w:hint="eastAsia" w:ascii="宋体" w:hAnsi="宋体" w:eastAsia="宋体" w:cs="宋体"/>
          <w:color w:val="000000"/>
        </w:rPr>
        <w:t>此表可延长</w:t>
      </w:r>
      <w:r>
        <w:rPr>
          <w:rFonts w:hint="eastAsia" w:ascii="宋体" w:hAnsi="宋体" w:cs="宋体"/>
          <w:color w:val="000000"/>
          <w:lang w:eastAsia="zh-CN"/>
        </w:rPr>
        <w:t>，</w:t>
      </w:r>
      <w:r>
        <w:rPr>
          <w:rFonts w:hint="eastAsia" w:ascii="宋体" w:hAnsi="宋体" w:cs="宋体"/>
          <w:color w:val="000000"/>
          <w:lang w:val="en-US" w:eastAsia="zh-CN"/>
        </w:rPr>
        <w:t>如提供</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46A37646">
      <w:pPr>
        <w:outlineLvl w:val="0"/>
        <w:rPr>
          <w:rFonts w:hint="eastAsia" w:ascii="宋体" w:hAnsi="宋体" w:eastAsia="宋体" w:cs="宋体"/>
          <w:color w:val="000000"/>
        </w:rPr>
      </w:pPr>
      <w:r>
        <w:rPr>
          <w:rFonts w:hint="eastAsia" w:ascii="宋体" w:hAnsi="宋体" w:eastAsia="宋体" w:cs="宋体"/>
          <w:color w:val="000000"/>
        </w:rPr>
        <w:t>职务:</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29"/>
        <w:rPr>
          <w:rFonts w:hint="eastAsia" w:ascii="宋体" w:hAnsi="宋体" w:eastAsia="宋体" w:cs="宋体"/>
          <w:color w:val="000000"/>
        </w:rPr>
      </w:pPr>
    </w:p>
    <w:p w14:paraId="46B65E45">
      <w:pPr>
        <w:rPr>
          <w:rFonts w:hint="eastAsia" w:hAnsi="宋体" w:cs="宋体"/>
          <w:b/>
          <w:color w:val="000000"/>
          <w:lang w:val="en-US" w:eastAsia="zh-CN"/>
        </w:rPr>
      </w:pPr>
      <w:r>
        <w:rPr>
          <w:rFonts w:hint="eastAsia" w:hAnsi="宋体" w:cs="宋体"/>
          <w:b/>
          <w:color w:val="000000"/>
          <w:lang w:val="en-US" w:eastAsia="zh-CN"/>
        </w:rPr>
        <w:br w:type="page"/>
      </w:r>
    </w:p>
    <w:p w14:paraId="4AF08535">
      <w:pPr>
        <w:pStyle w:val="10"/>
        <w:ind w:firstLine="207" w:firstLineChars="98"/>
        <w:jc w:val="center"/>
        <w:rPr>
          <w:rFonts w:hint="default" w:hAnsi="宋体" w:cs="宋体"/>
          <w:b/>
          <w:color w:val="000000"/>
          <w:lang w:val="en-US" w:eastAsia="zh-CN"/>
        </w:rPr>
      </w:pPr>
      <w:r>
        <w:rPr>
          <w:rFonts w:hint="eastAsia" w:hAnsi="宋体" w:cs="宋体"/>
          <w:b/>
          <w:color w:val="000000"/>
          <w:lang w:val="en-US" w:eastAsia="zh-CN"/>
        </w:rPr>
        <w:t>4.2商务条款偏离表</w:t>
      </w:r>
    </w:p>
    <w:tbl>
      <w:tblPr>
        <w:tblStyle w:val="22"/>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7698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F15662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055BEF0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招标规格/要求</w:t>
            </w:r>
          </w:p>
        </w:tc>
        <w:tc>
          <w:tcPr>
            <w:tcW w:w="3460" w:type="dxa"/>
          </w:tcPr>
          <w:p w14:paraId="3AC8BC11">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32373F29">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590EF3E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523205C0">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2FBA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18813F95">
            <w:pPr>
              <w:keepNext w:val="0"/>
              <w:keepLines w:val="0"/>
              <w:suppressLineNumbers w:val="0"/>
              <w:spacing w:before="0" w:beforeAutospacing="0" w:after="0" w:afterAutospacing="0"/>
              <w:ind w:left="0" w:right="0"/>
              <w:jc w:val="left"/>
              <w:rPr>
                <w:rFonts w:hint="eastAsia" w:ascii="宋体" w:hAnsi="宋体" w:eastAsia="宋体" w:cs="宋体"/>
                <w:b/>
                <w:color w:val="000000"/>
              </w:rPr>
            </w:pPr>
            <w:r>
              <w:rPr>
                <w:rFonts w:hint="default" w:asciiTheme="minorEastAsia" w:hAnsiTheme="minorEastAsia" w:eastAsiaTheme="minorEastAsia"/>
                <w:b/>
                <w:szCs w:val="21"/>
              </w:rPr>
              <w:t>【</w:t>
            </w:r>
            <w:r>
              <w:rPr>
                <w:rFonts w:hint="eastAsia" w:asciiTheme="minorEastAsia" w:hAnsiTheme="minorEastAsia" w:eastAsiaTheme="minorEastAsia"/>
                <w:b/>
                <w:szCs w:val="21"/>
                <w:lang w:val="en-US" w:eastAsia="zh-CN"/>
              </w:rPr>
              <w:t>商务要求</w:t>
            </w:r>
            <w:r>
              <w:rPr>
                <w:rFonts w:hint="default" w:asciiTheme="minorEastAsia" w:hAnsiTheme="minorEastAsia" w:eastAsiaTheme="minorEastAsia"/>
                <w:b/>
                <w:szCs w:val="21"/>
              </w:rPr>
              <w:t>】</w:t>
            </w:r>
            <w:r>
              <w:rPr>
                <w:rFonts w:hint="eastAsia" w:cs="Times New Roman" w:asciiTheme="minorEastAsia" w:hAnsiTheme="minorEastAsia" w:eastAsiaTheme="minorEastAsia"/>
                <w:b/>
                <w:color w:val="FF0000"/>
                <w:szCs w:val="21"/>
                <w:lang w:val="en-US" w:eastAsia="zh-CN"/>
              </w:rPr>
              <w:t>（商务要求中的标识“★”、“▲”，必须保留。）</w:t>
            </w:r>
          </w:p>
        </w:tc>
      </w:tr>
      <w:tr w14:paraId="2484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19A42F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4EB2ACB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5E3809B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95000F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53612FC">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605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6CD6D2">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229E4B5F">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2864B6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C894A5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8FF45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B95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27082E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693BE3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568CEA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9D631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E8A83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6A3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C1CC88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14:paraId="062E534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CB9996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69D8CF6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937360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F55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466D22B">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14:paraId="7A0B5DFF">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783BE4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C670AA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5FFC1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E6D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540A15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14:paraId="7879555F">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715BBF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19622A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A07817">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F16B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7665E22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14:paraId="317633A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DA41E2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CC2195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B3A519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D7F1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1863C5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14:paraId="6CBEDB6C">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4398B94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9106E5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F4E999">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F34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09265F">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7CA792EE">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7C31F09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2B3D223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799332C">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7965418A">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27064AFA">
      <w:pPr>
        <w:rPr>
          <w:rFonts w:hint="eastAsia" w:ascii="宋体" w:hAnsi="宋体" w:eastAsia="宋体" w:cs="宋体"/>
          <w:color w:val="000000"/>
        </w:rPr>
      </w:pP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2D11C0D2">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14988A8">
      <w:pPr>
        <w:outlineLvl w:val="0"/>
        <w:rPr>
          <w:rFonts w:hint="eastAsia" w:ascii="宋体" w:hAnsi="宋体" w:eastAsia="宋体" w:cs="宋体"/>
          <w:color w:val="000000"/>
        </w:rPr>
      </w:pPr>
      <w:r>
        <w:rPr>
          <w:rFonts w:hint="eastAsia" w:ascii="宋体" w:hAnsi="宋体" w:eastAsia="宋体" w:cs="宋体"/>
          <w:color w:val="000000"/>
        </w:rPr>
        <w:t>职务:</w:t>
      </w:r>
    </w:p>
    <w:p w14:paraId="0DBA25B6">
      <w:pPr>
        <w:pStyle w:val="29"/>
        <w:rPr>
          <w:rFonts w:hint="eastAsia" w:ascii="宋体" w:hAnsi="宋体" w:eastAsia="宋体" w:cs="宋体"/>
          <w:color w:val="000000"/>
        </w:rPr>
      </w:pPr>
    </w:p>
    <w:p w14:paraId="4ACF23B4">
      <w:pPr>
        <w:pStyle w:val="29"/>
        <w:rPr>
          <w:rFonts w:hint="eastAsia" w:ascii="宋体" w:hAnsi="宋体" w:eastAsia="宋体" w:cs="宋体"/>
          <w:color w:val="000000"/>
        </w:rPr>
      </w:pPr>
    </w:p>
    <w:p w14:paraId="094B917A">
      <w:pPr>
        <w:pStyle w:val="29"/>
        <w:rPr>
          <w:rFonts w:hint="eastAsia" w:ascii="宋体" w:hAnsi="宋体" w:eastAsia="宋体" w:cs="宋体"/>
          <w:color w:val="000000"/>
        </w:rPr>
      </w:pPr>
    </w:p>
    <w:p w14:paraId="089B3EE7">
      <w:pPr>
        <w:pStyle w:val="29"/>
        <w:rPr>
          <w:rFonts w:hint="eastAsia" w:ascii="宋体" w:hAnsi="宋体" w:eastAsia="宋体" w:cs="宋体"/>
          <w:color w:val="000000"/>
        </w:rPr>
      </w:pPr>
    </w:p>
    <w:p w14:paraId="6EE366FD">
      <w:pPr>
        <w:outlineLvl w:val="0"/>
        <w:rPr>
          <w:rFonts w:hint="eastAsia" w:ascii="宋体" w:hAnsi="宋体" w:cs="宋体"/>
          <w:b/>
          <w:bCs/>
          <w:color w:val="FF0000"/>
          <w:sz w:val="24"/>
          <w:szCs w:val="24"/>
          <w:lang w:val="en-US" w:eastAsia="zh-CN"/>
        </w:rPr>
      </w:pPr>
    </w:p>
    <w:p w14:paraId="6ACBBDC9">
      <w:pPr>
        <w:rPr>
          <w:rFonts w:hint="eastAsia" w:ascii="宋体" w:hAnsi="宋体" w:cs="宋体"/>
          <w:b/>
          <w:sz w:val="24"/>
          <w:lang w:val="en-US" w:eastAsia="zh-CN"/>
        </w:rPr>
      </w:pPr>
    </w:p>
    <w:p w14:paraId="6AE20E55">
      <w:pPr>
        <w:rPr>
          <w:rFonts w:hint="eastAsia" w:ascii="宋体" w:hAnsi="宋体" w:cs="宋体"/>
          <w:b/>
          <w:sz w:val="24"/>
          <w:lang w:val="en-US" w:eastAsia="zh-CN"/>
        </w:rPr>
      </w:pP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5、谈判响应书</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本谈判响应书必须提供且内容不得擅自删改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29"/>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8" w:name="_Toc24650"/>
      <w:bookmarkStart w:id="9" w:name="_Toc435514855"/>
      <w:bookmarkStart w:id="10" w:name="_Toc17479"/>
      <w:bookmarkStart w:id="11" w:name="_Toc435515295"/>
      <w:bookmarkStart w:id="12" w:name="_Toc275865606"/>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6、</w:t>
      </w:r>
      <w:bookmarkEnd w:id="8"/>
      <w:bookmarkEnd w:id="9"/>
      <w:bookmarkEnd w:id="10"/>
      <w:bookmarkEnd w:id="11"/>
      <w:bookmarkEnd w:id="12"/>
      <w:r>
        <w:rPr>
          <w:rFonts w:hint="eastAsia" w:ascii="宋体" w:hAnsi="宋体" w:cs="宋体"/>
          <w:b/>
          <w:sz w:val="24"/>
          <w:lang w:val="en-US" w:eastAsia="zh-CN"/>
        </w:rPr>
        <w:t>投标及履约承诺函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5"/>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5"/>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5"/>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5"/>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5"/>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5"/>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numPr>
          <w:ilvl w:val="0"/>
          <w:numId w:val="0"/>
        </w:numPr>
        <w:spacing w:line="360" w:lineRule="auto"/>
        <w:ind w:right="-815" w:rightChars="0"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spacing w:line="300" w:lineRule="exact"/>
        <w:ind w:firstLine="420" w:firstLineChars="200"/>
        <w:rPr>
          <w:rFonts w:ascii="宋体" w:hAnsi="宋体"/>
          <w:color w:val="FF0000"/>
          <w:szCs w:val="21"/>
        </w:rPr>
      </w:pPr>
    </w:p>
    <w:p w14:paraId="55EA58CE">
      <w:pPr>
        <w:numPr>
          <w:ilvl w:val="0"/>
          <w:numId w:val="5"/>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5"/>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5"/>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5"/>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5"/>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5"/>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32665482">
      <w:pPr>
        <w:numPr>
          <w:ilvl w:val="0"/>
          <w:numId w:val="5"/>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5F735EAD">
      <w:pPr>
        <w:numPr>
          <w:ilvl w:val="0"/>
          <w:numId w:val="5"/>
        </w:numPr>
        <w:spacing w:line="360" w:lineRule="auto"/>
        <w:ind w:right="-815" w:firstLineChars="200"/>
        <w:rPr>
          <w:rFonts w:hint="eastAsia" w:ascii="宋体" w:hAnsi="宋体" w:cs="Times New Roman"/>
          <w:szCs w:val="21"/>
        </w:rPr>
      </w:pP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投标及履约承诺函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投标及履约承诺函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rPr>
      </w:pPr>
      <w:r>
        <w:rPr>
          <w:rFonts w:hint="eastAsia"/>
          <w:b/>
          <w:bCs/>
          <w:color w:val="000000" w:themeColor="text1"/>
          <w:sz w:val="24"/>
        </w:rPr>
        <w:t>投标人单位名称（单位盖公章）：</w:t>
      </w:r>
      <w:r>
        <w:rPr>
          <w:rFonts w:hint="eastAsia"/>
          <w:color w:val="000000" w:themeColor="text1"/>
          <w:sz w:val="24"/>
          <w:u w:val="single"/>
        </w:rPr>
        <w:t xml:space="preserve">                             </w:t>
      </w:r>
      <w:r>
        <w:rPr>
          <w:rFonts w:hint="eastAsia"/>
          <w:color w:val="000000" w:themeColor="text1"/>
          <w:sz w:val="24"/>
        </w:rPr>
        <w:t>　　　　　　　</w:t>
      </w:r>
    </w:p>
    <w:p w14:paraId="3AA0D7F5">
      <w:pPr>
        <w:spacing w:line="360" w:lineRule="auto"/>
        <w:ind w:firstLine="420"/>
        <w:rPr>
          <w:rFonts w:ascii="宋体" w:hAnsi="宋体"/>
          <w:b/>
          <w:bCs/>
          <w:sz w:val="24"/>
        </w:rPr>
      </w:pPr>
      <w:r>
        <w:rPr>
          <w:rFonts w:hint="eastAsia"/>
          <w:b/>
          <w:bCs/>
          <w:color w:val="000000" w:themeColor="text1"/>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10052E8E">
      <w:pPr>
        <w:pStyle w:val="3"/>
        <w:numPr>
          <w:ilvl w:val="0"/>
          <w:numId w:val="0"/>
        </w:numPr>
        <w:spacing w:line="240" w:lineRule="auto"/>
        <w:ind w:leftChars="0"/>
        <w:jc w:val="center"/>
        <w:rPr>
          <w:rFonts w:asciiTheme="majorEastAsia" w:hAnsiTheme="majorEastAsia" w:eastAsiaTheme="majorEastAsia"/>
          <w:sz w:val="30"/>
          <w:szCs w:val="30"/>
        </w:rPr>
      </w:pPr>
      <w:bookmarkStart w:id="13" w:name="_Toc30375"/>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3"/>
    </w:p>
    <w:p w14:paraId="43809D65">
      <w:pPr>
        <w:spacing w:line="360"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本公司在投标前已充分知悉以下情形为参与采购活动时的重大风险事项，并承诺已对下述风险提示事项重点排查，做到严谨、诚信、依法依规参与采购活动。</w:t>
      </w:r>
    </w:p>
    <w:p w14:paraId="2D5E3CEB">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42141F7C">
      <w:pPr>
        <w:spacing w:line="360" w:lineRule="auto"/>
        <w:ind w:firstLine="420" w:firstLineChars="200"/>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3DDDBE42">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61CB070B">
      <w:pPr>
        <w:widowControl/>
        <w:ind w:firstLine="422" w:firstLineChars="200"/>
        <w:jc w:val="left"/>
        <w:rPr>
          <w:rFonts w:hint="eastAsia" w:asciiTheme="minorEastAsia" w:hAnsiTheme="minorEastAsia" w:eastAsiaTheme="minorEastAsia" w:cstheme="minorEastAsia"/>
          <w:b/>
          <w:bCs/>
          <w:szCs w:val="21"/>
          <w:lang w:eastAsia="zh-CN"/>
        </w:rPr>
      </w:pPr>
      <w:r>
        <w:rPr>
          <w:rFonts w:hint="eastAsia" w:asciiTheme="minorEastAsia" w:hAnsiTheme="minorEastAsia" w:eastAsiaTheme="minorEastAsia" w:cstheme="minorEastAsia"/>
          <w:b/>
          <w:bCs/>
          <w:szCs w:val="21"/>
        </w:rPr>
        <w:t>四、本公司已充分知悉采购违法、违规行为的法律后果。</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2"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29"/>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5"/>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54A2A444">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2、禁止不同投标人委托同一单位或者个人办理投标事宜。</w:t>
      </w:r>
    </w:p>
    <w:p w14:paraId="184BF0F6">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3、如法人代表出现转授权，则以最终参与评标现场会的被授权人为准。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w:pict>
          <v:rect id="_x0000_s2065" o:spid="_x0000_s2065" o:spt="1" style="position:absolute;left:0pt;margin-left:246.75pt;margin-top:6.4pt;height:123.4pt;width:177.75pt;z-index:251659264;mso-width-relative:page;mso-height-relative:page;" coordsize="21600,21600">
            <v:path/>
            <v:fill focussize="0,0"/>
            <v:stroke/>
            <v:imagedata o:title=""/>
            <o:lock v:ext="edit"/>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44"/>
                  </w:pPr>
                  <w:r>
                    <w:rPr>
                      <w:rFonts w:hint="eastAsia"/>
                    </w:rPr>
                    <w:t>（请加盖骑缝章）</w:t>
                  </w:r>
                </w:p>
                <w:p w14:paraId="7FC95A5C">
                  <w:pPr>
                    <w:jc w:val="center"/>
                    <w:rPr>
                      <w:rFonts w:eastAsia="华文中宋"/>
                      <w:sz w:val="28"/>
                    </w:rPr>
                  </w:pPr>
                </w:p>
              </w:txbxContent>
            </v:textbox>
          </v:rect>
        </w:pict>
      </w:r>
      <w:r>
        <w:pict>
          <v:rect id="_x0000_s2066" o:spid="_x0000_s2066" o:spt="1" style="position:absolute;left:0pt;margin-left:49.3pt;margin-top:6.4pt;height:123.4pt;width:183.2pt;z-index:251660288;mso-width-relative:page;mso-height-relative:page;" coordsize="21600,21600">
            <v:path/>
            <v:fill focussize="0,0"/>
            <v:stroke/>
            <v:imagedata o:title=""/>
            <o:lock v:ext="edit"/>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44"/>
                  </w:pPr>
                  <w:r>
                    <w:rPr>
                      <w:rFonts w:hint="eastAsia"/>
                    </w:rPr>
                    <w:t>（请加盖骑缝章）</w:t>
                  </w:r>
                </w:p>
                <w:p w14:paraId="1818E11C">
                  <w:pPr>
                    <w:jc w:val="center"/>
                    <w:rPr>
                      <w:rFonts w:eastAsia="华文中宋"/>
                      <w:sz w:val="28"/>
                    </w:rPr>
                  </w:pPr>
                </w:p>
              </w:txbxContent>
            </v:textbox>
          </v:rect>
        </w:pic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w:pict>
          <v:rect id="_x0000_s2067" o:spid="_x0000_s2067" o:spt="1" style="position:absolute;left:0pt;margin-left:246.75pt;margin-top:23.9pt;height:119.95pt;width:177.75pt;z-index:251661312;mso-width-relative:page;mso-height-relative:page;" coordsize="21600,21600">
            <v:path/>
            <v:fill focussize="0,0"/>
            <v:stroke/>
            <v:imagedata o:title=""/>
            <o:lock v:ext="edit"/>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44"/>
                  </w:pPr>
                  <w:r>
                    <w:rPr>
                      <w:rFonts w:hint="eastAsia"/>
                    </w:rPr>
                    <w:t>（请加盖骑缝章）</w:t>
                  </w:r>
                </w:p>
                <w:p w14:paraId="6E00071E">
                  <w:pPr>
                    <w:jc w:val="center"/>
                    <w:rPr>
                      <w:rFonts w:eastAsia="华文中宋"/>
                      <w:sz w:val="28"/>
                    </w:rPr>
                  </w:pPr>
                </w:p>
              </w:txbxContent>
            </v:textbox>
          </v:rect>
        </w:pict>
      </w:r>
      <w:r>
        <w:rPr>
          <w:sz w:val="28"/>
          <w:szCs w:val="28"/>
        </w:rPr>
        <w:pict>
          <v:rect id="_x0000_s2068" o:spid="_x0000_s2068" o:spt="1" style="position:absolute;left:0pt;margin-left:49.3pt;margin-top:23.9pt;height:119.95pt;width:183.2pt;z-index:251662336;mso-width-relative:page;mso-height-relative:page;" coordsize="21600,21600">
            <v:path/>
            <v:fill focussize="0,0"/>
            <v:stroke/>
            <v:imagedata o:title=""/>
            <o:lock v:ext="edit"/>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44"/>
                  </w:pPr>
                  <w:r>
                    <w:rPr>
                      <w:rFonts w:hint="eastAsia"/>
                    </w:rPr>
                    <w:t>（请加盖骑缝章）</w:t>
                  </w:r>
                </w:p>
                <w:p w14:paraId="73BFCBBB">
                  <w:pPr>
                    <w:jc w:val="center"/>
                    <w:rPr>
                      <w:rFonts w:eastAsia="华文中宋"/>
                      <w:sz w:val="28"/>
                    </w:rPr>
                  </w:pPr>
                </w:p>
              </w:txbxContent>
            </v:textbox>
          </v:rect>
        </w:pic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A64AF68">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99C46CA">
      <w:pPr>
        <w:pStyle w:val="8"/>
        <w:rPr>
          <w:rFonts w:hint="eastAsia"/>
          <w:lang w:val="en-US" w:eastAsia="zh-CN"/>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10､营业执照等资质文件（代理商）</w:t>
      </w:r>
    </w:p>
    <w:p w14:paraId="09B27717">
      <w:pPr>
        <w:rPr>
          <w:rFonts w:asciiTheme="minorEastAsia" w:hAnsiTheme="minorEastAsia" w:eastAsiaTheme="minorEastAsia"/>
          <w:color w:val="000000"/>
        </w:rPr>
      </w:pPr>
      <w:r>
        <w:rPr>
          <w:rFonts w:hint="eastAsia" w:cs="Arial" w:asciiTheme="minorEastAsia" w:hAnsiTheme="minorEastAsia" w:eastAsiaTheme="minorEastAsia"/>
          <w:b/>
          <w:color w:val="000000"/>
          <w:sz w:val="28"/>
          <w:szCs w:val="28"/>
          <w:lang w:val="en-US" w:eastAsia="zh-CN"/>
        </w:rPr>
        <w:br w:type="page"/>
      </w:r>
    </w:p>
    <w:p w14:paraId="7D5F8BED">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11</w:t>
      </w:r>
      <w:r>
        <w:rPr>
          <w:rFonts w:hint="eastAsia" w:ascii="宋体" w:hAnsi="宋体" w:eastAsia="宋体" w:cs="宋体"/>
          <w:b/>
          <w:color w:val="000000"/>
          <w:sz w:val="28"/>
          <w:szCs w:val="28"/>
        </w:rPr>
        <w:t>､投标人须具备相关认证资格､资质等证书</w:t>
      </w:r>
    </w:p>
    <w:p w14:paraId="18FD2700">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6317A60A">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2A5529CB">
      <w:pPr>
        <w:spacing w:after="60"/>
        <w:jc w:val="center"/>
        <w:rPr>
          <w:rFonts w:hint="eastAsia" w:cs="Arial" w:asciiTheme="minorEastAsia" w:hAnsiTheme="minorEastAsia" w:eastAsiaTheme="minorEastAsia"/>
          <w:b/>
          <w:color w:val="000000"/>
          <w:sz w:val="24"/>
          <w:lang w:val="en-US" w:eastAsia="zh-CN"/>
        </w:rPr>
      </w:pP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42B02278">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12</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14:paraId="2C8D39B4">
      <w:pPr>
        <w:spacing w:after="78" w:afterLines="25" w:line="300" w:lineRule="auto"/>
        <w:rPr>
          <w:rFonts w:asciiTheme="minorEastAsia" w:hAnsiTheme="minorEastAsia" w:eastAsiaTheme="minorEastAsia"/>
          <w:color w:val="000000"/>
        </w:rPr>
      </w:pPr>
    </w:p>
    <w:p w14:paraId="564C9528">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14:paraId="1D0B7AE2">
      <w:pPr>
        <w:pStyle w:val="5"/>
        <w:ind w:firstLine="0"/>
        <w:rPr>
          <w:rFonts w:asciiTheme="minorEastAsia" w:hAnsiTheme="minorEastAsia" w:eastAsiaTheme="minorEastAsia"/>
          <w:color w:val="000000"/>
        </w:rPr>
      </w:pPr>
    </w:p>
    <w:p w14:paraId="7A82FAB9">
      <w:pPr>
        <w:pStyle w:val="5"/>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14:paraId="0F077E17">
      <w:pPr>
        <w:pStyle w:val="5"/>
        <w:ind w:firstLine="0"/>
        <w:rPr>
          <w:rFonts w:asciiTheme="minorEastAsia" w:hAnsiTheme="minorEastAsia" w:eastAsiaTheme="minorEastAsia"/>
          <w:color w:val="000000"/>
        </w:rPr>
      </w:pPr>
    </w:p>
    <w:p w14:paraId="6C777662">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14:paraId="288F1DF8">
      <w:pPr>
        <w:pStyle w:val="5"/>
        <w:ind w:left="1260" w:hanging="840"/>
        <w:rPr>
          <w:rFonts w:asciiTheme="minorEastAsia" w:hAnsiTheme="minorEastAsia" w:eastAsiaTheme="minorEastAsia"/>
          <w:color w:val="000000"/>
        </w:rPr>
      </w:pPr>
    </w:p>
    <w:p w14:paraId="50388819">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14:paraId="4240CEE2">
      <w:pPr>
        <w:pStyle w:val="5"/>
        <w:ind w:left="1260" w:hanging="840"/>
        <w:rPr>
          <w:rFonts w:asciiTheme="minorEastAsia" w:hAnsiTheme="minorEastAsia" w:eastAsiaTheme="minorEastAsia"/>
          <w:color w:val="000000"/>
        </w:rPr>
      </w:pPr>
    </w:p>
    <w:p w14:paraId="48A3FA01">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14:paraId="22D16B5A">
      <w:pPr>
        <w:pStyle w:val="5"/>
        <w:ind w:left="1260" w:hanging="840"/>
        <w:rPr>
          <w:rFonts w:asciiTheme="minorEastAsia" w:hAnsiTheme="minorEastAsia" w:eastAsiaTheme="minorEastAsia"/>
          <w:color w:val="000000"/>
        </w:rPr>
      </w:pPr>
    </w:p>
    <w:p w14:paraId="652D5825">
      <w:pPr>
        <w:pStyle w:val="5"/>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14:paraId="312930F7">
      <w:pPr>
        <w:pStyle w:val="5"/>
        <w:ind w:firstLine="0"/>
        <w:rPr>
          <w:rFonts w:asciiTheme="minorEastAsia" w:hAnsiTheme="minorEastAsia" w:eastAsiaTheme="minorEastAsia"/>
          <w:color w:val="000000"/>
        </w:rPr>
      </w:pPr>
    </w:p>
    <w:p w14:paraId="5994651E">
      <w:pPr>
        <w:pStyle w:val="5"/>
        <w:ind w:firstLine="0"/>
        <w:rPr>
          <w:rFonts w:asciiTheme="minorEastAsia" w:hAnsiTheme="minorEastAsia" w:eastAsiaTheme="minorEastAsia"/>
          <w:color w:val="000000"/>
        </w:rPr>
      </w:pPr>
    </w:p>
    <w:p w14:paraId="5ACF985D">
      <w:pPr>
        <w:pStyle w:val="5"/>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5175D8C4">
      <w:pPr>
        <w:pStyle w:val="5"/>
        <w:ind w:firstLine="0"/>
        <w:rPr>
          <w:rFonts w:asciiTheme="minorEastAsia" w:hAnsiTheme="minorEastAsia" w:eastAsiaTheme="minorEastAsia"/>
          <w:color w:val="000000"/>
        </w:rPr>
      </w:pPr>
    </w:p>
    <w:p w14:paraId="15EDDAF3">
      <w:pPr>
        <w:pStyle w:val="5"/>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14:paraId="07805AAC">
      <w:pPr>
        <w:pStyle w:val="5"/>
        <w:ind w:firstLine="0"/>
        <w:rPr>
          <w:rFonts w:asciiTheme="minorEastAsia" w:hAnsiTheme="minorEastAsia" w:eastAsiaTheme="minorEastAsia"/>
          <w:color w:val="000000"/>
        </w:rPr>
      </w:pPr>
    </w:p>
    <w:p w14:paraId="52085708">
      <w:pPr>
        <w:pStyle w:val="5"/>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1C331958">
      <w:pPr>
        <w:pStyle w:val="5"/>
        <w:ind w:firstLine="0"/>
        <w:rPr>
          <w:rFonts w:asciiTheme="minorEastAsia" w:hAnsiTheme="minorEastAsia" w:eastAsiaTheme="minorEastAsia"/>
          <w:color w:val="000000"/>
        </w:rPr>
      </w:pPr>
    </w:p>
    <w:p w14:paraId="59A5A24E">
      <w:pPr>
        <w:pStyle w:val="5"/>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2BD62B3C">
      <w:pPr>
        <w:pStyle w:val="5"/>
        <w:ind w:firstLine="0"/>
        <w:rPr>
          <w:rFonts w:asciiTheme="minorEastAsia" w:hAnsiTheme="minorEastAsia" w:eastAsiaTheme="minorEastAsia"/>
          <w:color w:val="000000"/>
        </w:rPr>
      </w:pPr>
    </w:p>
    <w:p w14:paraId="2A18C68D">
      <w:pPr>
        <w:rPr>
          <w:rFonts w:asciiTheme="minorEastAsia" w:hAnsiTheme="minorEastAsia" w:eastAsiaTheme="minorEastAsia"/>
          <w:color w:val="000000"/>
        </w:rPr>
      </w:pPr>
    </w:p>
    <w:p w14:paraId="258BF3BB">
      <w:pPr>
        <w:rPr>
          <w:rFonts w:asciiTheme="minorEastAsia" w:hAnsiTheme="minorEastAsia" w:eastAsiaTheme="minorEastAsia"/>
          <w:b/>
          <w:color w:val="000000"/>
          <w:highlight w:val="yellow"/>
        </w:rPr>
      </w:pPr>
    </w:p>
    <w:p w14:paraId="1F004C29">
      <w:pPr>
        <w:rPr>
          <w:rFonts w:asciiTheme="minorEastAsia" w:hAnsiTheme="minorEastAsia" w:eastAsiaTheme="minorEastAsia"/>
          <w:b/>
          <w:color w:val="000000"/>
          <w:highlight w:val="yellow"/>
        </w:rPr>
      </w:pPr>
    </w:p>
    <w:p w14:paraId="1C7EB06E">
      <w:pPr>
        <w:rPr>
          <w:rFonts w:asciiTheme="minorEastAsia" w:hAnsiTheme="minorEastAsia" w:eastAsiaTheme="minorEastAsia"/>
          <w:b/>
          <w:color w:val="000000"/>
          <w:highlight w:val="yellow"/>
        </w:rPr>
      </w:pPr>
    </w:p>
    <w:p w14:paraId="53F70640">
      <w:pPr>
        <w:rPr>
          <w:rFonts w:asciiTheme="minorEastAsia" w:hAnsiTheme="minorEastAsia" w:eastAsiaTheme="minorEastAsia"/>
          <w:b/>
          <w:color w:val="000000"/>
          <w:highlight w:val="yellow"/>
        </w:rPr>
      </w:pPr>
    </w:p>
    <w:p w14:paraId="36059D12">
      <w:pPr>
        <w:rPr>
          <w:rFonts w:asciiTheme="minorEastAsia" w:hAnsiTheme="minorEastAsia" w:eastAsiaTheme="minorEastAsia"/>
          <w:b/>
          <w:color w:val="000000"/>
          <w:highlight w:val="yellow"/>
        </w:rPr>
      </w:pPr>
    </w:p>
    <w:p w14:paraId="38AEFF8D">
      <w:pPr>
        <w:rPr>
          <w:rFonts w:asciiTheme="minorEastAsia" w:hAnsiTheme="minorEastAsia" w:eastAsiaTheme="minorEastAsia"/>
          <w:b/>
          <w:color w:val="000000"/>
          <w:highlight w:val="yellow"/>
        </w:rPr>
      </w:pPr>
    </w:p>
    <w:p w14:paraId="561E1DD1">
      <w:pPr>
        <w:rPr>
          <w:rFonts w:asciiTheme="minorEastAsia" w:hAnsiTheme="minorEastAsia" w:eastAsiaTheme="minorEastAsia"/>
          <w:b/>
          <w:color w:val="000000"/>
          <w:highlight w:val="yellow"/>
        </w:rPr>
      </w:pPr>
    </w:p>
    <w:p w14:paraId="2608EF32">
      <w:pPr>
        <w:rPr>
          <w:rFonts w:asciiTheme="minorEastAsia" w:hAnsiTheme="minorEastAsia" w:eastAsiaTheme="minorEastAsia"/>
          <w:b/>
          <w:color w:val="000000"/>
          <w:highlight w:val="yellow"/>
        </w:rPr>
      </w:pPr>
    </w:p>
    <w:p w14:paraId="465880BE">
      <w:pPr>
        <w:rPr>
          <w:rFonts w:asciiTheme="minorEastAsia" w:hAnsiTheme="minorEastAsia" w:eastAsiaTheme="minorEastAsia"/>
          <w:b/>
          <w:color w:val="000000"/>
          <w:highlight w:val="yellow"/>
        </w:rPr>
      </w:pPr>
    </w:p>
    <w:p w14:paraId="5D0EFEC8">
      <w:pPr>
        <w:ind w:firstLine="420" w:firstLineChars="200"/>
        <w:rPr>
          <w:rFonts w:cs="Arial" w:asciiTheme="minorEastAsia" w:hAnsiTheme="minorEastAsia" w:eastAsiaTheme="minorEastAsia"/>
          <w:b w:val="0"/>
          <w:bCs/>
          <w:color w:val="000000"/>
        </w:rPr>
      </w:pPr>
      <w:r>
        <w:rPr>
          <w:rFonts w:hint="eastAsia" w:ascii="宋体" w:hAnsi="宋体" w:eastAsia="宋体" w:cs="Times New Roman"/>
          <w:snapToGrid w:val="0"/>
          <w:color w:val="auto"/>
          <w:sz w:val="21"/>
          <w:highlight w:val="yellow"/>
          <w:lang w:val="en-US" w:eastAsia="zh-CN"/>
        </w:rPr>
        <w:t>若所投产品为进口设备，</w:t>
      </w:r>
      <w:r>
        <w:rPr>
          <w:rFonts w:cs="Arial" w:asciiTheme="minorEastAsia" w:hAnsiTheme="minorEastAsia" w:eastAsiaTheme="minorEastAsia"/>
          <w:color w:val="000000"/>
          <w:kern w:val="0"/>
          <w:szCs w:val="21"/>
          <w:highlight w:val="yellow"/>
          <w:shd w:val="clear" w:color="auto" w:fill="99CCFF"/>
        </w:rPr>
        <w:t>参加竞价的供应商必须为制造商或制造商对本项目指定的合法代理商</w:t>
      </w:r>
      <w:r>
        <w:rPr>
          <w:rFonts w:ascii="MS Gothic" w:hAnsi="MS Gothic" w:eastAsia="MS Gothic" w:cs="MS Gothic"/>
          <w:color w:val="000000"/>
          <w:kern w:val="0"/>
          <w:szCs w:val="21"/>
          <w:highlight w:val="yellow"/>
          <w:shd w:val="clear" w:color="auto" w:fill="99CCFF"/>
        </w:rPr>
        <w:t>｡</w:t>
      </w:r>
      <w:r>
        <w:rPr>
          <w:rFonts w:asciiTheme="minorEastAsia" w:hAnsiTheme="minorEastAsia" w:eastAsiaTheme="minorEastAsia"/>
          <w:b w:val="0"/>
          <w:bCs/>
          <w:color w:val="000000"/>
          <w:highlight w:val="yellow"/>
        </w:rPr>
        <w:t>投标人也可提供有效的制造商的长期经销商证书或代理证书</w:t>
      </w:r>
      <w:r>
        <w:rPr>
          <w:rFonts w:ascii="MS Gothic" w:hAnsi="MS Gothic" w:eastAsia="MS Gothic" w:cs="MS Gothic"/>
          <w:b w:val="0"/>
          <w:bCs/>
          <w:color w:val="000000"/>
          <w:highlight w:val="yellow"/>
        </w:rPr>
        <w:t>｡</w:t>
      </w:r>
    </w:p>
    <w:p w14:paraId="1EEADBDB">
      <w:pPr>
        <w:spacing w:after="78" w:afterLines="25" w:line="300" w:lineRule="auto"/>
        <w:rPr>
          <w:rFonts w:asciiTheme="minorEastAsia" w:hAnsiTheme="minorEastAsia" w:eastAsiaTheme="minorEastAsia"/>
          <w:color w:val="000000"/>
        </w:rPr>
      </w:pPr>
    </w:p>
    <w:p w14:paraId="130E4DA7">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13</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14:paraId="159FE48B">
      <w:pPr>
        <w:spacing w:after="60"/>
        <w:ind w:left="840" w:leftChars="200" w:hanging="420" w:hangingChars="200"/>
        <w:rPr>
          <w:rFonts w:asciiTheme="minorEastAsia" w:hAnsiTheme="minorEastAsia" w:eastAsiaTheme="minorEastAsia"/>
          <w:szCs w:val="21"/>
        </w:rPr>
      </w:pPr>
    </w:p>
    <w:p w14:paraId="3EEA1EAA">
      <w:pPr>
        <w:spacing w:after="60"/>
        <w:ind w:left="840" w:leftChars="200" w:hanging="420" w:hangingChars="200"/>
        <w:rPr>
          <w:rFonts w:asciiTheme="minorEastAsia" w:hAnsiTheme="minorEastAsia" w:eastAsiaTheme="minorEastAsia"/>
          <w:szCs w:val="21"/>
        </w:rPr>
      </w:pPr>
    </w:p>
    <w:p w14:paraId="07386805">
      <w:pPr>
        <w:spacing w:after="60"/>
        <w:ind w:left="840" w:leftChars="200" w:hanging="420" w:hangingChars="200"/>
        <w:rPr>
          <w:rFonts w:asciiTheme="minorEastAsia" w:hAnsiTheme="minorEastAsia" w:eastAsiaTheme="minorEastAsia"/>
          <w:szCs w:val="21"/>
        </w:rPr>
      </w:pPr>
    </w:p>
    <w:p w14:paraId="785FB8E9">
      <w:pPr>
        <w:spacing w:after="60"/>
        <w:ind w:left="840" w:leftChars="200" w:hanging="420" w:hangingChars="200"/>
        <w:rPr>
          <w:rFonts w:asciiTheme="minorEastAsia" w:hAnsiTheme="minorEastAsia" w:eastAsiaTheme="minorEastAsia"/>
          <w:szCs w:val="21"/>
        </w:rPr>
      </w:pPr>
    </w:p>
    <w:p w14:paraId="24D708E7">
      <w:pPr>
        <w:spacing w:after="60"/>
        <w:ind w:left="840" w:leftChars="200" w:hanging="420" w:hangingChars="200"/>
        <w:rPr>
          <w:rFonts w:asciiTheme="minorEastAsia" w:hAnsiTheme="minorEastAsia" w:eastAsiaTheme="minorEastAsia"/>
          <w:szCs w:val="21"/>
        </w:rPr>
      </w:pPr>
    </w:p>
    <w:p w14:paraId="35E295FB">
      <w:pPr>
        <w:spacing w:after="60"/>
        <w:ind w:left="840" w:leftChars="200" w:hanging="420" w:hangingChars="200"/>
        <w:rPr>
          <w:rFonts w:asciiTheme="minorEastAsia" w:hAnsiTheme="minorEastAsia" w:eastAsiaTheme="minorEastAsia"/>
          <w:szCs w:val="21"/>
        </w:rPr>
      </w:pPr>
    </w:p>
    <w:p w14:paraId="2D92CC12">
      <w:pPr>
        <w:spacing w:after="60"/>
        <w:ind w:left="840" w:leftChars="200" w:hanging="420" w:hangingChars="200"/>
        <w:rPr>
          <w:rFonts w:asciiTheme="minorEastAsia" w:hAnsiTheme="minorEastAsia" w:eastAsiaTheme="minorEastAsia"/>
          <w:szCs w:val="21"/>
        </w:rPr>
      </w:pPr>
    </w:p>
    <w:p w14:paraId="7CD40CCB">
      <w:pPr>
        <w:spacing w:after="60"/>
        <w:ind w:left="840" w:leftChars="200" w:hanging="420" w:hangingChars="200"/>
        <w:rPr>
          <w:rFonts w:asciiTheme="minorEastAsia" w:hAnsiTheme="minorEastAsia" w:eastAsiaTheme="minorEastAsia"/>
          <w:szCs w:val="21"/>
        </w:rPr>
      </w:pPr>
    </w:p>
    <w:p w14:paraId="0815A0B2">
      <w:pPr>
        <w:spacing w:after="60"/>
        <w:ind w:left="840" w:leftChars="200" w:hanging="420" w:hangingChars="200"/>
        <w:rPr>
          <w:rFonts w:asciiTheme="minorEastAsia" w:hAnsiTheme="minorEastAsia" w:eastAsiaTheme="minorEastAsia"/>
          <w:szCs w:val="21"/>
        </w:rPr>
      </w:pPr>
    </w:p>
    <w:p w14:paraId="5C8C40E9">
      <w:pPr>
        <w:spacing w:after="60"/>
        <w:ind w:left="840" w:leftChars="200" w:hanging="420" w:hangingChars="200"/>
        <w:rPr>
          <w:rFonts w:asciiTheme="minorEastAsia" w:hAnsiTheme="minorEastAsia" w:eastAsiaTheme="minorEastAsia"/>
          <w:szCs w:val="21"/>
        </w:rPr>
      </w:pPr>
    </w:p>
    <w:p w14:paraId="013FFC05">
      <w:pPr>
        <w:spacing w:after="60"/>
        <w:rPr>
          <w:rFonts w:cs="Arial" w:asciiTheme="minorEastAsia" w:hAnsiTheme="minorEastAsia" w:eastAsiaTheme="minorEastAsia"/>
          <w:b/>
          <w:color w:val="000000"/>
          <w:sz w:val="28"/>
          <w:szCs w:val="28"/>
        </w:rPr>
      </w:pPr>
    </w:p>
    <w:p w14:paraId="16B8F0B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6FB633C3">
      <w:pPr>
        <w:spacing w:after="78" w:afterLines="25" w:line="300" w:lineRule="auto"/>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4</w:t>
      </w:r>
      <w:r>
        <w:rPr>
          <w:rFonts w:ascii="MS Gothic" w:hAnsi="MS Gothic" w:eastAsia="MS Gothic" w:cs="MS Gothic"/>
          <w:b/>
          <w:color w:val="000000"/>
          <w:sz w:val="28"/>
          <w:szCs w:val="28"/>
        </w:rPr>
        <w:t>､</w:t>
      </w:r>
      <w:r>
        <w:rPr>
          <w:rFonts w:ascii="宋体" w:hAnsi="宋体" w:cs="宋体"/>
          <w:b/>
          <w:color w:val="000000"/>
          <w:sz w:val="28"/>
          <w:szCs w:val="28"/>
        </w:rPr>
        <w:t>制造商情况简介</w:t>
      </w:r>
    </w:p>
    <w:p w14:paraId="14A27BD5">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一</w:t>
      </w:r>
      <w:r>
        <w:rPr>
          <w:rFonts w:ascii="MS Gothic" w:hAnsi="MS Gothic" w:eastAsia="MS Gothic" w:cs="MS Gothic"/>
          <w:color w:val="000000"/>
        </w:rPr>
        <w:t>､</w:t>
      </w:r>
      <w:r>
        <w:rPr>
          <w:rFonts w:ascii="宋体" w:hAnsi="宋体" w:cs="宋体"/>
          <w:color w:val="000000"/>
        </w:rPr>
        <w:t>公司简介</w:t>
      </w:r>
    </w:p>
    <w:p w14:paraId="0D47CA77">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二</w:t>
      </w:r>
      <w:r>
        <w:rPr>
          <w:rFonts w:ascii="MS Gothic" w:hAnsi="MS Gothic" w:eastAsia="MS Gothic" w:cs="MS Gothic"/>
          <w:color w:val="000000"/>
        </w:rPr>
        <w:t>､</w:t>
      </w:r>
      <w:r>
        <w:rPr>
          <w:rFonts w:ascii="宋体" w:hAnsi="宋体" w:cs="宋体"/>
          <w:color w:val="000000"/>
        </w:rPr>
        <w:t>人员状况</w:t>
      </w:r>
      <w:r>
        <w:rPr>
          <w:rFonts w:cs="Arial" w:asciiTheme="minorEastAsia" w:hAnsiTheme="minorEastAsia" w:eastAsiaTheme="minorEastAsia"/>
          <w:color w:val="000000"/>
        </w:rPr>
        <w:t>:</w:t>
      </w:r>
    </w:p>
    <w:p w14:paraId="0BD4CDD5">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三</w:t>
      </w:r>
      <w:r>
        <w:rPr>
          <w:rFonts w:ascii="MS Gothic" w:hAnsi="MS Gothic" w:eastAsia="MS Gothic" w:cs="MS Gothic"/>
          <w:color w:val="000000"/>
        </w:rPr>
        <w:t>､</w:t>
      </w:r>
      <w:r>
        <w:rPr>
          <w:rFonts w:ascii="宋体" w:hAnsi="宋体" w:cs="宋体"/>
          <w:color w:val="000000"/>
        </w:rPr>
        <w:t>设备情况</w:t>
      </w:r>
      <w:r>
        <w:rPr>
          <w:rFonts w:cs="Arial" w:asciiTheme="minorEastAsia" w:hAnsiTheme="minorEastAsia" w:eastAsiaTheme="minorEastAsia"/>
          <w:color w:val="000000"/>
        </w:rPr>
        <w:t>:</w:t>
      </w:r>
    </w:p>
    <w:p w14:paraId="1CC820FC">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四</w:t>
      </w:r>
      <w:r>
        <w:rPr>
          <w:rFonts w:ascii="MS Gothic" w:hAnsi="MS Gothic" w:eastAsia="MS Gothic" w:cs="MS Gothic"/>
          <w:color w:val="000000"/>
        </w:rPr>
        <w:t>､</w:t>
      </w:r>
      <w:r>
        <w:rPr>
          <w:rFonts w:ascii="宋体" w:hAnsi="宋体" w:cs="宋体"/>
          <w:color w:val="000000"/>
        </w:rPr>
        <w:t>同类课题开发完成情况</w:t>
      </w:r>
      <w:r>
        <w:rPr>
          <w:rFonts w:cs="Arial" w:asciiTheme="minorEastAsia" w:hAnsiTheme="minorEastAsia" w:eastAsiaTheme="minorEastAsia"/>
          <w:color w:val="000000"/>
        </w:rPr>
        <w:t>:</w:t>
      </w:r>
    </w:p>
    <w:p w14:paraId="7E3E5AFF">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五</w:t>
      </w:r>
      <w:r>
        <w:rPr>
          <w:rFonts w:ascii="MS Gothic" w:hAnsi="MS Gothic" w:eastAsia="MS Gothic" w:cs="MS Gothic"/>
          <w:color w:val="000000"/>
        </w:rPr>
        <w:t>､</w:t>
      </w:r>
      <w:r>
        <w:rPr>
          <w:rFonts w:ascii="宋体" w:hAnsi="宋体" w:cs="宋体"/>
          <w:color w:val="000000"/>
        </w:rPr>
        <w:t>财务状况</w:t>
      </w:r>
      <w:r>
        <w:rPr>
          <w:rFonts w:cs="Arial" w:asciiTheme="minorEastAsia" w:hAnsiTheme="minorEastAsia" w:eastAsiaTheme="minorEastAsia"/>
          <w:color w:val="000000"/>
        </w:rPr>
        <w:t>:</w:t>
      </w:r>
    </w:p>
    <w:p w14:paraId="1D60844C">
      <w:pPr>
        <w:spacing w:after="78" w:afterLines="25" w:line="300" w:lineRule="auto"/>
        <w:ind w:left="420"/>
        <w:rPr>
          <w:rFonts w:cs="Arial" w:asciiTheme="minorEastAsia" w:hAnsiTheme="minorEastAsia" w:eastAsiaTheme="minorEastAsia"/>
          <w:color w:val="000000"/>
        </w:rPr>
      </w:pPr>
    </w:p>
    <w:p w14:paraId="6D194843">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1A143C64">
      <w:pPr>
        <w:spacing w:after="78" w:afterLines="25" w:line="300" w:lineRule="auto"/>
        <w:ind w:left="420"/>
        <w:rPr>
          <w:rFonts w:cs="Arial" w:asciiTheme="minorEastAsia" w:hAnsiTheme="minorEastAsia" w:eastAsiaTheme="minorEastAsia"/>
          <w:color w:val="000000"/>
        </w:rPr>
      </w:pPr>
    </w:p>
    <w:p w14:paraId="41FA2B8A">
      <w:pPr>
        <w:spacing w:after="78" w:afterLines="25" w:line="300" w:lineRule="auto"/>
        <w:ind w:left="420"/>
        <w:rPr>
          <w:rFonts w:asciiTheme="minorEastAsia" w:hAnsiTheme="minorEastAsia" w:eastAsiaTheme="minorEastAsia"/>
          <w:b/>
          <w:color w:val="000000"/>
          <w:sz w:val="28"/>
          <w:szCs w:val="28"/>
        </w:rPr>
      </w:pPr>
      <w:r>
        <w:rPr>
          <w:rFonts w:cs="Arial" w:asciiTheme="minorEastAsia" w:hAnsiTheme="minorEastAsia" w:eastAsiaTheme="minorEastAsia"/>
          <w:color w:val="000000"/>
        </w:rPr>
        <w:t>投标单位:__________________</w:t>
      </w:r>
    </w:p>
    <w:p w14:paraId="399DAAF6">
      <w:pPr>
        <w:spacing w:after="60"/>
        <w:jc w:val="center"/>
        <w:rPr>
          <w:rFonts w:asciiTheme="minorEastAsia" w:hAnsiTheme="minorEastAsia" w:eastAsiaTheme="minorEastAsia"/>
          <w:b/>
          <w:color w:val="000000"/>
          <w:sz w:val="28"/>
          <w:szCs w:val="28"/>
        </w:rPr>
      </w:pPr>
    </w:p>
    <w:p w14:paraId="0A2A3BD4">
      <w:pPr>
        <w:spacing w:after="60"/>
        <w:jc w:val="center"/>
        <w:rPr>
          <w:rFonts w:asciiTheme="minorEastAsia" w:hAnsiTheme="minorEastAsia" w:eastAsiaTheme="minorEastAsia"/>
          <w:b/>
          <w:color w:val="000000"/>
          <w:sz w:val="28"/>
          <w:szCs w:val="28"/>
        </w:rPr>
      </w:pPr>
    </w:p>
    <w:p w14:paraId="749A9FF8">
      <w:pPr>
        <w:spacing w:after="60"/>
        <w:jc w:val="center"/>
        <w:rPr>
          <w:rFonts w:asciiTheme="minorEastAsia" w:hAnsiTheme="minorEastAsia" w:eastAsiaTheme="minorEastAsia"/>
          <w:b/>
          <w:color w:val="000000"/>
          <w:sz w:val="28"/>
          <w:szCs w:val="28"/>
        </w:rPr>
      </w:pPr>
    </w:p>
    <w:p w14:paraId="10D111C4">
      <w:pPr>
        <w:spacing w:after="60"/>
        <w:jc w:val="center"/>
        <w:rPr>
          <w:rFonts w:asciiTheme="minorEastAsia" w:hAnsiTheme="minorEastAsia" w:eastAsiaTheme="minorEastAsia"/>
          <w:b/>
          <w:color w:val="000000"/>
          <w:sz w:val="28"/>
          <w:szCs w:val="28"/>
        </w:rPr>
      </w:pPr>
    </w:p>
    <w:p w14:paraId="233F1156">
      <w:pPr>
        <w:spacing w:after="60"/>
        <w:jc w:val="center"/>
        <w:rPr>
          <w:rFonts w:asciiTheme="minorEastAsia" w:hAnsiTheme="minorEastAsia" w:eastAsiaTheme="minorEastAsia"/>
          <w:b/>
          <w:color w:val="000000"/>
          <w:sz w:val="28"/>
          <w:szCs w:val="28"/>
        </w:rPr>
      </w:pPr>
    </w:p>
    <w:p w14:paraId="3C217419">
      <w:pPr>
        <w:spacing w:after="60"/>
        <w:jc w:val="center"/>
        <w:rPr>
          <w:rFonts w:asciiTheme="minorEastAsia" w:hAnsiTheme="minorEastAsia" w:eastAsiaTheme="minorEastAsia"/>
          <w:b/>
          <w:color w:val="000000"/>
          <w:sz w:val="28"/>
          <w:szCs w:val="28"/>
        </w:rPr>
      </w:pPr>
    </w:p>
    <w:p w14:paraId="09F085F0">
      <w:pPr>
        <w:spacing w:after="60"/>
        <w:ind w:firstLine="562" w:firstLineChars="200"/>
        <w:jc w:val="center"/>
        <w:rPr>
          <w:rFonts w:asciiTheme="minorEastAsia" w:hAnsiTheme="minorEastAsia" w:eastAsiaTheme="minorEastAsia"/>
          <w:b/>
          <w:color w:val="000000"/>
          <w:sz w:val="28"/>
          <w:szCs w:val="28"/>
        </w:rPr>
      </w:pPr>
    </w:p>
    <w:p w14:paraId="067D934A">
      <w:pPr>
        <w:spacing w:after="60"/>
        <w:ind w:firstLine="562" w:firstLineChars="200"/>
        <w:jc w:val="center"/>
        <w:rPr>
          <w:rFonts w:asciiTheme="minorEastAsia" w:hAnsiTheme="minorEastAsia" w:eastAsiaTheme="minorEastAsia"/>
          <w:b/>
          <w:color w:val="000000"/>
          <w:sz w:val="28"/>
          <w:szCs w:val="28"/>
        </w:rPr>
      </w:pPr>
    </w:p>
    <w:p w14:paraId="2FB2E250">
      <w:pPr>
        <w:spacing w:after="60"/>
        <w:ind w:firstLine="562" w:firstLineChars="200"/>
        <w:jc w:val="center"/>
        <w:rPr>
          <w:rFonts w:asciiTheme="minorEastAsia" w:hAnsiTheme="minorEastAsia" w:eastAsiaTheme="minorEastAsia"/>
          <w:b/>
          <w:color w:val="000000"/>
          <w:sz w:val="28"/>
          <w:szCs w:val="28"/>
        </w:rPr>
      </w:pPr>
    </w:p>
    <w:p w14:paraId="09A7B696">
      <w:pPr>
        <w:spacing w:after="60"/>
        <w:ind w:firstLine="562" w:firstLineChars="200"/>
        <w:jc w:val="center"/>
        <w:rPr>
          <w:rFonts w:asciiTheme="minorEastAsia" w:hAnsiTheme="minorEastAsia" w:eastAsiaTheme="minorEastAsia"/>
          <w:b/>
          <w:color w:val="000000"/>
          <w:sz w:val="28"/>
          <w:szCs w:val="28"/>
        </w:rPr>
      </w:pPr>
    </w:p>
    <w:p w14:paraId="5605D864">
      <w:pPr>
        <w:spacing w:after="60"/>
        <w:ind w:firstLine="562" w:firstLineChars="200"/>
        <w:jc w:val="center"/>
        <w:rPr>
          <w:rFonts w:asciiTheme="minorEastAsia" w:hAnsiTheme="minorEastAsia" w:eastAsiaTheme="minorEastAsia"/>
          <w:b/>
          <w:color w:val="000000"/>
          <w:sz w:val="28"/>
          <w:szCs w:val="28"/>
        </w:rPr>
      </w:pPr>
    </w:p>
    <w:p w14:paraId="03C43788">
      <w:pPr>
        <w:spacing w:after="60"/>
        <w:ind w:firstLine="562" w:firstLineChars="200"/>
        <w:jc w:val="center"/>
        <w:rPr>
          <w:rFonts w:asciiTheme="minorEastAsia" w:hAnsiTheme="minorEastAsia" w:eastAsiaTheme="minorEastAsia"/>
          <w:b/>
          <w:color w:val="000000"/>
          <w:sz w:val="28"/>
          <w:szCs w:val="28"/>
        </w:rPr>
      </w:pPr>
    </w:p>
    <w:p w14:paraId="5A502378">
      <w:pPr>
        <w:rPr>
          <w:rFonts w:asciiTheme="minorEastAsia" w:hAnsiTheme="minorEastAsia" w:eastAsiaTheme="minorEastAsia"/>
          <w:b/>
          <w:color w:val="000000"/>
          <w:sz w:val="28"/>
          <w:szCs w:val="28"/>
        </w:rPr>
      </w:pPr>
      <w:r>
        <w:rPr>
          <w:rFonts w:asciiTheme="minorEastAsia" w:hAnsiTheme="minorEastAsia" w:eastAsiaTheme="minorEastAsia"/>
          <w:b/>
          <w:color w:val="000000"/>
          <w:sz w:val="28"/>
          <w:szCs w:val="28"/>
        </w:rPr>
        <w:br w:type="page"/>
      </w:r>
    </w:p>
    <w:p w14:paraId="3C72A178">
      <w:pPr>
        <w:spacing w:after="60"/>
        <w:ind w:firstLine="562" w:firstLineChars="200"/>
        <w:jc w:val="center"/>
        <w:rPr>
          <w:rFonts w:cs="Arial" w:asciiTheme="minorEastAsia" w:hAnsiTheme="minorEastAsia" w:eastAsiaTheme="minorEastAsia"/>
          <w:b/>
          <w:color w:val="000000"/>
          <w:szCs w:val="21"/>
        </w:rPr>
      </w:pPr>
      <w:r>
        <w:rPr>
          <w:rFonts w:asciiTheme="minorEastAsia" w:hAnsiTheme="minorEastAsia" w:eastAsiaTheme="minorEastAsia"/>
          <w:b/>
          <w:color w:val="000000"/>
          <w:sz w:val="28"/>
          <w:szCs w:val="28"/>
        </w:rPr>
        <w:t>1</w:t>
      </w:r>
      <w:r>
        <w:rPr>
          <w:rFonts w:hint="eastAsia" w:asciiTheme="minorEastAsia" w:hAnsiTheme="minorEastAsia" w:eastAsiaTheme="minorEastAsia"/>
          <w:b/>
          <w:color w:val="000000"/>
          <w:sz w:val="28"/>
          <w:szCs w:val="28"/>
          <w:lang w:val="en-US" w:eastAsia="zh-CN"/>
        </w:rPr>
        <w:t>5</w:t>
      </w:r>
      <w:r>
        <w:rPr>
          <w:rFonts w:ascii="MS Gothic" w:hAnsi="MS Gothic" w:eastAsia="MS Gothic" w:cs="MS Gothic"/>
          <w:b/>
          <w:color w:val="000000"/>
          <w:sz w:val="28"/>
          <w:szCs w:val="28"/>
        </w:rPr>
        <w:t>､</w:t>
      </w:r>
      <w:r>
        <w:rPr>
          <w:rFonts w:asciiTheme="minorEastAsia" w:hAnsiTheme="minorEastAsia" w:eastAsiaTheme="minorEastAsia"/>
          <w:b/>
          <w:color w:val="000000"/>
          <w:sz w:val="28"/>
          <w:szCs w:val="28"/>
        </w:rPr>
        <w:t>项目管理主要技术和售后服务人员情况表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14:paraId="1A53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14:paraId="47B335D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姓名</w:t>
            </w:r>
          </w:p>
        </w:tc>
        <w:tc>
          <w:tcPr>
            <w:tcW w:w="1800" w:type="dxa"/>
            <w:vAlign w:val="center"/>
          </w:tcPr>
          <w:p w14:paraId="6C06980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部门和职务</w:t>
            </w:r>
          </w:p>
        </w:tc>
        <w:tc>
          <w:tcPr>
            <w:tcW w:w="1260" w:type="dxa"/>
            <w:vAlign w:val="center"/>
          </w:tcPr>
          <w:p w14:paraId="3C99D700">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职称</w:t>
            </w:r>
          </w:p>
        </w:tc>
        <w:tc>
          <w:tcPr>
            <w:tcW w:w="3976" w:type="dxa"/>
            <w:vAlign w:val="center"/>
          </w:tcPr>
          <w:p w14:paraId="1738721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主要资历</w:t>
            </w:r>
            <w:r>
              <w:rPr>
                <w:rFonts w:hint="default" w:ascii="MS Gothic" w:hAnsi="MS Gothic" w:eastAsia="MS Gothic" w:cs="MS Gothic"/>
                <w:b/>
                <w:color w:val="000000"/>
                <w:szCs w:val="21"/>
              </w:rPr>
              <w:t>､</w:t>
            </w:r>
            <w:r>
              <w:rPr>
                <w:rFonts w:hint="default" w:ascii="宋体" w:hAnsi="宋体" w:cs="宋体"/>
                <w:b/>
                <w:color w:val="000000"/>
                <w:szCs w:val="21"/>
              </w:rPr>
              <w:t>经验及承担过的项目</w:t>
            </w:r>
          </w:p>
        </w:tc>
      </w:tr>
      <w:tr w14:paraId="7AE4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3A42922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6868D2A8">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7C980C9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7A8CEC40">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50A4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4D9FC9D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103F9161">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532D05B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5404D04C">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6CD8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666AF64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59DF368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061EB5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74BB95C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586D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55B9E2E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4BD8526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67B46B0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20447CBD">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4E2E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2A7B06D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2F5B126A">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E18B66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4647655D">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33B2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3F9FECC3">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5F75DAD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74364D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468656C8">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3873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60EBF6AC">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45657891">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0BEA192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2F8EA78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73F3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1655" w:type="dxa"/>
            <w:vAlign w:val="center"/>
          </w:tcPr>
          <w:p w14:paraId="4AD31C0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12FCC2A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337D158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07E9B83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60DE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14:paraId="6BDFCA9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r>
              <w:rPr>
                <w:rFonts w:hint="default" w:cs="Arial" w:asciiTheme="minorEastAsia" w:hAnsiTheme="minorEastAsia" w:eastAsiaTheme="minorEastAsia"/>
                <w:color w:val="000000"/>
                <w:szCs w:val="21"/>
              </w:rPr>
              <w:t>售后服务部门人数</w:t>
            </w:r>
          </w:p>
        </w:tc>
        <w:tc>
          <w:tcPr>
            <w:tcW w:w="3976" w:type="dxa"/>
            <w:vAlign w:val="center"/>
          </w:tcPr>
          <w:p w14:paraId="4803F97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bl>
    <w:p w14:paraId="18AF5644">
      <w:pPr>
        <w:spacing w:after="60"/>
        <w:rPr>
          <w:rFonts w:cs="Arial" w:asciiTheme="minorEastAsia" w:hAnsiTheme="minorEastAsia" w:eastAsiaTheme="minorEastAsia"/>
          <w:color w:val="000000"/>
          <w:szCs w:val="21"/>
        </w:rPr>
      </w:pPr>
    </w:p>
    <w:p w14:paraId="6E6B0795">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4BC6A31F">
      <w:pPr>
        <w:spacing w:after="60"/>
        <w:rPr>
          <w:rFonts w:cs="Arial" w:asciiTheme="minorEastAsia" w:hAnsiTheme="minorEastAsia" w:eastAsiaTheme="minorEastAsia"/>
          <w:color w:val="000000"/>
        </w:rPr>
      </w:pPr>
    </w:p>
    <w:p w14:paraId="4BC499EB">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788FDD16">
      <w:pPr>
        <w:spacing w:after="60"/>
        <w:rPr>
          <w:rFonts w:cs="Arial" w:asciiTheme="minorEastAsia" w:hAnsiTheme="minorEastAsia" w:eastAsiaTheme="minorEastAsia"/>
          <w:color w:val="000000"/>
        </w:rPr>
      </w:pPr>
    </w:p>
    <w:p w14:paraId="556D476D">
      <w:pPr>
        <w:spacing w:after="60"/>
        <w:rPr>
          <w:rFonts w:cs="Arial" w:asciiTheme="minorEastAsia" w:hAnsiTheme="minorEastAsia" w:eastAsiaTheme="minorEastAsia"/>
          <w:color w:val="000000"/>
          <w:szCs w:val="21"/>
        </w:rPr>
      </w:pPr>
    </w:p>
    <w:p w14:paraId="5CA1645D">
      <w:pPr>
        <w:spacing w:after="60"/>
        <w:ind w:firstLine="210" w:firstLineChars="10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注:投标人应招标文件要求提供售后服务机构</w:t>
      </w:r>
      <w:r>
        <w:rPr>
          <w:rFonts w:asciiTheme="minorEastAsia" w:hAnsiTheme="minorEastAsia" w:eastAsiaTheme="minorEastAsia"/>
          <w:color w:val="000000"/>
          <w:szCs w:val="21"/>
        </w:rPr>
        <w:t>的营业执照或者组织机构代码证书复印件</w:t>
      </w:r>
      <w:r>
        <w:rPr>
          <w:rFonts w:ascii="MS Gothic" w:hAnsi="MS Gothic" w:eastAsia="MS Gothic" w:cs="MS Gothic"/>
          <w:color w:val="000000"/>
          <w:szCs w:val="21"/>
        </w:rPr>
        <w:t>｡</w:t>
      </w:r>
    </w:p>
    <w:p w14:paraId="29F42542">
      <w:pPr>
        <w:spacing w:after="60"/>
        <w:rPr>
          <w:rFonts w:cs="Arial" w:asciiTheme="minorEastAsia" w:hAnsiTheme="minorEastAsia" w:eastAsiaTheme="minorEastAsia"/>
          <w:color w:val="000000"/>
          <w:szCs w:val="21"/>
        </w:rPr>
      </w:pPr>
    </w:p>
    <w:p w14:paraId="664D6672">
      <w:pPr>
        <w:rPr>
          <w:rFonts w:hint="eastAsia" w:ascii="宋体" w:hAnsi="宋体" w:cs="宋体"/>
          <w:color w:val="000000"/>
          <w:szCs w:val="21"/>
          <w:lang w:val="en-US" w:eastAsia="zh-CN"/>
        </w:rPr>
      </w:pPr>
      <w:bookmarkStart w:id="14" w:name="_Toc12271"/>
      <w:r>
        <w:rPr>
          <w:rFonts w:hint="eastAsia" w:ascii="宋体" w:hAnsi="宋体" w:cs="宋体"/>
          <w:color w:val="000000"/>
          <w:szCs w:val="21"/>
          <w:lang w:val="en-US" w:eastAsia="zh-CN"/>
        </w:rPr>
        <w:br w:type="page"/>
      </w:r>
    </w:p>
    <w:p w14:paraId="1F6B2E62">
      <w:pPr>
        <w:pStyle w:val="3"/>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cs="宋体"/>
          <w:color w:val="000000"/>
          <w:szCs w:val="21"/>
          <w:lang w:val="en-US" w:eastAsia="zh-CN"/>
        </w:rPr>
        <w:t>16、</w:t>
      </w:r>
      <w:r>
        <w:rPr>
          <w:rFonts w:hint="eastAsia" w:ascii="宋体" w:hAnsi="宋体" w:eastAsia="宋体" w:cs="宋体"/>
          <w:b/>
          <w:color w:val="000000"/>
          <w:kern w:val="2"/>
          <w:sz w:val="28"/>
          <w:szCs w:val="28"/>
          <w:lang w:val="en-US" w:eastAsia="zh-CN" w:bidi="ar-SA"/>
        </w:rPr>
        <w:t>提供法定代表人、主要经营负责人、项目投标授权</w:t>
      </w:r>
    </w:p>
    <w:p w14:paraId="7732CB31">
      <w:pPr>
        <w:pStyle w:val="3"/>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kern w:val="2"/>
          <w:sz w:val="28"/>
          <w:szCs w:val="28"/>
          <w:lang w:val="en-US" w:eastAsia="zh-CN" w:bidi="ar-SA"/>
        </w:rPr>
        <w:t>代表人、项目负责人、主要技术人员最近一个月的社会保险证明</w:t>
      </w:r>
      <w:bookmarkEnd w:id="14"/>
    </w:p>
    <w:p w14:paraId="0D4DD058">
      <w:pPr>
        <w:tabs>
          <w:tab w:val="left" w:pos="426"/>
        </w:tabs>
        <w:autoSpaceDE w:val="0"/>
        <w:autoSpaceDN w:val="0"/>
        <w:spacing w:line="360" w:lineRule="auto"/>
        <w:jc w:val="left"/>
        <w:outlineLvl w:val="9"/>
        <w:rPr>
          <w:rFonts w:hint="eastAsia" w:cs="Times New Roman" w:asciiTheme="minorEastAsia" w:hAnsiTheme="minorEastAsia" w:eastAsiaTheme="minorEastAsia"/>
          <w:color w:val="FF0000"/>
          <w:sz w:val="21"/>
          <w:szCs w:val="21"/>
          <w:highlight w:val="none"/>
          <w:lang w:val="en-US" w:eastAsia="zh-CN"/>
        </w:rPr>
      </w:pPr>
      <w:r>
        <w:rPr>
          <w:rFonts w:hint="eastAsia" w:cs="宋体" w:asciiTheme="minorEastAsia" w:hAnsiTheme="minorEastAsia" w:eastAsiaTheme="minorEastAsia"/>
          <w:b w:val="0"/>
          <w:bCs w:val="0"/>
          <w:sz w:val="21"/>
          <w:szCs w:val="21"/>
          <w:highlight w:val="none"/>
          <w:u w:val="none"/>
          <w:lang w:eastAsia="zh-CN"/>
        </w:rPr>
        <w:t>注：</w:t>
      </w:r>
      <w:r>
        <w:rPr>
          <w:rFonts w:hint="eastAsia" w:asciiTheme="minorEastAsia" w:hAnsiTheme="minorEastAsia" w:eastAsiaTheme="minorEastAsia"/>
          <w:sz w:val="21"/>
          <w:szCs w:val="21"/>
          <w:highlight w:val="none"/>
        </w:rPr>
        <w:t>由于社保部门或税务部门原因最近一个月的社保证明无法提供的可往前顺延一个月</w:t>
      </w:r>
      <w:r>
        <w:rPr>
          <w:rFonts w:hint="eastAsia" w:asciiTheme="minorEastAsia" w:hAnsiTheme="minorEastAsia" w:eastAsiaTheme="minorEastAsia"/>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kern w:val="2"/>
          <w:sz w:val="21"/>
          <w:szCs w:val="21"/>
          <w:highlight w:val="none"/>
          <w:lang w:val="en-US" w:eastAsia="zh-CN" w:bidi="ar-SA"/>
        </w:rPr>
        <w:t>如依法不需要缴纳社会保险的，应提供相应文件证明</w:t>
      </w:r>
      <w:r>
        <w:rPr>
          <w:rFonts w:hint="eastAsia" w:ascii="宋体" w:hAnsi="宋体" w:cs="Times New Roman"/>
          <w:kern w:val="2"/>
          <w:sz w:val="21"/>
          <w:szCs w:val="21"/>
          <w:highlight w:val="none"/>
          <w:lang w:val="en-US" w:eastAsia="zh-CN" w:bidi="ar-SA"/>
        </w:rPr>
        <w:t>；</w:t>
      </w:r>
      <w:r>
        <w:rPr>
          <w:rFonts w:hint="eastAsia" w:ascii="宋体" w:hAnsi="宋体" w:eastAsia="宋体" w:cs="Times New Roman"/>
          <w:kern w:val="2"/>
          <w:sz w:val="21"/>
          <w:szCs w:val="21"/>
          <w:highlight w:val="none"/>
          <w:lang w:val="en-US" w:eastAsia="zh-CN" w:bidi="ar-SA"/>
        </w:rPr>
        <w:t>如为退休返聘人员提供退休证明和聘用合同</w:t>
      </w:r>
      <w:r>
        <w:rPr>
          <w:rFonts w:hint="eastAsia" w:asciiTheme="minorEastAsia" w:hAnsiTheme="minorEastAsia" w:eastAsiaTheme="minorEastAsia"/>
          <w:sz w:val="21"/>
          <w:szCs w:val="21"/>
          <w:highlight w:val="none"/>
          <w:lang w:eastAsia="zh-CN"/>
        </w:rPr>
        <w:t>。</w:t>
      </w:r>
      <w:r>
        <w:rPr>
          <w:rFonts w:hint="eastAsia" w:cs="宋体" w:asciiTheme="minorEastAsia" w:hAnsiTheme="minorEastAsia" w:eastAsiaTheme="minorEastAsia"/>
          <w:sz w:val="21"/>
          <w:szCs w:val="21"/>
          <w:highlight w:val="none"/>
        </w:rPr>
        <w:t>如本项目未安排项目投标授权代表人、项目负责人、主要技术人员的，无需提供投标授权代表人、项目负责人、主要技术人员的社会保险证明</w:t>
      </w:r>
      <w:r>
        <w:rPr>
          <w:rFonts w:hint="eastAsia" w:cs="Times New Roman" w:asciiTheme="minorEastAsia" w:hAnsiTheme="minorEastAsia" w:eastAsiaTheme="minorEastAsia"/>
          <w:sz w:val="21"/>
          <w:szCs w:val="21"/>
          <w:highlight w:val="none"/>
          <w:lang w:eastAsia="zh-CN"/>
        </w:rPr>
        <w:t>。</w:t>
      </w:r>
      <w:r>
        <w:rPr>
          <w:rFonts w:hint="eastAsia" w:cs="Times New Roman" w:asciiTheme="minorEastAsia" w:hAnsiTheme="minorEastAsia" w:eastAsiaTheme="minorEastAsia"/>
          <w:color w:val="FF0000"/>
          <w:sz w:val="21"/>
          <w:szCs w:val="21"/>
          <w:highlight w:val="none"/>
          <w:lang w:eastAsia="zh-CN"/>
        </w:rPr>
        <w:t>（</w:t>
      </w:r>
      <w:r>
        <w:rPr>
          <w:rFonts w:hint="eastAsia" w:cs="Times New Roman" w:asciiTheme="minorEastAsia" w:hAnsiTheme="minorEastAsia" w:eastAsiaTheme="minorEastAsia"/>
          <w:color w:val="FF0000"/>
          <w:sz w:val="21"/>
          <w:szCs w:val="21"/>
          <w:highlight w:val="none"/>
          <w:lang w:val="en-US" w:eastAsia="zh-CN"/>
        </w:rPr>
        <w:t>提供法定代表人、项目投标授权代表人及上一条</w:t>
      </w:r>
      <w:r>
        <w:rPr>
          <w:rFonts w:hint="eastAsia" w:cs="Times New Roman" w:asciiTheme="minorEastAsia" w:hAnsiTheme="minorEastAsia" w:eastAsiaTheme="minorEastAsia"/>
          <w:color w:val="FF0000"/>
          <w:sz w:val="21"/>
          <w:szCs w:val="21"/>
          <w:highlight w:val="none"/>
          <w:lang w:eastAsia="zh-CN"/>
        </w:rPr>
        <w:t>《项目管理主要技术和售后服务人员情况表》</w:t>
      </w:r>
      <w:r>
        <w:rPr>
          <w:rFonts w:hint="eastAsia" w:cs="Times New Roman" w:asciiTheme="minorEastAsia" w:hAnsiTheme="minorEastAsia" w:eastAsiaTheme="minorEastAsia"/>
          <w:color w:val="FF0000"/>
          <w:sz w:val="21"/>
          <w:szCs w:val="21"/>
          <w:highlight w:val="none"/>
          <w:lang w:val="en-US" w:eastAsia="zh-CN"/>
        </w:rPr>
        <w:t>中人员的</w:t>
      </w:r>
      <w:r>
        <w:rPr>
          <w:rFonts w:hint="eastAsia" w:cs="Times New Roman" w:asciiTheme="minorEastAsia" w:hAnsiTheme="minorEastAsia" w:eastAsiaTheme="minorEastAsia"/>
          <w:color w:val="FF0000"/>
          <w:sz w:val="21"/>
          <w:szCs w:val="21"/>
          <w:highlight w:val="none"/>
          <w:lang w:eastAsia="zh-CN"/>
        </w:rPr>
        <w:t>社会保险证明）</w:t>
      </w:r>
    </w:p>
    <w:p w14:paraId="4C3F3E6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3F97783A">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17</w:t>
      </w:r>
      <w:r>
        <w:rPr>
          <w:rFonts w:hint="eastAsia" w:ascii="宋体" w:hAnsi="宋体" w:eastAsia="宋体" w:cs="宋体"/>
          <w:b/>
          <w:color w:val="000000"/>
          <w:sz w:val="28"/>
          <w:szCs w:val="28"/>
        </w:rPr>
        <w:t>､</w:t>
      </w:r>
      <w:r>
        <w:rPr>
          <w:rFonts w:hint="eastAsia" w:ascii="宋体" w:hAnsi="宋体" w:cs="宋体"/>
          <w:b/>
          <w:color w:val="000000"/>
          <w:sz w:val="28"/>
          <w:szCs w:val="28"/>
          <w:lang w:val="en-US" w:eastAsia="zh-CN"/>
        </w:rPr>
        <w:t>家具安装调试方案</w:t>
      </w:r>
      <w:r>
        <w:rPr>
          <w:rFonts w:hint="eastAsia" w:ascii="宋体" w:hAnsi="宋体" w:eastAsia="宋体" w:cs="宋体"/>
          <w:b/>
          <w:color w:val="000000"/>
          <w:sz w:val="28"/>
          <w:szCs w:val="28"/>
          <w:lang w:eastAsia="zh-CN"/>
        </w:rPr>
        <w:t>（</w:t>
      </w:r>
      <w:r>
        <w:rPr>
          <w:rFonts w:hint="eastAsia" w:ascii="宋体" w:hAnsi="宋体" w:eastAsia="宋体" w:cs="宋体"/>
          <w:b/>
          <w:color w:val="000000"/>
          <w:sz w:val="28"/>
          <w:szCs w:val="28"/>
          <w:lang w:val="en-US" w:eastAsia="zh-CN"/>
        </w:rPr>
        <w:t>按评分表要求提供）</w:t>
      </w:r>
    </w:p>
    <w:p w14:paraId="1FC91731">
      <w:pPr>
        <w:jc w:val="center"/>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lang w:val="en-US" w:eastAsia="zh-CN"/>
        </w:rPr>
        <w:br w:type="column"/>
      </w:r>
      <w:r>
        <w:rPr>
          <w:rFonts w:hint="eastAsia" w:asciiTheme="minorEastAsia" w:hAnsiTheme="minorEastAsia" w:eastAsiaTheme="minorEastAsia"/>
          <w:b/>
          <w:color w:val="000000"/>
          <w:sz w:val="28"/>
          <w:szCs w:val="28"/>
          <w:lang w:val="en-US" w:eastAsia="zh-CN"/>
        </w:rPr>
        <w:t>18</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14:paraId="3439D285">
      <w:pPr>
        <w:spacing w:line="420" w:lineRule="exact"/>
        <w:ind w:firstLine="457" w:firstLineChars="218"/>
        <w:rPr>
          <w:rFonts w:asciiTheme="minorEastAsia" w:hAnsiTheme="minorEastAsia" w:eastAsiaTheme="minorEastAsia"/>
          <w:b/>
          <w:color w:val="000000"/>
          <w:kern w:val="0"/>
          <w:szCs w:val="28"/>
        </w:rPr>
      </w:pPr>
      <w:r>
        <w:rPr>
          <w:rFonts w:asciiTheme="minorEastAsia" w:hAnsiTheme="minorEastAsia" w:eastAsiaTheme="minorEastAsia"/>
          <w:color w:val="000000"/>
        </w:rPr>
        <w:t>(并请提供</w:t>
      </w:r>
      <w:r>
        <w:rPr>
          <w:rFonts w:cs="Arial" w:asciiTheme="minorEastAsia" w:hAnsiTheme="minorEastAsia" w:eastAsiaTheme="minorEastAsia"/>
          <w:color w:val="000000"/>
          <w:kern w:val="0"/>
          <w:szCs w:val="21"/>
        </w:rPr>
        <w:t>产品在深圳和国内的服务单位名单和相应的合同</w:t>
      </w:r>
      <w:r>
        <w:rPr>
          <w:rFonts w:asciiTheme="minorEastAsia" w:hAnsiTheme="minorEastAsia" w:eastAsiaTheme="minorEastAsia"/>
          <w:color w:val="000000"/>
        </w:rPr>
        <w:t>关键页或验收报告</w:t>
      </w:r>
      <w:r>
        <w:rPr>
          <w:rFonts w:hint="eastAsia" w:asciiTheme="minorEastAsia" w:hAnsiTheme="minorEastAsia" w:eastAsiaTheme="minorEastAsia"/>
          <w:color w:val="000000"/>
          <w:lang w:val="en-US" w:eastAsia="zh-CN"/>
        </w:rPr>
        <w:t>复印件/</w:t>
      </w:r>
      <w:r>
        <w:rPr>
          <w:rFonts w:cs="Arial" w:asciiTheme="minorEastAsia" w:hAnsiTheme="minorEastAsia" w:eastAsiaTheme="minorEastAsia"/>
          <w:color w:val="000000"/>
          <w:kern w:val="0"/>
          <w:szCs w:val="21"/>
        </w:rPr>
        <w:t>扫描件</w:t>
      </w:r>
      <w:r>
        <w:rPr>
          <w:rFonts w:asciiTheme="minorEastAsia" w:hAnsiTheme="minorEastAsia" w:eastAsiaTheme="minorEastAsia"/>
          <w:color w:val="000000"/>
        </w:rPr>
        <w:t>)</w:t>
      </w:r>
    </w:p>
    <w:p w14:paraId="58E66C87">
      <w:pPr>
        <w:spacing w:after="60"/>
        <w:rPr>
          <w:rFonts w:cs="Arial" w:asciiTheme="minorEastAsia" w:hAnsiTheme="minorEastAsia" w:eastAsiaTheme="minorEastAsia"/>
          <w:color w:val="000000"/>
          <w:szCs w:val="21"/>
        </w:rPr>
      </w:pPr>
    </w:p>
    <w:p w14:paraId="51105EFF">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14:paraId="29EB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tcPr>
          <w:p w14:paraId="41E0DD68">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14:paraId="1D6670E5">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14:paraId="0F36699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14:paraId="341FBCBE">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14:paraId="0CA5B91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14:paraId="2034FAA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14:paraId="77B38FC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14:paraId="1E317F0C">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14:paraId="7B52DE56">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14:paraId="140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7C283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47EF4A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962CD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FC68D3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13926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6CC9F0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A54A3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B0A466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9B067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7836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EABFE3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4505A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49BC56C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47B3B1E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77C6FE8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F2AF77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42B75E5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EB75FD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6E1132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BCA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44DC5E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4FAD95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2EEA86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CD81CA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02EA88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309EFB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F55482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25A9406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02116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D27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2392D8F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D56D84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5370B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3561D5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7AB669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1D0704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86A6E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7D71DC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D7E217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287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24E540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365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FA75F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6A2948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BBF6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1200A3F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357FD37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2D846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6AFA294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1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22DFE5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027114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900D1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83B3C2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DA3349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456C86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52EC5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3A08253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F07D6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372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1B7CBA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2B522B0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61C9B1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F99056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3E0AC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ADDD0E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13DD921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BE9C9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16FEB21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E21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F6A57D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ED8A5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72ECE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AF9E3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1FEE1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7CBA70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E7FA46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196A535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52344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5A1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1C9F374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04BF37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3CC7DD4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8C5197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6E7E557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52060D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7AECC6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188BB4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7F5539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17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30442B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78510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6477FEF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6CDFB1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C1ED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461EA1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9280A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4AB57E6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D1E812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14:paraId="2BD79A20">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14:paraId="4A942EAC">
      <w:pPr>
        <w:spacing w:after="60"/>
        <w:rPr>
          <w:rFonts w:cs="Arial" w:asciiTheme="minorEastAsia" w:hAnsiTheme="minorEastAsia" w:eastAsiaTheme="minorEastAsia"/>
          <w:color w:val="000000"/>
        </w:rPr>
      </w:pPr>
    </w:p>
    <w:p w14:paraId="3D27C46C">
      <w:pPr>
        <w:spacing w:after="60"/>
        <w:rPr>
          <w:rFonts w:cs="Arial" w:asciiTheme="minorEastAsia" w:hAnsiTheme="minorEastAsia" w:eastAsiaTheme="minorEastAsia"/>
          <w:color w:val="000000"/>
        </w:rPr>
      </w:pPr>
    </w:p>
    <w:p w14:paraId="45C64729">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35DF5745">
      <w:pPr>
        <w:spacing w:after="60"/>
        <w:rPr>
          <w:rFonts w:cs="Arial" w:asciiTheme="minorEastAsia" w:hAnsiTheme="minorEastAsia" w:eastAsiaTheme="minorEastAsia"/>
          <w:color w:val="000000"/>
        </w:rPr>
      </w:pPr>
    </w:p>
    <w:p w14:paraId="5F93E5DB">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64B2BE55">
      <w:pPr>
        <w:spacing w:after="60"/>
        <w:ind w:firstLine="210" w:firstLineChars="100"/>
        <w:rPr>
          <w:rFonts w:cs="Arial" w:asciiTheme="minorEastAsia" w:hAnsiTheme="minorEastAsia" w:eastAsiaTheme="minorEastAsia"/>
          <w:color w:val="000000"/>
        </w:rPr>
      </w:pPr>
    </w:p>
    <w:p w14:paraId="0E7730D4">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14:paraId="2A6B88D4">
      <w:pPr>
        <w:spacing w:after="60"/>
        <w:ind w:firstLine="210" w:firstLineChars="100"/>
        <w:rPr>
          <w:rFonts w:cs="Arial" w:asciiTheme="minorEastAsia" w:hAnsiTheme="minorEastAsia" w:eastAsiaTheme="minorEastAsia"/>
          <w:color w:val="000000"/>
        </w:rPr>
      </w:pPr>
    </w:p>
    <w:p w14:paraId="216BB928">
      <w:pPr>
        <w:spacing w:after="60"/>
        <w:ind w:firstLine="210" w:firstLineChars="100"/>
        <w:rPr>
          <w:rFonts w:cs="Arial" w:asciiTheme="minorEastAsia" w:hAnsiTheme="minorEastAsia" w:eastAsiaTheme="minorEastAsia"/>
          <w:color w:val="000000"/>
        </w:rPr>
      </w:pPr>
    </w:p>
    <w:p w14:paraId="665C9C71">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19</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0"/>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20</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20</w:t>
      </w:r>
      <w:r>
        <w:rPr>
          <w:rFonts w:cs="宋体" w:asciiTheme="minorEastAsia" w:hAnsiTheme="minorEastAsia" w:eastAsiaTheme="minorEastAsia"/>
          <w:b/>
          <w:kern w:val="0"/>
          <w:sz w:val="24"/>
        </w:rPr>
        <w:t>.1</w:t>
      </w:r>
      <w:r>
        <w:rPr>
          <w:rFonts w:ascii="MS Gothic" w:hAnsi="MS Gothic" w:eastAsia="MS Gothic" w:cs="MS Gothic"/>
          <w:b/>
          <w:kern w:val="0"/>
          <w:sz w:val="24"/>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2"/>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49"/>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2"/>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0"/>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1"/>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52"/>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20</w:t>
      </w:r>
      <w:r>
        <w:rPr>
          <w:rFonts w:cs="Arial" w:asciiTheme="minorEastAsia" w:hAnsiTheme="minorEastAsia" w:eastAsiaTheme="minorEastAsia"/>
          <w:b/>
          <w:color w:val="000000"/>
          <w:sz w:val="28"/>
          <w:szCs w:val="28"/>
        </w:rPr>
        <w:t>.2</w:t>
      </w:r>
      <w:r>
        <w:rPr>
          <w:rFonts w:ascii="MS Gothic" w:hAnsi="MS Gothic" w:eastAsia="MS Gothic" w:cs="MS Gothic"/>
          <w:b/>
          <w:color w:val="000000"/>
          <w:sz w:val="28"/>
          <w:szCs w:val="28"/>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2"/>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8"/>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3"/>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20.3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4"/>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336925"/>
            <wp:effectExtent l="0" t="0" r="571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5"/>
                    <a:stretch>
                      <a:fillRect/>
                    </a:stretch>
                  </pic:blipFill>
                  <pic:spPr>
                    <a:xfrm>
                      <a:off x="0" y="0"/>
                      <a:ext cx="5271135" cy="3336925"/>
                    </a:xfrm>
                    <a:prstGeom prst="rect">
                      <a:avLst/>
                    </a:prstGeom>
                    <a:noFill/>
                    <a:ln>
                      <a:noFill/>
                    </a:ln>
                  </pic:spPr>
                </pic:pic>
              </a:graphicData>
            </a:graphic>
          </wp:inline>
        </w:drawing>
      </w:r>
    </w:p>
    <w:p w14:paraId="22E8E71C">
      <w:pPr>
        <w:jc w:val="center"/>
      </w:pPr>
    </w:p>
    <w:p w14:paraId="5B76F20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50E4F1B5">
      <w:pPr>
        <w:spacing w:line="320" w:lineRule="exact"/>
        <w:rPr>
          <w:rFonts w:ascii="宋体" w:hAnsi="宋体"/>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20.4、深圳信用网查询记录网络截图件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56"/>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21、</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6B2625A">
      <w:pPr>
        <w:widowControl/>
        <w:jc w:val="center"/>
        <w:rPr>
          <w:rFonts w:hint="eastAsia" w:ascii="宋体" w:hAnsi="宋体" w:eastAsia="宋体" w:cs="宋体"/>
          <w:b/>
          <w:color w:val="000000"/>
          <w:sz w:val="28"/>
          <w:szCs w:val="28"/>
          <w:lang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2</w:t>
      </w:r>
      <w:r>
        <w:rPr>
          <w:rFonts w:ascii="MS Gothic" w:hAnsi="MS Gothic" w:eastAsia="MS Gothic" w:cs="MS Gothic"/>
          <w:b/>
          <w:color w:val="000000"/>
          <w:sz w:val="28"/>
          <w:szCs w:val="28"/>
        </w:rPr>
        <w:t>､</w:t>
      </w:r>
      <w:r>
        <w:rPr>
          <w:rFonts w:ascii="宋体" w:hAnsi="宋体" w:cs="宋体"/>
          <w:b/>
          <w:color w:val="000000"/>
          <w:sz w:val="28"/>
          <w:szCs w:val="28"/>
        </w:rPr>
        <w:t>满足招标功能使用的</w:t>
      </w:r>
      <w:r>
        <w:rPr>
          <w:rFonts w:hint="eastAsia" w:ascii="宋体" w:hAnsi="宋体" w:cs="宋体"/>
          <w:b/>
          <w:color w:val="000000"/>
          <w:sz w:val="28"/>
          <w:szCs w:val="28"/>
          <w:lang w:val="en-US" w:eastAsia="zh-CN"/>
        </w:rPr>
        <w:t>货物</w:t>
      </w:r>
      <w:r>
        <w:rPr>
          <w:rFonts w:ascii="宋体" w:hAnsi="宋体" w:cs="宋体"/>
          <w:b/>
          <w:color w:val="000000"/>
          <w:sz w:val="28"/>
          <w:szCs w:val="28"/>
        </w:rPr>
        <w:t>清单</w:t>
      </w:r>
    </w:p>
    <w:p w14:paraId="45CC1E14">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4919BC37">
      <w:pPr>
        <w:widowControl/>
        <w:jc w:val="center"/>
        <w:rPr>
          <w:rFonts w:hint="default" w:ascii="宋体" w:hAnsi="宋体" w:eastAsia="宋体" w:cs="宋体"/>
          <w:b/>
          <w:color w:val="000000"/>
          <w:sz w:val="28"/>
          <w:szCs w:val="28"/>
          <w:lang w:val="en-US"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3</w:t>
      </w:r>
      <w:r>
        <w:rPr>
          <w:rFonts w:ascii="MS Gothic" w:hAnsi="MS Gothic" w:eastAsia="MS Gothic" w:cs="MS Gothic"/>
          <w:b/>
          <w:color w:val="000000"/>
          <w:sz w:val="28"/>
          <w:szCs w:val="28"/>
        </w:rPr>
        <w:t>､</w:t>
      </w:r>
      <w:r>
        <w:rPr>
          <w:rFonts w:hint="eastAsia" w:ascii="宋体" w:hAnsi="宋体" w:eastAsia="宋体" w:cs="宋体"/>
          <w:b/>
          <w:color w:val="000000"/>
          <w:sz w:val="28"/>
          <w:szCs w:val="28"/>
          <w:lang w:val="en-US" w:eastAsia="zh-CN"/>
        </w:rPr>
        <w:t>质量检测报告</w:t>
      </w:r>
    </w:p>
    <w:p w14:paraId="2F2C938C">
      <w:pPr>
        <w:rPr>
          <w:rFonts w:cs="Arial" w:asciiTheme="minorEastAsia" w:hAnsiTheme="minorEastAsia" w:eastAsiaTheme="minorEastAsia"/>
          <w:b/>
          <w:color w:val="000000"/>
          <w:sz w:val="28"/>
          <w:szCs w:val="28"/>
        </w:rPr>
      </w:pPr>
    </w:p>
    <w:p w14:paraId="1BD2B242">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73166C2D">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4</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14:paraId="257544A6">
      <w:pPr>
        <w:widowControl/>
        <w:ind w:left="1"/>
        <w:jc w:val="center"/>
        <w:rPr>
          <w:rFonts w:cs="宋体-18030" w:asciiTheme="minorEastAsia" w:hAnsiTheme="minorEastAsia" w:eastAsiaTheme="minorEastAsia"/>
          <w:b/>
          <w:bCs/>
          <w:color w:val="000000"/>
          <w:sz w:val="36"/>
          <w:szCs w:val="36"/>
        </w:rPr>
      </w:pPr>
    </w:p>
    <w:p w14:paraId="0720F15C">
      <w:pPr>
        <w:widowControl/>
        <w:ind w:left="1"/>
        <w:jc w:val="center"/>
        <w:rPr>
          <w:rFonts w:cs="宋体-18030" w:asciiTheme="minorEastAsia" w:hAnsiTheme="minorEastAsia" w:eastAsiaTheme="minorEastAsia"/>
          <w:b/>
          <w:bCs/>
          <w:color w:val="000000"/>
          <w:sz w:val="36"/>
          <w:szCs w:val="36"/>
        </w:rPr>
      </w:pPr>
    </w:p>
    <w:p w14:paraId="514F19A8">
      <w:pPr>
        <w:widowControl/>
        <w:ind w:left="1"/>
        <w:jc w:val="center"/>
        <w:rPr>
          <w:rFonts w:cs="宋体-18030" w:asciiTheme="minorEastAsia" w:hAnsiTheme="minorEastAsia" w:eastAsiaTheme="minorEastAsia"/>
          <w:b/>
          <w:bCs/>
          <w:color w:val="000000"/>
          <w:sz w:val="36"/>
          <w:szCs w:val="36"/>
        </w:rPr>
      </w:pPr>
    </w:p>
    <w:p w14:paraId="172516FC">
      <w:pPr>
        <w:widowControl/>
        <w:ind w:left="1"/>
        <w:jc w:val="center"/>
        <w:rPr>
          <w:rFonts w:cs="宋体-18030" w:asciiTheme="minorEastAsia" w:hAnsiTheme="minorEastAsia" w:eastAsiaTheme="minorEastAsia"/>
          <w:b/>
          <w:bCs/>
          <w:color w:val="000000"/>
          <w:sz w:val="36"/>
          <w:szCs w:val="36"/>
        </w:rPr>
      </w:pPr>
    </w:p>
    <w:p w14:paraId="7584D587">
      <w:pPr>
        <w:widowControl/>
        <w:ind w:left="1"/>
        <w:jc w:val="center"/>
        <w:rPr>
          <w:rFonts w:cs="宋体-18030" w:asciiTheme="minorEastAsia" w:hAnsiTheme="minorEastAsia" w:eastAsiaTheme="minorEastAsia"/>
          <w:b/>
          <w:bCs/>
          <w:color w:val="000000"/>
          <w:sz w:val="36"/>
          <w:szCs w:val="36"/>
        </w:rPr>
      </w:pPr>
    </w:p>
    <w:p w14:paraId="0C2CBC55">
      <w:pPr>
        <w:widowControl/>
        <w:ind w:left="1"/>
        <w:jc w:val="center"/>
        <w:rPr>
          <w:rFonts w:cs="宋体-18030" w:asciiTheme="minorEastAsia" w:hAnsiTheme="minorEastAsia" w:eastAsiaTheme="minorEastAsia"/>
          <w:b/>
          <w:bCs/>
          <w:color w:val="000000"/>
          <w:sz w:val="36"/>
          <w:szCs w:val="36"/>
        </w:rPr>
      </w:pPr>
    </w:p>
    <w:p w14:paraId="48E9C52D">
      <w:pPr>
        <w:widowControl/>
        <w:ind w:left="1"/>
        <w:jc w:val="center"/>
        <w:rPr>
          <w:rFonts w:cs="宋体-18030" w:asciiTheme="minorEastAsia" w:hAnsiTheme="minorEastAsia" w:eastAsiaTheme="minorEastAsia"/>
          <w:b/>
          <w:bCs/>
          <w:color w:val="000000"/>
          <w:sz w:val="36"/>
          <w:szCs w:val="36"/>
        </w:rPr>
      </w:pPr>
    </w:p>
    <w:p w14:paraId="16FAA635">
      <w:pPr>
        <w:widowControl/>
        <w:ind w:left="1"/>
        <w:jc w:val="center"/>
        <w:rPr>
          <w:rFonts w:cs="宋体-18030" w:asciiTheme="minorEastAsia" w:hAnsiTheme="minorEastAsia" w:eastAsiaTheme="minorEastAsia"/>
          <w:b/>
          <w:bCs/>
          <w:color w:val="000000"/>
          <w:sz w:val="36"/>
          <w:szCs w:val="36"/>
        </w:rPr>
      </w:pPr>
    </w:p>
    <w:p w14:paraId="0BA692FD">
      <w:pPr>
        <w:widowControl/>
        <w:ind w:left="1"/>
        <w:jc w:val="center"/>
        <w:rPr>
          <w:rFonts w:cs="宋体-18030" w:asciiTheme="minorEastAsia" w:hAnsiTheme="minorEastAsia" w:eastAsiaTheme="minorEastAsia"/>
          <w:b/>
          <w:bCs/>
          <w:color w:val="000000"/>
          <w:sz w:val="36"/>
          <w:szCs w:val="36"/>
        </w:rPr>
      </w:pPr>
    </w:p>
    <w:p w14:paraId="0A519242">
      <w:pPr>
        <w:widowControl/>
        <w:ind w:left="1"/>
        <w:jc w:val="center"/>
        <w:rPr>
          <w:rFonts w:cs="宋体-18030" w:asciiTheme="minorEastAsia" w:hAnsiTheme="minorEastAsia" w:eastAsiaTheme="minorEastAsia"/>
          <w:b/>
          <w:bCs/>
          <w:color w:val="000000"/>
          <w:sz w:val="36"/>
          <w:szCs w:val="36"/>
        </w:rPr>
      </w:pPr>
    </w:p>
    <w:p w14:paraId="0E8E8D74">
      <w:pPr>
        <w:widowControl/>
        <w:ind w:left="1"/>
        <w:jc w:val="center"/>
        <w:rPr>
          <w:rFonts w:cs="宋体-18030" w:asciiTheme="minorEastAsia" w:hAnsiTheme="minorEastAsia" w:eastAsiaTheme="minorEastAsia"/>
          <w:b/>
          <w:bCs/>
          <w:color w:val="000000"/>
          <w:sz w:val="36"/>
          <w:szCs w:val="36"/>
        </w:rPr>
      </w:pPr>
    </w:p>
    <w:p w14:paraId="737D6503">
      <w:pPr>
        <w:widowControl/>
        <w:ind w:left="1"/>
        <w:jc w:val="center"/>
        <w:rPr>
          <w:rFonts w:cs="宋体-18030" w:asciiTheme="minorEastAsia" w:hAnsiTheme="minorEastAsia" w:eastAsiaTheme="minorEastAsia"/>
          <w:b/>
          <w:bCs/>
          <w:color w:val="000000"/>
          <w:sz w:val="36"/>
          <w:szCs w:val="36"/>
        </w:rPr>
      </w:pPr>
    </w:p>
    <w:p w14:paraId="6AE338D1">
      <w:pPr>
        <w:widowControl/>
        <w:ind w:left="1"/>
        <w:jc w:val="center"/>
        <w:rPr>
          <w:rFonts w:cs="宋体-18030" w:asciiTheme="minorEastAsia" w:hAnsiTheme="minorEastAsia" w:eastAsiaTheme="minorEastAsia"/>
          <w:b/>
          <w:bCs/>
          <w:color w:val="000000"/>
          <w:sz w:val="36"/>
          <w:szCs w:val="36"/>
        </w:rPr>
      </w:pPr>
    </w:p>
    <w:p w14:paraId="7F4CDCCC">
      <w:pPr>
        <w:widowControl/>
        <w:ind w:left="1"/>
        <w:jc w:val="center"/>
        <w:rPr>
          <w:rFonts w:cs="宋体-18030" w:asciiTheme="minorEastAsia" w:hAnsiTheme="minorEastAsia" w:eastAsiaTheme="minorEastAsia"/>
          <w:b/>
          <w:bCs/>
          <w:color w:val="000000"/>
          <w:sz w:val="36"/>
          <w:szCs w:val="36"/>
        </w:rPr>
      </w:pPr>
    </w:p>
    <w:p w14:paraId="33E28591">
      <w:pPr>
        <w:widowControl/>
        <w:ind w:left="1"/>
        <w:jc w:val="center"/>
        <w:rPr>
          <w:rFonts w:cs="宋体-18030" w:asciiTheme="minorEastAsia" w:hAnsiTheme="minorEastAsia" w:eastAsiaTheme="minorEastAsia"/>
          <w:b/>
          <w:bCs/>
          <w:color w:val="000000"/>
          <w:sz w:val="36"/>
          <w:szCs w:val="36"/>
        </w:rPr>
      </w:pPr>
    </w:p>
    <w:p w14:paraId="4E719AD5">
      <w:pPr>
        <w:widowControl/>
        <w:ind w:left="1"/>
        <w:jc w:val="center"/>
        <w:rPr>
          <w:rFonts w:cs="宋体-18030" w:asciiTheme="minorEastAsia" w:hAnsiTheme="minorEastAsia" w:eastAsiaTheme="minorEastAsia"/>
          <w:b/>
          <w:bCs/>
          <w:color w:val="000000"/>
          <w:sz w:val="36"/>
          <w:szCs w:val="36"/>
        </w:rPr>
      </w:pPr>
    </w:p>
    <w:p w14:paraId="7F92ECBA">
      <w:pPr>
        <w:widowControl/>
        <w:ind w:left="1"/>
        <w:jc w:val="center"/>
        <w:rPr>
          <w:rFonts w:cs="宋体-18030" w:asciiTheme="minorEastAsia" w:hAnsiTheme="minorEastAsia" w:eastAsiaTheme="minorEastAsia"/>
          <w:b/>
          <w:bCs/>
          <w:color w:val="000000"/>
          <w:sz w:val="36"/>
          <w:szCs w:val="36"/>
        </w:rPr>
      </w:pPr>
    </w:p>
    <w:p w14:paraId="1A3D3C33">
      <w:pPr>
        <w:widowControl/>
        <w:ind w:left="1"/>
        <w:jc w:val="center"/>
        <w:rPr>
          <w:rFonts w:cs="宋体-18030" w:asciiTheme="minorEastAsia" w:hAnsiTheme="minorEastAsia" w:eastAsiaTheme="minorEastAsia"/>
          <w:b/>
          <w:bCs/>
          <w:color w:val="000000"/>
          <w:sz w:val="36"/>
          <w:szCs w:val="36"/>
        </w:rPr>
      </w:pPr>
    </w:p>
    <w:p w14:paraId="7FE0DED2">
      <w:pPr>
        <w:widowControl/>
        <w:ind w:left="1"/>
        <w:jc w:val="center"/>
        <w:rPr>
          <w:rFonts w:cs="宋体-18030" w:asciiTheme="minorEastAsia" w:hAnsiTheme="minorEastAsia" w:eastAsiaTheme="minorEastAsia"/>
          <w:b/>
          <w:bCs/>
          <w:color w:val="000000"/>
          <w:sz w:val="36"/>
          <w:szCs w:val="36"/>
        </w:rPr>
      </w:pPr>
    </w:p>
    <w:p w14:paraId="743EFB09">
      <w:pPr>
        <w:widowControl/>
        <w:ind w:left="1"/>
        <w:jc w:val="center"/>
        <w:rPr>
          <w:rFonts w:cs="宋体-18030" w:asciiTheme="minorEastAsia" w:hAnsiTheme="minorEastAsia" w:eastAsiaTheme="minorEastAsia"/>
          <w:b/>
          <w:bCs/>
          <w:color w:val="000000"/>
          <w:sz w:val="36"/>
          <w:szCs w:val="36"/>
        </w:rPr>
      </w:pPr>
    </w:p>
    <w:p w14:paraId="6C902086">
      <w:pPr>
        <w:widowControl/>
        <w:ind w:left="1"/>
        <w:jc w:val="center"/>
        <w:rPr>
          <w:rFonts w:cs="宋体-18030" w:asciiTheme="minorEastAsia" w:hAnsiTheme="minorEastAsia" w:eastAsiaTheme="minorEastAsia"/>
          <w:b/>
          <w:bCs/>
          <w:color w:val="000000"/>
          <w:sz w:val="36"/>
          <w:szCs w:val="36"/>
        </w:rPr>
      </w:pPr>
    </w:p>
    <w:p w14:paraId="68AA8F44">
      <w:pPr>
        <w:widowControl/>
        <w:rPr>
          <w:rFonts w:cs="宋体-18030" w:asciiTheme="minorEastAsia" w:hAnsiTheme="minorEastAsia" w:eastAsiaTheme="minorEastAsia"/>
          <w:b/>
          <w:bCs/>
          <w:color w:val="000000"/>
          <w:sz w:val="36"/>
          <w:szCs w:val="36"/>
        </w:rPr>
      </w:pPr>
    </w:p>
    <w:p w14:paraId="309EDFFD">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25</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14:paraId="0E354894">
      <w:pPr>
        <w:widowControl/>
        <w:spacing w:line="360" w:lineRule="atLeast"/>
        <w:jc w:val="center"/>
        <w:rPr>
          <w:rFonts w:cs="宋体" w:asciiTheme="minorEastAsia" w:hAnsiTheme="minorEastAsia" w:eastAsiaTheme="minorEastAsia"/>
          <w:bCs/>
          <w:kern w:val="0"/>
          <w:sz w:val="24"/>
        </w:rPr>
      </w:pPr>
    </w:p>
    <w:p w14:paraId="60BE74D7">
      <w:pPr>
        <w:rPr>
          <w:rFonts w:asciiTheme="minorEastAsia" w:hAnsiTheme="minorEastAsia" w:eastAsiaTheme="minorEastAsia"/>
        </w:rPr>
      </w:pPr>
    </w:p>
    <w:p w14:paraId="3D27081B">
      <w:pPr>
        <w:spacing w:after="78" w:afterLines="25" w:line="300" w:lineRule="auto"/>
        <w:ind w:left="420"/>
        <w:jc w:val="center"/>
        <w:rPr>
          <w:rFonts w:cs="宋体" w:asciiTheme="minorEastAsia" w:hAnsiTheme="minorEastAsia" w:eastAsiaTheme="minorEastAsia"/>
          <w:bCs/>
          <w:kern w:val="0"/>
          <w:sz w:val="24"/>
        </w:rPr>
      </w:pPr>
    </w:p>
    <w:p w14:paraId="26FB0686">
      <w:pPr>
        <w:pStyle w:val="29"/>
        <w:ind w:firstLine="420"/>
        <w:rPr>
          <w:rFonts w:asciiTheme="minorEastAsia" w:hAnsiTheme="minorEastAsia" w:eastAsiaTheme="minorEastAsia"/>
        </w:rPr>
      </w:pPr>
    </w:p>
    <w:p w14:paraId="46CEA70A">
      <w:pPr>
        <w:pStyle w:val="29"/>
        <w:ind w:firstLine="420"/>
        <w:rPr>
          <w:rFonts w:asciiTheme="minorEastAsia" w:hAnsiTheme="minorEastAsia" w:eastAsiaTheme="minorEastAsia"/>
        </w:rPr>
      </w:pPr>
    </w:p>
    <w:p w14:paraId="49658AAF">
      <w:pPr>
        <w:pStyle w:val="29"/>
        <w:ind w:firstLine="420"/>
        <w:rPr>
          <w:rFonts w:asciiTheme="minorEastAsia" w:hAnsiTheme="minorEastAsia" w:eastAsiaTheme="minorEastAsia"/>
        </w:rPr>
      </w:pPr>
    </w:p>
    <w:p w14:paraId="36C1336E">
      <w:pPr>
        <w:pStyle w:val="29"/>
        <w:ind w:firstLine="420"/>
        <w:rPr>
          <w:rFonts w:asciiTheme="minorEastAsia" w:hAnsiTheme="minorEastAsia" w:eastAsiaTheme="minorEastAsia"/>
        </w:rPr>
      </w:pPr>
    </w:p>
    <w:p w14:paraId="25BAF7E8">
      <w:pPr>
        <w:pStyle w:val="29"/>
        <w:ind w:firstLine="420"/>
        <w:rPr>
          <w:rFonts w:asciiTheme="minorEastAsia" w:hAnsiTheme="minorEastAsia" w:eastAsiaTheme="minorEastAsia"/>
        </w:rPr>
      </w:pPr>
    </w:p>
    <w:p w14:paraId="65F601D7">
      <w:pPr>
        <w:pStyle w:val="29"/>
        <w:ind w:firstLine="420"/>
        <w:rPr>
          <w:rFonts w:asciiTheme="minorEastAsia" w:hAnsiTheme="minorEastAsia" w:eastAsiaTheme="minorEastAsia"/>
        </w:rPr>
      </w:pPr>
    </w:p>
    <w:p w14:paraId="1CC30CEF">
      <w:pPr>
        <w:pStyle w:val="29"/>
        <w:ind w:firstLine="420"/>
        <w:rPr>
          <w:rFonts w:asciiTheme="minorEastAsia" w:hAnsiTheme="minorEastAsia" w:eastAsiaTheme="minorEastAsia"/>
        </w:rPr>
      </w:pPr>
    </w:p>
    <w:p w14:paraId="1B7A7B20">
      <w:pPr>
        <w:pStyle w:val="29"/>
        <w:ind w:firstLine="420"/>
        <w:rPr>
          <w:rFonts w:asciiTheme="minorEastAsia" w:hAnsiTheme="minorEastAsia" w:eastAsiaTheme="minorEastAsia"/>
        </w:rPr>
      </w:pPr>
    </w:p>
    <w:p w14:paraId="1C6123C4">
      <w:pPr>
        <w:pStyle w:val="29"/>
        <w:ind w:firstLine="420"/>
        <w:rPr>
          <w:rFonts w:asciiTheme="minorEastAsia" w:hAnsiTheme="minorEastAsia" w:eastAsiaTheme="minorEastAsia"/>
        </w:rPr>
      </w:pPr>
    </w:p>
    <w:p w14:paraId="527E1812">
      <w:pPr>
        <w:pStyle w:val="29"/>
        <w:ind w:firstLine="420"/>
        <w:rPr>
          <w:rFonts w:asciiTheme="minorEastAsia" w:hAnsiTheme="minorEastAsia" w:eastAsiaTheme="minorEastAsia"/>
        </w:rPr>
      </w:pPr>
    </w:p>
    <w:p w14:paraId="535CA35A">
      <w:pPr>
        <w:pStyle w:val="29"/>
        <w:ind w:firstLine="420"/>
        <w:rPr>
          <w:rFonts w:asciiTheme="minorEastAsia" w:hAnsiTheme="minorEastAsia" w:eastAsiaTheme="minorEastAsia"/>
        </w:rPr>
      </w:pPr>
    </w:p>
    <w:p w14:paraId="3F0D1F05">
      <w:pPr>
        <w:pStyle w:val="29"/>
        <w:ind w:firstLine="420"/>
        <w:rPr>
          <w:rFonts w:asciiTheme="minorEastAsia" w:hAnsiTheme="minorEastAsia" w:eastAsiaTheme="minorEastAsia"/>
        </w:rPr>
      </w:pPr>
    </w:p>
    <w:p w14:paraId="16E72AE0">
      <w:pPr>
        <w:pStyle w:val="29"/>
        <w:ind w:firstLine="420"/>
        <w:rPr>
          <w:rFonts w:asciiTheme="minorEastAsia" w:hAnsiTheme="minorEastAsia" w:eastAsiaTheme="minorEastAsia"/>
        </w:rPr>
      </w:pPr>
    </w:p>
    <w:p w14:paraId="15CDAD3F">
      <w:pPr>
        <w:pStyle w:val="29"/>
        <w:ind w:firstLine="420"/>
        <w:rPr>
          <w:rFonts w:asciiTheme="minorEastAsia" w:hAnsiTheme="minorEastAsia" w:eastAsiaTheme="minorEastAsia"/>
        </w:rPr>
      </w:pPr>
    </w:p>
    <w:p w14:paraId="428F365C">
      <w:pPr>
        <w:pStyle w:val="29"/>
        <w:ind w:firstLine="420"/>
        <w:rPr>
          <w:rFonts w:asciiTheme="minorEastAsia" w:hAnsiTheme="minorEastAsia" w:eastAsiaTheme="minorEastAsia"/>
        </w:rPr>
      </w:pPr>
    </w:p>
    <w:p w14:paraId="45901412">
      <w:pPr>
        <w:pStyle w:val="29"/>
        <w:ind w:firstLine="420"/>
        <w:rPr>
          <w:rFonts w:asciiTheme="minorEastAsia" w:hAnsiTheme="minorEastAsia" w:eastAsiaTheme="minorEastAsia"/>
        </w:rPr>
      </w:pPr>
    </w:p>
    <w:p w14:paraId="47A8BE55">
      <w:pPr>
        <w:pStyle w:val="29"/>
        <w:ind w:firstLine="420"/>
        <w:rPr>
          <w:rFonts w:asciiTheme="minorEastAsia" w:hAnsiTheme="minorEastAsia" w:eastAsiaTheme="minorEastAsia"/>
        </w:rPr>
      </w:pPr>
    </w:p>
    <w:p w14:paraId="64B8DE04">
      <w:pPr>
        <w:pStyle w:val="29"/>
        <w:ind w:firstLine="420"/>
        <w:rPr>
          <w:rFonts w:asciiTheme="minorEastAsia" w:hAnsiTheme="minorEastAsia" w:eastAsiaTheme="minorEastAsia"/>
        </w:rPr>
      </w:pPr>
    </w:p>
    <w:p w14:paraId="659D756C">
      <w:pPr>
        <w:pStyle w:val="29"/>
        <w:ind w:firstLine="420"/>
        <w:rPr>
          <w:rFonts w:asciiTheme="minorEastAsia" w:hAnsiTheme="minorEastAsia" w:eastAsiaTheme="minorEastAsia"/>
        </w:rPr>
      </w:pPr>
    </w:p>
    <w:p w14:paraId="491B156C">
      <w:pPr>
        <w:pStyle w:val="29"/>
        <w:ind w:firstLine="420"/>
        <w:rPr>
          <w:rFonts w:asciiTheme="minorEastAsia" w:hAnsiTheme="minorEastAsia" w:eastAsiaTheme="minorEastAsia"/>
        </w:rPr>
      </w:pPr>
    </w:p>
    <w:p w14:paraId="27A3FEAD">
      <w:pPr>
        <w:pStyle w:val="29"/>
        <w:ind w:firstLine="420"/>
        <w:rPr>
          <w:rFonts w:asciiTheme="minorEastAsia" w:hAnsiTheme="minorEastAsia" w:eastAsiaTheme="minorEastAsia"/>
        </w:rPr>
      </w:pPr>
    </w:p>
    <w:p w14:paraId="5550959C">
      <w:pPr>
        <w:pStyle w:val="29"/>
        <w:ind w:firstLine="420"/>
        <w:rPr>
          <w:rFonts w:asciiTheme="minorEastAsia" w:hAnsiTheme="minorEastAsia" w:eastAsiaTheme="minorEastAsia"/>
        </w:rPr>
      </w:pPr>
    </w:p>
    <w:p w14:paraId="05F9DA3C">
      <w:pPr>
        <w:pStyle w:val="29"/>
        <w:ind w:firstLine="420"/>
        <w:rPr>
          <w:rFonts w:asciiTheme="minorEastAsia" w:hAnsiTheme="minorEastAsia" w:eastAsiaTheme="minorEastAsia"/>
        </w:rPr>
      </w:pPr>
    </w:p>
    <w:p w14:paraId="7B91D0DD">
      <w:pPr>
        <w:pStyle w:val="29"/>
        <w:ind w:firstLine="420"/>
        <w:rPr>
          <w:rFonts w:asciiTheme="minorEastAsia" w:hAnsiTheme="minorEastAsia" w:eastAsiaTheme="minorEastAsia"/>
        </w:rPr>
      </w:pPr>
    </w:p>
    <w:p w14:paraId="190FE48A">
      <w:pPr>
        <w:pStyle w:val="29"/>
        <w:ind w:firstLine="420"/>
        <w:rPr>
          <w:rFonts w:asciiTheme="minorEastAsia" w:hAnsiTheme="minorEastAsia" w:eastAsiaTheme="minorEastAsia"/>
        </w:rPr>
      </w:pPr>
    </w:p>
    <w:p w14:paraId="7F7F505A">
      <w:pPr>
        <w:pStyle w:val="29"/>
        <w:ind w:firstLine="0" w:firstLineChars="0"/>
        <w:rPr>
          <w:rFonts w:asciiTheme="minorEastAsia" w:hAnsiTheme="minorEastAsia" w:eastAsiaTheme="minorEastAsia"/>
        </w:rPr>
      </w:pPr>
    </w:p>
    <w:p w14:paraId="652F4A05">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26</w:t>
      </w:r>
      <w:r>
        <w:rPr>
          <w:rFonts w:cs="Arial" w:asciiTheme="minorEastAsia" w:hAnsiTheme="minorEastAsia" w:eastAsiaTheme="minorEastAsia"/>
          <w:b/>
          <w:color w:val="000000"/>
          <w:sz w:val="28"/>
          <w:szCs w:val="28"/>
        </w:rPr>
        <w:t>､深圳市宝安区石岩人民医院202</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年第</w:t>
      </w:r>
      <w:r>
        <w:rPr>
          <w:rFonts w:hint="eastAsia" w:cs="Arial" w:asciiTheme="minorEastAsia" w:hAnsiTheme="minorEastAsia" w:eastAsiaTheme="minorEastAsia"/>
          <w:b/>
          <w:color w:val="000000"/>
          <w:sz w:val="28"/>
          <w:szCs w:val="28"/>
          <w:lang w:val="en-US" w:eastAsia="zh-CN"/>
        </w:rPr>
        <w:t>52</w:t>
      </w:r>
      <w:r>
        <w:rPr>
          <w:rFonts w:cs="Arial" w:asciiTheme="minorEastAsia" w:hAnsiTheme="minorEastAsia" w:eastAsiaTheme="minorEastAsia"/>
          <w:b/>
          <w:color w:val="000000"/>
          <w:sz w:val="28"/>
          <w:szCs w:val="28"/>
        </w:rPr>
        <w:t>期</w:t>
      </w:r>
    </w:p>
    <w:p w14:paraId="3A77AF14">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2F3F0054">
      <w:pPr>
        <w:widowControl/>
        <w:spacing w:line="360" w:lineRule="atLeast"/>
        <w:ind w:firstLine="562" w:firstLineChars="200"/>
        <w:jc w:val="center"/>
        <w:rPr>
          <w:rFonts w:hint="default"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t>项目编号:SYYYZBCG202</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val="en-US" w:eastAsia="zh-CN"/>
        </w:rPr>
        <w:t>52</w:t>
      </w:r>
    </w:p>
    <w:p w14:paraId="299B7037">
      <w:pPr>
        <w:widowControl/>
        <w:ind w:left="1"/>
        <w:jc w:val="both"/>
        <w:rPr>
          <w:rFonts w:asciiTheme="minorEastAsia" w:hAnsiTheme="minorEastAsia" w:eastAsiaTheme="minorEastAsia"/>
          <w:sz w:val="30"/>
          <w:szCs w:val="30"/>
        </w:rPr>
      </w:pPr>
      <w:r>
        <w:rPr>
          <w:rFonts w:asciiTheme="minorEastAsia" w:hAnsiTheme="minorEastAsia" w:eastAsiaTheme="minorEastAsia"/>
          <w:sz w:val="30"/>
          <w:szCs w:val="30"/>
        </w:rPr>
        <w:t>投标单位:</w:t>
      </w:r>
    </w:p>
    <w:tbl>
      <w:tblPr>
        <w:tblStyle w:val="22"/>
        <w:tblpPr w:leftFromText="180" w:rightFromText="180" w:vertAnchor="text" w:horzAnchor="page" w:tblpX="1785" w:tblpY="134"/>
        <w:tblW w:w="9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3"/>
        <w:gridCol w:w="1976"/>
        <w:gridCol w:w="1976"/>
        <w:gridCol w:w="3295"/>
      </w:tblGrid>
      <w:tr w14:paraId="4E61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253" w:type="dxa"/>
            <w:vAlign w:val="center"/>
          </w:tcPr>
          <w:p w14:paraId="3869B31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宋体" w:hAnsi="宋体" w:cs="Arial"/>
                <w:color w:val="000000"/>
                <w:kern w:val="0"/>
                <w:szCs w:val="21"/>
              </w:rPr>
              <w:t>项目名称</w:t>
            </w:r>
          </w:p>
        </w:tc>
        <w:tc>
          <w:tcPr>
            <w:tcW w:w="1976" w:type="dxa"/>
            <w:vAlign w:val="center"/>
          </w:tcPr>
          <w:p w14:paraId="16392429">
            <w:pPr>
              <w:keepNext w:val="0"/>
              <w:keepLines w:val="0"/>
              <w:suppressLineNumbers w:val="0"/>
              <w:spacing w:before="0" w:beforeAutospacing="0" w:after="0" w:afterAutospacing="0" w:line="360" w:lineRule="auto"/>
              <w:ind w:left="0" w:right="0"/>
              <w:jc w:val="center"/>
              <w:rPr>
                <w:rFonts w:hint="default" w:ascii="宋体" w:hAnsi="宋体" w:cs="Arial"/>
                <w:color w:val="000000"/>
                <w:kern w:val="0"/>
                <w:szCs w:val="21"/>
                <w:lang w:val="en-US" w:eastAsia="zh-CN"/>
              </w:rPr>
            </w:pPr>
            <w:r>
              <w:rPr>
                <w:rFonts w:hint="eastAsia" w:ascii="宋体" w:hAnsi="宋体" w:cs="Arial"/>
                <w:color w:val="000000"/>
                <w:kern w:val="0"/>
                <w:szCs w:val="21"/>
                <w:lang w:val="en-US" w:eastAsia="zh-CN"/>
              </w:rPr>
              <w:t>品牌</w:t>
            </w:r>
          </w:p>
        </w:tc>
        <w:tc>
          <w:tcPr>
            <w:tcW w:w="1976" w:type="dxa"/>
            <w:vAlign w:val="center"/>
          </w:tcPr>
          <w:p w14:paraId="09BADCDD">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eastAsia" w:ascii="宋体" w:hAnsi="宋体" w:cs="Arial"/>
                <w:color w:val="000000"/>
                <w:kern w:val="0"/>
                <w:szCs w:val="21"/>
                <w:lang w:val="en-US" w:eastAsia="zh-CN"/>
              </w:rPr>
              <w:t>数量</w:t>
            </w:r>
          </w:p>
        </w:tc>
        <w:tc>
          <w:tcPr>
            <w:tcW w:w="3295" w:type="dxa"/>
            <w:vAlign w:val="center"/>
          </w:tcPr>
          <w:p w14:paraId="30324CF6">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宋体" w:hAnsi="宋体" w:cs="Arial"/>
                <w:color w:val="000000"/>
                <w:kern w:val="0"/>
                <w:szCs w:val="21"/>
              </w:rPr>
              <w:t>报价(元)</w:t>
            </w:r>
          </w:p>
        </w:tc>
      </w:tr>
      <w:tr w14:paraId="2778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253" w:type="dxa"/>
            <w:vAlign w:val="center"/>
          </w:tcPr>
          <w:p w14:paraId="1E83916D">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000000"/>
                <w:kern w:val="0"/>
                <w:szCs w:val="21"/>
              </w:rPr>
            </w:pPr>
          </w:p>
        </w:tc>
        <w:tc>
          <w:tcPr>
            <w:tcW w:w="1976" w:type="dxa"/>
            <w:vAlign w:val="center"/>
          </w:tcPr>
          <w:p w14:paraId="147B4699">
            <w:pPr>
              <w:keepNext w:val="0"/>
              <w:keepLines w:val="0"/>
              <w:suppressLineNumbers w:val="0"/>
              <w:spacing w:before="0" w:beforeAutospacing="0" w:after="0" w:afterAutospacing="0" w:line="360" w:lineRule="auto"/>
              <w:ind w:left="0" w:right="0"/>
              <w:jc w:val="center"/>
              <w:rPr>
                <w:rFonts w:hint="eastAsia" w:ascii="宋体" w:hAnsi="宋体"/>
                <w:szCs w:val="21"/>
                <w:lang w:val="en-US" w:eastAsia="zh-CN"/>
              </w:rPr>
            </w:pPr>
          </w:p>
        </w:tc>
        <w:tc>
          <w:tcPr>
            <w:tcW w:w="1976" w:type="dxa"/>
            <w:vAlign w:val="center"/>
          </w:tcPr>
          <w:p w14:paraId="35C7EF1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宋体" w:hAnsi="宋体"/>
                <w:szCs w:val="21"/>
                <w:lang w:val="en-US" w:eastAsia="zh-CN"/>
              </w:rPr>
              <w:t>1批</w:t>
            </w:r>
          </w:p>
        </w:tc>
        <w:tc>
          <w:tcPr>
            <w:tcW w:w="3295" w:type="dxa"/>
            <w:vAlign w:val="center"/>
          </w:tcPr>
          <w:p w14:paraId="2F54024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14:paraId="59D640E7">
      <w:pPr>
        <w:widowControl/>
        <w:ind w:left="1"/>
        <w:jc w:val="both"/>
        <w:rPr>
          <w:rFonts w:asciiTheme="minorEastAsia" w:hAnsiTheme="minorEastAsia" w:eastAsiaTheme="minorEastAsia"/>
          <w:sz w:val="30"/>
          <w:szCs w:val="30"/>
        </w:rPr>
      </w:pPr>
    </w:p>
    <w:p w14:paraId="1D7BD305">
      <w:pPr>
        <w:widowControl/>
        <w:spacing w:line="360" w:lineRule="atLeast"/>
        <w:ind w:firstLine="241" w:firstLineChars="100"/>
        <w:jc w:val="left"/>
        <w:rPr>
          <w:rFonts w:cs="宋体-18030" w:asciiTheme="minorEastAsia" w:hAnsiTheme="minorEastAsia" w:eastAsiaTheme="minorEastAsia"/>
          <w:bCs/>
          <w:color w:val="002060"/>
          <w:kern w:val="0"/>
          <w:szCs w:val="21"/>
        </w:rPr>
      </w:pPr>
      <w:r>
        <w:rPr>
          <w:rFonts w:cs="Arial" w:asciiTheme="minorEastAsia" w:hAnsiTheme="minorEastAsia" w:eastAsiaTheme="minorEastAsia"/>
          <w:b/>
          <w:color w:val="000000"/>
          <w:sz w:val="24"/>
        </w:rPr>
        <w:t>附:本项目</w:t>
      </w:r>
      <w:r>
        <w:rPr>
          <w:rFonts w:hint="eastAsia" w:cs="Arial" w:asciiTheme="minorEastAsia" w:hAnsiTheme="minorEastAsia" w:eastAsiaTheme="minorEastAsia"/>
          <w:b/>
          <w:color w:val="000000"/>
          <w:sz w:val="24"/>
        </w:rPr>
        <w:t>明细</w:t>
      </w:r>
      <w:r>
        <w:rPr>
          <w:rFonts w:cs="Arial" w:asciiTheme="minorEastAsia" w:hAnsiTheme="minorEastAsia" w:eastAsiaTheme="minorEastAsia"/>
          <w:b/>
          <w:color w:val="000000"/>
          <w:sz w:val="24"/>
        </w:rPr>
        <w:t>报价</w:t>
      </w:r>
      <w:r>
        <w:rPr>
          <w:rFonts w:hint="eastAsia" w:cs="Arial" w:asciiTheme="minorEastAsia" w:hAnsiTheme="minorEastAsia" w:eastAsiaTheme="minorEastAsia"/>
          <w:b/>
          <w:color w:val="000000"/>
          <w:sz w:val="24"/>
        </w:rPr>
        <w:t>：</w:t>
      </w:r>
    </w:p>
    <w:tbl>
      <w:tblPr>
        <w:tblStyle w:val="22"/>
        <w:tblW w:w="9607" w:type="dxa"/>
        <w:tblCellSpacing w:w="0" w:type="dxa"/>
        <w:tblInd w:w="-179"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20"/>
        <w:gridCol w:w="1984"/>
        <w:gridCol w:w="1134"/>
        <w:gridCol w:w="709"/>
        <w:gridCol w:w="1134"/>
        <w:gridCol w:w="1134"/>
        <w:gridCol w:w="1417"/>
        <w:gridCol w:w="1475"/>
      </w:tblGrid>
      <w:tr w14:paraId="16C878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620" w:type="dxa"/>
            <w:tcBorders>
              <w:top w:val="outset" w:color="auto" w:sz="6" w:space="0"/>
              <w:left w:val="outset" w:color="auto" w:sz="6" w:space="0"/>
              <w:bottom w:val="outset" w:color="auto" w:sz="6" w:space="0"/>
              <w:right w:val="outset" w:color="auto" w:sz="6" w:space="0"/>
            </w:tcBorders>
            <w:vAlign w:val="center"/>
          </w:tcPr>
          <w:p w14:paraId="2E8CA36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序号</w:t>
            </w:r>
          </w:p>
        </w:tc>
        <w:tc>
          <w:tcPr>
            <w:tcW w:w="1984" w:type="dxa"/>
            <w:tcBorders>
              <w:top w:val="outset" w:color="auto" w:sz="6" w:space="0"/>
              <w:left w:val="outset" w:color="auto" w:sz="6" w:space="0"/>
              <w:bottom w:val="outset" w:color="auto" w:sz="6" w:space="0"/>
              <w:right w:val="outset" w:color="auto" w:sz="6" w:space="0"/>
            </w:tcBorders>
            <w:vAlign w:val="center"/>
          </w:tcPr>
          <w:p w14:paraId="03F2081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名称</w:t>
            </w:r>
          </w:p>
        </w:tc>
        <w:tc>
          <w:tcPr>
            <w:tcW w:w="1134" w:type="dxa"/>
            <w:tcBorders>
              <w:top w:val="outset" w:color="auto" w:sz="6" w:space="0"/>
              <w:left w:val="outset" w:color="auto" w:sz="6" w:space="0"/>
              <w:bottom w:val="outset" w:color="auto" w:sz="6" w:space="0"/>
              <w:right w:val="outset" w:color="auto" w:sz="6" w:space="0"/>
            </w:tcBorders>
            <w:vAlign w:val="center"/>
          </w:tcPr>
          <w:p w14:paraId="71B9C181">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eastAsia" w:ascii="宋体" w:hAnsi="宋体" w:cs="宋体"/>
                <w:color w:val="000000"/>
                <w:kern w:val="0"/>
                <w:sz w:val="20"/>
                <w:szCs w:val="20"/>
              </w:rPr>
              <w:t>规格、型号、材质</w:t>
            </w:r>
          </w:p>
        </w:tc>
        <w:tc>
          <w:tcPr>
            <w:tcW w:w="709" w:type="dxa"/>
            <w:tcBorders>
              <w:top w:val="outset" w:color="auto" w:sz="6" w:space="0"/>
              <w:left w:val="outset" w:color="auto" w:sz="6" w:space="0"/>
              <w:bottom w:val="outset" w:color="auto" w:sz="6" w:space="0"/>
              <w:right w:val="outset" w:color="auto" w:sz="6" w:space="0"/>
            </w:tcBorders>
            <w:vAlign w:val="center"/>
          </w:tcPr>
          <w:p w14:paraId="2AF8BDB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eastAsia" w:cs="Arial" w:asciiTheme="minorEastAsia" w:hAnsiTheme="minorEastAsia" w:eastAsiaTheme="minorEastAsia"/>
                <w:color w:val="000000"/>
                <w:kern w:val="0"/>
                <w:sz w:val="18"/>
                <w:szCs w:val="18"/>
              </w:rPr>
              <w:t>单位</w:t>
            </w:r>
          </w:p>
        </w:tc>
        <w:tc>
          <w:tcPr>
            <w:tcW w:w="1134" w:type="dxa"/>
            <w:tcBorders>
              <w:top w:val="outset" w:color="auto" w:sz="6" w:space="0"/>
              <w:left w:val="outset" w:color="auto" w:sz="6" w:space="0"/>
              <w:bottom w:val="outset" w:color="auto" w:sz="6" w:space="0"/>
              <w:right w:val="outset" w:color="auto" w:sz="6" w:space="0"/>
            </w:tcBorders>
            <w:vAlign w:val="center"/>
          </w:tcPr>
          <w:p w14:paraId="2AF1070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数量</w:t>
            </w:r>
          </w:p>
        </w:tc>
        <w:tc>
          <w:tcPr>
            <w:tcW w:w="1134" w:type="dxa"/>
            <w:tcBorders>
              <w:top w:val="outset" w:color="auto" w:sz="6" w:space="0"/>
              <w:left w:val="outset" w:color="auto" w:sz="6" w:space="0"/>
              <w:bottom w:val="outset" w:color="auto" w:sz="6" w:space="0"/>
              <w:right w:val="outset" w:color="auto" w:sz="6" w:space="0"/>
            </w:tcBorders>
            <w:vAlign w:val="center"/>
          </w:tcPr>
          <w:p w14:paraId="66A7F9F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eastAsia" w:cs="Arial" w:asciiTheme="minorEastAsia" w:hAnsiTheme="minorEastAsia" w:eastAsiaTheme="minorEastAsia"/>
                <w:color w:val="000000"/>
                <w:kern w:val="0"/>
                <w:sz w:val="18"/>
                <w:szCs w:val="18"/>
              </w:rPr>
              <w:t>生产厂家</w:t>
            </w:r>
          </w:p>
        </w:tc>
        <w:tc>
          <w:tcPr>
            <w:tcW w:w="1417" w:type="dxa"/>
            <w:tcBorders>
              <w:top w:val="outset" w:color="auto" w:sz="6" w:space="0"/>
              <w:left w:val="outset" w:color="auto" w:sz="6" w:space="0"/>
              <w:bottom w:val="outset" w:color="auto" w:sz="6" w:space="0"/>
              <w:right w:val="outset" w:color="auto" w:sz="6" w:space="0"/>
            </w:tcBorders>
            <w:vAlign w:val="center"/>
          </w:tcPr>
          <w:p w14:paraId="783E986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单价(人民币)</w:t>
            </w:r>
          </w:p>
        </w:tc>
        <w:tc>
          <w:tcPr>
            <w:tcW w:w="1475" w:type="dxa"/>
            <w:tcBorders>
              <w:top w:val="outset" w:color="auto" w:sz="6" w:space="0"/>
              <w:left w:val="outset" w:color="auto" w:sz="6" w:space="0"/>
              <w:bottom w:val="outset" w:color="auto" w:sz="6" w:space="0"/>
              <w:right w:val="outset" w:color="auto" w:sz="6" w:space="0"/>
            </w:tcBorders>
            <w:vAlign w:val="center"/>
          </w:tcPr>
          <w:p w14:paraId="5E358D69">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eastAsia" w:cs="Arial" w:asciiTheme="minorEastAsia" w:hAnsiTheme="minorEastAsia" w:eastAsiaTheme="minorEastAsia"/>
                <w:color w:val="000000"/>
                <w:kern w:val="0"/>
                <w:sz w:val="18"/>
                <w:szCs w:val="18"/>
              </w:rPr>
              <w:t>金额（元）</w:t>
            </w:r>
          </w:p>
        </w:tc>
      </w:tr>
      <w:tr w14:paraId="67D123E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620" w:type="dxa"/>
            <w:tcBorders>
              <w:top w:val="outset" w:color="auto" w:sz="6" w:space="0"/>
              <w:left w:val="outset" w:color="auto" w:sz="6" w:space="0"/>
              <w:bottom w:val="outset" w:color="auto" w:sz="6" w:space="0"/>
              <w:right w:val="outset" w:color="auto" w:sz="6" w:space="0"/>
            </w:tcBorders>
            <w:vAlign w:val="center"/>
          </w:tcPr>
          <w:p w14:paraId="6B21BF24">
            <w:pPr>
              <w:keepNext w:val="0"/>
              <w:keepLines w:val="0"/>
              <w:widowControl/>
              <w:suppressLineNumbers w:val="0"/>
              <w:spacing w:before="0" w:beforeAutospacing="0" w:after="0" w:afterAutospacing="0"/>
              <w:ind w:left="0" w:right="0"/>
              <w:jc w:val="center"/>
              <w:textAlignment w:val="center"/>
              <w:rPr>
                <w:rFonts w:hint="eastAsia" w:cs="Arial" w:asciiTheme="minorEastAsia" w:hAnsiTheme="minorEastAsia" w:eastAsiaTheme="minorEastAsia"/>
                <w:color w:val="000000"/>
                <w:kern w:val="0"/>
                <w:sz w:val="18"/>
                <w:szCs w:val="18"/>
                <w:lang w:val="en-US" w:eastAsia="zh-CN"/>
              </w:rPr>
            </w:pPr>
            <w:r>
              <w:rPr>
                <w:rFonts w:hint="eastAsia" w:cs="Arial" w:asciiTheme="minorEastAsia" w:hAnsiTheme="minorEastAsia" w:eastAsiaTheme="minorEastAsia"/>
                <w:color w:val="000000"/>
                <w:kern w:val="0"/>
                <w:sz w:val="18"/>
                <w:szCs w:val="18"/>
                <w:lang w:val="en-US" w:eastAsia="zh-CN"/>
              </w:rPr>
              <w:t>1</w:t>
            </w:r>
          </w:p>
        </w:tc>
        <w:tc>
          <w:tcPr>
            <w:tcW w:w="1984" w:type="dxa"/>
            <w:tcBorders>
              <w:top w:val="outset" w:color="auto" w:sz="6" w:space="0"/>
              <w:left w:val="outset" w:color="auto" w:sz="6" w:space="0"/>
              <w:bottom w:val="outset" w:color="auto" w:sz="6" w:space="0"/>
              <w:right w:val="outset" w:color="auto" w:sz="6" w:space="0"/>
            </w:tcBorders>
            <w:vAlign w:val="center"/>
          </w:tcPr>
          <w:p w14:paraId="1BABDDEF">
            <w:pPr>
              <w:keepNext w:val="0"/>
              <w:keepLines w:val="0"/>
              <w:widowControl/>
              <w:suppressLineNumbers w:val="0"/>
              <w:spacing w:before="0" w:beforeAutospacing="0" w:after="0" w:afterAutospacing="0"/>
              <w:ind w:left="0" w:right="0"/>
              <w:jc w:val="center"/>
              <w:textAlignment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06795B9E">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026E45BB">
            <w:pPr>
              <w:keepNext w:val="0"/>
              <w:keepLines w:val="0"/>
              <w:widowControl/>
              <w:suppressLineNumbers w:val="0"/>
              <w:spacing w:before="0" w:beforeAutospacing="0" w:after="0" w:afterAutospacing="0"/>
              <w:ind w:left="0" w:right="0"/>
              <w:jc w:val="center"/>
              <w:textAlignment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72C64916">
            <w:pPr>
              <w:keepNext w:val="0"/>
              <w:keepLines w:val="0"/>
              <w:widowControl/>
              <w:suppressLineNumbers w:val="0"/>
              <w:spacing w:before="0" w:beforeAutospacing="0" w:after="0" w:afterAutospacing="0"/>
              <w:ind w:left="0" w:right="0"/>
              <w:jc w:val="center"/>
              <w:textAlignment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074BE171">
            <w:pPr>
              <w:keepNext w:val="0"/>
              <w:keepLines w:val="0"/>
              <w:widowControl/>
              <w:suppressLineNumbers w:val="0"/>
              <w:spacing w:before="0" w:beforeAutospacing="0" w:after="0" w:afterAutospacing="0"/>
              <w:ind w:left="0" w:right="0"/>
              <w:jc w:val="center"/>
              <w:textAlignment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3BC793AE">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 </w:t>
            </w:r>
          </w:p>
        </w:tc>
        <w:tc>
          <w:tcPr>
            <w:tcW w:w="1475" w:type="dxa"/>
            <w:tcBorders>
              <w:top w:val="outset" w:color="auto" w:sz="6" w:space="0"/>
              <w:left w:val="outset" w:color="auto" w:sz="6" w:space="0"/>
              <w:bottom w:val="outset" w:color="auto" w:sz="6" w:space="0"/>
              <w:right w:val="outset" w:color="auto" w:sz="6" w:space="0"/>
            </w:tcBorders>
            <w:vAlign w:val="center"/>
          </w:tcPr>
          <w:p w14:paraId="16339B6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 </w:t>
            </w:r>
          </w:p>
        </w:tc>
      </w:tr>
      <w:tr w14:paraId="4FB1E49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620" w:type="dxa"/>
            <w:tcBorders>
              <w:top w:val="outset" w:color="auto" w:sz="6" w:space="0"/>
              <w:left w:val="outset" w:color="auto" w:sz="6" w:space="0"/>
              <w:bottom w:val="outset" w:color="auto" w:sz="6" w:space="0"/>
              <w:right w:val="outset" w:color="auto" w:sz="6" w:space="0"/>
            </w:tcBorders>
            <w:vAlign w:val="center"/>
          </w:tcPr>
          <w:p w14:paraId="13DF4420">
            <w:pPr>
              <w:keepNext w:val="0"/>
              <w:keepLines w:val="0"/>
              <w:widowControl/>
              <w:suppressLineNumbers w:val="0"/>
              <w:spacing w:before="0" w:beforeAutospacing="0" w:after="0" w:afterAutospacing="0"/>
              <w:ind w:left="0" w:right="0"/>
              <w:jc w:val="center"/>
              <w:textAlignment w:val="center"/>
              <w:rPr>
                <w:rFonts w:hint="eastAsia" w:cs="Arial" w:asciiTheme="minorEastAsia" w:hAnsiTheme="minorEastAsia" w:eastAsiaTheme="minorEastAsia"/>
                <w:color w:val="000000"/>
                <w:kern w:val="0"/>
                <w:sz w:val="18"/>
                <w:szCs w:val="18"/>
                <w:lang w:val="en-US" w:eastAsia="zh-CN"/>
              </w:rPr>
            </w:pPr>
            <w:r>
              <w:rPr>
                <w:rFonts w:hint="eastAsia" w:cs="Arial" w:asciiTheme="minorEastAsia" w:hAnsiTheme="minorEastAsia" w:eastAsiaTheme="minorEastAsia"/>
                <w:color w:val="000000"/>
                <w:kern w:val="0"/>
                <w:sz w:val="18"/>
                <w:szCs w:val="18"/>
                <w:lang w:val="en-US" w:eastAsia="zh-CN"/>
              </w:rPr>
              <w:t>2</w:t>
            </w:r>
          </w:p>
        </w:tc>
        <w:tc>
          <w:tcPr>
            <w:tcW w:w="1984" w:type="dxa"/>
            <w:tcBorders>
              <w:top w:val="outset" w:color="auto" w:sz="6" w:space="0"/>
              <w:left w:val="outset" w:color="auto" w:sz="6" w:space="0"/>
              <w:bottom w:val="outset" w:color="auto" w:sz="6" w:space="0"/>
              <w:right w:val="outset" w:color="auto" w:sz="6" w:space="0"/>
            </w:tcBorders>
            <w:vAlign w:val="center"/>
          </w:tcPr>
          <w:p w14:paraId="2E1E7DFA">
            <w:pPr>
              <w:keepNext w:val="0"/>
              <w:keepLines w:val="0"/>
              <w:widowControl/>
              <w:suppressLineNumbers w:val="0"/>
              <w:spacing w:before="0" w:beforeAutospacing="0" w:after="0" w:afterAutospacing="0"/>
              <w:ind w:left="0" w:right="0"/>
              <w:jc w:val="center"/>
              <w:textAlignment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7586D4A1">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3DE0E152">
            <w:pPr>
              <w:keepNext w:val="0"/>
              <w:keepLines w:val="0"/>
              <w:widowControl/>
              <w:suppressLineNumbers w:val="0"/>
              <w:spacing w:before="0" w:beforeAutospacing="0" w:after="0" w:afterAutospacing="0"/>
              <w:ind w:left="0" w:right="0"/>
              <w:jc w:val="center"/>
              <w:textAlignment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1CC3D03A">
            <w:pPr>
              <w:keepNext w:val="0"/>
              <w:keepLines w:val="0"/>
              <w:widowControl/>
              <w:suppressLineNumbers w:val="0"/>
              <w:spacing w:before="0" w:beforeAutospacing="0" w:after="0" w:afterAutospacing="0"/>
              <w:ind w:left="0" w:right="0"/>
              <w:jc w:val="center"/>
              <w:textAlignment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ED4FB9E">
            <w:pPr>
              <w:keepNext w:val="0"/>
              <w:keepLines w:val="0"/>
              <w:widowControl/>
              <w:suppressLineNumbers w:val="0"/>
              <w:spacing w:before="0" w:beforeAutospacing="0" w:after="0" w:afterAutospacing="0"/>
              <w:ind w:left="0" w:right="0"/>
              <w:jc w:val="center"/>
              <w:textAlignment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798383D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 </w:t>
            </w:r>
          </w:p>
        </w:tc>
        <w:tc>
          <w:tcPr>
            <w:tcW w:w="1475" w:type="dxa"/>
            <w:tcBorders>
              <w:top w:val="outset" w:color="auto" w:sz="6" w:space="0"/>
              <w:left w:val="outset" w:color="auto" w:sz="6" w:space="0"/>
              <w:bottom w:val="outset" w:color="auto" w:sz="6" w:space="0"/>
              <w:right w:val="outset" w:color="auto" w:sz="6" w:space="0"/>
            </w:tcBorders>
            <w:vAlign w:val="center"/>
          </w:tcPr>
          <w:p w14:paraId="10EE3776">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 </w:t>
            </w:r>
          </w:p>
        </w:tc>
      </w:tr>
      <w:tr w14:paraId="72F8A7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620" w:type="dxa"/>
            <w:tcBorders>
              <w:top w:val="outset" w:color="auto" w:sz="6" w:space="0"/>
              <w:left w:val="outset" w:color="auto" w:sz="6" w:space="0"/>
              <w:bottom w:val="outset" w:color="auto" w:sz="6" w:space="0"/>
              <w:right w:val="outset" w:color="auto" w:sz="6" w:space="0"/>
            </w:tcBorders>
            <w:vAlign w:val="center"/>
          </w:tcPr>
          <w:p w14:paraId="7871BF6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eastAsia" w:cs="Arial" w:asciiTheme="minorEastAsia" w:hAnsiTheme="minorEastAsia" w:eastAsiaTheme="minorEastAsia"/>
                <w:color w:val="000000"/>
                <w:kern w:val="0"/>
                <w:sz w:val="18"/>
                <w:szCs w:val="18"/>
              </w:rPr>
              <w:t>...</w:t>
            </w:r>
          </w:p>
        </w:tc>
        <w:tc>
          <w:tcPr>
            <w:tcW w:w="1984" w:type="dxa"/>
            <w:tcBorders>
              <w:top w:val="outset" w:color="auto" w:sz="6" w:space="0"/>
              <w:left w:val="outset" w:color="auto" w:sz="6" w:space="0"/>
              <w:bottom w:val="outset" w:color="auto" w:sz="6" w:space="0"/>
              <w:right w:val="outset" w:color="auto" w:sz="6" w:space="0"/>
            </w:tcBorders>
            <w:vAlign w:val="center"/>
          </w:tcPr>
          <w:p w14:paraId="22E04FB5">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ascii="宋体" w:hAnsi="宋体" w:cs="仿宋_GB2312"/>
                <w:color w:val="7E7E7E" w:themeColor="text1" w:themeTint="80"/>
                <w:kern w:val="0"/>
                <w:szCs w:val="21"/>
              </w:rPr>
              <w:t>以下可根据需要增加</w:t>
            </w:r>
          </w:p>
        </w:tc>
        <w:tc>
          <w:tcPr>
            <w:tcW w:w="1134" w:type="dxa"/>
            <w:tcBorders>
              <w:top w:val="outset" w:color="auto" w:sz="6" w:space="0"/>
              <w:left w:val="outset" w:color="auto" w:sz="6" w:space="0"/>
              <w:bottom w:val="outset" w:color="auto" w:sz="6" w:space="0"/>
              <w:right w:val="outset" w:color="auto" w:sz="6" w:space="0"/>
            </w:tcBorders>
            <w:vAlign w:val="center"/>
          </w:tcPr>
          <w:p w14:paraId="4C279E2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2C8D3D4E">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7C7FBA5">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B406A5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2262714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75" w:type="dxa"/>
            <w:tcBorders>
              <w:top w:val="outset" w:color="auto" w:sz="6" w:space="0"/>
              <w:left w:val="outset" w:color="auto" w:sz="6" w:space="0"/>
              <w:bottom w:val="outset" w:color="auto" w:sz="6" w:space="0"/>
              <w:right w:val="outset" w:color="auto" w:sz="6" w:space="0"/>
            </w:tcBorders>
            <w:vAlign w:val="center"/>
          </w:tcPr>
          <w:p w14:paraId="0AABF9B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55AC95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30" w:hRule="atLeast"/>
          <w:tblCellSpacing w:w="0" w:type="dxa"/>
        </w:trPr>
        <w:tc>
          <w:tcPr>
            <w:tcW w:w="8132" w:type="dxa"/>
            <w:gridSpan w:val="7"/>
            <w:tcBorders>
              <w:top w:val="outset" w:color="auto" w:sz="6" w:space="0"/>
              <w:left w:val="outset" w:color="auto" w:sz="6" w:space="0"/>
              <w:bottom w:val="outset" w:color="auto" w:sz="6" w:space="0"/>
              <w:right w:val="outset" w:color="auto" w:sz="6" w:space="0"/>
            </w:tcBorders>
            <w:vAlign w:val="center"/>
          </w:tcPr>
          <w:p w14:paraId="5DF98240">
            <w:pPr>
              <w:keepNext w:val="0"/>
              <w:keepLines w:val="0"/>
              <w:widowControl/>
              <w:suppressLineNumbers w:val="0"/>
              <w:spacing w:before="0" w:beforeAutospacing="0" w:after="0" w:afterAutospacing="0" w:line="360" w:lineRule="atLeast"/>
              <w:ind w:left="0" w:right="0"/>
              <w:rPr>
                <w:rFonts w:hint="default" w:cs="Arial" w:asciiTheme="minorEastAsia" w:hAnsiTheme="minorEastAsia" w:eastAsiaTheme="minorEastAsia"/>
                <w:color w:val="000000"/>
                <w:kern w:val="0"/>
                <w:sz w:val="18"/>
                <w:szCs w:val="18"/>
              </w:rPr>
            </w:pPr>
            <w:r>
              <w:rPr>
                <w:rFonts w:hint="eastAsia" w:cs="Arial" w:asciiTheme="minorEastAsia" w:hAnsiTheme="minorEastAsia" w:eastAsiaTheme="minorEastAsia"/>
                <w:color w:val="000000"/>
                <w:kern w:val="0"/>
                <w:sz w:val="18"/>
                <w:szCs w:val="18"/>
              </w:rPr>
              <w:t xml:space="preserve">                                                                        </w:t>
            </w:r>
            <w:r>
              <w:rPr>
                <w:rFonts w:hint="eastAsia" w:cs="Arial" w:asciiTheme="minorEastAsia" w:hAnsiTheme="minorEastAsia" w:eastAsiaTheme="minorEastAsia"/>
                <w:b/>
                <w:bCs/>
                <w:color w:val="000000"/>
                <w:kern w:val="0"/>
                <w:sz w:val="18"/>
                <w:szCs w:val="18"/>
              </w:rPr>
              <w:t xml:space="preserve"> 合计：</w:t>
            </w:r>
          </w:p>
        </w:tc>
        <w:tc>
          <w:tcPr>
            <w:tcW w:w="1475" w:type="dxa"/>
            <w:tcBorders>
              <w:top w:val="outset" w:color="auto" w:sz="6" w:space="0"/>
              <w:left w:val="outset" w:color="auto" w:sz="6" w:space="0"/>
              <w:bottom w:val="outset" w:color="auto" w:sz="6" w:space="0"/>
              <w:right w:val="outset" w:color="auto" w:sz="6" w:space="0"/>
            </w:tcBorders>
            <w:vAlign w:val="center"/>
          </w:tcPr>
          <w:p w14:paraId="46940CA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bl>
    <w:p w14:paraId="22561F5E">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14:paraId="105B260E">
      <w:pPr>
        <w:widowControl/>
        <w:spacing w:line="360" w:lineRule="atLeast"/>
        <w:ind w:firstLine="300" w:firstLineChars="100"/>
        <w:jc w:val="left"/>
        <w:rPr>
          <w:rFonts w:asciiTheme="minorEastAsia" w:hAnsiTheme="minorEastAsia" w:eastAsiaTheme="minorEastAsia"/>
          <w:sz w:val="30"/>
          <w:szCs w:val="30"/>
          <w:u w:val="single"/>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p>
    <w:p w14:paraId="07075CA2">
      <w:pPr>
        <w:spacing w:line="360" w:lineRule="auto"/>
        <w:jc w:val="center"/>
        <w:rPr>
          <w:rFonts w:asciiTheme="minorEastAsia" w:hAnsiTheme="minorEastAsia" w:eastAsiaTheme="minorEastAsia"/>
          <w:sz w:val="36"/>
          <w:szCs w:val="36"/>
        </w:rPr>
      </w:pPr>
    </w:p>
    <w:p w14:paraId="00C34D38">
      <w:pPr>
        <w:widowControl/>
        <w:spacing w:line="360" w:lineRule="atLeast"/>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备注:1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MS Gothic" w:hAnsi="MS Gothic" w:eastAsia="MS Gothic" w:cs="MS Gothic"/>
          <w:color w:val="000000"/>
          <w:kern w:val="0"/>
          <w:szCs w:val="21"/>
        </w:rPr>
        <w:t>｡</w:t>
      </w:r>
    </w:p>
    <w:p w14:paraId="75E32599">
      <w:pPr>
        <w:widowControl/>
        <w:spacing w:line="360" w:lineRule="atLeast"/>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   2</w:t>
      </w:r>
      <w:r>
        <w:rPr>
          <w:rFonts w:ascii="MS Gothic" w:hAnsi="MS Gothic" w:eastAsia="MS Gothic" w:cs="MS Gothic"/>
          <w:color w:val="000000"/>
          <w:kern w:val="0"/>
          <w:szCs w:val="21"/>
        </w:rPr>
        <w:t>､</w:t>
      </w:r>
      <w:r>
        <w:rPr>
          <w:rFonts w:ascii="宋体" w:hAnsi="宋体" w:cs="宋体"/>
          <w:color w:val="000000"/>
          <w:kern w:val="0"/>
          <w:szCs w:val="21"/>
        </w:rPr>
        <w:t>此表在</w:t>
      </w:r>
      <w:r>
        <w:rPr>
          <w:rFonts w:cs="Arial" w:asciiTheme="minorEastAsia" w:hAnsiTheme="minorEastAsia" w:eastAsiaTheme="minorEastAsia"/>
          <w:color w:val="0070C0"/>
          <w:kern w:val="0"/>
          <w:szCs w:val="21"/>
        </w:rPr>
        <w:t>不改变格式内容时</w:t>
      </w:r>
      <w:r>
        <w:rPr>
          <w:rFonts w:cs="Arial" w:asciiTheme="minorEastAsia" w:hAnsiTheme="minorEastAsia" w:eastAsiaTheme="minorEastAsia"/>
          <w:color w:val="000000"/>
          <w:kern w:val="0"/>
          <w:szCs w:val="21"/>
        </w:rPr>
        <w:t>,可自行制作</w:t>
      </w:r>
      <w:r>
        <w:rPr>
          <w:rFonts w:ascii="MS Gothic" w:hAnsi="MS Gothic" w:eastAsia="MS Gothic" w:cs="MS Gothic"/>
          <w:color w:val="000000"/>
          <w:kern w:val="0"/>
          <w:szCs w:val="21"/>
        </w:rPr>
        <w:t>｡</w:t>
      </w:r>
    </w:p>
    <w:p w14:paraId="0E791FCF">
      <w:pPr>
        <w:widowControl/>
        <w:spacing w:line="360" w:lineRule="atLeast"/>
        <w:ind w:firstLine="630" w:firstLineChars="300"/>
        <w:jc w:val="left"/>
        <w:rPr>
          <w:rFonts w:asciiTheme="minorEastAsia" w:hAnsiTheme="minorEastAsia" w:eastAsiaTheme="minorEastAsia"/>
        </w:rPr>
      </w:pPr>
      <w:r>
        <w:rPr>
          <w:rFonts w:cs="Arial" w:asciiTheme="minorEastAsia" w:hAnsiTheme="minorEastAsia" w:eastAsiaTheme="minorEastAsia"/>
          <w:color w:val="000000"/>
          <w:kern w:val="0"/>
          <w:szCs w:val="21"/>
        </w:rPr>
        <w:t>3</w:t>
      </w:r>
      <w:r>
        <w:rPr>
          <w:rFonts w:ascii="MS Gothic" w:hAnsi="MS Gothic" w:eastAsia="MS Gothic" w:cs="MS Gothic"/>
          <w:color w:val="000000"/>
          <w:kern w:val="0"/>
          <w:szCs w:val="21"/>
        </w:rPr>
        <w:t>､</w:t>
      </w:r>
      <w:r>
        <w:rPr>
          <w:rFonts w:ascii="宋体" w:hAnsi="宋体" w:cs="宋体"/>
          <w:color w:val="000000"/>
          <w:kern w:val="0"/>
          <w:szCs w:val="21"/>
        </w:rPr>
        <w:t>谈判现场</w:t>
      </w:r>
      <w:r>
        <w:rPr>
          <w:rFonts w:cs="Arial" w:asciiTheme="minorEastAsia" w:hAnsiTheme="minorEastAsia" w:eastAsiaTheme="minorEastAsia"/>
          <w:color w:val="000000"/>
          <w:kern w:val="0"/>
          <w:szCs w:val="21"/>
        </w:rPr>
        <w:t>:递交填好报价的报价单(此报价单必须盖章并单独用信封密封,不要与其他文件装订一起,内容须与预审时提交的产品目录一致,如不一致,以预审时提交的投标目录清单为准)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000000"/>
          <w:kern w:val="0"/>
          <w:szCs w:val="21"/>
        </w:rPr>
        <w:t>｡</w:t>
      </w:r>
    </w:p>
    <w:p w14:paraId="2048B459">
      <w:pPr>
        <w:pStyle w:val="29"/>
      </w:pPr>
    </w:p>
    <w:sectPr>
      <w:headerReference r:id="rId5" w:type="default"/>
      <w:footerReference r:id="rId6" w:type="default"/>
      <w:pgSz w:w="11906" w:h="16838"/>
      <w:pgMar w:top="284" w:right="1797" w:bottom="284" w:left="1797"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长城仿宋">
    <w:altName w:val="宋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宋体-18030">
    <w:altName w:val="宋体"/>
    <w:panose1 w:val="00000000000000000000"/>
    <w:charset w:val="86"/>
    <w:family w:val="modern"/>
    <w:pitch w:val="default"/>
    <w:sig w:usb0="00000000" w:usb1="00000000" w:usb2="000A005E" w:usb3="00000000" w:csb0="00040001" w:csb1="00000000"/>
  </w:font>
  <w:font w:name="MS Gothic">
    <w:panose1 w:val="020B0609070205080204"/>
    <w:charset w:val="80"/>
    <w:family w:val="modern"/>
    <w:pitch w:val="default"/>
    <w:sig w:usb0="E00002FF" w:usb1="6AC7FDFB" w:usb2="08000012" w:usb3="00000000" w:csb0="4002009F" w:csb1="DFD70000"/>
  </w:font>
  <w:font w:name="华文中宋">
    <w:altName w:val="宋体"/>
    <w:panose1 w:val="02010600040101010101"/>
    <w:charset w:val="86"/>
    <w:family w:val="auto"/>
    <w:pitch w:val="default"/>
    <w:sig w:usb0="00000000" w:usb1="0000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23047"/>
      <w:docPartObj>
        <w:docPartGallery w:val="autotext"/>
      </w:docPartObj>
    </w:sdtPr>
    <w:sdtContent>
      <w:sdt>
        <w:sdtPr>
          <w:id w:val="171357217"/>
          <w:docPartObj>
            <w:docPartGallery w:val="autotext"/>
          </w:docPartObj>
        </w:sdtPr>
        <w:sdtContent>
          <w:p w14:paraId="10A491E8">
            <w:pPr>
              <w:pStyle w:val="1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51160768">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87604"/>
      <w:docPartObj>
        <w:docPartGallery w:val="autotext"/>
      </w:docPartObj>
    </w:sdtPr>
    <w:sdtContent>
      <w:p w14:paraId="04754FE4">
        <w:pPr>
          <w:pStyle w:val="13"/>
          <w:jc w:val="center"/>
        </w:pPr>
        <w:r>
          <w:fldChar w:fldCharType="begin"/>
        </w:r>
        <w:r>
          <w:instrText xml:space="preserve"> PAGE   \* MERGEFORMAT </w:instrText>
        </w:r>
        <w:r>
          <w:fldChar w:fldCharType="separate"/>
        </w:r>
        <w:r>
          <w:rPr>
            <w:lang w:val="zh-CN"/>
          </w:rPr>
          <w:t>-</w:t>
        </w:r>
        <w:r>
          <w:t xml:space="preserve"> 1 -</w:t>
        </w:r>
        <w:r>
          <w:fldChar w:fldCharType="end"/>
        </w:r>
      </w:p>
    </w:sdtContent>
  </w:sdt>
  <w:p w14:paraId="11DDAEAA">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B74BC">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D75A5">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EF791"/>
    <w:multiLevelType w:val="singleLevel"/>
    <w:tmpl w:val="8A0EF791"/>
    <w:lvl w:ilvl="0" w:tentative="0">
      <w:start w:val="2"/>
      <w:numFmt w:val="chineseCounting"/>
      <w:suff w:val="nothing"/>
      <w:lvlText w:val="（%1）"/>
      <w:lvlJc w:val="left"/>
      <w:rPr>
        <w:rFonts w:hint="eastAsia"/>
      </w:rPr>
    </w:lvl>
  </w:abstractNum>
  <w:abstractNum w:abstractNumId="1">
    <w:nsid w:val="2A2213E9"/>
    <w:multiLevelType w:val="multilevel"/>
    <w:tmpl w:val="2A2213E9"/>
    <w:lvl w:ilvl="0" w:tentative="0">
      <w:start w:val="1"/>
      <w:numFmt w:val="decimal"/>
      <w:lvlText w:val="%1."/>
      <w:lvlJc w:val="left"/>
      <w:pPr>
        <w:ind w:left="425" w:hanging="425"/>
      </w:pPr>
      <w:rPr>
        <w:rFonts w:hint="eastAsia"/>
      </w:rPr>
    </w:lvl>
    <w:lvl w:ilvl="1" w:tentative="0">
      <w:start w:val="1"/>
      <w:numFmt w:val="decimalZero"/>
      <w:lvlText w:val="%1.%2"/>
      <w:lvlJc w:val="left"/>
      <w:pPr>
        <w:tabs>
          <w:tab w:val="left" w:pos="992"/>
        </w:tabs>
        <w:ind w:left="992" w:hanging="567"/>
      </w:pPr>
      <w:rPr>
        <w:rFonts w:hint="eastAsia"/>
        <w:b w:val="0"/>
      </w:rPr>
    </w:lvl>
    <w:lvl w:ilvl="2" w:tentative="0">
      <w:start w:val="1"/>
      <w:numFmt w:val="decimal"/>
      <w:pStyle w:val="4"/>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3">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3"/>
      <w:lvlText w:val="%4."/>
      <w:lvlJc w:val="left"/>
      <w:pPr>
        <w:tabs>
          <w:tab w:val="left" w:pos="1680"/>
        </w:tabs>
        <w:ind w:left="1680" w:hanging="420"/>
      </w:pPr>
    </w:lvl>
    <w:lvl w:ilvl="4" w:tentative="0">
      <w:start w:val="1"/>
      <w:numFmt w:val="lowerLetter"/>
      <w:pStyle w:val="62"/>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zk0YzhmYTE5NWE3MmUyYmY2MTFmZTA0NjI5MWNiNDEifQ=="/>
  </w:docVars>
  <w:rsids>
    <w:rsidRoot w:val="00A2080A"/>
    <w:rsid w:val="0000003C"/>
    <w:rsid w:val="00000534"/>
    <w:rsid w:val="000009E6"/>
    <w:rsid w:val="000012D3"/>
    <w:rsid w:val="000016D3"/>
    <w:rsid w:val="00002568"/>
    <w:rsid w:val="00002EED"/>
    <w:rsid w:val="00003938"/>
    <w:rsid w:val="00003AAD"/>
    <w:rsid w:val="00004071"/>
    <w:rsid w:val="0000427E"/>
    <w:rsid w:val="000045EF"/>
    <w:rsid w:val="00004DCF"/>
    <w:rsid w:val="000058C7"/>
    <w:rsid w:val="00006762"/>
    <w:rsid w:val="00006B1C"/>
    <w:rsid w:val="000123DA"/>
    <w:rsid w:val="00012DDB"/>
    <w:rsid w:val="0001312D"/>
    <w:rsid w:val="000144F4"/>
    <w:rsid w:val="000151F8"/>
    <w:rsid w:val="00015EA0"/>
    <w:rsid w:val="0001758B"/>
    <w:rsid w:val="000208D0"/>
    <w:rsid w:val="00020B6A"/>
    <w:rsid w:val="00021875"/>
    <w:rsid w:val="00021F61"/>
    <w:rsid w:val="00022215"/>
    <w:rsid w:val="00022AA3"/>
    <w:rsid w:val="00022FD7"/>
    <w:rsid w:val="00024A25"/>
    <w:rsid w:val="00024D44"/>
    <w:rsid w:val="00025591"/>
    <w:rsid w:val="00026439"/>
    <w:rsid w:val="0002657B"/>
    <w:rsid w:val="00026803"/>
    <w:rsid w:val="00026A13"/>
    <w:rsid w:val="000272F7"/>
    <w:rsid w:val="00027D26"/>
    <w:rsid w:val="0003020A"/>
    <w:rsid w:val="000302A6"/>
    <w:rsid w:val="00030785"/>
    <w:rsid w:val="000329B2"/>
    <w:rsid w:val="0003508F"/>
    <w:rsid w:val="000353FA"/>
    <w:rsid w:val="000355DA"/>
    <w:rsid w:val="00035A8F"/>
    <w:rsid w:val="0003614B"/>
    <w:rsid w:val="00036B11"/>
    <w:rsid w:val="00040558"/>
    <w:rsid w:val="00041CF1"/>
    <w:rsid w:val="00042B1D"/>
    <w:rsid w:val="00044382"/>
    <w:rsid w:val="00044707"/>
    <w:rsid w:val="000449BB"/>
    <w:rsid w:val="00044CD2"/>
    <w:rsid w:val="00046C4E"/>
    <w:rsid w:val="00047088"/>
    <w:rsid w:val="000471D3"/>
    <w:rsid w:val="000471E1"/>
    <w:rsid w:val="00047224"/>
    <w:rsid w:val="00047850"/>
    <w:rsid w:val="00047CB5"/>
    <w:rsid w:val="00050264"/>
    <w:rsid w:val="000508A3"/>
    <w:rsid w:val="00051115"/>
    <w:rsid w:val="00052725"/>
    <w:rsid w:val="00052E6F"/>
    <w:rsid w:val="000530BD"/>
    <w:rsid w:val="000532DC"/>
    <w:rsid w:val="00053B39"/>
    <w:rsid w:val="00054E5C"/>
    <w:rsid w:val="0005553A"/>
    <w:rsid w:val="00055591"/>
    <w:rsid w:val="000555EF"/>
    <w:rsid w:val="00055603"/>
    <w:rsid w:val="00055EC2"/>
    <w:rsid w:val="00057340"/>
    <w:rsid w:val="00057CE9"/>
    <w:rsid w:val="00061AFB"/>
    <w:rsid w:val="00061BBA"/>
    <w:rsid w:val="00062D18"/>
    <w:rsid w:val="00062E7A"/>
    <w:rsid w:val="000635AB"/>
    <w:rsid w:val="00063733"/>
    <w:rsid w:val="00063EED"/>
    <w:rsid w:val="000640E9"/>
    <w:rsid w:val="00064500"/>
    <w:rsid w:val="00064AFA"/>
    <w:rsid w:val="00065432"/>
    <w:rsid w:val="000656D5"/>
    <w:rsid w:val="00065B6E"/>
    <w:rsid w:val="00065FC9"/>
    <w:rsid w:val="000665E2"/>
    <w:rsid w:val="00067474"/>
    <w:rsid w:val="00070099"/>
    <w:rsid w:val="000703B4"/>
    <w:rsid w:val="00070764"/>
    <w:rsid w:val="000715EE"/>
    <w:rsid w:val="00072491"/>
    <w:rsid w:val="00072C64"/>
    <w:rsid w:val="000745D2"/>
    <w:rsid w:val="00074F01"/>
    <w:rsid w:val="000750C3"/>
    <w:rsid w:val="00076DE5"/>
    <w:rsid w:val="0008042D"/>
    <w:rsid w:val="00080D38"/>
    <w:rsid w:val="00082438"/>
    <w:rsid w:val="000825BA"/>
    <w:rsid w:val="00082A27"/>
    <w:rsid w:val="00083388"/>
    <w:rsid w:val="000839C2"/>
    <w:rsid w:val="0008482A"/>
    <w:rsid w:val="000849BD"/>
    <w:rsid w:val="00084C83"/>
    <w:rsid w:val="00084F09"/>
    <w:rsid w:val="00086B97"/>
    <w:rsid w:val="00086BD4"/>
    <w:rsid w:val="00087687"/>
    <w:rsid w:val="000877B8"/>
    <w:rsid w:val="000906ED"/>
    <w:rsid w:val="00090D8B"/>
    <w:rsid w:val="00091A85"/>
    <w:rsid w:val="0009206C"/>
    <w:rsid w:val="000926DE"/>
    <w:rsid w:val="00092A4C"/>
    <w:rsid w:val="00092ECB"/>
    <w:rsid w:val="0009339B"/>
    <w:rsid w:val="000936C6"/>
    <w:rsid w:val="00095183"/>
    <w:rsid w:val="0009580F"/>
    <w:rsid w:val="00095FF8"/>
    <w:rsid w:val="00096447"/>
    <w:rsid w:val="00096561"/>
    <w:rsid w:val="00096938"/>
    <w:rsid w:val="00097060"/>
    <w:rsid w:val="000971D7"/>
    <w:rsid w:val="000978A2"/>
    <w:rsid w:val="000A00A4"/>
    <w:rsid w:val="000A10D3"/>
    <w:rsid w:val="000A20A9"/>
    <w:rsid w:val="000A21B5"/>
    <w:rsid w:val="000A24F6"/>
    <w:rsid w:val="000A39EF"/>
    <w:rsid w:val="000A3D74"/>
    <w:rsid w:val="000A3ECA"/>
    <w:rsid w:val="000A4565"/>
    <w:rsid w:val="000A47B5"/>
    <w:rsid w:val="000A4DAF"/>
    <w:rsid w:val="000A5690"/>
    <w:rsid w:val="000A616B"/>
    <w:rsid w:val="000A64BF"/>
    <w:rsid w:val="000A690F"/>
    <w:rsid w:val="000A6A8A"/>
    <w:rsid w:val="000A6B24"/>
    <w:rsid w:val="000A7F53"/>
    <w:rsid w:val="000B0A03"/>
    <w:rsid w:val="000B0CFB"/>
    <w:rsid w:val="000B1E38"/>
    <w:rsid w:val="000B3670"/>
    <w:rsid w:val="000B37AA"/>
    <w:rsid w:val="000B3864"/>
    <w:rsid w:val="000B4C46"/>
    <w:rsid w:val="000B5C45"/>
    <w:rsid w:val="000B659C"/>
    <w:rsid w:val="000B6E00"/>
    <w:rsid w:val="000B7558"/>
    <w:rsid w:val="000C0156"/>
    <w:rsid w:val="000C1839"/>
    <w:rsid w:val="000C2028"/>
    <w:rsid w:val="000C2BE0"/>
    <w:rsid w:val="000C2FEF"/>
    <w:rsid w:val="000C36A5"/>
    <w:rsid w:val="000C3874"/>
    <w:rsid w:val="000C3B44"/>
    <w:rsid w:val="000C3CAB"/>
    <w:rsid w:val="000C4272"/>
    <w:rsid w:val="000C58BA"/>
    <w:rsid w:val="000C5D11"/>
    <w:rsid w:val="000C66F6"/>
    <w:rsid w:val="000C6B0F"/>
    <w:rsid w:val="000C70C3"/>
    <w:rsid w:val="000C7622"/>
    <w:rsid w:val="000C7A32"/>
    <w:rsid w:val="000D026B"/>
    <w:rsid w:val="000D1112"/>
    <w:rsid w:val="000D1273"/>
    <w:rsid w:val="000D190C"/>
    <w:rsid w:val="000D1AA4"/>
    <w:rsid w:val="000D1D79"/>
    <w:rsid w:val="000D2C43"/>
    <w:rsid w:val="000D4E76"/>
    <w:rsid w:val="000D55F1"/>
    <w:rsid w:val="000D5A19"/>
    <w:rsid w:val="000D6C19"/>
    <w:rsid w:val="000D74BD"/>
    <w:rsid w:val="000E0B79"/>
    <w:rsid w:val="000E0DD5"/>
    <w:rsid w:val="000E0DE1"/>
    <w:rsid w:val="000E0F9C"/>
    <w:rsid w:val="000E1255"/>
    <w:rsid w:val="000E1AC0"/>
    <w:rsid w:val="000E2F8D"/>
    <w:rsid w:val="000E374F"/>
    <w:rsid w:val="000E431F"/>
    <w:rsid w:val="000E4AE3"/>
    <w:rsid w:val="000E4F60"/>
    <w:rsid w:val="000E5275"/>
    <w:rsid w:val="000E5AD3"/>
    <w:rsid w:val="000E5BDC"/>
    <w:rsid w:val="000E5BEA"/>
    <w:rsid w:val="000E5C92"/>
    <w:rsid w:val="000E5D5D"/>
    <w:rsid w:val="000E7DAB"/>
    <w:rsid w:val="000F0011"/>
    <w:rsid w:val="000F0C6F"/>
    <w:rsid w:val="000F0CD8"/>
    <w:rsid w:val="000F14DB"/>
    <w:rsid w:val="000F1985"/>
    <w:rsid w:val="000F2A56"/>
    <w:rsid w:val="000F417D"/>
    <w:rsid w:val="000F4C7B"/>
    <w:rsid w:val="000F4F7E"/>
    <w:rsid w:val="000F51F4"/>
    <w:rsid w:val="000F570D"/>
    <w:rsid w:val="000F63AD"/>
    <w:rsid w:val="000F646A"/>
    <w:rsid w:val="000F650A"/>
    <w:rsid w:val="000F665B"/>
    <w:rsid w:val="000F6BCE"/>
    <w:rsid w:val="000F6F01"/>
    <w:rsid w:val="000F7227"/>
    <w:rsid w:val="000F73C2"/>
    <w:rsid w:val="000F7AB3"/>
    <w:rsid w:val="000F7D90"/>
    <w:rsid w:val="000F7F0A"/>
    <w:rsid w:val="00100570"/>
    <w:rsid w:val="0010145D"/>
    <w:rsid w:val="00102809"/>
    <w:rsid w:val="00102EF1"/>
    <w:rsid w:val="001036B4"/>
    <w:rsid w:val="00103B97"/>
    <w:rsid w:val="00103CB8"/>
    <w:rsid w:val="00103FB5"/>
    <w:rsid w:val="00104DDC"/>
    <w:rsid w:val="0010527F"/>
    <w:rsid w:val="001052D3"/>
    <w:rsid w:val="00105753"/>
    <w:rsid w:val="00105C53"/>
    <w:rsid w:val="00105E72"/>
    <w:rsid w:val="0010743E"/>
    <w:rsid w:val="001078AE"/>
    <w:rsid w:val="001101A1"/>
    <w:rsid w:val="00110396"/>
    <w:rsid w:val="001109FE"/>
    <w:rsid w:val="00110C49"/>
    <w:rsid w:val="00111565"/>
    <w:rsid w:val="001116F2"/>
    <w:rsid w:val="00112B2C"/>
    <w:rsid w:val="00112BE7"/>
    <w:rsid w:val="0011318F"/>
    <w:rsid w:val="00113F0E"/>
    <w:rsid w:val="0011426E"/>
    <w:rsid w:val="001144E4"/>
    <w:rsid w:val="00116135"/>
    <w:rsid w:val="00116B71"/>
    <w:rsid w:val="0011718D"/>
    <w:rsid w:val="00117824"/>
    <w:rsid w:val="00117871"/>
    <w:rsid w:val="00120699"/>
    <w:rsid w:val="00121EA2"/>
    <w:rsid w:val="00122522"/>
    <w:rsid w:val="00123508"/>
    <w:rsid w:val="00124BF7"/>
    <w:rsid w:val="00124D10"/>
    <w:rsid w:val="00125839"/>
    <w:rsid w:val="00125C67"/>
    <w:rsid w:val="00125D19"/>
    <w:rsid w:val="001264A6"/>
    <w:rsid w:val="001273F8"/>
    <w:rsid w:val="00127594"/>
    <w:rsid w:val="001300AD"/>
    <w:rsid w:val="001306AA"/>
    <w:rsid w:val="00131C4A"/>
    <w:rsid w:val="001320FA"/>
    <w:rsid w:val="0013233D"/>
    <w:rsid w:val="001325A3"/>
    <w:rsid w:val="00132CE0"/>
    <w:rsid w:val="0013347D"/>
    <w:rsid w:val="001348DC"/>
    <w:rsid w:val="001362A7"/>
    <w:rsid w:val="001368B5"/>
    <w:rsid w:val="00136A33"/>
    <w:rsid w:val="00136D23"/>
    <w:rsid w:val="00142FB4"/>
    <w:rsid w:val="001433AC"/>
    <w:rsid w:val="00144320"/>
    <w:rsid w:val="001444FC"/>
    <w:rsid w:val="00144E33"/>
    <w:rsid w:val="001461B9"/>
    <w:rsid w:val="001467A7"/>
    <w:rsid w:val="00147701"/>
    <w:rsid w:val="00150178"/>
    <w:rsid w:val="0015039A"/>
    <w:rsid w:val="00150821"/>
    <w:rsid w:val="001508C7"/>
    <w:rsid w:val="00150B2B"/>
    <w:rsid w:val="0015323F"/>
    <w:rsid w:val="00153B00"/>
    <w:rsid w:val="00154DB1"/>
    <w:rsid w:val="001550DD"/>
    <w:rsid w:val="00155423"/>
    <w:rsid w:val="00155E1F"/>
    <w:rsid w:val="0015618F"/>
    <w:rsid w:val="0015625C"/>
    <w:rsid w:val="001564AD"/>
    <w:rsid w:val="0015681F"/>
    <w:rsid w:val="00161BF9"/>
    <w:rsid w:val="00161C24"/>
    <w:rsid w:val="00162672"/>
    <w:rsid w:val="00163A63"/>
    <w:rsid w:val="00164447"/>
    <w:rsid w:val="00165CF5"/>
    <w:rsid w:val="00165D4C"/>
    <w:rsid w:val="00166255"/>
    <w:rsid w:val="0016677A"/>
    <w:rsid w:val="00166A84"/>
    <w:rsid w:val="00166EA5"/>
    <w:rsid w:val="0017067C"/>
    <w:rsid w:val="001710D4"/>
    <w:rsid w:val="00171631"/>
    <w:rsid w:val="0017168D"/>
    <w:rsid w:val="00171AAF"/>
    <w:rsid w:val="00172E32"/>
    <w:rsid w:val="00173981"/>
    <w:rsid w:val="00173B2D"/>
    <w:rsid w:val="0017461F"/>
    <w:rsid w:val="001752BA"/>
    <w:rsid w:val="001752FB"/>
    <w:rsid w:val="001757B3"/>
    <w:rsid w:val="00175A2D"/>
    <w:rsid w:val="00175D3F"/>
    <w:rsid w:val="001767A3"/>
    <w:rsid w:val="001774E4"/>
    <w:rsid w:val="001775FF"/>
    <w:rsid w:val="001805C7"/>
    <w:rsid w:val="00180CB8"/>
    <w:rsid w:val="0018148A"/>
    <w:rsid w:val="00181570"/>
    <w:rsid w:val="00181613"/>
    <w:rsid w:val="001825E4"/>
    <w:rsid w:val="0018409E"/>
    <w:rsid w:val="0018409F"/>
    <w:rsid w:val="00184515"/>
    <w:rsid w:val="00184C45"/>
    <w:rsid w:val="00184F40"/>
    <w:rsid w:val="0018638C"/>
    <w:rsid w:val="00186DC4"/>
    <w:rsid w:val="0018746E"/>
    <w:rsid w:val="0019082A"/>
    <w:rsid w:val="00190CFA"/>
    <w:rsid w:val="001912E4"/>
    <w:rsid w:val="00191AC6"/>
    <w:rsid w:val="00191C72"/>
    <w:rsid w:val="00193B80"/>
    <w:rsid w:val="00193F3B"/>
    <w:rsid w:val="00194EF7"/>
    <w:rsid w:val="001958A1"/>
    <w:rsid w:val="0019621C"/>
    <w:rsid w:val="00196DA3"/>
    <w:rsid w:val="00197D54"/>
    <w:rsid w:val="001A09B9"/>
    <w:rsid w:val="001A2AAF"/>
    <w:rsid w:val="001A3202"/>
    <w:rsid w:val="001A37FE"/>
    <w:rsid w:val="001A49C6"/>
    <w:rsid w:val="001A4A0E"/>
    <w:rsid w:val="001A502B"/>
    <w:rsid w:val="001A55FA"/>
    <w:rsid w:val="001A65A5"/>
    <w:rsid w:val="001A79B3"/>
    <w:rsid w:val="001A7A99"/>
    <w:rsid w:val="001B1740"/>
    <w:rsid w:val="001B1992"/>
    <w:rsid w:val="001B1A4E"/>
    <w:rsid w:val="001B1A89"/>
    <w:rsid w:val="001B1AB7"/>
    <w:rsid w:val="001B2219"/>
    <w:rsid w:val="001B238C"/>
    <w:rsid w:val="001B2F68"/>
    <w:rsid w:val="001B2FD6"/>
    <w:rsid w:val="001B3267"/>
    <w:rsid w:val="001B3F2C"/>
    <w:rsid w:val="001B532F"/>
    <w:rsid w:val="001B630A"/>
    <w:rsid w:val="001B716B"/>
    <w:rsid w:val="001B7A1F"/>
    <w:rsid w:val="001C012D"/>
    <w:rsid w:val="001C040D"/>
    <w:rsid w:val="001C0CD2"/>
    <w:rsid w:val="001C4C4E"/>
    <w:rsid w:val="001C4D36"/>
    <w:rsid w:val="001C51CE"/>
    <w:rsid w:val="001C53CC"/>
    <w:rsid w:val="001C651E"/>
    <w:rsid w:val="001C736E"/>
    <w:rsid w:val="001D08AE"/>
    <w:rsid w:val="001D0BF3"/>
    <w:rsid w:val="001D13D9"/>
    <w:rsid w:val="001D1D3E"/>
    <w:rsid w:val="001D2C0A"/>
    <w:rsid w:val="001D2EB8"/>
    <w:rsid w:val="001D6200"/>
    <w:rsid w:val="001D652F"/>
    <w:rsid w:val="001D656E"/>
    <w:rsid w:val="001D6D26"/>
    <w:rsid w:val="001D76BE"/>
    <w:rsid w:val="001D7892"/>
    <w:rsid w:val="001D7DE3"/>
    <w:rsid w:val="001D7F67"/>
    <w:rsid w:val="001E06A8"/>
    <w:rsid w:val="001E136E"/>
    <w:rsid w:val="001E212E"/>
    <w:rsid w:val="001E54F8"/>
    <w:rsid w:val="001E5AC1"/>
    <w:rsid w:val="001E6950"/>
    <w:rsid w:val="001E77C4"/>
    <w:rsid w:val="001E79DD"/>
    <w:rsid w:val="001E7BB0"/>
    <w:rsid w:val="001F075A"/>
    <w:rsid w:val="001F07F7"/>
    <w:rsid w:val="001F319C"/>
    <w:rsid w:val="001F33B4"/>
    <w:rsid w:val="001F3468"/>
    <w:rsid w:val="001F384D"/>
    <w:rsid w:val="001F3867"/>
    <w:rsid w:val="001F39EA"/>
    <w:rsid w:val="001F413B"/>
    <w:rsid w:val="001F6B95"/>
    <w:rsid w:val="001F6C1E"/>
    <w:rsid w:val="001F7381"/>
    <w:rsid w:val="001F7872"/>
    <w:rsid w:val="002018B5"/>
    <w:rsid w:val="00201C55"/>
    <w:rsid w:val="00202A54"/>
    <w:rsid w:val="00204B6A"/>
    <w:rsid w:val="00204ED2"/>
    <w:rsid w:val="00204F05"/>
    <w:rsid w:val="00205483"/>
    <w:rsid w:val="00205B91"/>
    <w:rsid w:val="002066EF"/>
    <w:rsid w:val="00207B83"/>
    <w:rsid w:val="00207C33"/>
    <w:rsid w:val="00210170"/>
    <w:rsid w:val="0021029E"/>
    <w:rsid w:val="002104F3"/>
    <w:rsid w:val="00210C21"/>
    <w:rsid w:val="00211D90"/>
    <w:rsid w:val="00212251"/>
    <w:rsid w:val="00212F52"/>
    <w:rsid w:val="002155F4"/>
    <w:rsid w:val="00216122"/>
    <w:rsid w:val="00216AC0"/>
    <w:rsid w:val="00216BFE"/>
    <w:rsid w:val="00216D43"/>
    <w:rsid w:val="002170E6"/>
    <w:rsid w:val="00217216"/>
    <w:rsid w:val="00217A08"/>
    <w:rsid w:val="00217B2D"/>
    <w:rsid w:val="002200C0"/>
    <w:rsid w:val="002201D6"/>
    <w:rsid w:val="0022055F"/>
    <w:rsid w:val="002209AD"/>
    <w:rsid w:val="00222485"/>
    <w:rsid w:val="00222658"/>
    <w:rsid w:val="00222B62"/>
    <w:rsid w:val="0022439D"/>
    <w:rsid w:val="002243CE"/>
    <w:rsid w:val="00224807"/>
    <w:rsid w:val="002248DF"/>
    <w:rsid w:val="002256FF"/>
    <w:rsid w:val="00225846"/>
    <w:rsid w:val="00225CAF"/>
    <w:rsid w:val="002261F1"/>
    <w:rsid w:val="0022667A"/>
    <w:rsid w:val="0022732C"/>
    <w:rsid w:val="002276E2"/>
    <w:rsid w:val="002277C3"/>
    <w:rsid w:val="002308B6"/>
    <w:rsid w:val="00230A34"/>
    <w:rsid w:val="002316A5"/>
    <w:rsid w:val="0023234B"/>
    <w:rsid w:val="00233FCC"/>
    <w:rsid w:val="00235194"/>
    <w:rsid w:val="00235D0D"/>
    <w:rsid w:val="00236850"/>
    <w:rsid w:val="00236968"/>
    <w:rsid w:val="0023764A"/>
    <w:rsid w:val="0024021B"/>
    <w:rsid w:val="00240C8A"/>
    <w:rsid w:val="0024160D"/>
    <w:rsid w:val="002417BE"/>
    <w:rsid w:val="002419CA"/>
    <w:rsid w:val="00242077"/>
    <w:rsid w:val="002440B9"/>
    <w:rsid w:val="0024495D"/>
    <w:rsid w:val="00244BA9"/>
    <w:rsid w:val="0024506F"/>
    <w:rsid w:val="0024528D"/>
    <w:rsid w:val="00245B0C"/>
    <w:rsid w:val="00246861"/>
    <w:rsid w:val="00246E65"/>
    <w:rsid w:val="00250A8E"/>
    <w:rsid w:val="00251E19"/>
    <w:rsid w:val="0025249C"/>
    <w:rsid w:val="00252AEC"/>
    <w:rsid w:val="0025396F"/>
    <w:rsid w:val="00253B79"/>
    <w:rsid w:val="00253DC6"/>
    <w:rsid w:val="00253F91"/>
    <w:rsid w:val="00254AE6"/>
    <w:rsid w:val="00256462"/>
    <w:rsid w:val="002564DA"/>
    <w:rsid w:val="002567FD"/>
    <w:rsid w:val="00256A27"/>
    <w:rsid w:val="00257428"/>
    <w:rsid w:val="00260924"/>
    <w:rsid w:val="00260A06"/>
    <w:rsid w:val="00262635"/>
    <w:rsid w:val="00262803"/>
    <w:rsid w:val="002632DA"/>
    <w:rsid w:val="00263991"/>
    <w:rsid w:val="00264216"/>
    <w:rsid w:val="00264D59"/>
    <w:rsid w:val="0026617A"/>
    <w:rsid w:val="00266580"/>
    <w:rsid w:val="00266817"/>
    <w:rsid w:val="00266EE0"/>
    <w:rsid w:val="002677C4"/>
    <w:rsid w:val="00267C44"/>
    <w:rsid w:val="00267F33"/>
    <w:rsid w:val="00267FA2"/>
    <w:rsid w:val="00270403"/>
    <w:rsid w:val="00271C81"/>
    <w:rsid w:val="00272D70"/>
    <w:rsid w:val="0027489F"/>
    <w:rsid w:val="0027585C"/>
    <w:rsid w:val="00275E2A"/>
    <w:rsid w:val="00275E91"/>
    <w:rsid w:val="00275E9F"/>
    <w:rsid w:val="00277792"/>
    <w:rsid w:val="00280C20"/>
    <w:rsid w:val="00281004"/>
    <w:rsid w:val="00281288"/>
    <w:rsid w:val="002817C7"/>
    <w:rsid w:val="00282446"/>
    <w:rsid w:val="0028266D"/>
    <w:rsid w:val="00282E85"/>
    <w:rsid w:val="0028324C"/>
    <w:rsid w:val="00283289"/>
    <w:rsid w:val="002835BD"/>
    <w:rsid w:val="00283EEC"/>
    <w:rsid w:val="00283F12"/>
    <w:rsid w:val="00285333"/>
    <w:rsid w:val="00285CA2"/>
    <w:rsid w:val="00286298"/>
    <w:rsid w:val="002863E6"/>
    <w:rsid w:val="00287F90"/>
    <w:rsid w:val="002911C3"/>
    <w:rsid w:val="00293992"/>
    <w:rsid w:val="00293BA1"/>
    <w:rsid w:val="002950C5"/>
    <w:rsid w:val="00295A1E"/>
    <w:rsid w:val="00296E1C"/>
    <w:rsid w:val="00296F79"/>
    <w:rsid w:val="002A1979"/>
    <w:rsid w:val="002A2DF8"/>
    <w:rsid w:val="002A3362"/>
    <w:rsid w:val="002A3FBC"/>
    <w:rsid w:val="002A4078"/>
    <w:rsid w:val="002A42EE"/>
    <w:rsid w:val="002A503A"/>
    <w:rsid w:val="002A5CF7"/>
    <w:rsid w:val="002A6024"/>
    <w:rsid w:val="002A6AB4"/>
    <w:rsid w:val="002A6C67"/>
    <w:rsid w:val="002A7CF0"/>
    <w:rsid w:val="002B0180"/>
    <w:rsid w:val="002B01BB"/>
    <w:rsid w:val="002B1051"/>
    <w:rsid w:val="002B1486"/>
    <w:rsid w:val="002B15B2"/>
    <w:rsid w:val="002B160C"/>
    <w:rsid w:val="002B1F03"/>
    <w:rsid w:val="002B27E8"/>
    <w:rsid w:val="002B2FCA"/>
    <w:rsid w:val="002B3723"/>
    <w:rsid w:val="002B39B6"/>
    <w:rsid w:val="002B4129"/>
    <w:rsid w:val="002B55EB"/>
    <w:rsid w:val="002B5A50"/>
    <w:rsid w:val="002B6111"/>
    <w:rsid w:val="002B6824"/>
    <w:rsid w:val="002B694C"/>
    <w:rsid w:val="002B72D7"/>
    <w:rsid w:val="002B7D72"/>
    <w:rsid w:val="002C0D7B"/>
    <w:rsid w:val="002C1BAD"/>
    <w:rsid w:val="002C1F47"/>
    <w:rsid w:val="002C3062"/>
    <w:rsid w:val="002C3C57"/>
    <w:rsid w:val="002C495C"/>
    <w:rsid w:val="002C4F92"/>
    <w:rsid w:val="002C5BDC"/>
    <w:rsid w:val="002C5F97"/>
    <w:rsid w:val="002C6C8F"/>
    <w:rsid w:val="002C752E"/>
    <w:rsid w:val="002D05C5"/>
    <w:rsid w:val="002D0865"/>
    <w:rsid w:val="002D15D0"/>
    <w:rsid w:val="002D1DC8"/>
    <w:rsid w:val="002D1E0C"/>
    <w:rsid w:val="002D41B7"/>
    <w:rsid w:val="002D52BC"/>
    <w:rsid w:val="002D5A5A"/>
    <w:rsid w:val="002D5A6B"/>
    <w:rsid w:val="002D5E87"/>
    <w:rsid w:val="002D6898"/>
    <w:rsid w:val="002D702A"/>
    <w:rsid w:val="002D7C7F"/>
    <w:rsid w:val="002E0CAE"/>
    <w:rsid w:val="002E1632"/>
    <w:rsid w:val="002E28D1"/>
    <w:rsid w:val="002E2929"/>
    <w:rsid w:val="002E2EA3"/>
    <w:rsid w:val="002E3189"/>
    <w:rsid w:val="002E3F58"/>
    <w:rsid w:val="002E4209"/>
    <w:rsid w:val="002E52E4"/>
    <w:rsid w:val="002E58D6"/>
    <w:rsid w:val="002E6A3C"/>
    <w:rsid w:val="002E7738"/>
    <w:rsid w:val="002E7C9E"/>
    <w:rsid w:val="002E7F12"/>
    <w:rsid w:val="002E7F5A"/>
    <w:rsid w:val="002F0092"/>
    <w:rsid w:val="002F2063"/>
    <w:rsid w:val="002F2530"/>
    <w:rsid w:val="002F3CE6"/>
    <w:rsid w:val="002F43BC"/>
    <w:rsid w:val="002F4D02"/>
    <w:rsid w:val="003000A8"/>
    <w:rsid w:val="00300192"/>
    <w:rsid w:val="00300AA0"/>
    <w:rsid w:val="00300B5F"/>
    <w:rsid w:val="00301CBD"/>
    <w:rsid w:val="003023EB"/>
    <w:rsid w:val="00303B7E"/>
    <w:rsid w:val="00305773"/>
    <w:rsid w:val="003060E5"/>
    <w:rsid w:val="00310752"/>
    <w:rsid w:val="0031159B"/>
    <w:rsid w:val="00311D20"/>
    <w:rsid w:val="00312869"/>
    <w:rsid w:val="00312D47"/>
    <w:rsid w:val="00314654"/>
    <w:rsid w:val="00314F81"/>
    <w:rsid w:val="00316934"/>
    <w:rsid w:val="00317786"/>
    <w:rsid w:val="00320794"/>
    <w:rsid w:val="00320C81"/>
    <w:rsid w:val="003227D1"/>
    <w:rsid w:val="003229C5"/>
    <w:rsid w:val="0032338C"/>
    <w:rsid w:val="00323FDB"/>
    <w:rsid w:val="00331E2B"/>
    <w:rsid w:val="0033201F"/>
    <w:rsid w:val="0033229D"/>
    <w:rsid w:val="0033233B"/>
    <w:rsid w:val="00332918"/>
    <w:rsid w:val="00333666"/>
    <w:rsid w:val="003337D2"/>
    <w:rsid w:val="003359FB"/>
    <w:rsid w:val="00335C37"/>
    <w:rsid w:val="00336789"/>
    <w:rsid w:val="00340747"/>
    <w:rsid w:val="00341611"/>
    <w:rsid w:val="00343DE1"/>
    <w:rsid w:val="0034411B"/>
    <w:rsid w:val="00344308"/>
    <w:rsid w:val="003443EE"/>
    <w:rsid w:val="00344749"/>
    <w:rsid w:val="00344CD0"/>
    <w:rsid w:val="00344E65"/>
    <w:rsid w:val="0034533B"/>
    <w:rsid w:val="00345B12"/>
    <w:rsid w:val="00345C7F"/>
    <w:rsid w:val="00347406"/>
    <w:rsid w:val="00347C3A"/>
    <w:rsid w:val="003503CC"/>
    <w:rsid w:val="0035092C"/>
    <w:rsid w:val="0035129B"/>
    <w:rsid w:val="0035166C"/>
    <w:rsid w:val="003516FC"/>
    <w:rsid w:val="00352CC5"/>
    <w:rsid w:val="00352D7E"/>
    <w:rsid w:val="00354D57"/>
    <w:rsid w:val="003551A2"/>
    <w:rsid w:val="00355EC9"/>
    <w:rsid w:val="00356CCA"/>
    <w:rsid w:val="00357868"/>
    <w:rsid w:val="00357C84"/>
    <w:rsid w:val="00360966"/>
    <w:rsid w:val="00362BE5"/>
    <w:rsid w:val="00363241"/>
    <w:rsid w:val="00363679"/>
    <w:rsid w:val="00363C22"/>
    <w:rsid w:val="003643F9"/>
    <w:rsid w:val="00364CA8"/>
    <w:rsid w:val="00364E47"/>
    <w:rsid w:val="00365F0D"/>
    <w:rsid w:val="003663D0"/>
    <w:rsid w:val="00366486"/>
    <w:rsid w:val="00367B99"/>
    <w:rsid w:val="003700CC"/>
    <w:rsid w:val="003701CA"/>
    <w:rsid w:val="00370871"/>
    <w:rsid w:val="003708E9"/>
    <w:rsid w:val="00370EC2"/>
    <w:rsid w:val="0037115D"/>
    <w:rsid w:val="003712F3"/>
    <w:rsid w:val="003727A3"/>
    <w:rsid w:val="00372909"/>
    <w:rsid w:val="00373380"/>
    <w:rsid w:val="003733E5"/>
    <w:rsid w:val="00373638"/>
    <w:rsid w:val="003760A7"/>
    <w:rsid w:val="00377829"/>
    <w:rsid w:val="003806DD"/>
    <w:rsid w:val="003807FD"/>
    <w:rsid w:val="00381067"/>
    <w:rsid w:val="00381501"/>
    <w:rsid w:val="00381D9D"/>
    <w:rsid w:val="003821BE"/>
    <w:rsid w:val="00384429"/>
    <w:rsid w:val="00384556"/>
    <w:rsid w:val="00384E06"/>
    <w:rsid w:val="00385943"/>
    <w:rsid w:val="00385FAB"/>
    <w:rsid w:val="003861D7"/>
    <w:rsid w:val="0038698B"/>
    <w:rsid w:val="00390AAB"/>
    <w:rsid w:val="00392A1E"/>
    <w:rsid w:val="00392D23"/>
    <w:rsid w:val="003933A8"/>
    <w:rsid w:val="00393465"/>
    <w:rsid w:val="00393B11"/>
    <w:rsid w:val="00393D79"/>
    <w:rsid w:val="0039425D"/>
    <w:rsid w:val="00394D17"/>
    <w:rsid w:val="0039605B"/>
    <w:rsid w:val="00397409"/>
    <w:rsid w:val="0039790E"/>
    <w:rsid w:val="003A0659"/>
    <w:rsid w:val="003A12BC"/>
    <w:rsid w:val="003A165A"/>
    <w:rsid w:val="003A178F"/>
    <w:rsid w:val="003A19CC"/>
    <w:rsid w:val="003A2835"/>
    <w:rsid w:val="003A35DB"/>
    <w:rsid w:val="003A4C76"/>
    <w:rsid w:val="003A52A8"/>
    <w:rsid w:val="003A5726"/>
    <w:rsid w:val="003A6A8D"/>
    <w:rsid w:val="003A6B0B"/>
    <w:rsid w:val="003B04C1"/>
    <w:rsid w:val="003B0A91"/>
    <w:rsid w:val="003B0AB5"/>
    <w:rsid w:val="003B188A"/>
    <w:rsid w:val="003B27B4"/>
    <w:rsid w:val="003B3169"/>
    <w:rsid w:val="003B4BA7"/>
    <w:rsid w:val="003B6A21"/>
    <w:rsid w:val="003B71D5"/>
    <w:rsid w:val="003B7919"/>
    <w:rsid w:val="003C00F7"/>
    <w:rsid w:val="003C1193"/>
    <w:rsid w:val="003C11A3"/>
    <w:rsid w:val="003C130D"/>
    <w:rsid w:val="003C1A5B"/>
    <w:rsid w:val="003C20A3"/>
    <w:rsid w:val="003C2268"/>
    <w:rsid w:val="003C2781"/>
    <w:rsid w:val="003C3C7E"/>
    <w:rsid w:val="003C420C"/>
    <w:rsid w:val="003C48B4"/>
    <w:rsid w:val="003C6D16"/>
    <w:rsid w:val="003C727F"/>
    <w:rsid w:val="003C7E77"/>
    <w:rsid w:val="003D0461"/>
    <w:rsid w:val="003D080C"/>
    <w:rsid w:val="003D08DA"/>
    <w:rsid w:val="003D08FE"/>
    <w:rsid w:val="003D2535"/>
    <w:rsid w:val="003D2B00"/>
    <w:rsid w:val="003D2C47"/>
    <w:rsid w:val="003D2D0B"/>
    <w:rsid w:val="003D2DE4"/>
    <w:rsid w:val="003D31DB"/>
    <w:rsid w:val="003D4114"/>
    <w:rsid w:val="003D4C3B"/>
    <w:rsid w:val="003D5D79"/>
    <w:rsid w:val="003D6A8D"/>
    <w:rsid w:val="003D6F61"/>
    <w:rsid w:val="003D7045"/>
    <w:rsid w:val="003E0CDD"/>
    <w:rsid w:val="003E11EF"/>
    <w:rsid w:val="003E15AD"/>
    <w:rsid w:val="003E1604"/>
    <w:rsid w:val="003E19B4"/>
    <w:rsid w:val="003E2B85"/>
    <w:rsid w:val="003E2C18"/>
    <w:rsid w:val="003E3AE9"/>
    <w:rsid w:val="003E3F47"/>
    <w:rsid w:val="003E53BF"/>
    <w:rsid w:val="003E5AC1"/>
    <w:rsid w:val="003E5B03"/>
    <w:rsid w:val="003E636E"/>
    <w:rsid w:val="003E6D95"/>
    <w:rsid w:val="003F01E8"/>
    <w:rsid w:val="003F030E"/>
    <w:rsid w:val="003F04B5"/>
    <w:rsid w:val="003F0CE7"/>
    <w:rsid w:val="003F1EF4"/>
    <w:rsid w:val="003F3798"/>
    <w:rsid w:val="003F3BD1"/>
    <w:rsid w:val="003F4103"/>
    <w:rsid w:val="003F4DF8"/>
    <w:rsid w:val="003F683D"/>
    <w:rsid w:val="003F692B"/>
    <w:rsid w:val="003F6D4F"/>
    <w:rsid w:val="003F7585"/>
    <w:rsid w:val="003F7C77"/>
    <w:rsid w:val="004001FB"/>
    <w:rsid w:val="00400B38"/>
    <w:rsid w:val="00400D0D"/>
    <w:rsid w:val="0040113C"/>
    <w:rsid w:val="00402440"/>
    <w:rsid w:val="00402EA1"/>
    <w:rsid w:val="00403C88"/>
    <w:rsid w:val="0040452E"/>
    <w:rsid w:val="00404994"/>
    <w:rsid w:val="00404B08"/>
    <w:rsid w:val="00404DCB"/>
    <w:rsid w:val="0040523F"/>
    <w:rsid w:val="00405DCF"/>
    <w:rsid w:val="004067D7"/>
    <w:rsid w:val="00407472"/>
    <w:rsid w:val="004075F9"/>
    <w:rsid w:val="00410100"/>
    <w:rsid w:val="004101AC"/>
    <w:rsid w:val="004102E8"/>
    <w:rsid w:val="00410F67"/>
    <w:rsid w:val="00410FDF"/>
    <w:rsid w:val="00411747"/>
    <w:rsid w:val="00411887"/>
    <w:rsid w:val="00412367"/>
    <w:rsid w:val="00412890"/>
    <w:rsid w:val="00412A09"/>
    <w:rsid w:val="00412A17"/>
    <w:rsid w:val="00415F03"/>
    <w:rsid w:val="00416DFE"/>
    <w:rsid w:val="00416F14"/>
    <w:rsid w:val="00420223"/>
    <w:rsid w:val="00421E47"/>
    <w:rsid w:val="00421EC5"/>
    <w:rsid w:val="0042265C"/>
    <w:rsid w:val="00422AC3"/>
    <w:rsid w:val="00422E85"/>
    <w:rsid w:val="004239A5"/>
    <w:rsid w:val="00424BFF"/>
    <w:rsid w:val="00424E3E"/>
    <w:rsid w:val="004256D6"/>
    <w:rsid w:val="00425AF6"/>
    <w:rsid w:val="004267B9"/>
    <w:rsid w:val="00427DA1"/>
    <w:rsid w:val="004300D7"/>
    <w:rsid w:val="00430A7F"/>
    <w:rsid w:val="00431900"/>
    <w:rsid w:val="00432732"/>
    <w:rsid w:val="00433969"/>
    <w:rsid w:val="00433C6A"/>
    <w:rsid w:val="00433CF9"/>
    <w:rsid w:val="00433FB5"/>
    <w:rsid w:val="00435B6E"/>
    <w:rsid w:val="00435C4F"/>
    <w:rsid w:val="004361DC"/>
    <w:rsid w:val="00436D27"/>
    <w:rsid w:val="00436DD3"/>
    <w:rsid w:val="004374AE"/>
    <w:rsid w:val="00437B6F"/>
    <w:rsid w:val="0044060B"/>
    <w:rsid w:val="00441A31"/>
    <w:rsid w:val="00441B70"/>
    <w:rsid w:val="004420E8"/>
    <w:rsid w:val="0044368F"/>
    <w:rsid w:val="00444910"/>
    <w:rsid w:val="004450F7"/>
    <w:rsid w:val="004453D6"/>
    <w:rsid w:val="00446860"/>
    <w:rsid w:val="00446AA8"/>
    <w:rsid w:val="00447CC4"/>
    <w:rsid w:val="00447DCC"/>
    <w:rsid w:val="00450BB7"/>
    <w:rsid w:val="004519E7"/>
    <w:rsid w:val="00452CD9"/>
    <w:rsid w:val="00453EAC"/>
    <w:rsid w:val="00453F65"/>
    <w:rsid w:val="0045559E"/>
    <w:rsid w:val="00456789"/>
    <w:rsid w:val="00456C64"/>
    <w:rsid w:val="00456D51"/>
    <w:rsid w:val="00457212"/>
    <w:rsid w:val="00457324"/>
    <w:rsid w:val="0045748E"/>
    <w:rsid w:val="00460D27"/>
    <w:rsid w:val="00461414"/>
    <w:rsid w:val="00462C99"/>
    <w:rsid w:val="00463F2F"/>
    <w:rsid w:val="00464AAB"/>
    <w:rsid w:val="00464F9E"/>
    <w:rsid w:val="00465928"/>
    <w:rsid w:val="00466C5F"/>
    <w:rsid w:val="00467BC0"/>
    <w:rsid w:val="00467F7D"/>
    <w:rsid w:val="00470652"/>
    <w:rsid w:val="004712BB"/>
    <w:rsid w:val="0047148F"/>
    <w:rsid w:val="00471A9B"/>
    <w:rsid w:val="00472544"/>
    <w:rsid w:val="00472C9A"/>
    <w:rsid w:val="004739AE"/>
    <w:rsid w:val="00476698"/>
    <w:rsid w:val="00476AD4"/>
    <w:rsid w:val="00476C97"/>
    <w:rsid w:val="00481106"/>
    <w:rsid w:val="0048282E"/>
    <w:rsid w:val="00482A1C"/>
    <w:rsid w:val="00482F24"/>
    <w:rsid w:val="00482FE5"/>
    <w:rsid w:val="004842BD"/>
    <w:rsid w:val="0048529B"/>
    <w:rsid w:val="00485369"/>
    <w:rsid w:val="00485D00"/>
    <w:rsid w:val="00487035"/>
    <w:rsid w:val="004875DB"/>
    <w:rsid w:val="004901A9"/>
    <w:rsid w:val="0049098C"/>
    <w:rsid w:val="00490B35"/>
    <w:rsid w:val="00491310"/>
    <w:rsid w:val="00493403"/>
    <w:rsid w:val="00493786"/>
    <w:rsid w:val="00493F3B"/>
    <w:rsid w:val="00494890"/>
    <w:rsid w:val="004965F7"/>
    <w:rsid w:val="0049720E"/>
    <w:rsid w:val="004A1DFA"/>
    <w:rsid w:val="004A22BE"/>
    <w:rsid w:val="004A242C"/>
    <w:rsid w:val="004A26F5"/>
    <w:rsid w:val="004A39E3"/>
    <w:rsid w:val="004A44B7"/>
    <w:rsid w:val="004A537A"/>
    <w:rsid w:val="004A6B2B"/>
    <w:rsid w:val="004A7559"/>
    <w:rsid w:val="004B0618"/>
    <w:rsid w:val="004B114F"/>
    <w:rsid w:val="004B143C"/>
    <w:rsid w:val="004B232B"/>
    <w:rsid w:val="004B36CB"/>
    <w:rsid w:val="004B439F"/>
    <w:rsid w:val="004B45E0"/>
    <w:rsid w:val="004B4672"/>
    <w:rsid w:val="004B4960"/>
    <w:rsid w:val="004B5912"/>
    <w:rsid w:val="004B5B32"/>
    <w:rsid w:val="004B5BFC"/>
    <w:rsid w:val="004B6EF4"/>
    <w:rsid w:val="004C0FD4"/>
    <w:rsid w:val="004C1FC1"/>
    <w:rsid w:val="004C347B"/>
    <w:rsid w:val="004C40CC"/>
    <w:rsid w:val="004C4CC1"/>
    <w:rsid w:val="004C4F27"/>
    <w:rsid w:val="004C529E"/>
    <w:rsid w:val="004C52E4"/>
    <w:rsid w:val="004C6892"/>
    <w:rsid w:val="004C6C6F"/>
    <w:rsid w:val="004C6E23"/>
    <w:rsid w:val="004C7131"/>
    <w:rsid w:val="004C76A3"/>
    <w:rsid w:val="004D1331"/>
    <w:rsid w:val="004D1CDF"/>
    <w:rsid w:val="004D413F"/>
    <w:rsid w:val="004D41BC"/>
    <w:rsid w:val="004D4EE3"/>
    <w:rsid w:val="004D4F8B"/>
    <w:rsid w:val="004D69DA"/>
    <w:rsid w:val="004D6D73"/>
    <w:rsid w:val="004D7284"/>
    <w:rsid w:val="004D7C66"/>
    <w:rsid w:val="004D7EBD"/>
    <w:rsid w:val="004E0FB5"/>
    <w:rsid w:val="004E2661"/>
    <w:rsid w:val="004E283D"/>
    <w:rsid w:val="004E3C8F"/>
    <w:rsid w:val="004E4F49"/>
    <w:rsid w:val="004E5EF6"/>
    <w:rsid w:val="004E665F"/>
    <w:rsid w:val="004E775C"/>
    <w:rsid w:val="004E78ED"/>
    <w:rsid w:val="004F08C3"/>
    <w:rsid w:val="004F0E8D"/>
    <w:rsid w:val="004F142C"/>
    <w:rsid w:val="004F15C6"/>
    <w:rsid w:val="004F1763"/>
    <w:rsid w:val="004F18C7"/>
    <w:rsid w:val="004F1B49"/>
    <w:rsid w:val="004F41BF"/>
    <w:rsid w:val="004F44A7"/>
    <w:rsid w:val="004F4B61"/>
    <w:rsid w:val="004F5628"/>
    <w:rsid w:val="004F599A"/>
    <w:rsid w:val="004F6447"/>
    <w:rsid w:val="0050000E"/>
    <w:rsid w:val="00500466"/>
    <w:rsid w:val="00500577"/>
    <w:rsid w:val="0050092F"/>
    <w:rsid w:val="00500933"/>
    <w:rsid w:val="00500C46"/>
    <w:rsid w:val="00500CC4"/>
    <w:rsid w:val="005011E0"/>
    <w:rsid w:val="005034E9"/>
    <w:rsid w:val="00504750"/>
    <w:rsid w:val="005058D5"/>
    <w:rsid w:val="00505B5D"/>
    <w:rsid w:val="00505B5E"/>
    <w:rsid w:val="00505FB4"/>
    <w:rsid w:val="005068B8"/>
    <w:rsid w:val="00506F65"/>
    <w:rsid w:val="00507FFC"/>
    <w:rsid w:val="005124FC"/>
    <w:rsid w:val="0051282B"/>
    <w:rsid w:val="00512AB0"/>
    <w:rsid w:val="005140F6"/>
    <w:rsid w:val="00514AC1"/>
    <w:rsid w:val="005168F8"/>
    <w:rsid w:val="00521160"/>
    <w:rsid w:val="00521D7F"/>
    <w:rsid w:val="00521F22"/>
    <w:rsid w:val="00522133"/>
    <w:rsid w:val="00522339"/>
    <w:rsid w:val="00522544"/>
    <w:rsid w:val="00523735"/>
    <w:rsid w:val="0052395D"/>
    <w:rsid w:val="0052401A"/>
    <w:rsid w:val="0052421B"/>
    <w:rsid w:val="00525013"/>
    <w:rsid w:val="00525836"/>
    <w:rsid w:val="00526798"/>
    <w:rsid w:val="005268C3"/>
    <w:rsid w:val="00531603"/>
    <w:rsid w:val="00532095"/>
    <w:rsid w:val="00532A81"/>
    <w:rsid w:val="00532C41"/>
    <w:rsid w:val="00533315"/>
    <w:rsid w:val="0053332A"/>
    <w:rsid w:val="0053432B"/>
    <w:rsid w:val="005351E4"/>
    <w:rsid w:val="0053535D"/>
    <w:rsid w:val="00535460"/>
    <w:rsid w:val="00535D59"/>
    <w:rsid w:val="0053601E"/>
    <w:rsid w:val="00537592"/>
    <w:rsid w:val="0053786C"/>
    <w:rsid w:val="00540649"/>
    <w:rsid w:val="00540DBD"/>
    <w:rsid w:val="00541351"/>
    <w:rsid w:val="00541913"/>
    <w:rsid w:val="00541B20"/>
    <w:rsid w:val="00541B95"/>
    <w:rsid w:val="00542C3B"/>
    <w:rsid w:val="00543246"/>
    <w:rsid w:val="0054358D"/>
    <w:rsid w:val="00544877"/>
    <w:rsid w:val="005462B9"/>
    <w:rsid w:val="0054644B"/>
    <w:rsid w:val="00546BF9"/>
    <w:rsid w:val="00546E6C"/>
    <w:rsid w:val="0054710C"/>
    <w:rsid w:val="0054734B"/>
    <w:rsid w:val="005478C1"/>
    <w:rsid w:val="00547D88"/>
    <w:rsid w:val="00550227"/>
    <w:rsid w:val="00550266"/>
    <w:rsid w:val="005502A0"/>
    <w:rsid w:val="00550FB5"/>
    <w:rsid w:val="00551476"/>
    <w:rsid w:val="0055199C"/>
    <w:rsid w:val="005519C9"/>
    <w:rsid w:val="00551A07"/>
    <w:rsid w:val="005526A3"/>
    <w:rsid w:val="005529F0"/>
    <w:rsid w:val="00552BC5"/>
    <w:rsid w:val="00552F0D"/>
    <w:rsid w:val="005555C7"/>
    <w:rsid w:val="00555EF0"/>
    <w:rsid w:val="00555F09"/>
    <w:rsid w:val="00560B5B"/>
    <w:rsid w:val="005613B2"/>
    <w:rsid w:val="00561997"/>
    <w:rsid w:val="005626A9"/>
    <w:rsid w:val="005627BB"/>
    <w:rsid w:val="0056359D"/>
    <w:rsid w:val="00563CA9"/>
    <w:rsid w:val="00564862"/>
    <w:rsid w:val="00565819"/>
    <w:rsid w:val="005659F8"/>
    <w:rsid w:val="00565F6D"/>
    <w:rsid w:val="00566883"/>
    <w:rsid w:val="00567EC2"/>
    <w:rsid w:val="0057017A"/>
    <w:rsid w:val="00570A75"/>
    <w:rsid w:val="00571DFC"/>
    <w:rsid w:val="00572128"/>
    <w:rsid w:val="00572234"/>
    <w:rsid w:val="005726E3"/>
    <w:rsid w:val="005728B8"/>
    <w:rsid w:val="005731E0"/>
    <w:rsid w:val="00574A9A"/>
    <w:rsid w:val="00574CF4"/>
    <w:rsid w:val="00574D8C"/>
    <w:rsid w:val="0057527D"/>
    <w:rsid w:val="00575546"/>
    <w:rsid w:val="005755FE"/>
    <w:rsid w:val="005764E0"/>
    <w:rsid w:val="00576FB3"/>
    <w:rsid w:val="0057783B"/>
    <w:rsid w:val="005779CC"/>
    <w:rsid w:val="00580D43"/>
    <w:rsid w:val="0058238D"/>
    <w:rsid w:val="0058245A"/>
    <w:rsid w:val="00583664"/>
    <w:rsid w:val="00583A8A"/>
    <w:rsid w:val="00584797"/>
    <w:rsid w:val="00585CFB"/>
    <w:rsid w:val="005869C3"/>
    <w:rsid w:val="00587D83"/>
    <w:rsid w:val="00587F00"/>
    <w:rsid w:val="00587F6F"/>
    <w:rsid w:val="005900FF"/>
    <w:rsid w:val="0059045A"/>
    <w:rsid w:val="0059078B"/>
    <w:rsid w:val="005907FA"/>
    <w:rsid w:val="005919F4"/>
    <w:rsid w:val="005925EF"/>
    <w:rsid w:val="00593379"/>
    <w:rsid w:val="00593D4A"/>
    <w:rsid w:val="00594637"/>
    <w:rsid w:val="00596268"/>
    <w:rsid w:val="0059783A"/>
    <w:rsid w:val="0059783D"/>
    <w:rsid w:val="005A1216"/>
    <w:rsid w:val="005A1D09"/>
    <w:rsid w:val="005A21E1"/>
    <w:rsid w:val="005A2908"/>
    <w:rsid w:val="005A408E"/>
    <w:rsid w:val="005A4740"/>
    <w:rsid w:val="005A4DCE"/>
    <w:rsid w:val="005A5868"/>
    <w:rsid w:val="005A5AA6"/>
    <w:rsid w:val="005A61C1"/>
    <w:rsid w:val="005B1810"/>
    <w:rsid w:val="005B2B2E"/>
    <w:rsid w:val="005B318D"/>
    <w:rsid w:val="005B456B"/>
    <w:rsid w:val="005B5A4F"/>
    <w:rsid w:val="005B7746"/>
    <w:rsid w:val="005C1EC2"/>
    <w:rsid w:val="005C2FBB"/>
    <w:rsid w:val="005C3F27"/>
    <w:rsid w:val="005C5763"/>
    <w:rsid w:val="005C6FC8"/>
    <w:rsid w:val="005C7016"/>
    <w:rsid w:val="005C7315"/>
    <w:rsid w:val="005C73F4"/>
    <w:rsid w:val="005C78C2"/>
    <w:rsid w:val="005C790C"/>
    <w:rsid w:val="005D03BE"/>
    <w:rsid w:val="005D08D7"/>
    <w:rsid w:val="005D0B64"/>
    <w:rsid w:val="005D0DF3"/>
    <w:rsid w:val="005D1A74"/>
    <w:rsid w:val="005D2277"/>
    <w:rsid w:val="005D30D7"/>
    <w:rsid w:val="005D3140"/>
    <w:rsid w:val="005D3281"/>
    <w:rsid w:val="005D35BA"/>
    <w:rsid w:val="005D3BF5"/>
    <w:rsid w:val="005D508A"/>
    <w:rsid w:val="005D520A"/>
    <w:rsid w:val="005D636E"/>
    <w:rsid w:val="005E0450"/>
    <w:rsid w:val="005E0CDE"/>
    <w:rsid w:val="005E1264"/>
    <w:rsid w:val="005E22E6"/>
    <w:rsid w:val="005E261F"/>
    <w:rsid w:val="005E28B8"/>
    <w:rsid w:val="005E30B2"/>
    <w:rsid w:val="005E3968"/>
    <w:rsid w:val="005E3AC0"/>
    <w:rsid w:val="005E3CA8"/>
    <w:rsid w:val="005E626E"/>
    <w:rsid w:val="005E6347"/>
    <w:rsid w:val="005E63CD"/>
    <w:rsid w:val="005E7B40"/>
    <w:rsid w:val="005E7F9D"/>
    <w:rsid w:val="005F0663"/>
    <w:rsid w:val="005F0D2F"/>
    <w:rsid w:val="005F18AF"/>
    <w:rsid w:val="005F18B2"/>
    <w:rsid w:val="005F242A"/>
    <w:rsid w:val="005F2492"/>
    <w:rsid w:val="005F31C4"/>
    <w:rsid w:val="005F3268"/>
    <w:rsid w:val="005F374F"/>
    <w:rsid w:val="005F494B"/>
    <w:rsid w:val="005F5BE1"/>
    <w:rsid w:val="005F5FD3"/>
    <w:rsid w:val="005F6AFF"/>
    <w:rsid w:val="005F7111"/>
    <w:rsid w:val="006001F9"/>
    <w:rsid w:val="00600287"/>
    <w:rsid w:val="00602BB5"/>
    <w:rsid w:val="006046DB"/>
    <w:rsid w:val="006053EB"/>
    <w:rsid w:val="00605C43"/>
    <w:rsid w:val="00606BCB"/>
    <w:rsid w:val="00607133"/>
    <w:rsid w:val="0060717E"/>
    <w:rsid w:val="006107B0"/>
    <w:rsid w:val="00610DD7"/>
    <w:rsid w:val="006113CD"/>
    <w:rsid w:val="006113D6"/>
    <w:rsid w:val="00611777"/>
    <w:rsid w:val="00612B08"/>
    <w:rsid w:val="00613D24"/>
    <w:rsid w:val="00614133"/>
    <w:rsid w:val="006148A3"/>
    <w:rsid w:val="006153AF"/>
    <w:rsid w:val="00615AC0"/>
    <w:rsid w:val="00616253"/>
    <w:rsid w:val="00616A43"/>
    <w:rsid w:val="00620936"/>
    <w:rsid w:val="00620B40"/>
    <w:rsid w:val="00621FD7"/>
    <w:rsid w:val="00622153"/>
    <w:rsid w:val="00622336"/>
    <w:rsid w:val="0062239E"/>
    <w:rsid w:val="00622B50"/>
    <w:rsid w:val="00622C49"/>
    <w:rsid w:val="00622D99"/>
    <w:rsid w:val="00623A73"/>
    <w:rsid w:val="00624411"/>
    <w:rsid w:val="0062492F"/>
    <w:rsid w:val="006253E1"/>
    <w:rsid w:val="006256FB"/>
    <w:rsid w:val="006262C7"/>
    <w:rsid w:val="0062652B"/>
    <w:rsid w:val="00626572"/>
    <w:rsid w:val="006266BD"/>
    <w:rsid w:val="0062681A"/>
    <w:rsid w:val="006303DF"/>
    <w:rsid w:val="0063129F"/>
    <w:rsid w:val="006313C7"/>
    <w:rsid w:val="00631BF9"/>
    <w:rsid w:val="0063311C"/>
    <w:rsid w:val="006335B3"/>
    <w:rsid w:val="00634071"/>
    <w:rsid w:val="00636331"/>
    <w:rsid w:val="00636E28"/>
    <w:rsid w:val="00640277"/>
    <w:rsid w:val="006404EE"/>
    <w:rsid w:val="00640F2C"/>
    <w:rsid w:val="006416DA"/>
    <w:rsid w:val="00644B3E"/>
    <w:rsid w:val="00644DA8"/>
    <w:rsid w:val="00645684"/>
    <w:rsid w:val="006462AF"/>
    <w:rsid w:val="00646E55"/>
    <w:rsid w:val="00647C4E"/>
    <w:rsid w:val="0065069F"/>
    <w:rsid w:val="00653527"/>
    <w:rsid w:val="006535E1"/>
    <w:rsid w:val="0065444D"/>
    <w:rsid w:val="006552DA"/>
    <w:rsid w:val="00656091"/>
    <w:rsid w:val="00656662"/>
    <w:rsid w:val="006567DF"/>
    <w:rsid w:val="00656D7A"/>
    <w:rsid w:val="00657E66"/>
    <w:rsid w:val="00660F5C"/>
    <w:rsid w:val="006615FE"/>
    <w:rsid w:val="00662499"/>
    <w:rsid w:val="0066298F"/>
    <w:rsid w:val="00662B03"/>
    <w:rsid w:val="0066301D"/>
    <w:rsid w:val="006630C3"/>
    <w:rsid w:val="0066387F"/>
    <w:rsid w:val="00663AB0"/>
    <w:rsid w:val="00664C1F"/>
    <w:rsid w:val="00664CC4"/>
    <w:rsid w:val="00664DD7"/>
    <w:rsid w:val="0066550F"/>
    <w:rsid w:val="00666E36"/>
    <w:rsid w:val="00667C1B"/>
    <w:rsid w:val="00667F11"/>
    <w:rsid w:val="006704E3"/>
    <w:rsid w:val="00670D6C"/>
    <w:rsid w:val="0067141F"/>
    <w:rsid w:val="0067172A"/>
    <w:rsid w:val="00671E2F"/>
    <w:rsid w:val="006724ED"/>
    <w:rsid w:val="00673405"/>
    <w:rsid w:val="00673BEA"/>
    <w:rsid w:val="00674F35"/>
    <w:rsid w:val="0067554E"/>
    <w:rsid w:val="006762F5"/>
    <w:rsid w:val="006765C8"/>
    <w:rsid w:val="00677040"/>
    <w:rsid w:val="00677A0F"/>
    <w:rsid w:val="006802DB"/>
    <w:rsid w:val="00680717"/>
    <w:rsid w:val="0068075B"/>
    <w:rsid w:val="00681CE4"/>
    <w:rsid w:val="00681D62"/>
    <w:rsid w:val="00682530"/>
    <w:rsid w:val="0068288E"/>
    <w:rsid w:val="0068325D"/>
    <w:rsid w:val="0068342D"/>
    <w:rsid w:val="006840D1"/>
    <w:rsid w:val="00684C1C"/>
    <w:rsid w:val="00685064"/>
    <w:rsid w:val="006852A9"/>
    <w:rsid w:val="00685DD4"/>
    <w:rsid w:val="00686C47"/>
    <w:rsid w:val="006879AD"/>
    <w:rsid w:val="006904F4"/>
    <w:rsid w:val="0069174E"/>
    <w:rsid w:val="006918B2"/>
    <w:rsid w:val="006924CC"/>
    <w:rsid w:val="00692B58"/>
    <w:rsid w:val="00692BA4"/>
    <w:rsid w:val="00693BAE"/>
    <w:rsid w:val="0069669C"/>
    <w:rsid w:val="00696FC2"/>
    <w:rsid w:val="00697A54"/>
    <w:rsid w:val="006A027C"/>
    <w:rsid w:val="006A043A"/>
    <w:rsid w:val="006A1584"/>
    <w:rsid w:val="006A1651"/>
    <w:rsid w:val="006A19D7"/>
    <w:rsid w:val="006A3168"/>
    <w:rsid w:val="006A48E8"/>
    <w:rsid w:val="006A4FFB"/>
    <w:rsid w:val="006A512B"/>
    <w:rsid w:val="006A593C"/>
    <w:rsid w:val="006A71DB"/>
    <w:rsid w:val="006B2C11"/>
    <w:rsid w:val="006B34A1"/>
    <w:rsid w:val="006B40AA"/>
    <w:rsid w:val="006B45F2"/>
    <w:rsid w:val="006B54B5"/>
    <w:rsid w:val="006B5883"/>
    <w:rsid w:val="006B6040"/>
    <w:rsid w:val="006B64D3"/>
    <w:rsid w:val="006B678F"/>
    <w:rsid w:val="006B6BAC"/>
    <w:rsid w:val="006B7634"/>
    <w:rsid w:val="006C1017"/>
    <w:rsid w:val="006C1E17"/>
    <w:rsid w:val="006C1E40"/>
    <w:rsid w:val="006C29A0"/>
    <w:rsid w:val="006C2A15"/>
    <w:rsid w:val="006C39FF"/>
    <w:rsid w:val="006C4A0B"/>
    <w:rsid w:val="006C4D95"/>
    <w:rsid w:val="006C53AF"/>
    <w:rsid w:val="006C63FA"/>
    <w:rsid w:val="006C6612"/>
    <w:rsid w:val="006C6754"/>
    <w:rsid w:val="006C6D0A"/>
    <w:rsid w:val="006C7BE1"/>
    <w:rsid w:val="006D0288"/>
    <w:rsid w:val="006D02AD"/>
    <w:rsid w:val="006D22FD"/>
    <w:rsid w:val="006D2538"/>
    <w:rsid w:val="006D2D7B"/>
    <w:rsid w:val="006D3282"/>
    <w:rsid w:val="006D3554"/>
    <w:rsid w:val="006D38C4"/>
    <w:rsid w:val="006D3B58"/>
    <w:rsid w:val="006D448F"/>
    <w:rsid w:val="006D539B"/>
    <w:rsid w:val="006D53B6"/>
    <w:rsid w:val="006D540A"/>
    <w:rsid w:val="006D5848"/>
    <w:rsid w:val="006D584B"/>
    <w:rsid w:val="006D7A20"/>
    <w:rsid w:val="006E1567"/>
    <w:rsid w:val="006E182B"/>
    <w:rsid w:val="006E1830"/>
    <w:rsid w:val="006E21F1"/>
    <w:rsid w:val="006E3296"/>
    <w:rsid w:val="006E38B9"/>
    <w:rsid w:val="006E538B"/>
    <w:rsid w:val="006E5DA3"/>
    <w:rsid w:val="006E5E85"/>
    <w:rsid w:val="006E654D"/>
    <w:rsid w:val="006E6B99"/>
    <w:rsid w:val="006E6D2D"/>
    <w:rsid w:val="006E727B"/>
    <w:rsid w:val="006E7B5B"/>
    <w:rsid w:val="006F0891"/>
    <w:rsid w:val="006F0EC5"/>
    <w:rsid w:val="006F25B2"/>
    <w:rsid w:val="006F3985"/>
    <w:rsid w:val="006F546F"/>
    <w:rsid w:val="006F59C9"/>
    <w:rsid w:val="006F5CE5"/>
    <w:rsid w:val="006F6622"/>
    <w:rsid w:val="006F6851"/>
    <w:rsid w:val="006F695E"/>
    <w:rsid w:val="006F6BB7"/>
    <w:rsid w:val="006F76AD"/>
    <w:rsid w:val="007005C5"/>
    <w:rsid w:val="0070072B"/>
    <w:rsid w:val="00700D14"/>
    <w:rsid w:val="00700D15"/>
    <w:rsid w:val="00701302"/>
    <w:rsid w:val="00703160"/>
    <w:rsid w:val="00703579"/>
    <w:rsid w:val="00703666"/>
    <w:rsid w:val="00703831"/>
    <w:rsid w:val="007039F5"/>
    <w:rsid w:val="00704F4C"/>
    <w:rsid w:val="007050DE"/>
    <w:rsid w:val="0070545E"/>
    <w:rsid w:val="0070771B"/>
    <w:rsid w:val="007115FC"/>
    <w:rsid w:val="00711D2F"/>
    <w:rsid w:val="00712672"/>
    <w:rsid w:val="00712763"/>
    <w:rsid w:val="00712B34"/>
    <w:rsid w:val="007136DD"/>
    <w:rsid w:val="007147CA"/>
    <w:rsid w:val="0071625B"/>
    <w:rsid w:val="00717DA8"/>
    <w:rsid w:val="00720CAD"/>
    <w:rsid w:val="00721848"/>
    <w:rsid w:val="007219C3"/>
    <w:rsid w:val="00721F64"/>
    <w:rsid w:val="0072230F"/>
    <w:rsid w:val="00722C5E"/>
    <w:rsid w:val="0072370D"/>
    <w:rsid w:val="00723C5E"/>
    <w:rsid w:val="00723DC6"/>
    <w:rsid w:val="00725B10"/>
    <w:rsid w:val="00726500"/>
    <w:rsid w:val="00726CCD"/>
    <w:rsid w:val="00726F64"/>
    <w:rsid w:val="007277C1"/>
    <w:rsid w:val="00727EA6"/>
    <w:rsid w:val="00730359"/>
    <w:rsid w:val="007308B3"/>
    <w:rsid w:val="00730E17"/>
    <w:rsid w:val="007311FF"/>
    <w:rsid w:val="007312BB"/>
    <w:rsid w:val="007318BE"/>
    <w:rsid w:val="00732A1E"/>
    <w:rsid w:val="0073331E"/>
    <w:rsid w:val="0073374D"/>
    <w:rsid w:val="007341D1"/>
    <w:rsid w:val="007345C8"/>
    <w:rsid w:val="00734D14"/>
    <w:rsid w:val="00734F39"/>
    <w:rsid w:val="0073523D"/>
    <w:rsid w:val="007357B6"/>
    <w:rsid w:val="00735802"/>
    <w:rsid w:val="00735DC5"/>
    <w:rsid w:val="00736655"/>
    <w:rsid w:val="007373AC"/>
    <w:rsid w:val="0074043C"/>
    <w:rsid w:val="007409BC"/>
    <w:rsid w:val="00740D7B"/>
    <w:rsid w:val="0074107B"/>
    <w:rsid w:val="007415C1"/>
    <w:rsid w:val="007415DE"/>
    <w:rsid w:val="00743816"/>
    <w:rsid w:val="00743A0D"/>
    <w:rsid w:val="00745C75"/>
    <w:rsid w:val="00746108"/>
    <w:rsid w:val="00746CCF"/>
    <w:rsid w:val="007505B0"/>
    <w:rsid w:val="00750759"/>
    <w:rsid w:val="007525A7"/>
    <w:rsid w:val="00752B43"/>
    <w:rsid w:val="00752E6B"/>
    <w:rsid w:val="007533C5"/>
    <w:rsid w:val="0075371F"/>
    <w:rsid w:val="007542DF"/>
    <w:rsid w:val="007570E1"/>
    <w:rsid w:val="007606AB"/>
    <w:rsid w:val="00761370"/>
    <w:rsid w:val="00761929"/>
    <w:rsid w:val="00762769"/>
    <w:rsid w:val="00763670"/>
    <w:rsid w:val="00763D31"/>
    <w:rsid w:val="0076503A"/>
    <w:rsid w:val="0076614E"/>
    <w:rsid w:val="00770413"/>
    <w:rsid w:val="00770479"/>
    <w:rsid w:val="00770A61"/>
    <w:rsid w:val="0077116C"/>
    <w:rsid w:val="007711BE"/>
    <w:rsid w:val="007716C4"/>
    <w:rsid w:val="00771E88"/>
    <w:rsid w:val="0077207F"/>
    <w:rsid w:val="00772574"/>
    <w:rsid w:val="00773A18"/>
    <w:rsid w:val="00774335"/>
    <w:rsid w:val="00774A4F"/>
    <w:rsid w:val="00774E61"/>
    <w:rsid w:val="00775703"/>
    <w:rsid w:val="0077660C"/>
    <w:rsid w:val="00776CD4"/>
    <w:rsid w:val="00777558"/>
    <w:rsid w:val="00777E85"/>
    <w:rsid w:val="00777F05"/>
    <w:rsid w:val="007815E3"/>
    <w:rsid w:val="00781878"/>
    <w:rsid w:val="0078188C"/>
    <w:rsid w:val="00782A2D"/>
    <w:rsid w:val="00783DCF"/>
    <w:rsid w:val="00785687"/>
    <w:rsid w:val="00785720"/>
    <w:rsid w:val="00785AB7"/>
    <w:rsid w:val="00787EEC"/>
    <w:rsid w:val="00790E32"/>
    <w:rsid w:val="007915E8"/>
    <w:rsid w:val="0079267E"/>
    <w:rsid w:val="00792A88"/>
    <w:rsid w:val="00792B30"/>
    <w:rsid w:val="007945A4"/>
    <w:rsid w:val="00795AAD"/>
    <w:rsid w:val="00796A0B"/>
    <w:rsid w:val="00797AD0"/>
    <w:rsid w:val="00797D7E"/>
    <w:rsid w:val="00797F8C"/>
    <w:rsid w:val="007A0217"/>
    <w:rsid w:val="007A0491"/>
    <w:rsid w:val="007A0721"/>
    <w:rsid w:val="007A0AB4"/>
    <w:rsid w:val="007A22E2"/>
    <w:rsid w:val="007A241F"/>
    <w:rsid w:val="007A2BBF"/>
    <w:rsid w:val="007A6580"/>
    <w:rsid w:val="007A6919"/>
    <w:rsid w:val="007A6DEE"/>
    <w:rsid w:val="007A6E34"/>
    <w:rsid w:val="007A72DC"/>
    <w:rsid w:val="007A7464"/>
    <w:rsid w:val="007A79DB"/>
    <w:rsid w:val="007A7A5A"/>
    <w:rsid w:val="007A7D1A"/>
    <w:rsid w:val="007B0261"/>
    <w:rsid w:val="007B0A96"/>
    <w:rsid w:val="007B1605"/>
    <w:rsid w:val="007B2121"/>
    <w:rsid w:val="007B2282"/>
    <w:rsid w:val="007B296D"/>
    <w:rsid w:val="007B2CB4"/>
    <w:rsid w:val="007B3326"/>
    <w:rsid w:val="007B3EBF"/>
    <w:rsid w:val="007B5599"/>
    <w:rsid w:val="007B5819"/>
    <w:rsid w:val="007B5DC2"/>
    <w:rsid w:val="007B69F5"/>
    <w:rsid w:val="007B7103"/>
    <w:rsid w:val="007B7203"/>
    <w:rsid w:val="007B7785"/>
    <w:rsid w:val="007B79E9"/>
    <w:rsid w:val="007C182C"/>
    <w:rsid w:val="007C30E2"/>
    <w:rsid w:val="007C3462"/>
    <w:rsid w:val="007C3B4E"/>
    <w:rsid w:val="007C598A"/>
    <w:rsid w:val="007C741C"/>
    <w:rsid w:val="007C7B76"/>
    <w:rsid w:val="007D0687"/>
    <w:rsid w:val="007D1FDE"/>
    <w:rsid w:val="007D26F1"/>
    <w:rsid w:val="007D37CA"/>
    <w:rsid w:val="007D3808"/>
    <w:rsid w:val="007D4968"/>
    <w:rsid w:val="007D5208"/>
    <w:rsid w:val="007D5350"/>
    <w:rsid w:val="007D5FE3"/>
    <w:rsid w:val="007D6318"/>
    <w:rsid w:val="007D76F0"/>
    <w:rsid w:val="007D7D4F"/>
    <w:rsid w:val="007E0CB5"/>
    <w:rsid w:val="007E0E73"/>
    <w:rsid w:val="007E312E"/>
    <w:rsid w:val="007E3AFB"/>
    <w:rsid w:val="007E409F"/>
    <w:rsid w:val="007E4F22"/>
    <w:rsid w:val="007E57EE"/>
    <w:rsid w:val="007E59BF"/>
    <w:rsid w:val="007E6B89"/>
    <w:rsid w:val="007F0C20"/>
    <w:rsid w:val="007F197B"/>
    <w:rsid w:val="007F1E09"/>
    <w:rsid w:val="007F2358"/>
    <w:rsid w:val="007F2BBD"/>
    <w:rsid w:val="007F359C"/>
    <w:rsid w:val="007F43C8"/>
    <w:rsid w:val="007F44F2"/>
    <w:rsid w:val="007F5048"/>
    <w:rsid w:val="007F6651"/>
    <w:rsid w:val="007F6ECA"/>
    <w:rsid w:val="00800902"/>
    <w:rsid w:val="00800BCE"/>
    <w:rsid w:val="008018D3"/>
    <w:rsid w:val="00801A0D"/>
    <w:rsid w:val="00801E93"/>
    <w:rsid w:val="00801E98"/>
    <w:rsid w:val="00802041"/>
    <w:rsid w:val="008023E6"/>
    <w:rsid w:val="00802B73"/>
    <w:rsid w:val="00805861"/>
    <w:rsid w:val="00806DA8"/>
    <w:rsid w:val="00807022"/>
    <w:rsid w:val="0080708F"/>
    <w:rsid w:val="00807B67"/>
    <w:rsid w:val="008101A6"/>
    <w:rsid w:val="00811003"/>
    <w:rsid w:val="00811201"/>
    <w:rsid w:val="0081260C"/>
    <w:rsid w:val="00814374"/>
    <w:rsid w:val="00814491"/>
    <w:rsid w:val="00814D1D"/>
    <w:rsid w:val="00814F45"/>
    <w:rsid w:val="008173C3"/>
    <w:rsid w:val="00820DF0"/>
    <w:rsid w:val="008215AA"/>
    <w:rsid w:val="0082220A"/>
    <w:rsid w:val="0082236C"/>
    <w:rsid w:val="0082364F"/>
    <w:rsid w:val="00823FBC"/>
    <w:rsid w:val="008248D6"/>
    <w:rsid w:val="0082581B"/>
    <w:rsid w:val="0082648E"/>
    <w:rsid w:val="00826959"/>
    <w:rsid w:val="00826F9B"/>
    <w:rsid w:val="008271B2"/>
    <w:rsid w:val="0082759E"/>
    <w:rsid w:val="00830016"/>
    <w:rsid w:val="00830ACF"/>
    <w:rsid w:val="00830C40"/>
    <w:rsid w:val="00830E11"/>
    <w:rsid w:val="00830F84"/>
    <w:rsid w:val="00831731"/>
    <w:rsid w:val="00831767"/>
    <w:rsid w:val="00831E9C"/>
    <w:rsid w:val="00832345"/>
    <w:rsid w:val="00832AAF"/>
    <w:rsid w:val="008332E9"/>
    <w:rsid w:val="00834B21"/>
    <w:rsid w:val="00834CBE"/>
    <w:rsid w:val="00834E63"/>
    <w:rsid w:val="00835318"/>
    <w:rsid w:val="008354CD"/>
    <w:rsid w:val="00835579"/>
    <w:rsid w:val="0083722C"/>
    <w:rsid w:val="00837790"/>
    <w:rsid w:val="00837A1C"/>
    <w:rsid w:val="00837A30"/>
    <w:rsid w:val="00837C66"/>
    <w:rsid w:val="008424C7"/>
    <w:rsid w:val="00842831"/>
    <w:rsid w:val="00842B0C"/>
    <w:rsid w:val="008436AE"/>
    <w:rsid w:val="00843A7E"/>
    <w:rsid w:val="00843AE5"/>
    <w:rsid w:val="00844278"/>
    <w:rsid w:val="00844ACD"/>
    <w:rsid w:val="008466F1"/>
    <w:rsid w:val="00846D9B"/>
    <w:rsid w:val="0085173B"/>
    <w:rsid w:val="008529B5"/>
    <w:rsid w:val="00852B00"/>
    <w:rsid w:val="00852BF4"/>
    <w:rsid w:val="00853699"/>
    <w:rsid w:val="00853CD0"/>
    <w:rsid w:val="00853E9C"/>
    <w:rsid w:val="0085406A"/>
    <w:rsid w:val="008543DD"/>
    <w:rsid w:val="00854E05"/>
    <w:rsid w:val="00854F7C"/>
    <w:rsid w:val="00856BA5"/>
    <w:rsid w:val="00857CF2"/>
    <w:rsid w:val="00857E7D"/>
    <w:rsid w:val="00860059"/>
    <w:rsid w:val="00860FE3"/>
    <w:rsid w:val="00861220"/>
    <w:rsid w:val="0086237F"/>
    <w:rsid w:val="00862A82"/>
    <w:rsid w:val="0086311A"/>
    <w:rsid w:val="008634C7"/>
    <w:rsid w:val="00863DEA"/>
    <w:rsid w:val="00864CE7"/>
    <w:rsid w:val="00865C12"/>
    <w:rsid w:val="00865C62"/>
    <w:rsid w:val="00867B90"/>
    <w:rsid w:val="008711D5"/>
    <w:rsid w:val="00871495"/>
    <w:rsid w:val="0087176F"/>
    <w:rsid w:val="00872B59"/>
    <w:rsid w:val="00873619"/>
    <w:rsid w:val="008743C0"/>
    <w:rsid w:val="00874449"/>
    <w:rsid w:val="00874FE4"/>
    <w:rsid w:val="00875D07"/>
    <w:rsid w:val="00875E4B"/>
    <w:rsid w:val="00875EE4"/>
    <w:rsid w:val="008763B8"/>
    <w:rsid w:val="00876572"/>
    <w:rsid w:val="00876849"/>
    <w:rsid w:val="00880440"/>
    <w:rsid w:val="00880564"/>
    <w:rsid w:val="00882DA7"/>
    <w:rsid w:val="00883474"/>
    <w:rsid w:val="00883C7D"/>
    <w:rsid w:val="00884EC8"/>
    <w:rsid w:val="00886E44"/>
    <w:rsid w:val="0088732F"/>
    <w:rsid w:val="00890F3A"/>
    <w:rsid w:val="00891468"/>
    <w:rsid w:val="008935C3"/>
    <w:rsid w:val="0089747E"/>
    <w:rsid w:val="00897E4C"/>
    <w:rsid w:val="008A03DD"/>
    <w:rsid w:val="008A0CC1"/>
    <w:rsid w:val="008A10E6"/>
    <w:rsid w:val="008A1185"/>
    <w:rsid w:val="008A1A9D"/>
    <w:rsid w:val="008A1B98"/>
    <w:rsid w:val="008A1D80"/>
    <w:rsid w:val="008A286A"/>
    <w:rsid w:val="008A3461"/>
    <w:rsid w:val="008A3DB1"/>
    <w:rsid w:val="008A5135"/>
    <w:rsid w:val="008A5678"/>
    <w:rsid w:val="008A5B7F"/>
    <w:rsid w:val="008A6E7E"/>
    <w:rsid w:val="008A6F35"/>
    <w:rsid w:val="008B0158"/>
    <w:rsid w:val="008B0710"/>
    <w:rsid w:val="008B0FD2"/>
    <w:rsid w:val="008B16C2"/>
    <w:rsid w:val="008B21AA"/>
    <w:rsid w:val="008B2AD1"/>
    <w:rsid w:val="008B35F2"/>
    <w:rsid w:val="008B3C1A"/>
    <w:rsid w:val="008B3F0C"/>
    <w:rsid w:val="008B401F"/>
    <w:rsid w:val="008B5233"/>
    <w:rsid w:val="008B594A"/>
    <w:rsid w:val="008B6879"/>
    <w:rsid w:val="008B6FC4"/>
    <w:rsid w:val="008B7D81"/>
    <w:rsid w:val="008C02B9"/>
    <w:rsid w:val="008C1791"/>
    <w:rsid w:val="008C2B97"/>
    <w:rsid w:val="008C4446"/>
    <w:rsid w:val="008C44DD"/>
    <w:rsid w:val="008C5872"/>
    <w:rsid w:val="008C6388"/>
    <w:rsid w:val="008C6FF3"/>
    <w:rsid w:val="008C7013"/>
    <w:rsid w:val="008C766B"/>
    <w:rsid w:val="008D0048"/>
    <w:rsid w:val="008D1DDB"/>
    <w:rsid w:val="008D1E93"/>
    <w:rsid w:val="008D2908"/>
    <w:rsid w:val="008D5699"/>
    <w:rsid w:val="008D5CCC"/>
    <w:rsid w:val="008D6106"/>
    <w:rsid w:val="008D62E2"/>
    <w:rsid w:val="008D681B"/>
    <w:rsid w:val="008D7708"/>
    <w:rsid w:val="008D7D05"/>
    <w:rsid w:val="008E00A9"/>
    <w:rsid w:val="008E00B5"/>
    <w:rsid w:val="008E201C"/>
    <w:rsid w:val="008E36B0"/>
    <w:rsid w:val="008E3E1C"/>
    <w:rsid w:val="008E7403"/>
    <w:rsid w:val="008E75D0"/>
    <w:rsid w:val="008E7ED9"/>
    <w:rsid w:val="008F07EC"/>
    <w:rsid w:val="008F0D26"/>
    <w:rsid w:val="008F0E98"/>
    <w:rsid w:val="008F2551"/>
    <w:rsid w:val="008F2A77"/>
    <w:rsid w:val="008F2E45"/>
    <w:rsid w:val="008F3FA5"/>
    <w:rsid w:val="008F610F"/>
    <w:rsid w:val="008F6D96"/>
    <w:rsid w:val="009013B0"/>
    <w:rsid w:val="009013DB"/>
    <w:rsid w:val="00902115"/>
    <w:rsid w:val="00902494"/>
    <w:rsid w:val="009029EC"/>
    <w:rsid w:val="009030A6"/>
    <w:rsid w:val="00903678"/>
    <w:rsid w:val="00903E6C"/>
    <w:rsid w:val="00906863"/>
    <w:rsid w:val="009074AA"/>
    <w:rsid w:val="00907B6C"/>
    <w:rsid w:val="00907B89"/>
    <w:rsid w:val="00910C51"/>
    <w:rsid w:val="00910E14"/>
    <w:rsid w:val="00910E85"/>
    <w:rsid w:val="00911642"/>
    <w:rsid w:val="0091363D"/>
    <w:rsid w:val="0091392C"/>
    <w:rsid w:val="00914266"/>
    <w:rsid w:val="009146FC"/>
    <w:rsid w:val="00915818"/>
    <w:rsid w:val="0091657B"/>
    <w:rsid w:val="00916BA5"/>
    <w:rsid w:val="00916F3C"/>
    <w:rsid w:val="00917817"/>
    <w:rsid w:val="00917AE4"/>
    <w:rsid w:val="00917DB4"/>
    <w:rsid w:val="00920E76"/>
    <w:rsid w:val="00921070"/>
    <w:rsid w:val="00921C7C"/>
    <w:rsid w:val="009226A6"/>
    <w:rsid w:val="0092297C"/>
    <w:rsid w:val="00923A36"/>
    <w:rsid w:val="00925069"/>
    <w:rsid w:val="009256AA"/>
    <w:rsid w:val="0092642D"/>
    <w:rsid w:val="00927358"/>
    <w:rsid w:val="00927560"/>
    <w:rsid w:val="00930077"/>
    <w:rsid w:val="00931A35"/>
    <w:rsid w:val="00931CAE"/>
    <w:rsid w:val="009323C2"/>
    <w:rsid w:val="0093299A"/>
    <w:rsid w:val="00933A2B"/>
    <w:rsid w:val="00934098"/>
    <w:rsid w:val="009343C5"/>
    <w:rsid w:val="00934A32"/>
    <w:rsid w:val="0093579A"/>
    <w:rsid w:val="00935A2C"/>
    <w:rsid w:val="00935D7C"/>
    <w:rsid w:val="009361D3"/>
    <w:rsid w:val="0093659B"/>
    <w:rsid w:val="00937081"/>
    <w:rsid w:val="009411AF"/>
    <w:rsid w:val="00941BFC"/>
    <w:rsid w:val="009424CA"/>
    <w:rsid w:val="00942CA0"/>
    <w:rsid w:val="00942E04"/>
    <w:rsid w:val="00943C1A"/>
    <w:rsid w:val="009441B1"/>
    <w:rsid w:val="00944312"/>
    <w:rsid w:val="009447AD"/>
    <w:rsid w:val="009461BD"/>
    <w:rsid w:val="0094661D"/>
    <w:rsid w:val="0094677C"/>
    <w:rsid w:val="00946C9B"/>
    <w:rsid w:val="0095061D"/>
    <w:rsid w:val="00950792"/>
    <w:rsid w:val="0095090C"/>
    <w:rsid w:val="00950F9B"/>
    <w:rsid w:val="00951470"/>
    <w:rsid w:val="00951541"/>
    <w:rsid w:val="00951A5E"/>
    <w:rsid w:val="0095355C"/>
    <w:rsid w:val="00953DC5"/>
    <w:rsid w:val="009540A6"/>
    <w:rsid w:val="00955605"/>
    <w:rsid w:val="0095670A"/>
    <w:rsid w:val="00956F1F"/>
    <w:rsid w:val="00957AFB"/>
    <w:rsid w:val="00957C12"/>
    <w:rsid w:val="0096098D"/>
    <w:rsid w:val="00960EA4"/>
    <w:rsid w:val="00961576"/>
    <w:rsid w:val="009617C6"/>
    <w:rsid w:val="009617E7"/>
    <w:rsid w:val="009622BE"/>
    <w:rsid w:val="00962926"/>
    <w:rsid w:val="0096307F"/>
    <w:rsid w:val="00963589"/>
    <w:rsid w:val="00964101"/>
    <w:rsid w:val="00964384"/>
    <w:rsid w:val="00965DBB"/>
    <w:rsid w:val="00966906"/>
    <w:rsid w:val="0096741B"/>
    <w:rsid w:val="00970CD8"/>
    <w:rsid w:val="00970E41"/>
    <w:rsid w:val="0097104E"/>
    <w:rsid w:val="009712D1"/>
    <w:rsid w:val="0097598E"/>
    <w:rsid w:val="00975C5A"/>
    <w:rsid w:val="009766F9"/>
    <w:rsid w:val="00976717"/>
    <w:rsid w:val="0097771D"/>
    <w:rsid w:val="00977D85"/>
    <w:rsid w:val="00977F59"/>
    <w:rsid w:val="00980230"/>
    <w:rsid w:val="0098089B"/>
    <w:rsid w:val="009810D5"/>
    <w:rsid w:val="00981776"/>
    <w:rsid w:val="00981800"/>
    <w:rsid w:val="009823DD"/>
    <w:rsid w:val="0098273D"/>
    <w:rsid w:val="00982A4F"/>
    <w:rsid w:val="0098322A"/>
    <w:rsid w:val="00983558"/>
    <w:rsid w:val="00984493"/>
    <w:rsid w:val="00984764"/>
    <w:rsid w:val="00984FE0"/>
    <w:rsid w:val="009852D3"/>
    <w:rsid w:val="00985400"/>
    <w:rsid w:val="00985563"/>
    <w:rsid w:val="009861D0"/>
    <w:rsid w:val="00986E58"/>
    <w:rsid w:val="0098736A"/>
    <w:rsid w:val="00987ABF"/>
    <w:rsid w:val="00990F78"/>
    <w:rsid w:val="00990FF5"/>
    <w:rsid w:val="00992A34"/>
    <w:rsid w:val="00993B19"/>
    <w:rsid w:val="0099518C"/>
    <w:rsid w:val="009956ED"/>
    <w:rsid w:val="00995A01"/>
    <w:rsid w:val="009977C1"/>
    <w:rsid w:val="00997A6F"/>
    <w:rsid w:val="009A00D0"/>
    <w:rsid w:val="009A09DE"/>
    <w:rsid w:val="009A0EE2"/>
    <w:rsid w:val="009A115E"/>
    <w:rsid w:val="009A2F8E"/>
    <w:rsid w:val="009A33F2"/>
    <w:rsid w:val="009A3A0E"/>
    <w:rsid w:val="009A46C8"/>
    <w:rsid w:val="009A49FC"/>
    <w:rsid w:val="009A4A58"/>
    <w:rsid w:val="009A4E37"/>
    <w:rsid w:val="009A551D"/>
    <w:rsid w:val="009A573F"/>
    <w:rsid w:val="009A6AF0"/>
    <w:rsid w:val="009B1AD3"/>
    <w:rsid w:val="009B2034"/>
    <w:rsid w:val="009B2370"/>
    <w:rsid w:val="009B4F1C"/>
    <w:rsid w:val="009B51E6"/>
    <w:rsid w:val="009B55FD"/>
    <w:rsid w:val="009B56D7"/>
    <w:rsid w:val="009B5D10"/>
    <w:rsid w:val="009B6A73"/>
    <w:rsid w:val="009B769D"/>
    <w:rsid w:val="009B7E76"/>
    <w:rsid w:val="009C0055"/>
    <w:rsid w:val="009C01C3"/>
    <w:rsid w:val="009C0422"/>
    <w:rsid w:val="009C0E54"/>
    <w:rsid w:val="009C1296"/>
    <w:rsid w:val="009C1470"/>
    <w:rsid w:val="009C17F6"/>
    <w:rsid w:val="009C1B6E"/>
    <w:rsid w:val="009C1D68"/>
    <w:rsid w:val="009C2260"/>
    <w:rsid w:val="009C358D"/>
    <w:rsid w:val="009C5D54"/>
    <w:rsid w:val="009C64EC"/>
    <w:rsid w:val="009C676F"/>
    <w:rsid w:val="009C6798"/>
    <w:rsid w:val="009C6A93"/>
    <w:rsid w:val="009C75C2"/>
    <w:rsid w:val="009C7901"/>
    <w:rsid w:val="009C79B6"/>
    <w:rsid w:val="009D03D5"/>
    <w:rsid w:val="009D0AFA"/>
    <w:rsid w:val="009D0B59"/>
    <w:rsid w:val="009D102D"/>
    <w:rsid w:val="009D153F"/>
    <w:rsid w:val="009D1679"/>
    <w:rsid w:val="009D2029"/>
    <w:rsid w:val="009D25C4"/>
    <w:rsid w:val="009D27F3"/>
    <w:rsid w:val="009D3B55"/>
    <w:rsid w:val="009D3E13"/>
    <w:rsid w:val="009D3E3B"/>
    <w:rsid w:val="009D4065"/>
    <w:rsid w:val="009D43B6"/>
    <w:rsid w:val="009D47BC"/>
    <w:rsid w:val="009D49CA"/>
    <w:rsid w:val="009D4BE5"/>
    <w:rsid w:val="009D4E1D"/>
    <w:rsid w:val="009D506A"/>
    <w:rsid w:val="009D520C"/>
    <w:rsid w:val="009D5314"/>
    <w:rsid w:val="009D5E84"/>
    <w:rsid w:val="009D736E"/>
    <w:rsid w:val="009E0D93"/>
    <w:rsid w:val="009E0FB7"/>
    <w:rsid w:val="009E1193"/>
    <w:rsid w:val="009E14C1"/>
    <w:rsid w:val="009E14E2"/>
    <w:rsid w:val="009E20CA"/>
    <w:rsid w:val="009E2412"/>
    <w:rsid w:val="009E2B1D"/>
    <w:rsid w:val="009E45DB"/>
    <w:rsid w:val="009E4C6D"/>
    <w:rsid w:val="009E5B4E"/>
    <w:rsid w:val="009E5DC7"/>
    <w:rsid w:val="009E5F60"/>
    <w:rsid w:val="009E6575"/>
    <w:rsid w:val="009F0B8C"/>
    <w:rsid w:val="009F1910"/>
    <w:rsid w:val="009F2CDE"/>
    <w:rsid w:val="009F3048"/>
    <w:rsid w:val="009F40D0"/>
    <w:rsid w:val="009F45A2"/>
    <w:rsid w:val="009F6402"/>
    <w:rsid w:val="009F6826"/>
    <w:rsid w:val="00A00394"/>
    <w:rsid w:val="00A01A79"/>
    <w:rsid w:val="00A02FE8"/>
    <w:rsid w:val="00A039C2"/>
    <w:rsid w:val="00A05A65"/>
    <w:rsid w:val="00A07026"/>
    <w:rsid w:val="00A070B6"/>
    <w:rsid w:val="00A07D08"/>
    <w:rsid w:val="00A07F71"/>
    <w:rsid w:val="00A10221"/>
    <w:rsid w:val="00A10B6A"/>
    <w:rsid w:val="00A11A2D"/>
    <w:rsid w:val="00A11C13"/>
    <w:rsid w:val="00A12382"/>
    <w:rsid w:val="00A14499"/>
    <w:rsid w:val="00A14E7F"/>
    <w:rsid w:val="00A1629D"/>
    <w:rsid w:val="00A16CAD"/>
    <w:rsid w:val="00A17129"/>
    <w:rsid w:val="00A17BB2"/>
    <w:rsid w:val="00A2080A"/>
    <w:rsid w:val="00A213CA"/>
    <w:rsid w:val="00A21A5C"/>
    <w:rsid w:val="00A21EA6"/>
    <w:rsid w:val="00A24245"/>
    <w:rsid w:val="00A24981"/>
    <w:rsid w:val="00A24D28"/>
    <w:rsid w:val="00A25D52"/>
    <w:rsid w:val="00A2621A"/>
    <w:rsid w:val="00A275BF"/>
    <w:rsid w:val="00A30129"/>
    <w:rsid w:val="00A32082"/>
    <w:rsid w:val="00A3354B"/>
    <w:rsid w:val="00A344C3"/>
    <w:rsid w:val="00A34CBC"/>
    <w:rsid w:val="00A3553A"/>
    <w:rsid w:val="00A3640C"/>
    <w:rsid w:val="00A3697B"/>
    <w:rsid w:val="00A370F2"/>
    <w:rsid w:val="00A37624"/>
    <w:rsid w:val="00A412A1"/>
    <w:rsid w:val="00A43D5D"/>
    <w:rsid w:val="00A441EA"/>
    <w:rsid w:val="00A44DDC"/>
    <w:rsid w:val="00A45A89"/>
    <w:rsid w:val="00A466C2"/>
    <w:rsid w:val="00A4679B"/>
    <w:rsid w:val="00A46DEE"/>
    <w:rsid w:val="00A47643"/>
    <w:rsid w:val="00A47897"/>
    <w:rsid w:val="00A508B2"/>
    <w:rsid w:val="00A50A92"/>
    <w:rsid w:val="00A50F4C"/>
    <w:rsid w:val="00A5117A"/>
    <w:rsid w:val="00A512C8"/>
    <w:rsid w:val="00A52772"/>
    <w:rsid w:val="00A52A39"/>
    <w:rsid w:val="00A52DD6"/>
    <w:rsid w:val="00A5338E"/>
    <w:rsid w:val="00A53821"/>
    <w:rsid w:val="00A538B9"/>
    <w:rsid w:val="00A538CD"/>
    <w:rsid w:val="00A550C5"/>
    <w:rsid w:val="00A55DC8"/>
    <w:rsid w:val="00A57311"/>
    <w:rsid w:val="00A57DBF"/>
    <w:rsid w:val="00A60297"/>
    <w:rsid w:val="00A60479"/>
    <w:rsid w:val="00A60D39"/>
    <w:rsid w:val="00A6113D"/>
    <w:rsid w:val="00A6177D"/>
    <w:rsid w:val="00A62331"/>
    <w:rsid w:val="00A626C3"/>
    <w:rsid w:val="00A628B5"/>
    <w:rsid w:val="00A62D86"/>
    <w:rsid w:val="00A6360A"/>
    <w:rsid w:val="00A65BF0"/>
    <w:rsid w:val="00A66058"/>
    <w:rsid w:val="00A70C4D"/>
    <w:rsid w:val="00A71135"/>
    <w:rsid w:val="00A71A81"/>
    <w:rsid w:val="00A72785"/>
    <w:rsid w:val="00A72EE1"/>
    <w:rsid w:val="00A737DC"/>
    <w:rsid w:val="00A754D8"/>
    <w:rsid w:val="00A77148"/>
    <w:rsid w:val="00A77DD6"/>
    <w:rsid w:val="00A801C5"/>
    <w:rsid w:val="00A8052A"/>
    <w:rsid w:val="00A81303"/>
    <w:rsid w:val="00A81931"/>
    <w:rsid w:val="00A82777"/>
    <w:rsid w:val="00A8435A"/>
    <w:rsid w:val="00A8490A"/>
    <w:rsid w:val="00A849EC"/>
    <w:rsid w:val="00A84DB6"/>
    <w:rsid w:val="00A854E6"/>
    <w:rsid w:val="00A85937"/>
    <w:rsid w:val="00A85963"/>
    <w:rsid w:val="00A8756E"/>
    <w:rsid w:val="00A905EF"/>
    <w:rsid w:val="00A90B15"/>
    <w:rsid w:val="00A90C48"/>
    <w:rsid w:val="00A9121E"/>
    <w:rsid w:val="00A912D0"/>
    <w:rsid w:val="00A91CD8"/>
    <w:rsid w:val="00A91D90"/>
    <w:rsid w:val="00A923C0"/>
    <w:rsid w:val="00A95C15"/>
    <w:rsid w:val="00A96BC9"/>
    <w:rsid w:val="00A96EF5"/>
    <w:rsid w:val="00A97104"/>
    <w:rsid w:val="00A97185"/>
    <w:rsid w:val="00A9736A"/>
    <w:rsid w:val="00A97739"/>
    <w:rsid w:val="00AA0A03"/>
    <w:rsid w:val="00AA20D8"/>
    <w:rsid w:val="00AA3291"/>
    <w:rsid w:val="00AA3823"/>
    <w:rsid w:val="00AA3B19"/>
    <w:rsid w:val="00AA3C45"/>
    <w:rsid w:val="00AA4A81"/>
    <w:rsid w:val="00AA500E"/>
    <w:rsid w:val="00AA502A"/>
    <w:rsid w:val="00AA525A"/>
    <w:rsid w:val="00AA5432"/>
    <w:rsid w:val="00AA5789"/>
    <w:rsid w:val="00AA6160"/>
    <w:rsid w:val="00AA68F9"/>
    <w:rsid w:val="00AA68FB"/>
    <w:rsid w:val="00AA7772"/>
    <w:rsid w:val="00AA7BF3"/>
    <w:rsid w:val="00AB0005"/>
    <w:rsid w:val="00AB0089"/>
    <w:rsid w:val="00AB1381"/>
    <w:rsid w:val="00AB1FD9"/>
    <w:rsid w:val="00AB2C30"/>
    <w:rsid w:val="00AB30FE"/>
    <w:rsid w:val="00AB40CF"/>
    <w:rsid w:val="00AB4509"/>
    <w:rsid w:val="00AB505B"/>
    <w:rsid w:val="00AB52A7"/>
    <w:rsid w:val="00AB59B0"/>
    <w:rsid w:val="00AB6D00"/>
    <w:rsid w:val="00AB729A"/>
    <w:rsid w:val="00AB7905"/>
    <w:rsid w:val="00AC19F7"/>
    <w:rsid w:val="00AC29FA"/>
    <w:rsid w:val="00AC2E1A"/>
    <w:rsid w:val="00AC2FAE"/>
    <w:rsid w:val="00AC338F"/>
    <w:rsid w:val="00AC4BCE"/>
    <w:rsid w:val="00AC4E1F"/>
    <w:rsid w:val="00AC5A31"/>
    <w:rsid w:val="00AC5F6E"/>
    <w:rsid w:val="00AC659B"/>
    <w:rsid w:val="00AC7523"/>
    <w:rsid w:val="00AD149C"/>
    <w:rsid w:val="00AD1536"/>
    <w:rsid w:val="00AD1A58"/>
    <w:rsid w:val="00AD2151"/>
    <w:rsid w:val="00AD45E9"/>
    <w:rsid w:val="00AD47A1"/>
    <w:rsid w:val="00AD4E5B"/>
    <w:rsid w:val="00AD5139"/>
    <w:rsid w:val="00AD59DC"/>
    <w:rsid w:val="00AD5FF3"/>
    <w:rsid w:val="00AD6070"/>
    <w:rsid w:val="00AD60B1"/>
    <w:rsid w:val="00AD6911"/>
    <w:rsid w:val="00AD6C36"/>
    <w:rsid w:val="00AE020E"/>
    <w:rsid w:val="00AE1BE0"/>
    <w:rsid w:val="00AE2ABE"/>
    <w:rsid w:val="00AE2B24"/>
    <w:rsid w:val="00AE4577"/>
    <w:rsid w:val="00AE4B77"/>
    <w:rsid w:val="00AE4CB3"/>
    <w:rsid w:val="00AE4E65"/>
    <w:rsid w:val="00AE525C"/>
    <w:rsid w:val="00AE5562"/>
    <w:rsid w:val="00AE5C6D"/>
    <w:rsid w:val="00AF06DC"/>
    <w:rsid w:val="00AF1348"/>
    <w:rsid w:val="00AF2B08"/>
    <w:rsid w:val="00AF2D37"/>
    <w:rsid w:val="00AF3282"/>
    <w:rsid w:val="00AF380E"/>
    <w:rsid w:val="00AF3D5B"/>
    <w:rsid w:val="00AF3D62"/>
    <w:rsid w:val="00AF4CCB"/>
    <w:rsid w:val="00AF5A34"/>
    <w:rsid w:val="00AF70DF"/>
    <w:rsid w:val="00B0020F"/>
    <w:rsid w:val="00B00238"/>
    <w:rsid w:val="00B00834"/>
    <w:rsid w:val="00B00DDB"/>
    <w:rsid w:val="00B022FB"/>
    <w:rsid w:val="00B031E2"/>
    <w:rsid w:val="00B04DBD"/>
    <w:rsid w:val="00B051E8"/>
    <w:rsid w:val="00B060DC"/>
    <w:rsid w:val="00B069FE"/>
    <w:rsid w:val="00B07771"/>
    <w:rsid w:val="00B07E4B"/>
    <w:rsid w:val="00B07FBE"/>
    <w:rsid w:val="00B11ACA"/>
    <w:rsid w:val="00B12700"/>
    <w:rsid w:val="00B13D18"/>
    <w:rsid w:val="00B1470C"/>
    <w:rsid w:val="00B14B32"/>
    <w:rsid w:val="00B15BF4"/>
    <w:rsid w:val="00B16375"/>
    <w:rsid w:val="00B16DF9"/>
    <w:rsid w:val="00B17CCA"/>
    <w:rsid w:val="00B21156"/>
    <w:rsid w:val="00B23079"/>
    <w:rsid w:val="00B2363B"/>
    <w:rsid w:val="00B23934"/>
    <w:rsid w:val="00B25734"/>
    <w:rsid w:val="00B25955"/>
    <w:rsid w:val="00B25D3C"/>
    <w:rsid w:val="00B27C66"/>
    <w:rsid w:val="00B307C2"/>
    <w:rsid w:val="00B315B6"/>
    <w:rsid w:val="00B33741"/>
    <w:rsid w:val="00B33A46"/>
    <w:rsid w:val="00B34530"/>
    <w:rsid w:val="00B34D02"/>
    <w:rsid w:val="00B37E82"/>
    <w:rsid w:val="00B4010B"/>
    <w:rsid w:val="00B402BA"/>
    <w:rsid w:val="00B40CFF"/>
    <w:rsid w:val="00B416C6"/>
    <w:rsid w:val="00B42184"/>
    <w:rsid w:val="00B43A57"/>
    <w:rsid w:val="00B44F24"/>
    <w:rsid w:val="00B45077"/>
    <w:rsid w:val="00B46871"/>
    <w:rsid w:val="00B47D70"/>
    <w:rsid w:val="00B51D8C"/>
    <w:rsid w:val="00B550AF"/>
    <w:rsid w:val="00B550EF"/>
    <w:rsid w:val="00B5555D"/>
    <w:rsid w:val="00B558DC"/>
    <w:rsid w:val="00B56506"/>
    <w:rsid w:val="00B567C2"/>
    <w:rsid w:val="00B57342"/>
    <w:rsid w:val="00B57BF0"/>
    <w:rsid w:val="00B60781"/>
    <w:rsid w:val="00B61F02"/>
    <w:rsid w:val="00B63471"/>
    <w:rsid w:val="00B64190"/>
    <w:rsid w:val="00B64898"/>
    <w:rsid w:val="00B64A83"/>
    <w:rsid w:val="00B6539A"/>
    <w:rsid w:val="00B653F9"/>
    <w:rsid w:val="00B65AD8"/>
    <w:rsid w:val="00B65E57"/>
    <w:rsid w:val="00B66426"/>
    <w:rsid w:val="00B66B22"/>
    <w:rsid w:val="00B67AD5"/>
    <w:rsid w:val="00B71266"/>
    <w:rsid w:val="00B7292B"/>
    <w:rsid w:val="00B72B6B"/>
    <w:rsid w:val="00B7314F"/>
    <w:rsid w:val="00B742FA"/>
    <w:rsid w:val="00B75BFA"/>
    <w:rsid w:val="00B75E0C"/>
    <w:rsid w:val="00B76CA1"/>
    <w:rsid w:val="00B76CE4"/>
    <w:rsid w:val="00B76EF7"/>
    <w:rsid w:val="00B76F4E"/>
    <w:rsid w:val="00B76F5C"/>
    <w:rsid w:val="00B824A8"/>
    <w:rsid w:val="00B83420"/>
    <w:rsid w:val="00B8563F"/>
    <w:rsid w:val="00B85BF3"/>
    <w:rsid w:val="00B85E7D"/>
    <w:rsid w:val="00B85F32"/>
    <w:rsid w:val="00B8758E"/>
    <w:rsid w:val="00B912B3"/>
    <w:rsid w:val="00B92795"/>
    <w:rsid w:val="00B93F9D"/>
    <w:rsid w:val="00B94453"/>
    <w:rsid w:val="00B947AA"/>
    <w:rsid w:val="00B95A93"/>
    <w:rsid w:val="00B95CAB"/>
    <w:rsid w:val="00B95DD7"/>
    <w:rsid w:val="00B96608"/>
    <w:rsid w:val="00B9680F"/>
    <w:rsid w:val="00B96830"/>
    <w:rsid w:val="00B96CA8"/>
    <w:rsid w:val="00B97024"/>
    <w:rsid w:val="00B97140"/>
    <w:rsid w:val="00BA00AA"/>
    <w:rsid w:val="00BA028A"/>
    <w:rsid w:val="00BA0BE0"/>
    <w:rsid w:val="00BA0F88"/>
    <w:rsid w:val="00BA10A9"/>
    <w:rsid w:val="00BA139D"/>
    <w:rsid w:val="00BA1493"/>
    <w:rsid w:val="00BA1E59"/>
    <w:rsid w:val="00BA226A"/>
    <w:rsid w:val="00BA2C49"/>
    <w:rsid w:val="00BA7720"/>
    <w:rsid w:val="00BB0DB4"/>
    <w:rsid w:val="00BB0EDF"/>
    <w:rsid w:val="00BB1135"/>
    <w:rsid w:val="00BB31EC"/>
    <w:rsid w:val="00BB5A78"/>
    <w:rsid w:val="00BB5DC4"/>
    <w:rsid w:val="00BB6F0F"/>
    <w:rsid w:val="00BB7947"/>
    <w:rsid w:val="00BC0E92"/>
    <w:rsid w:val="00BC2632"/>
    <w:rsid w:val="00BC279F"/>
    <w:rsid w:val="00BC2E05"/>
    <w:rsid w:val="00BC329C"/>
    <w:rsid w:val="00BC32D1"/>
    <w:rsid w:val="00BC37E9"/>
    <w:rsid w:val="00BC3CD0"/>
    <w:rsid w:val="00BC4B0E"/>
    <w:rsid w:val="00BC5593"/>
    <w:rsid w:val="00BC56F5"/>
    <w:rsid w:val="00BC57A3"/>
    <w:rsid w:val="00BC5BB8"/>
    <w:rsid w:val="00BC63C8"/>
    <w:rsid w:val="00BC63FA"/>
    <w:rsid w:val="00BC706F"/>
    <w:rsid w:val="00BC7A3E"/>
    <w:rsid w:val="00BD1DD5"/>
    <w:rsid w:val="00BD280D"/>
    <w:rsid w:val="00BD2D70"/>
    <w:rsid w:val="00BD365D"/>
    <w:rsid w:val="00BD6058"/>
    <w:rsid w:val="00BD736F"/>
    <w:rsid w:val="00BE0A8A"/>
    <w:rsid w:val="00BE0BC2"/>
    <w:rsid w:val="00BE1D1D"/>
    <w:rsid w:val="00BE3493"/>
    <w:rsid w:val="00BE35CB"/>
    <w:rsid w:val="00BE4415"/>
    <w:rsid w:val="00BE4EE8"/>
    <w:rsid w:val="00BE5590"/>
    <w:rsid w:val="00BE6764"/>
    <w:rsid w:val="00BE6AF2"/>
    <w:rsid w:val="00BE6C9D"/>
    <w:rsid w:val="00BF0D42"/>
    <w:rsid w:val="00BF1967"/>
    <w:rsid w:val="00BF1BAB"/>
    <w:rsid w:val="00BF2928"/>
    <w:rsid w:val="00BF2C46"/>
    <w:rsid w:val="00BF352A"/>
    <w:rsid w:val="00BF39D8"/>
    <w:rsid w:val="00BF46A4"/>
    <w:rsid w:val="00BF4C56"/>
    <w:rsid w:val="00BF521C"/>
    <w:rsid w:val="00BF5608"/>
    <w:rsid w:val="00BF5700"/>
    <w:rsid w:val="00BF675B"/>
    <w:rsid w:val="00BF685D"/>
    <w:rsid w:val="00BF72ED"/>
    <w:rsid w:val="00BF76CC"/>
    <w:rsid w:val="00BF7A34"/>
    <w:rsid w:val="00C01D3F"/>
    <w:rsid w:val="00C01DC8"/>
    <w:rsid w:val="00C028EC"/>
    <w:rsid w:val="00C033E1"/>
    <w:rsid w:val="00C04633"/>
    <w:rsid w:val="00C04976"/>
    <w:rsid w:val="00C0628F"/>
    <w:rsid w:val="00C075DF"/>
    <w:rsid w:val="00C07780"/>
    <w:rsid w:val="00C078C1"/>
    <w:rsid w:val="00C07CAC"/>
    <w:rsid w:val="00C1068B"/>
    <w:rsid w:val="00C10C6F"/>
    <w:rsid w:val="00C11106"/>
    <w:rsid w:val="00C12903"/>
    <w:rsid w:val="00C144E7"/>
    <w:rsid w:val="00C15376"/>
    <w:rsid w:val="00C15C62"/>
    <w:rsid w:val="00C1646B"/>
    <w:rsid w:val="00C175A9"/>
    <w:rsid w:val="00C17C03"/>
    <w:rsid w:val="00C2150C"/>
    <w:rsid w:val="00C21DF3"/>
    <w:rsid w:val="00C222BF"/>
    <w:rsid w:val="00C22D4D"/>
    <w:rsid w:val="00C22ED3"/>
    <w:rsid w:val="00C2313B"/>
    <w:rsid w:val="00C23784"/>
    <w:rsid w:val="00C23849"/>
    <w:rsid w:val="00C24497"/>
    <w:rsid w:val="00C25C0E"/>
    <w:rsid w:val="00C26FA9"/>
    <w:rsid w:val="00C273B1"/>
    <w:rsid w:val="00C27FDC"/>
    <w:rsid w:val="00C307D1"/>
    <w:rsid w:val="00C316A7"/>
    <w:rsid w:val="00C32164"/>
    <w:rsid w:val="00C32972"/>
    <w:rsid w:val="00C32D70"/>
    <w:rsid w:val="00C33E7A"/>
    <w:rsid w:val="00C34A2B"/>
    <w:rsid w:val="00C354F2"/>
    <w:rsid w:val="00C356F0"/>
    <w:rsid w:val="00C422D0"/>
    <w:rsid w:val="00C423B4"/>
    <w:rsid w:val="00C42E47"/>
    <w:rsid w:val="00C4344B"/>
    <w:rsid w:val="00C45AF9"/>
    <w:rsid w:val="00C45D7A"/>
    <w:rsid w:val="00C45EC0"/>
    <w:rsid w:val="00C4604A"/>
    <w:rsid w:val="00C46944"/>
    <w:rsid w:val="00C47196"/>
    <w:rsid w:val="00C47D8B"/>
    <w:rsid w:val="00C5130B"/>
    <w:rsid w:val="00C514EA"/>
    <w:rsid w:val="00C51FEB"/>
    <w:rsid w:val="00C52336"/>
    <w:rsid w:val="00C52EDA"/>
    <w:rsid w:val="00C53384"/>
    <w:rsid w:val="00C535F7"/>
    <w:rsid w:val="00C5426B"/>
    <w:rsid w:val="00C5428B"/>
    <w:rsid w:val="00C54801"/>
    <w:rsid w:val="00C54BF0"/>
    <w:rsid w:val="00C54E8F"/>
    <w:rsid w:val="00C55A8B"/>
    <w:rsid w:val="00C55DF5"/>
    <w:rsid w:val="00C55E19"/>
    <w:rsid w:val="00C56D05"/>
    <w:rsid w:val="00C573F2"/>
    <w:rsid w:val="00C60284"/>
    <w:rsid w:val="00C6135C"/>
    <w:rsid w:val="00C625F9"/>
    <w:rsid w:val="00C63728"/>
    <w:rsid w:val="00C6399A"/>
    <w:rsid w:val="00C64573"/>
    <w:rsid w:val="00C64670"/>
    <w:rsid w:val="00C650E7"/>
    <w:rsid w:val="00C65E0E"/>
    <w:rsid w:val="00C65EA8"/>
    <w:rsid w:val="00C66613"/>
    <w:rsid w:val="00C673A5"/>
    <w:rsid w:val="00C70D38"/>
    <w:rsid w:val="00C71891"/>
    <w:rsid w:val="00C72336"/>
    <w:rsid w:val="00C72D19"/>
    <w:rsid w:val="00C74290"/>
    <w:rsid w:val="00C744F5"/>
    <w:rsid w:val="00C753E8"/>
    <w:rsid w:val="00C75578"/>
    <w:rsid w:val="00C80718"/>
    <w:rsid w:val="00C814B7"/>
    <w:rsid w:val="00C8287E"/>
    <w:rsid w:val="00C855A4"/>
    <w:rsid w:val="00C856A6"/>
    <w:rsid w:val="00C877B6"/>
    <w:rsid w:val="00C9052C"/>
    <w:rsid w:val="00C91635"/>
    <w:rsid w:val="00C91A42"/>
    <w:rsid w:val="00C91F9A"/>
    <w:rsid w:val="00C923B8"/>
    <w:rsid w:val="00C92F52"/>
    <w:rsid w:val="00C93042"/>
    <w:rsid w:val="00C94B7B"/>
    <w:rsid w:val="00C9543B"/>
    <w:rsid w:val="00C95BF4"/>
    <w:rsid w:val="00C963A7"/>
    <w:rsid w:val="00C96490"/>
    <w:rsid w:val="00CA18EB"/>
    <w:rsid w:val="00CA1A18"/>
    <w:rsid w:val="00CA1D27"/>
    <w:rsid w:val="00CA1EDE"/>
    <w:rsid w:val="00CA2BCB"/>
    <w:rsid w:val="00CA3D62"/>
    <w:rsid w:val="00CA3FAC"/>
    <w:rsid w:val="00CA3FE2"/>
    <w:rsid w:val="00CA4A6A"/>
    <w:rsid w:val="00CA56E5"/>
    <w:rsid w:val="00CA607A"/>
    <w:rsid w:val="00CA6C23"/>
    <w:rsid w:val="00CA6CA3"/>
    <w:rsid w:val="00CA72F7"/>
    <w:rsid w:val="00CA7D88"/>
    <w:rsid w:val="00CB0596"/>
    <w:rsid w:val="00CB06D5"/>
    <w:rsid w:val="00CB126E"/>
    <w:rsid w:val="00CB168F"/>
    <w:rsid w:val="00CB1699"/>
    <w:rsid w:val="00CB3D85"/>
    <w:rsid w:val="00CB6A21"/>
    <w:rsid w:val="00CB6CB5"/>
    <w:rsid w:val="00CC0149"/>
    <w:rsid w:val="00CC03BB"/>
    <w:rsid w:val="00CC0DA1"/>
    <w:rsid w:val="00CC17E7"/>
    <w:rsid w:val="00CC2338"/>
    <w:rsid w:val="00CC2A0A"/>
    <w:rsid w:val="00CC2D35"/>
    <w:rsid w:val="00CC34F7"/>
    <w:rsid w:val="00CC3656"/>
    <w:rsid w:val="00CC5390"/>
    <w:rsid w:val="00CC665A"/>
    <w:rsid w:val="00CC70C6"/>
    <w:rsid w:val="00CC7402"/>
    <w:rsid w:val="00CC76C7"/>
    <w:rsid w:val="00CD1348"/>
    <w:rsid w:val="00CD204C"/>
    <w:rsid w:val="00CD209A"/>
    <w:rsid w:val="00CD217A"/>
    <w:rsid w:val="00CD2331"/>
    <w:rsid w:val="00CD2ED8"/>
    <w:rsid w:val="00CD36FD"/>
    <w:rsid w:val="00CD37A8"/>
    <w:rsid w:val="00CD4A7F"/>
    <w:rsid w:val="00CD4ED8"/>
    <w:rsid w:val="00CD51D1"/>
    <w:rsid w:val="00CD591C"/>
    <w:rsid w:val="00CD638B"/>
    <w:rsid w:val="00CD6ED4"/>
    <w:rsid w:val="00CD7045"/>
    <w:rsid w:val="00CD727B"/>
    <w:rsid w:val="00CD7431"/>
    <w:rsid w:val="00CD7720"/>
    <w:rsid w:val="00CD7E32"/>
    <w:rsid w:val="00CE018E"/>
    <w:rsid w:val="00CE0D6C"/>
    <w:rsid w:val="00CE1D96"/>
    <w:rsid w:val="00CE260D"/>
    <w:rsid w:val="00CE360A"/>
    <w:rsid w:val="00CE4B15"/>
    <w:rsid w:val="00CE4F57"/>
    <w:rsid w:val="00CE509A"/>
    <w:rsid w:val="00CE5546"/>
    <w:rsid w:val="00CE5644"/>
    <w:rsid w:val="00CE5689"/>
    <w:rsid w:val="00CE64E2"/>
    <w:rsid w:val="00CE70F2"/>
    <w:rsid w:val="00CF0C17"/>
    <w:rsid w:val="00CF0FAB"/>
    <w:rsid w:val="00CF1207"/>
    <w:rsid w:val="00CF29BE"/>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09B"/>
    <w:rsid w:val="00D01300"/>
    <w:rsid w:val="00D01ECE"/>
    <w:rsid w:val="00D024D0"/>
    <w:rsid w:val="00D027C6"/>
    <w:rsid w:val="00D02DAA"/>
    <w:rsid w:val="00D03155"/>
    <w:rsid w:val="00D03F7C"/>
    <w:rsid w:val="00D040EF"/>
    <w:rsid w:val="00D04281"/>
    <w:rsid w:val="00D04BA4"/>
    <w:rsid w:val="00D06CCC"/>
    <w:rsid w:val="00D06E00"/>
    <w:rsid w:val="00D07A65"/>
    <w:rsid w:val="00D100CE"/>
    <w:rsid w:val="00D12F16"/>
    <w:rsid w:val="00D1382E"/>
    <w:rsid w:val="00D14A7A"/>
    <w:rsid w:val="00D1662B"/>
    <w:rsid w:val="00D170DA"/>
    <w:rsid w:val="00D17370"/>
    <w:rsid w:val="00D17FE1"/>
    <w:rsid w:val="00D2006F"/>
    <w:rsid w:val="00D211D7"/>
    <w:rsid w:val="00D21686"/>
    <w:rsid w:val="00D217F1"/>
    <w:rsid w:val="00D21833"/>
    <w:rsid w:val="00D21DF9"/>
    <w:rsid w:val="00D226BA"/>
    <w:rsid w:val="00D22A5B"/>
    <w:rsid w:val="00D22ABF"/>
    <w:rsid w:val="00D22D99"/>
    <w:rsid w:val="00D242C0"/>
    <w:rsid w:val="00D25573"/>
    <w:rsid w:val="00D25E85"/>
    <w:rsid w:val="00D27747"/>
    <w:rsid w:val="00D30885"/>
    <w:rsid w:val="00D31D12"/>
    <w:rsid w:val="00D322AD"/>
    <w:rsid w:val="00D32CAE"/>
    <w:rsid w:val="00D32CEC"/>
    <w:rsid w:val="00D33E60"/>
    <w:rsid w:val="00D34178"/>
    <w:rsid w:val="00D34345"/>
    <w:rsid w:val="00D348CF"/>
    <w:rsid w:val="00D34B21"/>
    <w:rsid w:val="00D34E47"/>
    <w:rsid w:val="00D36995"/>
    <w:rsid w:val="00D37A84"/>
    <w:rsid w:val="00D37B39"/>
    <w:rsid w:val="00D4116C"/>
    <w:rsid w:val="00D415B0"/>
    <w:rsid w:val="00D4209E"/>
    <w:rsid w:val="00D42A61"/>
    <w:rsid w:val="00D430EF"/>
    <w:rsid w:val="00D43242"/>
    <w:rsid w:val="00D441ED"/>
    <w:rsid w:val="00D443E0"/>
    <w:rsid w:val="00D4514F"/>
    <w:rsid w:val="00D455F2"/>
    <w:rsid w:val="00D45B74"/>
    <w:rsid w:val="00D46762"/>
    <w:rsid w:val="00D47037"/>
    <w:rsid w:val="00D50CF7"/>
    <w:rsid w:val="00D5140C"/>
    <w:rsid w:val="00D51731"/>
    <w:rsid w:val="00D530A4"/>
    <w:rsid w:val="00D546D2"/>
    <w:rsid w:val="00D54913"/>
    <w:rsid w:val="00D549B7"/>
    <w:rsid w:val="00D550F5"/>
    <w:rsid w:val="00D553FF"/>
    <w:rsid w:val="00D554E9"/>
    <w:rsid w:val="00D55E81"/>
    <w:rsid w:val="00D61E7F"/>
    <w:rsid w:val="00D63514"/>
    <w:rsid w:val="00D64340"/>
    <w:rsid w:val="00D646DF"/>
    <w:rsid w:val="00D6475A"/>
    <w:rsid w:val="00D649D0"/>
    <w:rsid w:val="00D655A3"/>
    <w:rsid w:val="00D65E8B"/>
    <w:rsid w:val="00D663C7"/>
    <w:rsid w:val="00D6708E"/>
    <w:rsid w:val="00D670C6"/>
    <w:rsid w:val="00D67441"/>
    <w:rsid w:val="00D67940"/>
    <w:rsid w:val="00D679F2"/>
    <w:rsid w:val="00D67D61"/>
    <w:rsid w:val="00D711FE"/>
    <w:rsid w:val="00D73388"/>
    <w:rsid w:val="00D7369B"/>
    <w:rsid w:val="00D73CA4"/>
    <w:rsid w:val="00D7433A"/>
    <w:rsid w:val="00D7481C"/>
    <w:rsid w:val="00D749A4"/>
    <w:rsid w:val="00D74E76"/>
    <w:rsid w:val="00D7577B"/>
    <w:rsid w:val="00D758B4"/>
    <w:rsid w:val="00D75943"/>
    <w:rsid w:val="00D75BF0"/>
    <w:rsid w:val="00D75D21"/>
    <w:rsid w:val="00D76A68"/>
    <w:rsid w:val="00D76D68"/>
    <w:rsid w:val="00D7794D"/>
    <w:rsid w:val="00D77DC6"/>
    <w:rsid w:val="00D800FB"/>
    <w:rsid w:val="00D80263"/>
    <w:rsid w:val="00D8086F"/>
    <w:rsid w:val="00D810A1"/>
    <w:rsid w:val="00D81B31"/>
    <w:rsid w:val="00D8269C"/>
    <w:rsid w:val="00D82872"/>
    <w:rsid w:val="00D83ED7"/>
    <w:rsid w:val="00D84547"/>
    <w:rsid w:val="00D84678"/>
    <w:rsid w:val="00D8509D"/>
    <w:rsid w:val="00D85200"/>
    <w:rsid w:val="00D91F0B"/>
    <w:rsid w:val="00D9397D"/>
    <w:rsid w:val="00D93DAC"/>
    <w:rsid w:val="00D942FC"/>
    <w:rsid w:val="00D9574F"/>
    <w:rsid w:val="00D95920"/>
    <w:rsid w:val="00D9640C"/>
    <w:rsid w:val="00D96813"/>
    <w:rsid w:val="00D97095"/>
    <w:rsid w:val="00D97DE2"/>
    <w:rsid w:val="00DA0785"/>
    <w:rsid w:val="00DA0816"/>
    <w:rsid w:val="00DA0DA5"/>
    <w:rsid w:val="00DA1BE7"/>
    <w:rsid w:val="00DA1D94"/>
    <w:rsid w:val="00DA1FE3"/>
    <w:rsid w:val="00DA258B"/>
    <w:rsid w:val="00DA26E8"/>
    <w:rsid w:val="00DA31BC"/>
    <w:rsid w:val="00DA3445"/>
    <w:rsid w:val="00DA3578"/>
    <w:rsid w:val="00DA3AFF"/>
    <w:rsid w:val="00DA46D0"/>
    <w:rsid w:val="00DA47F1"/>
    <w:rsid w:val="00DA5374"/>
    <w:rsid w:val="00DA57B2"/>
    <w:rsid w:val="00DA711A"/>
    <w:rsid w:val="00DA7F38"/>
    <w:rsid w:val="00DB0711"/>
    <w:rsid w:val="00DB099C"/>
    <w:rsid w:val="00DB16F0"/>
    <w:rsid w:val="00DB1B11"/>
    <w:rsid w:val="00DB242B"/>
    <w:rsid w:val="00DB3FFE"/>
    <w:rsid w:val="00DB43F8"/>
    <w:rsid w:val="00DB5FE9"/>
    <w:rsid w:val="00DB7650"/>
    <w:rsid w:val="00DC06D8"/>
    <w:rsid w:val="00DC348A"/>
    <w:rsid w:val="00DC48E9"/>
    <w:rsid w:val="00DC5269"/>
    <w:rsid w:val="00DC5313"/>
    <w:rsid w:val="00DC5466"/>
    <w:rsid w:val="00DC58AA"/>
    <w:rsid w:val="00DC5B85"/>
    <w:rsid w:val="00DC68C0"/>
    <w:rsid w:val="00DC6E85"/>
    <w:rsid w:val="00DD0998"/>
    <w:rsid w:val="00DD1632"/>
    <w:rsid w:val="00DD27FE"/>
    <w:rsid w:val="00DD3431"/>
    <w:rsid w:val="00DD3C37"/>
    <w:rsid w:val="00DD3F6B"/>
    <w:rsid w:val="00DD556F"/>
    <w:rsid w:val="00DD6646"/>
    <w:rsid w:val="00DE098F"/>
    <w:rsid w:val="00DE1321"/>
    <w:rsid w:val="00DE2699"/>
    <w:rsid w:val="00DE2835"/>
    <w:rsid w:val="00DE2EC9"/>
    <w:rsid w:val="00DE3BCA"/>
    <w:rsid w:val="00DE459E"/>
    <w:rsid w:val="00DE544E"/>
    <w:rsid w:val="00DE5860"/>
    <w:rsid w:val="00DE614C"/>
    <w:rsid w:val="00DE68D9"/>
    <w:rsid w:val="00DF08D4"/>
    <w:rsid w:val="00DF0A0D"/>
    <w:rsid w:val="00DF1B85"/>
    <w:rsid w:val="00DF2F53"/>
    <w:rsid w:val="00DF391D"/>
    <w:rsid w:val="00DF41E7"/>
    <w:rsid w:val="00DF4E7C"/>
    <w:rsid w:val="00DF5650"/>
    <w:rsid w:val="00DF6382"/>
    <w:rsid w:val="00DF699F"/>
    <w:rsid w:val="00DF69BD"/>
    <w:rsid w:val="00DF6CC6"/>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07CAD"/>
    <w:rsid w:val="00E10C3B"/>
    <w:rsid w:val="00E11670"/>
    <w:rsid w:val="00E1242B"/>
    <w:rsid w:val="00E136FF"/>
    <w:rsid w:val="00E14295"/>
    <w:rsid w:val="00E150B9"/>
    <w:rsid w:val="00E150EF"/>
    <w:rsid w:val="00E150FA"/>
    <w:rsid w:val="00E15B73"/>
    <w:rsid w:val="00E1601F"/>
    <w:rsid w:val="00E162F5"/>
    <w:rsid w:val="00E16AD4"/>
    <w:rsid w:val="00E17294"/>
    <w:rsid w:val="00E17375"/>
    <w:rsid w:val="00E2070A"/>
    <w:rsid w:val="00E227F9"/>
    <w:rsid w:val="00E22D81"/>
    <w:rsid w:val="00E22E55"/>
    <w:rsid w:val="00E2392E"/>
    <w:rsid w:val="00E23935"/>
    <w:rsid w:val="00E23F2B"/>
    <w:rsid w:val="00E24AB7"/>
    <w:rsid w:val="00E24B19"/>
    <w:rsid w:val="00E24F14"/>
    <w:rsid w:val="00E24F28"/>
    <w:rsid w:val="00E2500F"/>
    <w:rsid w:val="00E25B34"/>
    <w:rsid w:val="00E25FA3"/>
    <w:rsid w:val="00E267B4"/>
    <w:rsid w:val="00E26A38"/>
    <w:rsid w:val="00E31188"/>
    <w:rsid w:val="00E32985"/>
    <w:rsid w:val="00E32F99"/>
    <w:rsid w:val="00E33C61"/>
    <w:rsid w:val="00E33E3C"/>
    <w:rsid w:val="00E340C5"/>
    <w:rsid w:val="00E346C7"/>
    <w:rsid w:val="00E3495C"/>
    <w:rsid w:val="00E356A4"/>
    <w:rsid w:val="00E3578D"/>
    <w:rsid w:val="00E37045"/>
    <w:rsid w:val="00E373B3"/>
    <w:rsid w:val="00E40079"/>
    <w:rsid w:val="00E402E2"/>
    <w:rsid w:val="00E40AE5"/>
    <w:rsid w:val="00E40B4A"/>
    <w:rsid w:val="00E40D20"/>
    <w:rsid w:val="00E40F0E"/>
    <w:rsid w:val="00E41B2B"/>
    <w:rsid w:val="00E423CB"/>
    <w:rsid w:val="00E42CE9"/>
    <w:rsid w:val="00E4311E"/>
    <w:rsid w:val="00E43985"/>
    <w:rsid w:val="00E44499"/>
    <w:rsid w:val="00E4474D"/>
    <w:rsid w:val="00E44C3B"/>
    <w:rsid w:val="00E4739B"/>
    <w:rsid w:val="00E474F8"/>
    <w:rsid w:val="00E47765"/>
    <w:rsid w:val="00E479C9"/>
    <w:rsid w:val="00E47D2E"/>
    <w:rsid w:val="00E50989"/>
    <w:rsid w:val="00E50A4F"/>
    <w:rsid w:val="00E51387"/>
    <w:rsid w:val="00E51A31"/>
    <w:rsid w:val="00E54AE0"/>
    <w:rsid w:val="00E54D1A"/>
    <w:rsid w:val="00E54F74"/>
    <w:rsid w:val="00E55588"/>
    <w:rsid w:val="00E557E1"/>
    <w:rsid w:val="00E55910"/>
    <w:rsid w:val="00E60770"/>
    <w:rsid w:val="00E61BF3"/>
    <w:rsid w:val="00E62015"/>
    <w:rsid w:val="00E62D7F"/>
    <w:rsid w:val="00E62EF4"/>
    <w:rsid w:val="00E64711"/>
    <w:rsid w:val="00E64B41"/>
    <w:rsid w:val="00E65859"/>
    <w:rsid w:val="00E65A1E"/>
    <w:rsid w:val="00E663A2"/>
    <w:rsid w:val="00E66475"/>
    <w:rsid w:val="00E67441"/>
    <w:rsid w:val="00E677EE"/>
    <w:rsid w:val="00E67DF6"/>
    <w:rsid w:val="00E67FAD"/>
    <w:rsid w:val="00E70839"/>
    <w:rsid w:val="00E7222A"/>
    <w:rsid w:val="00E72510"/>
    <w:rsid w:val="00E725C5"/>
    <w:rsid w:val="00E72EA3"/>
    <w:rsid w:val="00E732FA"/>
    <w:rsid w:val="00E73AB6"/>
    <w:rsid w:val="00E73D9D"/>
    <w:rsid w:val="00E7401C"/>
    <w:rsid w:val="00E7485C"/>
    <w:rsid w:val="00E74899"/>
    <w:rsid w:val="00E74A2F"/>
    <w:rsid w:val="00E74C85"/>
    <w:rsid w:val="00E75F8E"/>
    <w:rsid w:val="00E762D6"/>
    <w:rsid w:val="00E76B2A"/>
    <w:rsid w:val="00E776D4"/>
    <w:rsid w:val="00E81BF2"/>
    <w:rsid w:val="00E82C56"/>
    <w:rsid w:val="00E82CDD"/>
    <w:rsid w:val="00E836FD"/>
    <w:rsid w:val="00E83C91"/>
    <w:rsid w:val="00E83E80"/>
    <w:rsid w:val="00E83E9E"/>
    <w:rsid w:val="00E83ECF"/>
    <w:rsid w:val="00E85E4B"/>
    <w:rsid w:val="00E8701D"/>
    <w:rsid w:val="00E90C28"/>
    <w:rsid w:val="00E92642"/>
    <w:rsid w:val="00E928EE"/>
    <w:rsid w:val="00E92C51"/>
    <w:rsid w:val="00E95058"/>
    <w:rsid w:val="00E955CC"/>
    <w:rsid w:val="00E9564A"/>
    <w:rsid w:val="00E95712"/>
    <w:rsid w:val="00E968EE"/>
    <w:rsid w:val="00E96ED6"/>
    <w:rsid w:val="00E973EF"/>
    <w:rsid w:val="00E97D4E"/>
    <w:rsid w:val="00EA017B"/>
    <w:rsid w:val="00EA052F"/>
    <w:rsid w:val="00EA1458"/>
    <w:rsid w:val="00EA1F48"/>
    <w:rsid w:val="00EA2D45"/>
    <w:rsid w:val="00EA3739"/>
    <w:rsid w:val="00EA4F33"/>
    <w:rsid w:val="00EA63DF"/>
    <w:rsid w:val="00EA665A"/>
    <w:rsid w:val="00EA720B"/>
    <w:rsid w:val="00EA770C"/>
    <w:rsid w:val="00EA7D57"/>
    <w:rsid w:val="00EB1BFE"/>
    <w:rsid w:val="00EB2A91"/>
    <w:rsid w:val="00EB2B51"/>
    <w:rsid w:val="00EB3706"/>
    <w:rsid w:val="00EB389F"/>
    <w:rsid w:val="00EB5371"/>
    <w:rsid w:val="00EB56B4"/>
    <w:rsid w:val="00EB653C"/>
    <w:rsid w:val="00EB750B"/>
    <w:rsid w:val="00EC0CDA"/>
    <w:rsid w:val="00EC0EF6"/>
    <w:rsid w:val="00EC0F23"/>
    <w:rsid w:val="00EC0F32"/>
    <w:rsid w:val="00EC18E4"/>
    <w:rsid w:val="00EC1DAD"/>
    <w:rsid w:val="00EC2B43"/>
    <w:rsid w:val="00EC3987"/>
    <w:rsid w:val="00EC5169"/>
    <w:rsid w:val="00EC5514"/>
    <w:rsid w:val="00EC6139"/>
    <w:rsid w:val="00EC629C"/>
    <w:rsid w:val="00EC6FC7"/>
    <w:rsid w:val="00EC7ACA"/>
    <w:rsid w:val="00EC7C8C"/>
    <w:rsid w:val="00ED0CE8"/>
    <w:rsid w:val="00ED14F2"/>
    <w:rsid w:val="00ED2520"/>
    <w:rsid w:val="00ED25F6"/>
    <w:rsid w:val="00ED2B86"/>
    <w:rsid w:val="00ED3067"/>
    <w:rsid w:val="00ED3D1B"/>
    <w:rsid w:val="00ED4199"/>
    <w:rsid w:val="00ED421D"/>
    <w:rsid w:val="00ED4C37"/>
    <w:rsid w:val="00ED506D"/>
    <w:rsid w:val="00ED6B5B"/>
    <w:rsid w:val="00ED6BDD"/>
    <w:rsid w:val="00EE0580"/>
    <w:rsid w:val="00EE0A73"/>
    <w:rsid w:val="00EE0F20"/>
    <w:rsid w:val="00EE1158"/>
    <w:rsid w:val="00EE1B8B"/>
    <w:rsid w:val="00EE2E88"/>
    <w:rsid w:val="00EE4033"/>
    <w:rsid w:val="00EE477A"/>
    <w:rsid w:val="00EE4E9D"/>
    <w:rsid w:val="00EE5D1F"/>
    <w:rsid w:val="00EE5F24"/>
    <w:rsid w:val="00EE621F"/>
    <w:rsid w:val="00EE6A31"/>
    <w:rsid w:val="00EE6B34"/>
    <w:rsid w:val="00EE7A3B"/>
    <w:rsid w:val="00EE7E19"/>
    <w:rsid w:val="00EF0E1A"/>
    <w:rsid w:val="00EF13D3"/>
    <w:rsid w:val="00EF15C9"/>
    <w:rsid w:val="00EF1752"/>
    <w:rsid w:val="00EF1C44"/>
    <w:rsid w:val="00EF2AB2"/>
    <w:rsid w:val="00EF3062"/>
    <w:rsid w:val="00EF3350"/>
    <w:rsid w:val="00EF3AE4"/>
    <w:rsid w:val="00EF4146"/>
    <w:rsid w:val="00EF4ADE"/>
    <w:rsid w:val="00EF609F"/>
    <w:rsid w:val="00EF66D2"/>
    <w:rsid w:val="00EF7437"/>
    <w:rsid w:val="00EF7B33"/>
    <w:rsid w:val="00F00299"/>
    <w:rsid w:val="00F00D4E"/>
    <w:rsid w:val="00F01362"/>
    <w:rsid w:val="00F02A84"/>
    <w:rsid w:val="00F0318C"/>
    <w:rsid w:val="00F03CD7"/>
    <w:rsid w:val="00F050D7"/>
    <w:rsid w:val="00F055D9"/>
    <w:rsid w:val="00F0684E"/>
    <w:rsid w:val="00F07168"/>
    <w:rsid w:val="00F07442"/>
    <w:rsid w:val="00F07711"/>
    <w:rsid w:val="00F100C7"/>
    <w:rsid w:val="00F10E17"/>
    <w:rsid w:val="00F11391"/>
    <w:rsid w:val="00F1146B"/>
    <w:rsid w:val="00F12C91"/>
    <w:rsid w:val="00F14D41"/>
    <w:rsid w:val="00F153ED"/>
    <w:rsid w:val="00F15BD2"/>
    <w:rsid w:val="00F15D23"/>
    <w:rsid w:val="00F16275"/>
    <w:rsid w:val="00F17201"/>
    <w:rsid w:val="00F17AA7"/>
    <w:rsid w:val="00F20973"/>
    <w:rsid w:val="00F21615"/>
    <w:rsid w:val="00F22CDB"/>
    <w:rsid w:val="00F23A7E"/>
    <w:rsid w:val="00F24537"/>
    <w:rsid w:val="00F24558"/>
    <w:rsid w:val="00F248DD"/>
    <w:rsid w:val="00F25877"/>
    <w:rsid w:val="00F261E2"/>
    <w:rsid w:val="00F26F5F"/>
    <w:rsid w:val="00F274A0"/>
    <w:rsid w:val="00F275E9"/>
    <w:rsid w:val="00F27985"/>
    <w:rsid w:val="00F27E17"/>
    <w:rsid w:val="00F3047A"/>
    <w:rsid w:val="00F30803"/>
    <w:rsid w:val="00F31853"/>
    <w:rsid w:val="00F32371"/>
    <w:rsid w:val="00F32755"/>
    <w:rsid w:val="00F32DC7"/>
    <w:rsid w:val="00F34386"/>
    <w:rsid w:val="00F34483"/>
    <w:rsid w:val="00F36659"/>
    <w:rsid w:val="00F369F8"/>
    <w:rsid w:val="00F37E3E"/>
    <w:rsid w:val="00F40C6F"/>
    <w:rsid w:val="00F4100E"/>
    <w:rsid w:val="00F41536"/>
    <w:rsid w:val="00F41AF7"/>
    <w:rsid w:val="00F425B3"/>
    <w:rsid w:val="00F42F9F"/>
    <w:rsid w:val="00F435EA"/>
    <w:rsid w:val="00F4382D"/>
    <w:rsid w:val="00F43CF2"/>
    <w:rsid w:val="00F44718"/>
    <w:rsid w:val="00F45D53"/>
    <w:rsid w:val="00F465C3"/>
    <w:rsid w:val="00F468DE"/>
    <w:rsid w:val="00F46FBF"/>
    <w:rsid w:val="00F472A3"/>
    <w:rsid w:val="00F47604"/>
    <w:rsid w:val="00F50031"/>
    <w:rsid w:val="00F528C6"/>
    <w:rsid w:val="00F5336F"/>
    <w:rsid w:val="00F53BE6"/>
    <w:rsid w:val="00F54959"/>
    <w:rsid w:val="00F56041"/>
    <w:rsid w:val="00F57BB7"/>
    <w:rsid w:val="00F60089"/>
    <w:rsid w:val="00F604DB"/>
    <w:rsid w:val="00F6075F"/>
    <w:rsid w:val="00F60B21"/>
    <w:rsid w:val="00F60B5F"/>
    <w:rsid w:val="00F61646"/>
    <w:rsid w:val="00F6230B"/>
    <w:rsid w:val="00F62A08"/>
    <w:rsid w:val="00F62A2E"/>
    <w:rsid w:val="00F62D1E"/>
    <w:rsid w:val="00F62E58"/>
    <w:rsid w:val="00F631CB"/>
    <w:rsid w:val="00F63602"/>
    <w:rsid w:val="00F63960"/>
    <w:rsid w:val="00F6437A"/>
    <w:rsid w:val="00F64A34"/>
    <w:rsid w:val="00F659C4"/>
    <w:rsid w:val="00F67063"/>
    <w:rsid w:val="00F6733C"/>
    <w:rsid w:val="00F67F89"/>
    <w:rsid w:val="00F70DC1"/>
    <w:rsid w:val="00F70E5B"/>
    <w:rsid w:val="00F7144D"/>
    <w:rsid w:val="00F7258A"/>
    <w:rsid w:val="00F74096"/>
    <w:rsid w:val="00F745F6"/>
    <w:rsid w:val="00F74993"/>
    <w:rsid w:val="00F74B20"/>
    <w:rsid w:val="00F756C2"/>
    <w:rsid w:val="00F75802"/>
    <w:rsid w:val="00F75C98"/>
    <w:rsid w:val="00F75DE5"/>
    <w:rsid w:val="00F76FB6"/>
    <w:rsid w:val="00F772FC"/>
    <w:rsid w:val="00F77389"/>
    <w:rsid w:val="00F80BE7"/>
    <w:rsid w:val="00F8148E"/>
    <w:rsid w:val="00F81F24"/>
    <w:rsid w:val="00F822BF"/>
    <w:rsid w:val="00F83043"/>
    <w:rsid w:val="00F83513"/>
    <w:rsid w:val="00F83AB3"/>
    <w:rsid w:val="00F83C08"/>
    <w:rsid w:val="00F83C57"/>
    <w:rsid w:val="00F8418E"/>
    <w:rsid w:val="00F845B9"/>
    <w:rsid w:val="00F84E0A"/>
    <w:rsid w:val="00F84F82"/>
    <w:rsid w:val="00F8687B"/>
    <w:rsid w:val="00F87278"/>
    <w:rsid w:val="00F9047B"/>
    <w:rsid w:val="00F91338"/>
    <w:rsid w:val="00F91BAB"/>
    <w:rsid w:val="00F927DE"/>
    <w:rsid w:val="00F9378A"/>
    <w:rsid w:val="00F94274"/>
    <w:rsid w:val="00F94B13"/>
    <w:rsid w:val="00F94DC3"/>
    <w:rsid w:val="00F94F28"/>
    <w:rsid w:val="00F96A97"/>
    <w:rsid w:val="00F97284"/>
    <w:rsid w:val="00FA0196"/>
    <w:rsid w:val="00FA0FC9"/>
    <w:rsid w:val="00FA1BCF"/>
    <w:rsid w:val="00FA2048"/>
    <w:rsid w:val="00FA2090"/>
    <w:rsid w:val="00FA25DB"/>
    <w:rsid w:val="00FA293C"/>
    <w:rsid w:val="00FA433D"/>
    <w:rsid w:val="00FA43C8"/>
    <w:rsid w:val="00FA4D08"/>
    <w:rsid w:val="00FA51BA"/>
    <w:rsid w:val="00FA5658"/>
    <w:rsid w:val="00FA59D7"/>
    <w:rsid w:val="00FB0618"/>
    <w:rsid w:val="00FB116A"/>
    <w:rsid w:val="00FB159F"/>
    <w:rsid w:val="00FB2B1A"/>
    <w:rsid w:val="00FB2FCC"/>
    <w:rsid w:val="00FB3364"/>
    <w:rsid w:val="00FB4076"/>
    <w:rsid w:val="00FB43B7"/>
    <w:rsid w:val="00FB4E14"/>
    <w:rsid w:val="00FB5304"/>
    <w:rsid w:val="00FB5AA7"/>
    <w:rsid w:val="00FB5BFF"/>
    <w:rsid w:val="00FB701C"/>
    <w:rsid w:val="00FC086F"/>
    <w:rsid w:val="00FC0E20"/>
    <w:rsid w:val="00FC1616"/>
    <w:rsid w:val="00FC3937"/>
    <w:rsid w:val="00FC40B7"/>
    <w:rsid w:val="00FC5023"/>
    <w:rsid w:val="00FC637C"/>
    <w:rsid w:val="00FC795B"/>
    <w:rsid w:val="00FD0A98"/>
    <w:rsid w:val="00FD0EA1"/>
    <w:rsid w:val="00FD1C96"/>
    <w:rsid w:val="00FD1D52"/>
    <w:rsid w:val="00FD1F84"/>
    <w:rsid w:val="00FD22D3"/>
    <w:rsid w:val="00FD251F"/>
    <w:rsid w:val="00FD2E6E"/>
    <w:rsid w:val="00FD424D"/>
    <w:rsid w:val="00FD4628"/>
    <w:rsid w:val="00FD47B9"/>
    <w:rsid w:val="00FD489F"/>
    <w:rsid w:val="00FD4973"/>
    <w:rsid w:val="00FD6081"/>
    <w:rsid w:val="00FD6336"/>
    <w:rsid w:val="00FD6D7E"/>
    <w:rsid w:val="00FD7EF3"/>
    <w:rsid w:val="00FE0812"/>
    <w:rsid w:val="00FE0B44"/>
    <w:rsid w:val="00FE0CB5"/>
    <w:rsid w:val="00FE0EF2"/>
    <w:rsid w:val="00FE1945"/>
    <w:rsid w:val="00FE1E65"/>
    <w:rsid w:val="00FE2364"/>
    <w:rsid w:val="00FE38BC"/>
    <w:rsid w:val="00FE408D"/>
    <w:rsid w:val="00FE44FB"/>
    <w:rsid w:val="00FE5443"/>
    <w:rsid w:val="00FE5EC1"/>
    <w:rsid w:val="00FE62EC"/>
    <w:rsid w:val="00FE6947"/>
    <w:rsid w:val="00FE710A"/>
    <w:rsid w:val="00FE7E6D"/>
    <w:rsid w:val="00FF0511"/>
    <w:rsid w:val="00FF0C0F"/>
    <w:rsid w:val="00FF13DD"/>
    <w:rsid w:val="00FF18AB"/>
    <w:rsid w:val="00FF1EE8"/>
    <w:rsid w:val="00FF3396"/>
    <w:rsid w:val="00FF507C"/>
    <w:rsid w:val="00FF5F34"/>
    <w:rsid w:val="00FF642E"/>
    <w:rsid w:val="00FF677A"/>
    <w:rsid w:val="00FF6838"/>
    <w:rsid w:val="00FF6A4F"/>
    <w:rsid w:val="00FF7344"/>
    <w:rsid w:val="0111779F"/>
    <w:rsid w:val="015E26EE"/>
    <w:rsid w:val="01DD5E77"/>
    <w:rsid w:val="01E4102C"/>
    <w:rsid w:val="02866687"/>
    <w:rsid w:val="02A01621"/>
    <w:rsid w:val="02CF77E3"/>
    <w:rsid w:val="039D7403"/>
    <w:rsid w:val="03AD13AC"/>
    <w:rsid w:val="03E4702D"/>
    <w:rsid w:val="03FD3CFB"/>
    <w:rsid w:val="04401935"/>
    <w:rsid w:val="046B5557"/>
    <w:rsid w:val="04BA4202"/>
    <w:rsid w:val="04CC7AC9"/>
    <w:rsid w:val="04EB0573"/>
    <w:rsid w:val="04EC79F8"/>
    <w:rsid w:val="05184702"/>
    <w:rsid w:val="054144F3"/>
    <w:rsid w:val="057B7642"/>
    <w:rsid w:val="05B41434"/>
    <w:rsid w:val="05BF5A3F"/>
    <w:rsid w:val="05CC657A"/>
    <w:rsid w:val="05CF5F11"/>
    <w:rsid w:val="05E15ADD"/>
    <w:rsid w:val="05F01069"/>
    <w:rsid w:val="060177A9"/>
    <w:rsid w:val="064D4061"/>
    <w:rsid w:val="064F530D"/>
    <w:rsid w:val="06795EFA"/>
    <w:rsid w:val="07927F8D"/>
    <w:rsid w:val="07E57DCD"/>
    <w:rsid w:val="07EA49A8"/>
    <w:rsid w:val="07FC03D1"/>
    <w:rsid w:val="085A47BF"/>
    <w:rsid w:val="085A5D9C"/>
    <w:rsid w:val="087D77AC"/>
    <w:rsid w:val="08805454"/>
    <w:rsid w:val="08DB248F"/>
    <w:rsid w:val="090C4602"/>
    <w:rsid w:val="09170E56"/>
    <w:rsid w:val="092D1CBF"/>
    <w:rsid w:val="094E1E96"/>
    <w:rsid w:val="09C21316"/>
    <w:rsid w:val="09C83368"/>
    <w:rsid w:val="09F17FA3"/>
    <w:rsid w:val="0B0B6B53"/>
    <w:rsid w:val="0B12510E"/>
    <w:rsid w:val="0B8E5FA0"/>
    <w:rsid w:val="0BA50EEA"/>
    <w:rsid w:val="0BAE7EBF"/>
    <w:rsid w:val="0C283B62"/>
    <w:rsid w:val="0C7D7289"/>
    <w:rsid w:val="0CE70809"/>
    <w:rsid w:val="0CF956B3"/>
    <w:rsid w:val="0D480E10"/>
    <w:rsid w:val="0D7F7631"/>
    <w:rsid w:val="0EC837EC"/>
    <w:rsid w:val="0ECA7307"/>
    <w:rsid w:val="0EF116EF"/>
    <w:rsid w:val="0EF5483E"/>
    <w:rsid w:val="0F3F04BE"/>
    <w:rsid w:val="0F611C71"/>
    <w:rsid w:val="0FF45D9B"/>
    <w:rsid w:val="10924095"/>
    <w:rsid w:val="1134711F"/>
    <w:rsid w:val="11417380"/>
    <w:rsid w:val="11A35450"/>
    <w:rsid w:val="12430673"/>
    <w:rsid w:val="12487B28"/>
    <w:rsid w:val="128852B9"/>
    <w:rsid w:val="12B87C70"/>
    <w:rsid w:val="1304196F"/>
    <w:rsid w:val="136E3EF6"/>
    <w:rsid w:val="13DD07AA"/>
    <w:rsid w:val="14370997"/>
    <w:rsid w:val="14D46EE6"/>
    <w:rsid w:val="153C5091"/>
    <w:rsid w:val="155F3DA8"/>
    <w:rsid w:val="15D30871"/>
    <w:rsid w:val="166070C4"/>
    <w:rsid w:val="16790B32"/>
    <w:rsid w:val="16D249B2"/>
    <w:rsid w:val="16F975B7"/>
    <w:rsid w:val="187B7A29"/>
    <w:rsid w:val="189578F6"/>
    <w:rsid w:val="18DC7C0F"/>
    <w:rsid w:val="197E14D4"/>
    <w:rsid w:val="19EA71F3"/>
    <w:rsid w:val="1A0339D6"/>
    <w:rsid w:val="1A1832E5"/>
    <w:rsid w:val="1A3F765B"/>
    <w:rsid w:val="1AF13D06"/>
    <w:rsid w:val="1AF40C41"/>
    <w:rsid w:val="1B5D7CCF"/>
    <w:rsid w:val="1B821D48"/>
    <w:rsid w:val="1BA103B8"/>
    <w:rsid w:val="1BA50ED5"/>
    <w:rsid w:val="1BF5062A"/>
    <w:rsid w:val="1C055862"/>
    <w:rsid w:val="1C057370"/>
    <w:rsid w:val="1C213E1A"/>
    <w:rsid w:val="1C2D35AD"/>
    <w:rsid w:val="1C58318F"/>
    <w:rsid w:val="1CCF0E83"/>
    <w:rsid w:val="1CFD04F5"/>
    <w:rsid w:val="1D070E24"/>
    <w:rsid w:val="1D43377F"/>
    <w:rsid w:val="1D8F5EC9"/>
    <w:rsid w:val="1E654F82"/>
    <w:rsid w:val="1ED33FB6"/>
    <w:rsid w:val="1ED54DF8"/>
    <w:rsid w:val="1EE85B65"/>
    <w:rsid w:val="1EF424A3"/>
    <w:rsid w:val="1F4B6707"/>
    <w:rsid w:val="1F64741E"/>
    <w:rsid w:val="1FDD5E44"/>
    <w:rsid w:val="2027280B"/>
    <w:rsid w:val="202D47D4"/>
    <w:rsid w:val="20BB7D17"/>
    <w:rsid w:val="20C5782C"/>
    <w:rsid w:val="20CB5EB6"/>
    <w:rsid w:val="20CB71D8"/>
    <w:rsid w:val="20F55779"/>
    <w:rsid w:val="21247011"/>
    <w:rsid w:val="213E37D6"/>
    <w:rsid w:val="21556224"/>
    <w:rsid w:val="21626206"/>
    <w:rsid w:val="21827141"/>
    <w:rsid w:val="21A773A1"/>
    <w:rsid w:val="23FC66AE"/>
    <w:rsid w:val="242A0B1C"/>
    <w:rsid w:val="242A5EB9"/>
    <w:rsid w:val="246D27F6"/>
    <w:rsid w:val="24BE2127"/>
    <w:rsid w:val="24F46AA1"/>
    <w:rsid w:val="260E0413"/>
    <w:rsid w:val="26BC06CE"/>
    <w:rsid w:val="27006FF4"/>
    <w:rsid w:val="27307827"/>
    <w:rsid w:val="2760700D"/>
    <w:rsid w:val="27907A19"/>
    <w:rsid w:val="279A4F10"/>
    <w:rsid w:val="27A424B1"/>
    <w:rsid w:val="289F6214"/>
    <w:rsid w:val="28CD6F6F"/>
    <w:rsid w:val="28F60B2A"/>
    <w:rsid w:val="29106B2B"/>
    <w:rsid w:val="297E0FB4"/>
    <w:rsid w:val="29A87F57"/>
    <w:rsid w:val="2A1E1C0C"/>
    <w:rsid w:val="2AA02CE2"/>
    <w:rsid w:val="2AB87D71"/>
    <w:rsid w:val="2AC670C5"/>
    <w:rsid w:val="2ADC2444"/>
    <w:rsid w:val="2AE800F4"/>
    <w:rsid w:val="2AF615D8"/>
    <w:rsid w:val="2BAB6F7D"/>
    <w:rsid w:val="2BDC6196"/>
    <w:rsid w:val="2BE9410E"/>
    <w:rsid w:val="2BEC37E2"/>
    <w:rsid w:val="2C5F486A"/>
    <w:rsid w:val="2D861E09"/>
    <w:rsid w:val="2D937660"/>
    <w:rsid w:val="2E44259E"/>
    <w:rsid w:val="2E7C01E1"/>
    <w:rsid w:val="2E883D14"/>
    <w:rsid w:val="2ECA5384"/>
    <w:rsid w:val="2EFD3C9E"/>
    <w:rsid w:val="2F3A33B2"/>
    <w:rsid w:val="2F8A6913"/>
    <w:rsid w:val="2FF344D2"/>
    <w:rsid w:val="301D10FC"/>
    <w:rsid w:val="307E36DC"/>
    <w:rsid w:val="3084790D"/>
    <w:rsid w:val="30882BA1"/>
    <w:rsid w:val="308E5631"/>
    <w:rsid w:val="31364D63"/>
    <w:rsid w:val="31C45F6A"/>
    <w:rsid w:val="325D03C5"/>
    <w:rsid w:val="326C34F4"/>
    <w:rsid w:val="32940051"/>
    <w:rsid w:val="332602E8"/>
    <w:rsid w:val="332B0B11"/>
    <w:rsid w:val="3348417B"/>
    <w:rsid w:val="33B95504"/>
    <w:rsid w:val="33E92385"/>
    <w:rsid w:val="34031313"/>
    <w:rsid w:val="342F6C93"/>
    <w:rsid w:val="349316AD"/>
    <w:rsid w:val="34AD0DF8"/>
    <w:rsid w:val="34B60121"/>
    <w:rsid w:val="34DC7262"/>
    <w:rsid w:val="35154ED0"/>
    <w:rsid w:val="355E3760"/>
    <w:rsid w:val="35A46387"/>
    <w:rsid w:val="367361FE"/>
    <w:rsid w:val="36E302B5"/>
    <w:rsid w:val="372969A6"/>
    <w:rsid w:val="37BB2E0B"/>
    <w:rsid w:val="37D83F93"/>
    <w:rsid w:val="38007937"/>
    <w:rsid w:val="38286BF6"/>
    <w:rsid w:val="3871631D"/>
    <w:rsid w:val="38CB2ED4"/>
    <w:rsid w:val="38CF5CC8"/>
    <w:rsid w:val="38FB4778"/>
    <w:rsid w:val="398003E9"/>
    <w:rsid w:val="39970620"/>
    <w:rsid w:val="39A80EB0"/>
    <w:rsid w:val="3A55038B"/>
    <w:rsid w:val="3AAC169A"/>
    <w:rsid w:val="3AB2015D"/>
    <w:rsid w:val="3AED6428"/>
    <w:rsid w:val="3AF46516"/>
    <w:rsid w:val="3B702E61"/>
    <w:rsid w:val="3B933AFB"/>
    <w:rsid w:val="3BE21884"/>
    <w:rsid w:val="3BE606AB"/>
    <w:rsid w:val="3C01699B"/>
    <w:rsid w:val="3CD3741E"/>
    <w:rsid w:val="3CD81137"/>
    <w:rsid w:val="3D3103CE"/>
    <w:rsid w:val="3D4924B7"/>
    <w:rsid w:val="3D4E7F62"/>
    <w:rsid w:val="3D654E70"/>
    <w:rsid w:val="3DDC4B6E"/>
    <w:rsid w:val="3E902DFF"/>
    <w:rsid w:val="3FB06028"/>
    <w:rsid w:val="40E553D5"/>
    <w:rsid w:val="41150A09"/>
    <w:rsid w:val="412B0723"/>
    <w:rsid w:val="416E4C3D"/>
    <w:rsid w:val="41A9209A"/>
    <w:rsid w:val="42547E3B"/>
    <w:rsid w:val="42D62A0E"/>
    <w:rsid w:val="42FF0554"/>
    <w:rsid w:val="4345511B"/>
    <w:rsid w:val="43547BA6"/>
    <w:rsid w:val="4380762E"/>
    <w:rsid w:val="43A21451"/>
    <w:rsid w:val="44213356"/>
    <w:rsid w:val="447D4D4F"/>
    <w:rsid w:val="44B40CD5"/>
    <w:rsid w:val="44C71A88"/>
    <w:rsid w:val="44F12CAA"/>
    <w:rsid w:val="451677C8"/>
    <w:rsid w:val="4545710C"/>
    <w:rsid w:val="456345AC"/>
    <w:rsid w:val="45675D9F"/>
    <w:rsid w:val="45DB1EE3"/>
    <w:rsid w:val="4616188D"/>
    <w:rsid w:val="46333E81"/>
    <w:rsid w:val="46406C9A"/>
    <w:rsid w:val="46671839"/>
    <w:rsid w:val="4683163E"/>
    <w:rsid w:val="46C320A6"/>
    <w:rsid w:val="47031BB9"/>
    <w:rsid w:val="477E3491"/>
    <w:rsid w:val="4840346D"/>
    <w:rsid w:val="48680ECC"/>
    <w:rsid w:val="48FD5959"/>
    <w:rsid w:val="4901507A"/>
    <w:rsid w:val="49A55F90"/>
    <w:rsid w:val="49C96051"/>
    <w:rsid w:val="49F70BF1"/>
    <w:rsid w:val="4A4E6966"/>
    <w:rsid w:val="4A520C69"/>
    <w:rsid w:val="4A607280"/>
    <w:rsid w:val="4A906EB2"/>
    <w:rsid w:val="4A9877D6"/>
    <w:rsid w:val="4AFD2237"/>
    <w:rsid w:val="4B2961B9"/>
    <w:rsid w:val="4B54156D"/>
    <w:rsid w:val="4B941700"/>
    <w:rsid w:val="4BFB7D96"/>
    <w:rsid w:val="4C49505E"/>
    <w:rsid w:val="4CA9606F"/>
    <w:rsid w:val="4CB97288"/>
    <w:rsid w:val="4CEA3B54"/>
    <w:rsid w:val="4CFB6967"/>
    <w:rsid w:val="4D2E0761"/>
    <w:rsid w:val="4DC26341"/>
    <w:rsid w:val="4DFA7D04"/>
    <w:rsid w:val="4E3E401F"/>
    <w:rsid w:val="4E914D01"/>
    <w:rsid w:val="4EE7683D"/>
    <w:rsid w:val="4F3C333F"/>
    <w:rsid w:val="4F7A3F06"/>
    <w:rsid w:val="4FA9426E"/>
    <w:rsid w:val="4FE76FEE"/>
    <w:rsid w:val="50291576"/>
    <w:rsid w:val="50387EC9"/>
    <w:rsid w:val="5052205F"/>
    <w:rsid w:val="509A1C73"/>
    <w:rsid w:val="50A81392"/>
    <w:rsid w:val="51494400"/>
    <w:rsid w:val="51894111"/>
    <w:rsid w:val="51A007AA"/>
    <w:rsid w:val="521C5099"/>
    <w:rsid w:val="528507DE"/>
    <w:rsid w:val="529B278A"/>
    <w:rsid w:val="52D37DCB"/>
    <w:rsid w:val="53376ADA"/>
    <w:rsid w:val="533F4CEE"/>
    <w:rsid w:val="536A77BD"/>
    <w:rsid w:val="536F231B"/>
    <w:rsid w:val="53AA275E"/>
    <w:rsid w:val="53C605B1"/>
    <w:rsid w:val="54246682"/>
    <w:rsid w:val="54423B60"/>
    <w:rsid w:val="544E4847"/>
    <w:rsid w:val="5498601B"/>
    <w:rsid w:val="55740F0C"/>
    <w:rsid w:val="55A82D9F"/>
    <w:rsid w:val="55AD05A3"/>
    <w:rsid w:val="55E45605"/>
    <w:rsid w:val="56E755C8"/>
    <w:rsid w:val="57704E2E"/>
    <w:rsid w:val="57E00F33"/>
    <w:rsid w:val="58485925"/>
    <w:rsid w:val="58AA5E1A"/>
    <w:rsid w:val="58B42820"/>
    <w:rsid w:val="590A5666"/>
    <w:rsid w:val="599A0FE5"/>
    <w:rsid w:val="599A78B4"/>
    <w:rsid w:val="59F271C5"/>
    <w:rsid w:val="5A3D7F5A"/>
    <w:rsid w:val="5A435F69"/>
    <w:rsid w:val="5A540F6B"/>
    <w:rsid w:val="5ABF64C8"/>
    <w:rsid w:val="5AE12DF7"/>
    <w:rsid w:val="5AF06412"/>
    <w:rsid w:val="5BAF5677"/>
    <w:rsid w:val="5BD3526C"/>
    <w:rsid w:val="5BE07777"/>
    <w:rsid w:val="5BE9386D"/>
    <w:rsid w:val="5C661D71"/>
    <w:rsid w:val="5CAC59A0"/>
    <w:rsid w:val="5CB7063C"/>
    <w:rsid w:val="5CD35709"/>
    <w:rsid w:val="5CFF7F05"/>
    <w:rsid w:val="5D030C5C"/>
    <w:rsid w:val="5D1F7B01"/>
    <w:rsid w:val="5D4C4AFA"/>
    <w:rsid w:val="5D583DB6"/>
    <w:rsid w:val="5D6B0FD1"/>
    <w:rsid w:val="5E045613"/>
    <w:rsid w:val="5E3C6D97"/>
    <w:rsid w:val="5ECD2321"/>
    <w:rsid w:val="5F7E6F1C"/>
    <w:rsid w:val="603E67DA"/>
    <w:rsid w:val="60E74D71"/>
    <w:rsid w:val="60F66071"/>
    <w:rsid w:val="61013BD9"/>
    <w:rsid w:val="61B26D7B"/>
    <w:rsid w:val="61D94E6D"/>
    <w:rsid w:val="62346B49"/>
    <w:rsid w:val="629D56D3"/>
    <w:rsid w:val="62A057D8"/>
    <w:rsid w:val="62BC4DF2"/>
    <w:rsid w:val="631046AA"/>
    <w:rsid w:val="633211DE"/>
    <w:rsid w:val="63CB3D8B"/>
    <w:rsid w:val="63F0603D"/>
    <w:rsid w:val="64102907"/>
    <w:rsid w:val="64692017"/>
    <w:rsid w:val="648700E8"/>
    <w:rsid w:val="64A37553"/>
    <w:rsid w:val="64C1050B"/>
    <w:rsid w:val="65B31C9E"/>
    <w:rsid w:val="65B8754F"/>
    <w:rsid w:val="665B58A3"/>
    <w:rsid w:val="66D65031"/>
    <w:rsid w:val="670B6A7B"/>
    <w:rsid w:val="671A1DC5"/>
    <w:rsid w:val="6721173E"/>
    <w:rsid w:val="673752E8"/>
    <w:rsid w:val="675B27E4"/>
    <w:rsid w:val="67B927DC"/>
    <w:rsid w:val="68330A12"/>
    <w:rsid w:val="6953498D"/>
    <w:rsid w:val="698F70E0"/>
    <w:rsid w:val="6A773014"/>
    <w:rsid w:val="6AAB113E"/>
    <w:rsid w:val="6B05560F"/>
    <w:rsid w:val="6B565C50"/>
    <w:rsid w:val="6BEF516F"/>
    <w:rsid w:val="6C274E1F"/>
    <w:rsid w:val="6C944351"/>
    <w:rsid w:val="6CB70064"/>
    <w:rsid w:val="6CC94A67"/>
    <w:rsid w:val="6D0A1123"/>
    <w:rsid w:val="6D0F4C8D"/>
    <w:rsid w:val="6D212753"/>
    <w:rsid w:val="6DAB60CA"/>
    <w:rsid w:val="6DBF2BD8"/>
    <w:rsid w:val="6DC5609A"/>
    <w:rsid w:val="6DE00DFA"/>
    <w:rsid w:val="6E1B6684"/>
    <w:rsid w:val="6F343D32"/>
    <w:rsid w:val="6F800BBD"/>
    <w:rsid w:val="6F8C21C4"/>
    <w:rsid w:val="700510C2"/>
    <w:rsid w:val="702C2AF3"/>
    <w:rsid w:val="704E1F61"/>
    <w:rsid w:val="7062494A"/>
    <w:rsid w:val="712D67BD"/>
    <w:rsid w:val="71307EC9"/>
    <w:rsid w:val="71591B4B"/>
    <w:rsid w:val="71606D24"/>
    <w:rsid w:val="71B02EC3"/>
    <w:rsid w:val="71E546CC"/>
    <w:rsid w:val="723F53B1"/>
    <w:rsid w:val="72DC6774"/>
    <w:rsid w:val="72E10A70"/>
    <w:rsid w:val="732968B0"/>
    <w:rsid w:val="73F62525"/>
    <w:rsid w:val="741305C3"/>
    <w:rsid w:val="743B200D"/>
    <w:rsid w:val="748D0358"/>
    <w:rsid w:val="748D7E3A"/>
    <w:rsid w:val="74DA1431"/>
    <w:rsid w:val="75A93F80"/>
    <w:rsid w:val="75E07F9E"/>
    <w:rsid w:val="76083D29"/>
    <w:rsid w:val="76FC0100"/>
    <w:rsid w:val="772426D2"/>
    <w:rsid w:val="780B3D70"/>
    <w:rsid w:val="784349CF"/>
    <w:rsid w:val="78B4050B"/>
    <w:rsid w:val="79144850"/>
    <w:rsid w:val="791864CF"/>
    <w:rsid w:val="792B4762"/>
    <w:rsid w:val="79685748"/>
    <w:rsid w:val="79CA7984"/>
    <w:rsid w:val="7A212F9C"/>
    <w:rsid w:val="7A3417D5"/>
    <w:rsid w:val="7A365AD5"/>
    <w:rsid w:val="7A9F26C7"/>
    <w:rsid w:val="7AA159DE"/>
    <w:rsid w:val="7B614450"/>
    <w:rsid w:val="7B656E15"/>
    <w:rsid w:val="7BAC5D14"/>
    <w:rsid w:val="7C14594A"/>
    <w:rsid w:val="7C1E0794"/>
    <w:rsid w:val="7C7C6B16"/>
    <w:rsid w:val="7CA72AFD"/>
    <w:rsid w:val="7CE161C2"/>
    <w:rsid w:val="7D212E8C"/>
    <w:rsid w:val="7D7F3F24"/>
    <w:rsid w:val="7D9064BA"/>
    <w:rsid w:val="7E311AE2"/>
    <w:rsid w:val="7E870DE0"/>
    <w:rsid w:val="7E901B59"/>
    <w:rsid w:val="7EAB0E2B"/>
    <w:rsid w:val="7F5453DB"/>
    <w:rsid w:val="7F946DF7"/>
    <w:rsid w:val="7FA40703"/>
    <w:rsid w:val="7FCD1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numPr>
        <w:ilvl w:val="3"/>
        <w:numId w:val="1"/>
      </w:numPr>
      <w:outlineLvl w:val="1"/>
    </w:pPr>
    <w:rPr>
      <w:sz w:val="28"/>
    </w:rPr>
  </w:style>
  <w:style w:type="paragraph" w:styleId="4">
    <w:name w:val="heading 3"/>
    <w:basedOn w:val="1"/>
    <w:next w:val="1"/>
    <w:autoRedefine/>
    <w:qFormat/>
    <w:uiPriority w:val="0"/>
    <w:pPr>
      <w:numPr>
        <w:ilvl w:val="2"/>
        <w:numId w:val="2"/>
      </w:numPr>
      <w:snapToGrid w:val="0"/>
      <w:spacing w:line="360" w:lineRule="auto"/>
      <w:jc w:val="left"/>
      <w:outlineLvl w:val="2"/>
    </w:pPr>
    <w:rPr>
      <w:rFonts w:ascii="微软雅黑" w:hAnsi="微软雅黑" w:eastAsia="微软雅黑" w:cs="Arial"/>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5">
    <w:name w:val="Normal Indent"/>
    <w:basedOn w:val="1"/>
    <w:next w:val="1"/>
    <w:autoRedefine/>
    <w:qFormat/>
    <w:uiPriority w:val="0"/>
    <w:pPr>
      <w:ind w:firstLine="420"/>
    </w:pPr>
    <w:rPr>
      <w:szCs w:val="20"/>
    </w:rPr>
  </w:style>
  <w:style w:type="paragraph" w:styleId="6">
    <w:name w:val="annotation text"/>
    <w:basedOn w:val="1"/>
    <w:autoRedefine/>
    <w:qFormat/>
    <w:uiPriority w:val="0"/>
    <w:pPr>
      <w:autoSpaceDE w:val="0"/>
      <w:autoSpaceDN w:val="0"/>
      <w:adjustRightInd w:val="0"/>
      <w:spacing w:line="315" w:lineRule="atLeast"/>
      <w:jc w:val="left"/>
    </w:pPr>
    <w:rPr>
      <w:rFonts w:ascii="宋体"/>
      <w:kern w:val="0"/>
      <w:sz w:val="24"/>
      <w:szCs w:val="20"/>
    </w:rPr>
  </w:style>
  <w:style w:type="paragraph" w:styleId="7">
    <w:name w:val="index 6"/>
    <w:next w:val="1"/>
    <w:autoRedefine/>
    <w:qFormat/>
    <w:uiPriority w:val="0"/>
    <w:pPr>
      <w:jc w:val="both"/>
    </w:pPr>
    <w:rPr>
      <w:rFonts w:ascii="Times New Roman" w:hAnsi="Times New Roman" w:eastAsia="宋体" w:cs="Times New Roman"/>
      <w:sz w:val="21"/>
      <w:szCs w:val="24"/>
      <w:lang w:val="en-US" w:eastAsia="zh-CN" w:bidi="ar-SA"/>
    </w:rPr>
  </w:style>
  <w:style w:type="paragraph" w:styleId="8">
    <w:name w:val="Body Text"/>
    <w:basedOn w:val="1"/>
    <w:link w:val="72"/>
    <w:autoRedefine/>
    <w:qFormat/>
    <w:uiPriority w:val="0"/>
    <w:pPr>
      <w:spacing w:after="120"/>
    </w:pPr>
  </w:style>
  <w:style w:type="paragraph" w:styleId="9">
    <w:name w:val="Body Text Indent"/>
    <w:basedOn w:val="1"/>
    <w:autoRedefine/>
    <w:semiHidden/>
    <w:qFormat/>
    <w:uiPriority w:val="0"/>
    <w:pPr>
      <w:spacing w:line="360" w:lineRule="auto"/>
      <w:ind w:left="720" w:hanging="720" w:hangingChars="300"/>
    </w:pPr>
    <w:rPr>
      <w:sz w:val="24"/>
      <w:szCs w:val="20"/>
    </w:rPr>
  </w:style>
  <w:style w:type="paragraph" w:styleId="10">
    <w:name w:val="Plain Text"/>
    <w:basedOn w:val="1"/>
    <w:link w:val="63"/>
    <w:autoRedefine/>
    <w:qFormat/>
    <w:uiPriority w:val="0"/>
    <w:rPr>
      <w:rFonts w:ascii="宋体" w:hAnsi="Courier New" w:cs="宋体"/>
      <w:szCs w:val="21"/>
    </w:rPr>
  </w:style>
  <w:style w:type="paragraph" w:styleId="11">
    <w:name w:val="Date"/>
    <w:basedOn w:val="1"/>
    <w:next w:val="1"/>
    <w:link w:val="54"/>
    <w:autoRedefine/>
    <w:qFormat/>
    <w:uiPriority w:val="0"/>
    <w:pPr>
      <w:ind w:left="100" w:leftChars="2500"/>
    </w:pPr>
  </w:style>
  <w:style w:type="paragraph" w:styleId="12">
    <w:name w:val="Balloon Text"/>
    <w:basedOn w:val="1"/>
    <w:autoRedefine/>
    <w:semiHidden/>
    <w:qFormat/>
    <w:uiPriority w:val="0"/>
    <w:rPr>
      <w:sz w:val="18"/>
      <w:szCs w:val="18"/>
    </w:rPr>
  </w:style>
  <w:style w:type="paragraph" w:styleId="13">
    <w:name w:val="footer"/>
    <w:basedOn w:val="1"/>
    <w:link w:val="67"/>
    <w:autoRedefine/>
    <w:qFormat/>
    <w:uiPriority w:val="99"/>
    <w:pPr>
      <w:tabs>
        <w:tab w:val="center" w:pos="4153"/>
        <w:tab w:val="right" w:pos="8306"/>
      </w:tabs>
      <w:snapToGrid w:val="0"/>
      <w:jc w:val="left"/>
    </w:pPr>
    <w:rPr>
      <w:sz w:val="18"/>
      <w:szCs w:val="18"/>
    </w:rPr>
  </w:style>
  <w:style w:type="paragraph" w:styleId="1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autoRedefine/>
    <w:qFormat/>
    <w:uiPriority w:val="0"/>
    <w:pPr>
      <w:spacing w:afterLines="0" w:line="240" w:lineRule="auto"/>
    </w:pPr>
    <w:rPr>
      <w:rFonts w:ascii="Calibri" w:hAnsi="Calibri"/>
      <w:szCs w:val="20"/>
    </w:rPr>
  </w:style>
  <w:style w:type="paragraph" w:styleId="16">
    <w:name w:val="index 1"/>
    <w:basedOn w:val="1"/>
    <w:next w:val="1"/>
    <w:autoRedefine/>
    <w:qFormat/>
    <w:uiPriority w:val="0"/>
    <w:pPr>
      <w:tabs>
        <w:tab w:val="left" w:pos="900"/>
      </w:tabs>
      <w:adjustRightInd w:val="0"/>
      <w:spacing w:afterLines="0" w:line="240" w:lineRule="auto"/>
    </w:pPr>
    <w:rPr>
      <w:rFonts w:ascii="宋体" w:hAnsi="宋体" w:cs="Arial"/>
      <w:bCs/>
      <w:color w:val="000000"/>
      <w:szCs w:val="21"/>
    </w:rPr>
  </w:style>
  <w:style w:type="paragraph" w:styleId="17">
    <w:name w:val="Subtitle"/>
    <w:basedOn w:val="1"/>
    <w:next w:val="1"/>
    <w:link w:val="64"/>
    <w:autoRedefine/>
    <w:qFormat/>
    <w:uiPriority w:val="0"/>
    <w:pPr>
      <w:spacing w:before="240" w:after="60" w:line="312" w:lineRule="auto"/>
      <w:jc w:val="center"/>
      <w:outlineLvl w:val="1"/>
    </w:pPr>
    <w:rPr>
      <w:rFonts w:ascii="Cambria" w:hAnsi="Cambria"/>
      <w:b/>
      <w:bCs/>
      <w:kern w:val="28"/>
      <w:sz w:val="32"/>
      <w:szCs w:val="32"/>
    </w:rPr>
  </w:style>
  <w:style w:type="paragraph" w:styleId="18">
    <w:name w:val="Body Text 2"/>
    <w:basedOn w:val="1"/>
    <w:autoRedefine/>
    <w:qFormat/>
    <w:uiPriority w:val="0"/>
    <w:pPr>
      <w:spacing w:after="120" w:line="480" w:lineRule="auto"/>
    </w:pPr>
  </w:style>
  <w:style w:type="paragraph" w:styleId="19">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20">
    <w:name w:val="Title"/>
    <w:basedOn w:val="1"/>
    <w:link w:val="59"/>
    <w:autoRedefine/>
    <w:qFormat/>
    <w:uiPriority w:val="0"/>
    <w:pPr>
      <w:spacing w:before="240" w:after="60"/>
      <w:jc w:val="center"/>
      <w:outlineLvl w:val="0"/>
    </w:pPr>
    <w:rPr>
      <w:rFonts w:ascii="Arial" w:hAnsi="Arial" w:eastAsia="隶书"/>
      <w:b/>
      <w:bCs/>
      <w:sz w:val="32"/>
      <w:szCs w:val="32"/>
    </w:rPr>
  </w:style>
  <w:style w:type="paragraph" w:styleId="21">
    <w:name w:val="Body Text First Indent"/>
    <w:basedOn w:val="8"/>
    <w:next w:val="1"/>
    <w:qFormat/>
    <w:uiPriority w:val="0"/>
    <w:pPr>
      <w:ind w:firstLine="420" w:firstLineChars="100"/>
    </w:p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autoRedefine/>
    <w:qFormat/>
    <w:uiPriority w:val="0"/>
    <w:rPr>
      <w:b/>
      <w:bCs/>
    </w:rPr>
  </w:style>
  <w:style w:type="character" w:styleId="26">
    <w:name w:val="page number"/>
    <w:basedOn w:val="24"/>
    <w:autoRedefine/>
    <w:qFormat/>
    <w:uiPriority w:val="0"/>
  </w:style>
  <w:style w:type="character" w:styleId="27">
    <w:name w:val="Emphasis"/>
    <w:basedOn w:val="24"/>
    <w:autoRedefine/>
    <w:qFormat/>
    <w:uiPriority w:val="20"/>
    <w:rPr>
      <w:i/>
      <w:iCs/>
    </w:rPr>
  </w:style>
  <w:style w:type="character" w:styleId="28">
    <w:name w:val="Hyperlink"/>
    <w:autoRedefine/>
    <w:qFormat/>
    <w:uiPriority w:val="0"/>
    <w:rPr>
      <w:color w:val="0000FF"/>
      <w:u w:val="single"/>
    </w:r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0">
    <w:name w:val="TOC 标题1"/>
    <w:basedOn w:val="2"/>
    <w:next w:val="1"/>
    <w:qFormat/>
    <w:uiPriority w:val="0"/>
    <w:pPr>
      <w:widowControl/>
      <w:tabs>
        <w:tab w:val="left" w:pos="360"/>
      </w:tabs>
      <w:spacing w:before="480" w:line="276" w:lineRule="auto"/>
      <w:jc w:val="left"/>
      <w:outlineLvl w:val="9"/>
    </w:pPr>
    <w:rPr>
      <w:rFonts w:ascii="Cambria" w:hAnsi="Cambria" w:cs="Arial"/>
      <w:b w:val="0"/>
      <w:color w:val="365F91"/>
      <w:sz w:val="28"/>
      <w:szCs w:val="28"/>
    </w:rPr>
  </w:style>
  <w:style w:type="paragraph" w:customStyle="1" w:styleId="31">
    <w:name w:val="Default"/>
    <w:autoRedefine/>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32">
    <w:name w:val="标题 1 Char"/>
    <w:autoRedefine/>
    <w:qFormat/>
    <w:uiPriority w:val="0"/>
    <w:rPr>
      <w:rFonts w:ascii="宋体" w:hAnsi="宋体" w:eastAsia="黑体"/>
      <w:b/>
      <w:bCs/>
      <w:kern w:val="44"/>
      <w:sz w:val="28"/>
      <w:szCs w:val="44"/>
      <w:lang w:val="en-US" w:eastAsia="zh-CN" w:bidi="ar-SA"/>
    </w:rPr>
  </w:style>
  <w:style w:type="character" w:customStyle="1" w:styleId="33">
    <w:name w:val="apple-converted-space"/>
    <w:basedOn w:val="24"/>
    <w:autoRedefine/>
    <w:qFormat/>
    <w:uiPriority w:val="0"/>
  </w:style>
  <w:style w:type="character" w:customStyle="1" w:styleId="34">
    <w:name w:val="nui-addr-email4"/>
    <w:basedOn w:val="24"/>
    <w:autoRedefine/>
    <w:qFormat/>
    <w:uiPriority w:val="0"/>
  </w:style>
  <w:style w:type="character" w:customStyle="1" w:styleId="35">
    <w:name w:val="正文文本 字符"/>
    <w:link w:val="8"/>
    <w:autoRedefine/>
    <w:qFormat/>
    <w:uiPriority w:val="0"/>
    <w:rPr>
      <w:kern w:val="2"/>
      <w:sz w:val="21"/>
      <w:szCs w:val="24"/>
    </w:rPr>
  </w:style>
  <w:style w:type="character" w:customStyle="1" w:styleId="36">
    <w:name w:val="bumpedfont15"/>
    <w:basedOn w:val="24"/>
    <w:autoRedefine/>
    <w:qFormat/>
    <w:uiPriority w:val="0"/>
  </w:style>
  <w:style w:type="character" w:customStyle="1" w:styleId="37">
    <w:name w:val="ca-22"/>
    <w:basedOn w:val="24"/>
    <w:autoRedefine/>
    <w:qFormat/>
    <w:uiPriority w:val="0"/>
  </w:style>
  <w:style w:type="paragraph" w:customStyle="1" w:styleId="38">
    <w:name w:val="列出段落1"/>
    <w:basedOn w:val="1"/>
    <w:autoRedefine/>
    <w:qFormat/>
    <w:uiPriority w:val="34"/>
    <w:pPr>
      <w:ind w:firstLine="420" w:firstLineChars="200"/>
    </w:pPr>
  </w:style>
  <w:style w:type="paragraph" w:customStyle="1" w:styleId="39">
    <w:name w:val="Char5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
    <w:name w:val="pa-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1">
    <w:name w:val="默认段落字体 Para Char Char Char Char"/>
    <w:basedOn w:val="1"/>
    <w:autoRedefine/>
    <w:qFormat/>
    <w:uiPriority w:val="0"/>
  </w:style>
  <w:style w:type="paragraph" w:customStyle="1" w:styleId="42">
    <w:name w:val="Char"/>
    <w:basedOn w:val="1"/>
    <w:autoRedefine/>
    <w:qFormat/>
    <w:uiPriority w:val="0"/>
    <w:pPr>
      <w:tabs>
        <w:tab w:val="left" w:pos="432"/>
      </w:tabs>
      <w:ind w:left="432" w:hanging="432"/>
    </w:pPr>
  </w:style>
  <w:style w:type="paragraph" w:customStyle="1" w:styleId="4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45">
    <w:name w:val="s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6">
    <w:name w:val="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7">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8">
    <w:name w:val="List Paragraph"/>
    <w:basedOn w:val="1"/>
    <w:autoRedefine/>
    <w:qFormat/>
    <w:uiPriority w:val="34"/>
    <w:pPr>
      <w:ind w:firstLine="420" w:firstLineChars="200"/>
    </w:pPr>
  </w:style>
  <w:style w:type="paragraph" w:customStyle="1" w:styleId="49">
    <w:name w:val="列出段落2"/>
    <w:basedOn w:val="1"/>
    <w:autoRedefine/>
    <w:qFormat/>
    <w:uiPriority w:val="34"/>
    <w:pPr>
      <w:ind w:firstLine="420" w:firstLineChars="200"/>
    </w:pPr>
    <w:rPr>
      <w:rFonts w:ascii="Calibri" w:hAnsi="Calibri"/>
      <w:szCs w:val="22"/>
    </w:rPr>
  </w:style>
  <w:style w:type="paragraph" w:customStyle="1" w:styleId="50">
    <w:name w:val="s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1">
    <w:name w:val="p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2">
    <w:name w:val="p0"/>
    <w:basedOn w:val="1"/>
    <w:autoRedefine/>
    <w:qFormat/>
    <w:uiPriority w:val="0"/>
    <w:pPr>
      <w:widowControl/>
    </w:pPr>
    <w:rPr>
      <w:rFonts w:ascii="宋体" w:hAnsi="宋体" w:cs="宋体"/>
      <w:kern w:val="0"/>
      <w:szCs w:val="21"/>
    </w:rPr>
  </w:style>
  <w:style w:type="paragraph" w:customStyle="1" w:styleId="53">
    <w:name w:val="列出段落21"/>
    <w:basedOn w:val="1"/>
    <w:autoRedefine/>
    <w:qFormat/>
    <w:uiPriority w:val="34"/>
    <w:pPr>
      <w:ind w:firstLine="420" w:firstLineChars="200"/>
    </w:pPr>
  </w:style>
  <w:style w:type="character" w:customStyle="1" w:styleId="54">
    <w:name w:val="日期 字符"/>
    <w:link w:val="11"/>
    <w:autoRedefine/>
    <w:qFormat/>
    <w:uiPriority w:val="0"/>
    <w:rPr>
      <w:kern w:val="2"/>
      <w:sz w:val="21"/>
      <w:szCs w:val="24"/>
    </w:rPr>
  </w:style>
  <w:style w:type="paragraph" w:customStyle="1" w:styleId="55">
    <w:name w:val="_Style 45"/>
    <w:basedOn w:val="1"/>
    <w:next w:val="48"/>
    <w:autoRedefine/>
    <w:qFormat/>
    <w:uiPriority w:val="34"/>
    <w:pPr>
      <w:ind w:firstLine="420" w:firstLineChars="200"/>
    </w:pPr>
  </w:style>
  <w:style w:type="paragraph" w:customStyle="1" w:styleId="56">
    <w:name w:val="msolistparagraph"/>
    <w:basedOn w:val="1"/>
    <w:autoRedefine/>
    <w:qFormat/>
    <w:uiPriority w:val="0"/>
    <w:pPr>
      <w:ind w:firstLine="420" w:firstLineChars="200"/>
    </w:pPr>
    <w:rPr>
      <w:rFonts w:ascii="Calibri" w:hAnsi="Calibri"/>
      <w:szCs w:val="22"/>
    </w:rPr>
  </w:style>
  <w:style w:type="paragraph" w:styleId="5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5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9">
    <w:name w:val="标题 字符"/>
    <w:basedOn w:val="24"/>
    <w:link w:val="20"/>
    <w:autoRedefine/>
    <w:qFormat/>
    <w:uiPriority w:val="0"/>
    <w:rPr>
      <w:rFonts w:ascii="Arial" w:hAnsi="Arial" w:eastAsia="隶书"/>
      <w:b/>
      <w:bCs/>
      <w:kern w:val="2"/>
      <w:sz w:val="32"/>
      <w:szCs w:val="32"/>
    </w:rPr>
  </w:style>
  <w:style w:type="paragraph" w:customStyle="1" w:styleId="60">
    <w:name w:val="xl35"/>
    <w:basedOn w:val="1"/>
    <w:autoRedefine/>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61">
    <w:name w:val="默认段落字体 Para Char Char Char Char Char Char Char"/>
    <w:basedOn w:val="1"/>
    <w:autoRedefine/>
    <w:qFormat/>
    <w:uiPriority w:val="0"/>
    <w:rPr>
      <w:rFonts w:ascii="Tahoma" w:hAnsi="Tahoma"/>
      <w:sz w:val="24"/>
      <w:szCs w:val="20"/>
    </w:rPr>
  </w:style>
  <w:style w:type="paragraph" w:customStyle="1" w:styleId="62">
    <w:name w:val="三级条标题"/>
    <w:basedOn w:val="1"/>
    <w:next w:val="58"/>
    <w:autoRedefine/>
    <w:qFormat/>
    <w:uiPriority w:val="0"/>
    <w:pPr>
      <w:widowControl/>
      <w:numPr>
        <w:ilvl w:val="4"/>
        <w:numId w:val="1"/>
      </w:numPr>
      <w:outlineLvl w:val="4"/>
    </w:pPr>
    <w:rPr>
      <w:rFonts w:ascii="黑体" w:eastAsia="黑体"/>
      <w:kern w:val="0"/>
      <w:szCs w:val="20"/>
    </w:rPr>
  </w:style>
  <w:style w:type="character" w:customStyle="1" w:styleId="63">
    <w:name w:val="纯文本 字符"/>
    <w:basedOn w:val="24"/>
    <w:link w:val="10"/>
    <w:autoRedefine/>
    <w:qFormat/>
    <w:uiPriority w:val="0"/>
    <w:rPr>
      <w:rFonts w:ascii="宋体" w:hAnsi="Courier New" w:cs="宋体"/>
      <w:kern w:val="2"/>
      <w:sz w:val="21"/>
      <w:szCs w:val="21"/>
    </w:rPr>
  </w:style>
  <w:style w:type="character" w:customStyle="1" w:styleId="64">
    <w:name w:val="副标题 字符"/>
    <w:link w:val="17"/>
    <w:autoRedefine/>
    <w:qFormat/>
    <w:uiPriority w:val="0"/>
    <w:rPr>
      <w:rFonts w:ascii="Cambria" w:hAnsi="Cambria"/>
      <w:b/>
      <w:bCs/>
      <w:kern w:val="28"/>
      <w:sz w:val="32"/>
      <w:szCs w:val="32"/>
    </w:rPr>
  </w:style>
  <w:style w:type="paragraph" w:customStyle="1" w:styleId="65">
    <w:name w:val="_Style 2"/>
    <w:autoRedefine/>
    <w:qFormat/>
    <w:uiPriority w:val="1"/>
    <w:pPr>
      <w:adjustRightInd w:val="0"/>
      <w:snapToGrid w:val="0"/>
    </w:pPr>
    <w:rPr>
      <w:rFonts w:ascii="Tahoma" w:hAnsi="Tahoma" w:eastAsia="宋体" w:cs="Times New Roman"/>
      <w:sz w:val="22"/>
      <w:szCs w:val="22"/>
      <w:lang w:val="en-US" w:eastAsia="zh-CN" w:bidi="ar-SA"/>
    </w:rPr>
  </w:style>
  <w:style w:type="paragraph" w:customStyle="1" w:styleId="66">
    <w:name w:val="_Style 17"/>
    <w:basedOn w:val="1"/>
    <w:autoRedefine/>
    <w:qFormat/>
    <w:uiPriority w:val="0"/>
    <w:rPr>
      <w:rFonts w:ascii="Tahoma" w:hAnsi="Tahoma"/>
      <w:sz w:val="24"/>
      <w:szCs w:val="20"/>
    </w:rPr>
  </w:style>
  <w:style w:type="character" w:customStyle="1" w:styleId="67">
    <w:name w:val="页脚 字符"/>
    <w:basedOn w:val="24"/>
    <w:link w:val="13"/>
    <w:autoRedefine/>
    <w:qFormat/>
    <w:uiPriority w:val="99"/>
    <w:rPr>
      <w:kern w:val="2"/>
      <w:sz w:val="18"/>
      <w:szCs w:val="18"/>
    </w:rPr>
  </w:style>
  <w:style w:type="paragraph" w:customStyle="1" w:styleId="68">
    <w:name w:val="Table Paragraph"/>
    <w:basedOn w:val="1"/>
    <w:autoRedefine/>
    <w:qFormat/>
    <w:uiPriority w:val="1"/>
    <w:rPr>
      <w:rFonts w:ascii="宋体" w:hAnsi="宋体" w:cs="宋体"/>
      <w:lang w:val="zh-CN" w:bidi="zh-CN"/>
    </w:rPr>
  </w:style>
  <w:style w:type="character" w:customStyle="1" w:styleId="69">
    <w:name w:val="font11"/>
    <w:basedOn w:val="24"/>
    <w:autoRedefine/>
    <w:qFormat/>
    <w:uiPriority w:val="0"/>
    <w:rPr>
      <w:rFonts w:hint="eastAsia" w:ascii="宋体" w:hAnsi="宋体" w:eastAsia="宋体" w:cs="宋体"/>
      <w:color w:val="000000"/>
      <w:sz w:val="16"/>
      <w:szCs w:val="16"/>
      <w:u w:val="none"/>
    </w:rPr>
  </w:style>
  <w:style w:type="paragraph" w:customStyle="1" w:styleId="70">
    <w:name w:val="Other|1"/>
    <w:basedOn w:val="1"/>
    <w:autoRedefine/>
    <w:qFormat/>
    <w:uiPriority w:val="0"/>
    <w:pPr>
      <w:spacing w:line="314" w:lineRule="exact"/>
    </w:pPr>
    <w:rPr>
      <w:rFonts w:ascii="宋体" w:hAnsi="宋体" w:cs="宋体"/>
      <w:sz w:val="20"/>
      <w:szCs w:val="20"/>
      <w:lang w:val="zh-TW" w:eastAsia="zh-TW" w:bidi="zh-TW"/>
    </w:rPr>
  </w:style>
  <w:style w:type="paragraph" w:customStyle="1" w:styleId="71">
    <w:name w:val="表格文字"/>
    <w:basedOn w:val="1"/>
    <w:autoRedefine/>
    <w:qFormat/>
    <w:uiPriority w:val="0"/>
    <w:pPr>
      <w:spacing w:before="25" w:after="25" w:line="240" w:lineRule="auto"/>
      <w:ind w:firstLine="0"/>
      <w:jc w:val="left"/>
    </w:pPr>
    <w:rPr>
      <w:bCs/>
      <w:spacing w:val="10"/>
      <w:kern w:val="0"/>
      <w:sz w:val="24"/>
    </w:rPr>
  </w:style>
  <w:style w:type="character" w:customStyle="1" w:styleId="72">
    <w:name w:val="正文文本 Char"/>
    <w:link w:val="8"/>
    <w:autoRedefine/>
    <w:qFormat/>
    <w:uiPriority w:val="99"/>
    <w:rPr>
      <w:kern w:val="2"/>
      <w:sz w:val="21"/>
      <w:szCs w:val="24"/>
    </w:rPr>
  </w:style>
  <w:style w:type="paragraph" w:customStyle="1" w:styleId="73">
    <w:name w:val="正文文本1"/>
    <w:basedOn w:val="1"/>
    <w:autoRedefine/>
    <w:qFormat/>
    <w:uiPriority w:val="0"/>
    <w:pPr>
      <w:jc w:val="center"/>
    </w:pPr>
    <w:rPr>
      <w:rFonts w:ascii="宋体" w:hAnsi="宋体"/>
      <w:color w:val="FF0000"/>
      <w:szCs w:val="24"/>
    </w:rPr>
  </w:style>
  <w:style w:type="paragraph" w:customStyle="1" w:styleId="74">
    <w:name w:val="图"/>
    <w:basedOn w:val="1"/>
    <w:autoRedefine/>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character" w:customStyle="1" w:styleId="75">
    <w:name w:val="纯文本 Char"/>
    <w:basedOn w:val="24"/>
    <w:autoRedefine/>
    <w:qFormat/>
    <w:uiPriority w:val="0"/>
    <w:rPr>
      <w:rFonts w:ascii="宋体" w:hAnsi="Courier New" w:cs="宋体"/>
      <w:kern w:val="2"/>
      <w:sz w:val="21"/>
      <w:szCs w:val="21"/>
    </w:rPr>
  </w:style>
  <w:style w:type="paragraph" w:customStyle="1" w:styleId="76">
    <w:name w:val="p9"/>
    <w:basedOn w:val="1"/>
    <w:autoRedefine/>
    <w:qFormat/>
    <w:uiPriority w:val="0"/>
    <w:pPr>
      <w:widowControl/>
      <w:spacing w:before="100" w:beforeAutospacing="1" w:after="100" w:afterAutospacing="1"/>
      <w:jc w:val="left"/>
    </w:pPr>
    <w:rPr>
      <w:rFonts w:eastAsia="Arial Unicode MS" w:cs="Arial Unicode MS" w:asciiTheme="minorHAnsi" w:hAnsiTheme="minorHAnsi"/>
      <w:color w:val="000000"/>
      <w:kern w:val="0"/>
      <w:sz w:val="18"/>
      <w:szCs w:val="18"/>
    </w:rPr>
  </w:style>
  <w:style w:type="character" w:customStyle="1" w:styleId="77">
    <w:name w:val="NormalCharacter"/>
    <w:autoRedefine/>
    <w:qFormat/>
    <w:uiPriority w:val="0"/>
    <w:rPr>
      <w:rFonts w:ascii="Times New Roman" w:hAnsi="Times New Roman" w:eastAsia="宋体" w:cs="Times New Roman"/>
    </w:rPr>
  </w:style>
  <w:style w:type="paragraph" w:customStyle="1" w:styleId="78">
    <w:name w:val="正文 A"/>
    <w:autoRedefine/>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libri" w:hAnsi="Calibri" w:eastAsia="Calibri" w:cs="Calibri"/>
      <w:color w:val="000000"/>
      <w:kern w:val="2"/>
      <w:sz w:val="21"/>
      <w:szCs w:val="21"/>
      <w:lang w:val="en-US" w:eastAsia="zh-CN" w:bidi="ar-SA"/>
    </w:rPr>
  </w:style>
  <w:style w:type="paragraph" w:customStyle="1" w:styleId="79">
    <w:name w:val="Table Text"/>
    <w:basedOn w:val="1"/>
    <w:autoRedefine/>
    <w:semiHidden/>
    <w:qFormat/>
    <w:uiPriority w:val="0"/>
    <w:rPr>
      <w:rFonts w:ascii="宋体" w:hAnsi="宋体" w:eastAsia="宋体" w:cs="宋体"/>
      <w:sz w:val="19"/>
      <w:szCs w:val="19"/>
      <w:lang w:val="en-US" w:eastAsia="en-US" w:bidi="ar-SA"/>
    </w:rPr>
  </w:style>
  <w:style w:type="table" w:customStyle="1" w:styleId="80">
    <w:name w:val="Table Normal"/>
    <w:autoRedefine/>
    <w:semiHidden/>
    <w:unhideWhenUsed/>
    <w:qFormat/>
    <w:uiPriority w:val="0"/>
    <w:tblPr>
      <w:tblCellMar>
        <w:top w:w="0" w:type="dxa"/>
        <w:left w:w="0" w:type="dxa"/>
        <w:bottom w:w="0" w:type="dxa"/>
        <w:right w:w="0" w:type="dxa"/>
      </w:tblCellMar>
    </w:tblPr>
  </w:style>
  <w:style w:type="paragraph" w:customStyle="1" w:styleId="81">
    <w:name w:val="paragraph"/>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2">
    <w:name w:val="font21"/>
    <w:basedOn w:val="24"/>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0" Type="http://schemas.openxmlformats.org/officeDocument/2006/relationships/fontTable" Target="fontTable.xml"/><Relationship Id="rId6" Type="http://schemas.openxmlformats.org/officeDocument/2006/relationships/footer" Target="footer2.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69"/>
    <customShpInfo spid="_x0000_s2065"/>
    <customShpInfo spid="_x0000_s2066"/>
    <customShpInfo spid="_x0000_s2067"/>
    <customShpInfo spid="_x0000_s206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E39907-A5DC-41D0-B524-583EB0EFCFE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64</Pages>
  <Words>28358</Words>
  <Characters>33398</Characters>
  <Lines>94</Lines>
  <Paragraphs>26</Paragraphs>
  <TotalTime>0</TotalTime>
  <ScaleCrop>false</ScaleCrop>
  <LinksUpToDate>false</LinksUpToDate>
  <CharactersWithSpaces>37032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谢红亮</dc:creator>
  <cp:lastModifiedBy>Administrator</cp:lastModifiedBy>
  <cp:lastPrinted>2024-09-12T03:30:00Z</cp:lastPrinted>
  <dcterms:modified xsi:type="dcterms:W3CDTF">2024-09-14T08:00:09Z</dcterms:modified>
  <dc:title>2011年第一期小型医疗设备竞价采购公告</dc:title>
  <cp:revision>504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3279EEA1E4014AC2BCD51B63EBD36CD0_12</vt:lpwstr>
  </property>
</Properties>
</file>