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9"/>
        <w:jc w:val="center"/>
        <w:rPr>
          <w:rFonts w:hint="eastAsia" w:ascii="宋体" w:hAnsi="宋体"/>
          <w:b/>
          <w:bCs/>
          <w:szCs w:val="21"/>
        </w:rPr>
      </w:pPr>
    </w:p>
    <w:p w14:paraId="2971CD1E">
      <w:pPr>
        <w:pStyle w:val="9"/>
        <w:jc w:val="center"/>
        <w:rPr>
          <w:rFonts w:hint="eastAsia" w:ascii="宋体" w:hAnsi="宋体"/>
          <w:b/>
          <w:bCs/>
          <w:szCs w:val="21"/>
        </w:rPr>
      </w:pPr>
    </w:p>
    <w:p w14:paraId="44124856">
      <w:pPr>
        <w:pStyle w:val="9"/>
        <w:jc w:val="center"/>
        <w:rPr>
          <w:rFonts w:hint="eastAsia" w:ascii="宋体" w:hAnsi="宋体"/>
          <w:b/>
          <w:bCs/>
          <w:szCs w:val="21"/>
        </w:rPr>
      </w:pPr>
    </w:p>
    <w:p w14:paraId="08AA2683">
      <w:pPr>
        <w:pStyle w:val="9"/>
        <w:jc w:val="center"/>
        <w:rPr>
          <w:rFonts w:hint="eastAsia" w:ascii="宋体" w:hAnsi="宋体"/>
          <w:b/>
          <w:bCs/>
          <w:szCs w:val="21"/>
        </w:rPr>
      </w:pPr>
    </w:p>
    <w:p w14:paraId="2F161ADF">
      <w:pPr>
        <w:pStyle w:val="9"/>
        <w:jc w:val="center"/>
        <w:rPr>
          <w:rFonts w:hint="eastAsia" w:ascii="宋体" w:hAnsi="宋体"/>
          <w:b/>
          <w:bCs/>
          <w:szCs w:val="21"/>
        </w:rPr>
      </w:pPr>
    </w:p>
    <w:p w14:paraId="0B63A0AE">
      <w:pPr>
        <w:pStyle w:val="9"/>
        <w:jc w:val="center"/>
        <w:rPr>
          <w:rFonts w:hint="eastAsia" w:ascii="宋体" w:hAnsi="宋体"/>
          <w:b/>
          <w:bCs/>
          <w:szCs w:val="21"/>
        </w:rPr>
      </w:pPr>
    </w:p>
    <w:p w14:paraId="21390DA8">
      <w:pPr>
        <w:pStyle w:val="9"/>
        <w:jc w:val="center"/>
        <w:rPr>
          <w:rFonts w:hint="eastAsia" w:ascii="宋体" w:hAnsi="宋体"/>
          <w:b/>
          <w:bCs/>
          <w:szCs w:val="21"/>
        </w:rPr>
      </w:pPr>
    </w:p>
    <w:p w14:paraId="6EDBB49F">
      <w:pPr>
        <w:pStyle w:val="9"/>
        <w:jc w:val="center"/>
        <w:rPr>
          <w:rFonts w:hint="eastAsia" w:ascii="宋体" w:hAnsi="宋体"/>
          <w:b/>
          <w:bCs/>
          <w:szCs w:val="21"/>
        </w:rPr>
      </w:pPr>
    </w:p>
    <w:p w14:paraId="1432072E">
      <w:pPr>
        <w:pStyle w:val="9"/>
        <w:jc w:val="center"/>
        <w:rPr>
          <w:rFonts w:hint="eastAsia" w:ascii="宋体" w:hAnsi="宋体"/>
          <w:b/>
          <w:bCs/>
          <w:szCs w:val="21"/>
        </w:rPr>
      </w:pPr>
    </w:p>
    <w:p w14:paraId="738F9BB8">
      <w:pPr>
        <w:pStyle w:val="9"/>
        <w:jc w:val="center"/>
        <w:rPr>
          <w:rFonts w:hint="eastAsia" w:ascii="宋体" w:hAnsi="宋体"/>
          <w:b/>
          <w:bCs/>
          <w:szCs w:val="21"/>
        </w:rPr>
      </w:pPr>
    </w:p>
    <w:p w14:paraId="2BA73101">
      <w:pPr>
        <w:pStyle w:val="9"/>
        <w:jc w:val="center"/>
        <w:rPr>
          <w:rFonts w:hint="eastAsia" w:ascii="宋体" w:hAnsi="宋体"/>
          <w:b/>
          <w:bCs/>
          <w:szCs w:val="21"/>
        </w:rPr>
      </w:pPr>
    </w:p>
    <w:p w14:paraId="631484CB">
      <w:pPr>
        <w:pStyle w:val="9"/>
        <w:jc w:val="center"/>
        <w:rPr>
          <w:rFonts w:hint="eastAsia" w:ascii="宋体" w:hAnsi="宋体"/>
          <w:b/>
          <w:bCs/>
          <w:szCs w:val="21"/>
        </w:rPr>
      </w:pPr>
    </w:p>
    <w:p w14:paraId="3DB033DB">
      <w:pPr>
        <w:pStyle w:val="9"/>
        <w:jc w:val="center"/>
        <w:rPr>
          <w:rFonts w:hint="eastAsia" w:ascii="宋体" w:hAnsi="宋体"/>
          <w:b/>
          <w:bCs/>
          <w:szCs w:val="21"/>
        </w:rPr>
      </w:pPr>
    </w:p>
    <w:p w14:paraId="20D42745">
      <w:pPr>
        <w:pStyle w:val="9"/>
        <w:jc w:val="center"/>
        <w:rPr>
          <w:rFonts w:hint="eastAsia" w:ascii="宋体" w:hAnsi="宋体"/>
          <w:b/>
          <w:bCs/>
          <w:szCs w:val="21"/>
        </w:rPr>
      </w:pPr>
    </w:p>
    <w:p w14:paraId="1AA65312">
      <w:pPr>
        <w:pStyle w:val="9"/>
        <w:jc w:val="center"/>
        <w:rPr>
          <w:rFonts w:hint="eastAsia" w:ascii="宋体" w:hAnsi="宋体"/>
          <w:b/>
          <w:bCs/>
          <w:szCs w:val="21"/>
        </w:rPr>
      </w:pPr>
    </w:p>
    <w:p w14:paraId="70224C5F">
      <w:pPr>
        <w:pStyle w:val="9"/>
        <w:jc w:val="center"/>
        <w:rPr>
          <w:rFonts w:hint="eastAsia" w:ascii="宋体" w:hAnsi="宋体"/>
          <w:b/>
          <w:bCs/>
          <w:szCs w:val="21"/>
        </w:rPr>
      </w:pPr>
    </w:p>
    <w:p w14:paraId="772B0D78">
      <w:pPr>
        <w:pStyle w:val="9"/>
        <w:jc w:val="center"/>
        <w:rPr>
          <w:rFonts w:hint="eastAsia" w:ascii="宋体" w:hAnsi="宋体"/>
          <w:b/>
          <w:bCs/>
          <w:szCs w:val="21"/>
        </w:rPr>
      </w:pPr>
    </w:p>
    <w:p w14:paraId="60817AD1">
      <w:pPr>
        <w:pStyle w:val="9"/>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9"/>
        <w:rPr>
          <w:rStyle w:val="16"/>
          <w:rFonts w:hint="default"/>
          <w:color w:val="000000"/>
          <w:szCs w:val="28"/>
          <w:lang w:val="en-US" w:eastAsia="zh-CN"/>
        </w:rPr>
      </w:pPr>
    </w:p>
    <w:p w14:paraId="47AEEB51">
      <w:pPr>
        <w:pStyle w:val="9"/>
        <w:rPr>
          <w:rStyle w:val="16"/>
          <w:color w:val="000000"/>
          <w:szCs w:val="28"/>
        </w:rPr>
      </w:pPr>
    </w:p>
    <w:p w14:paraId="65A0EA51">
      <w:pPr>
        <w:pStyle w:val="9"/>
        <w:rPr>
          <w:rStyle w:val="16"/>
          <w:color w:val="000000"/>
          <w:szCs w:val="28"/>
        </w:rPr>
      </w:pPr>
    </w:p>
    <w:p w14:paraId="4B2F013C">
      <w:pPr>
        <w:pStyle w:val="9"/>
        <w:rPr>
          <w:rStyle w:val="16"/>
          <w:color w:val="000000"/>
          <w:szCs w:val="28"/>
        </w:rPr>
      </w:pPr>
    </w:p>
    <w:p w14:paraId="481E1B8E">
      <w:pPr>
        <w:pStyle w:val="9"/>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9"/>
        <w:jc w:val="center"/>
        <w:rPr>
          <w:rFonts w:hint="eastAsia" w:ascii="宋体" w:hAnsi="宋体"/>
          <w:b/>
          <w:bCs/>
          <w:szCs w:val="21"/>
        </w:rPr>
      </w:pPr>
    </w:p>
    <w:p w14:paraId="173FE59F">
      <w:pPr>
        <w:pStyle w:val="9"/>
        <w:jc w:val="center"/>
        <w:rPr>
          <w:rFonts w:hint="eastAsia" w:ascii="宋体" w:hAnsi="宋体"/>
          <w:b/>
          <w:bCs/>
          <w:szCs w:val="21"/>
        </w:rPr>
      </w:pPr>
    </w:p>
    <w:p w14:paraId="2C555EDF">
      <w:pPr>
        <w:pStyle w:val="9"/>
        <w:jc w:val="center"/>
        <w:rPr>
          <w:rFonts w:hint="eastAsia" w:ascii="宋体" w:hAnsi="宋体"/>
          <w:b/>
          <w:bCs/>
          <w:szCs w:val="21"/>
        </w:rPr>
      </w:pPr>
    </w:p>
    <w:p w14:paraId="21C50F1C">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7748693D">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1"/>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5"/>
        <w:gridCol w:w="8598"/>
        <w:gridCol w:w="192"/>
      </w:tblGrid>
      <w:tr w14:paraId="7399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2" w:type="dxa"/>
          <w:trHeight w:val="521" w:hRule="atLeast"/>
          <w:tblHeader/>
        </w:trPr>
        <w:tc>
          <w:tcPr>
            <w:tcW w:w="1277" w:type="dxa"/>
            <w:vAlign w:val="center"/>
          </w:tcPr>
          <w:p w14:paraId="14980910">
            <w:pPr>
              <w:widowControl/>
              <w:jc w:val="center"/>
              <w:textAlignment w:val="center"/>
              <w:rPr>
                <w:rFonts w:ascii="宋体" w:hAnsi="宋体"/>
                <w:b/>
                <w:color w:val="FF0000"/>
                <w:kern w:val="0"/>
                <w:sz w:val="21"/>
                <w:szCs w:val="21"/>
              </w:rPr>
            </w:pPr>
            <w:r>
              <w:rPr>
                <w:rFonts w:hint="eastAsia" w:ascii="宋体" w:hAnsi="宋体"/>
                <w:b/>
                <w:color w:val="FF0000"/>
                <w:kern w:val="0"/>
                <w:sz w:val="21"/>
                <w:szCs w:val="21"/>
              </w:rPr>
              <w:t>内容</w:t>
            </w:r>
          </w:p>
        </w:tc>
        <w:tc>
          <w:tcPr>
            <w:tcW w:w="8683" w:type="dxa"/>
            <w:gridSpan w:val="2"/>
            <w:vAlign w:val="center"/>
          </w:tcPr>
          <w:p w14:paraId="302CF1E0">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lang w:eastAsia="zh-CN"/>
              </w:rPr>
              <w:t>招标服务</w:t>
            </w:r>
            <w:r>
              <w:rPr>
                <w:rFonts w:hint="eastAsia" w:ascii="宋体" w:hAnsi="宋体"/>
                <w:b/>
                <w:color w:val="FF0000"/>
                <w:kern w:val="0"/>
                <w:sz w:val="21"/>
                <w:szCs w:val="21"/>
              </w:rPr>
              <w:t>要求</w:t>
            </w:r>
          </w:p>
        </w:tc>
      </w:tr>
      <w:tr w14:paraId="5AB4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2" w:type="dxa"/>
          <w:trHeight w:val="839" w:hRule="atLeast"/>
        </w:trPr>
        <w:tc>
          <w:tcPr>
            <w:tcW w:w="1277" w:type="dxa"/>
            <w:vAlign w:val="center"/>
          </w:tcPr>
          <w:p w14:paraId="30FF87BE">
            <w:pPr>
              <w:jc w:val="center"/>
              <w:rPr>
                <w:rFonts w:hint="eastAsia" w:ascii="宋体" w:hAnsi="宋体" w:eastAsia="宋体" w:cs="宋体"/>
                <w:b/>
                <w:color w:val="FF0000"/>
                <w:kern w:val="0"/>
                <w:sz w:val="21"/>
                <w:szCs w:val="21"/>
                <w:lang w:eastAsia="zh-CN"/>
              </w:rPr>
            </w:pPr>
            <w:r>
              <w:rPr>
                <w:rFonts w:hint="eastAsia" w:ascii="宋体" w:hAnsi="宋体"/>
                <w:b/>
                <w:color w:val="FF0000"/>
                <w:kern w:val="0"/>
                <w:sz w:val="21"/>
                <w:szCs w:val="21"/>
              </w:rPr>
              <w:t>项目服务清单</w:t>
            </w:r>
          </w:p>
        </w:tc>
        <w:tc>
          <w:tcPr>
            <w:tcW w:w="8683" w:type="dxa"/>
            <w:gridSpan w:val="2"/>
            <w:vAlign w:val="center"/>
          </w:tcPr>
          <w:p w14:paraId="66255C43">
            <w:pPr>
              <w:pStyle w:val="17"/>
              <w:rPr>
                <w:rFonts w:ascii="Times New Roman" w:hAnsi="Times New Roman" w:cs="Times New Roman"/>
                <w:bCs/>
                <w:color w:val="FF0000"/>
                <w:sz w:val="21"/>
                <w:szCs w:val="21"/>
              </w:rPr>
            </w:pPr>
            <w:r>
              <w:rPr>
                <w:rFonts w:hint="eastAsia" w:ascii="Times New Roman" w:hAnsi="Times New Roman" w:cs="Times New Roman"/>
                <w:bCs/>
                <w:color w:val="FF0000"/>
                <w:sz w:val="21"/>
                <w:szCs w:val="21"/>
              </w:rPr>
              <w:t>洁净蒸汽灭菌器2台，品牌：山东新华，设备型号：Clean H61121-D.</w:t>
            </w:r>
          </w:p>
          <w:p w14:paraId="56CBA4F4">
            <w:pPr>
              <w:pStyle w:val="17"/>
              <w:rPr>
                <w:rFonts w:ascii="Times New Roman" w:hAnsi="Times New Roman" w:cs="Times New Roman"/>
                <w:bCs/>
                <w:color w:val="FF0000"/>
                <w:sz w:val="21"/>
                <w:szCs w:val="21"/>
              </w:rPr>
            </w:pPr>
            <w:r>
              <w:rPr>
                <w:rFonts w:hint="eastAsia" w:ascii="Times New Roman" w:hAnsi="Times New Roman" w:cs="Times New Roman"/>
                <w:bCs/>
                <w:color w:val="FF0000"/>
                <w:sz w:val="21"/>
                <w:szCs w:val="21"/>
              </w:rPr>
              <w:t>高效全自动清洗消毒器1台, 品牌：山东新华，设备型号：Super6000</w:t>
            </w:r>
          </w:p>
          <w:p w14:paraId="00B1D606">
            <w:pPr>
              <w:pStyle w:val="17"/>
              <w:rPr>
                <w:rFonts w:hint="eastAsia" w:ascii="宋体" w:hAnsi="宋体" w:eastAsia="宋体" w:cs="Times New Roman"/>
                <w:color w:val="FF0000"/>
                <w:kern w:val="2"/>
                <w:sz w:val="21"/>
                <w:szCs w:val="21"/>
                <w:lang w:val="en-US" w:eastAsia="zh-CN" w:bidi="ar-SA"/>
              </w:rPr>
            </w:pPr>
            <w:r>
              <w:rPr>
                <w:rFonts w:hint="eastAsia" w:ascii="Times New Roman" w:hAnsi="Times New Roman" w:cs="Times New Roman"/>
                <w:bCs/>
                <w:color w:val="FF0000"/>
                <w:sz w:val="21"/>
                <w:szCs w:val="21"/>
              </w:rPr>
              <w:t>设备地点：深圳市中西结合医院消毒供应中心</w:t>
            </w:r>
          </w:p>
        </w:tc>
      </w:tr>
      <w:tr w14:paraId="2154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2" w:type="dxa"/>
          <w:trHeight w:val="350" w:hRule="atLeast"/>
        </w:trPr>
        <w:tc>
          <w:tcPr>
            <w:tcW w:w="1277" w:type="dxa"/>
            <w:vAlign w:val="center"/>
          </w:tcPr>
          <w:p w14:paraId="7EE0913B">
            <w:pPr>
              <w:jc w:val="center"/>
              <w:rPr>
                <w:rFonts w:hint="eastAsia" w:ascii="宋体" w:hAnsi="宋体" w:eastAsia="宋体" w:cs="宋体"/>
                <w:b/>
                <w:color w:val="FF0000"/>
                <w:kern w:val="0"/>
                <w:sz w:val="21"/>
                <w:szCs w:val="21"/>
                <w:lang w:eastAsia="zh-CN"/>
              </w:rPr>
            </w:pPr>
            <w:r>
              <w:rPr>
                <w:rFonts w:hint="eastAsia" w:ascii="宋体" w:hAnsi="宋体"/>
                <w:b/>
                <w:color w:val="FF0000"/>
                <w:kern w:val="0"/>
                <w:sz w:val="21"/>
                <w:szCs w:val="21"/>
              </w:rPr>
              <w:t>项目服务内容</w:t>
            </w:r>
          </w:p>
        </w:tc>
        <w:tc>
          <w:tcPr>
            <w:tcW w:w="8683" w:type="dxa"/>
            <w:gridSpan w:val="2"/>
            <w:vAlign w:val="center"/>
          </w:tcPr>
          <w:p w14:paraId="3E4559E2">
            <w:pPr>
              <w:pStyle w:val="17"/>
              <w:rPr>
                <w:rFonts w:asciiTheme="minorEastAsia" w:hAnsiTheme="minorEastAsia" w:eastAsiaTheme="minorEastAsia" w:cstheme="minorEastAsia"/>
                <w:color w:val="FF0000"/>
                <w:sz w:val="21"/>
                <w:szCs w:val="21"/>
              </w:rPr>
            </w:pPr>
            <w:r>
              <w:rPr>
                <w:rFonts w:hint="eastAsia" w:ascii="宋体" w:hAnsi="宋体" w:cs="宋体"/>
                <w:color w:val="FF0000"/>
                <w:sz w:val="21"/>
                <w:szCs w:val="21"/>
              </w:rPr>
              <w:t>1.</w:t>
            </w:r>
            <w:r>
              <w:rPr>
                <w:rFonts w:hint="eastAsia" w:asciiTheme="minorEastAsia" w:hAnsiTheme="minorEastAsia" w:eastAsiaTheme="minorEastAsia" w:cstheme="minorEastAsia"/>
                <w:color w:val="FF0000"/>
                <w:sz w:val="21"/>
                <w:szCs w:val="21"/>
              </w:rPr>
              <w:t>维保设备所有损坏的配件均免费更换，更换的配件均为原厂全新配件。</w:t>
            </w:r>
          </w:p>
          <w:p w14:paraId="618C72BC">
            <w:pPr>
              <w:pStyle w:val="17"/>
              <w:rPr>
                <w:rFonts w:hint="eastAsia" w:ascii="宋体" w:hAnsi="宋体" w:cs="宋体"/>
                <w:color w:val="FF0000"/>
                <w:sz w:val="21"/>
                <w:szCs w:val="21"/>
              </w:rPr>
            </w:pPr>
            <w:r>
              <w:rPr>
                <w:rFonts w:hint="eastAsia" w:ascii="宋体" w:hAnsi="宋体" w:cs="宋体"/>
                <w:color w:val="FF0000"/>
                <w:sz w:val="21"/>
                <w:szCs w:val="21"/>
              </w:rPr>
              <w:t>2. 1个月1次巡检，3个月1次点检，每年不少于6次定期预防保养服务，并提交检查报告给医院备档。</w:t>
            </w:r>
          </w:p>
          <w:p w14:paraId="40AFB9F0">
            <w:pPr>
              <w:pStyle w:val="7"/>
              <w:ind w:firstLine="0" w:firstLineChars="0"/>
              <w:rPr>
                <w:color w:val="FF0000"/>
                <w:sz w:val="21"/>
                <w:szCs w:val="21"/>
              </w:rPr>
            </w:pPr>
            <w:r>
              <w:rPr>
                <w:rFonts w:hint="eastAsia"/>
                <w:color w:val="FF0000"/>
                <w:sz w:val="21"/>
                <w:szCs w:val="21"/>
              </w:rPr>
              <w:t>3.每台设备每年做一次符合ws310-2016要求的年度检测。</w:t>
            </w:r>
          </w:p>
          <w:p w14:paraId="4881F94B">
            <w:pPr>
              <w:pStyle w:val="17"/>
              <w:rPr>
                <w:rFonts w:hint="eastAsia" w:ascii="宋体" w:hAnsi="宋体" w:cs="宋体"/>
                <w:color w:val="FF0000"/>
                <w:sz w:val="21"/>
                <w:szCs w:val="21"/>
              </w:rPr>
            </w:pPr>
            <w:r>
              <w:rPr>
                <w:rFonts w:hint="eastAsia" w:ascii="宋体" w:hAnsi="宋体" w:cs="宋体"/>
                <w:color w:val="FF0000"/>
                <w:sz w:val="21"/>
                <w:szCs w:val="21"/>
              </w:rPr>
              <w:t>4.免费提供每台设备温度压力验证至少1次、安全阀（每年至少1次）、压力表校检（每6个月至少1次）、清洗效果检测至少1次。</w:t>
            </w:r>
          </w:p>
          <w:p w14:paraId="01498D4C">
            <w:pPr>
              <w:pStyle w:val="17"/>
              <w:rPr>
                <w:rFonts w:hint="eastAsia" w:ascii="宋体" w:hAnsi="宋体" w:cs="宋体"/>
                <w:color w:val="FF0000"/>
                <w:sz w:val="21"/>
                <w:szCs w:val="21"/>
              </w:rPr>
            </w:pPr>
            <w:r>
              <w:rPr>
                <w:rFonts w:hint="eastAsia" w:ascii="宋体" w:hAnsi="宋体" w:cs="宋体"/>
                <w:color w:val="FF0000"/>
                <w:sz w:val="21"/>
                <w:szCs w:val="21"/>
              </w:rPr>
              <w:t>5. 保障设备开机率全年不低于95%，按每年365天计算。</w:t>
            </w:r>
          </w:p>
          <w:p w14:paraId="66836C21">
            <w:pPr>
              <w:pStyle w:val="17"/>
              <w:rPr>
                <w:rFonts w:hint="eastAsia" w:ascii="宋体" w:hAnsi="宋体" w:eastAsia="宋体" w:cs="Times New Roman"/>
                <w:color w:val="FF0000"/>
                <w:kern w:val="2"/>
                <w:sz w:val="21"/>
                <w:szCs w:val="21"/>
                <w:lang w:val="en-US" w:eastAsia="zh-CN" w:bidi="ar-SA"/>
              </w:rPr>
            </w:pPr>
            <w:r>
              <w:rPr>
                <w:rFonts w:hint="eastAsia" w:ascii="宋体" w:hAnsi="宋体" w:cs="宋体"/>
                <w:color w:val="FF0000"/>
                <w:sz w:val="21"/>
                <w:szCs w:val="21"/>
              </w:rPr>
              <w:t>6.全国范围内开通400免费热线电话，提供7天×24小时电话支持服务。</w:t>
            </w:r>
          </w:p>
        </w:tc>
      </w:tr>
      <w:tr w14:paraId="5DA0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2" w:type="dxa"/>
          <w:trHeight w:val="90" w:hRule="atLeast"/>
        </w:trPr>
        <w:tc>
          <w:tcPr>
            <w:tcW w:w="1277" w:type="dxa"/>
            <w:vAlign w:val="center"/>
          </w:tcPr>
          <w:p w14:paraId="266B1416">
            <w:pPr>
              <w:jc w:val="center"/>
              <w:rPr>
                <w:rFonts w:hint="eastAsia" w:ascii="宋体" w:hAnsi="宋体" w:eastAsia="宋体" w:cs="宋体"/>
                <w:color w:val="FF0000"/>
                <w:sz w:val="21"/>
                <w:szCs w:val="21"/>
                <w:lang w:eastAsia="zh-CN"/>
              </w:rPr>
            </w:pPr>
            <w:r>
              <w:rPr>
                <w:rFonts w:hint="eastAsia" w:ascii="宋体" w:hAnsi="宋体"/>
                <w:b/>
                <w:color w:val="FF0000"/>
                <w:kern w:val="0"/>
                <w:sz w:val="21"/>
                <w:szCs w:val="21"/>
              </w:rPr>
              <w:t>服务质量要求</w:t>
            </w:r>
          </w:p>
        </w:tc>
        <w:tc>
          <w:tcPr>
            <w:tcW w:w="8683" w:type="dxa"/>
            <w:gridSpan w:val="2"/>
            <w:vAlign w:val="center"/>
          </w:tcPr>
          <w:p w14:paraId="51D25853">
            <w:pPr>
              <w:rPr>
                <w:rFonts w:ascii="宋体" w:hAnsi="宋体" w:cs="宋体"/>
                <w:color w:val="FF0000"/>
                <w:sz w:val="21"/>
                <w:szCs w:val="21"/>
              </w:rPr>
            </w:pPr>
            <w:r>
              <w:rPr>
                <w:rFonts w:hint="eastAsia" w:ascii="宋体" w:hAnsi="宋体" w:cs="宋体"/>
                <w:color w:val="FF0000"/>
                <w:sz w:val="21"/>
                <w:szCs w:val="21"/>
              </w:rPr>
              <w:t>1.按国家、行业的标准及招标文件的要求对项目内的设备进行系统的、全面的检测、维护及保养，以保证设备的高效、正常运作，设备开机率全年不低于95%。</w:t>
            </w:r>
          </w:p>
          <w:p w14:paraId="798B413F">
            <w:pPr>
              <w:pStyle w:val="7"/>
              <w:ind w:firstLine="0" w:firstLineChars="0"/>
              <w:rPr>
                <w:rFonts w:hint="eastAsia" w:ascii="宋体" w:hAnsi="宋体" w:eastAsia="宋体" w:cs="Times New Roman"/>
                <w:color w:val="FF0000"/>
                <w:kern w:val="2"/>
                <w:sz w:val="21"/>
                <w:szCs w:val="21"/>
                <w:lang w:val="en-US" w:eastAsia="zh-CN" w:bidi="ar-SA"/>
              </w:rPr>
            </w:pPr>
            <w:r>
              <w:rPr>
                <w:rFonts w:hint="eastAsia" w:ascii="宋体" w:hAnsi="宋体" w:cs="宋体"/>
                <w:color w:val="FF0000"/>
                <w:sz w:val="21"/>
                <w:szCs w:val="21"/>
              </w:rPr>
              <w:t>2.维修服务工程师在广东地区需要3名以上（投入本项目的维修工程师均需接受系统培训，获得相关证书）</w:t>
            </w:r>
          </w:p>
        </w:tc>
      </w:tr>
      <w:tr w14:paraId="6415B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gridSpan w:val="2"/>
            <w:tcBorders>
              <w:right w:val="single" w:color="auto" w:sz="4" w:space="0"/>
            </w:tcBorders>
          </w:tcPr>
          <w:p w14:paraId="2EDAEB1D">
            <w:pPr>
              <w:jc w:val="center"/>
              <w:rPr>
                <w:color w:val="FF0000"/>
                <w:sz w:val="21"/>
                <w:szCs w:val="21"/>
              </w:rPr>
            </w:pPr>
            <w:bookmarkStart w:id="2" w:name="_GoBack"/>
            <w:bookmarkEnd w:id="2"/>
            <w:r>
              <w:rPr>
                <w:rFonts w:hint="eastAsia" w:ascii="宋体" w:hAnsi="宋体"/>
                <w:b/>
                <w:bCs/>
                <w:color w:val="FF0000"/>
                <w:sz w:val="21"/>
                <w:szCs w:val="21"/>
              </w:rPr>
              <w:t>内容</w:t>
            </w:r>
          </w:p>
        </w:tc>
        <w:tc>
          <w:tcPr>
            <w:tcW w:w="8790" w:type="dxa"/>
            <w:gridSpan w:val="2"/>
            <w:tcBorders>
              <w:left w:val="single" w:color="auto" w:sz="4" w:space="0"/>
            </w:tcBorders>
          </w:tcPr>
          <w:p w14:paraId="45B8D7E8">
            <w:pPr>
              <w:jc w:val="center"/>
              <w:rPr>
                <w:rFonts w:ascii="宋体" w:hAnsi="宋体"/>
                <w:b/>
                <w:color w:val="FF0000"/>
                <w:kern w:val="0"/>
                <w:sz w:val="21"/>
                <w:szCs w:val="21"/>
              </w:rPr>
            </w:pPr>
            <w:r>
              <w:rPr>
                <w:rFonts w:hint="eastAsia" w:ascii="宋体" w:hAnsi="宋体"/>
                <w:b/>
                <w:color w:val="FF0000"/>
                <w:kern w:val="0"/>
                <w:sz w:val="21"/>
                <w:szCs w:val="21"/>
              </w:rPr>
              <w:t>招标商务条款要求</w:t>
            </w:r>
          </w:p>
        </w:tc>
      </w:tr>
      <w:tr w14:paraId="35D75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362" w:type="dxa"/>
            <w:gridSpan w:val="2"/>
            <w:vAlign w:val="center"/>
          </w:tcPr>
          <w:p w14:paraId="0B1ADA4E">
            <w:pPr>
              <w:jc w:val="center"/>
              <w:rPr>
                <w:rFonts w:hint="eastAsia" w:ascii="宋体" w:hAnsi="宋体"/>
                <w:b/>
                <w:bCs/>
                <w:color w:val="FF0000"/>
                <w:kern w:val="0"/>
                <w:sz w:val="21"/>
                <w:szCs w:val="21"/>
              </w:rPr>
            </w:pPr>
            <w:r>
              <w:rPr>
                <w:rFonts w:hint="eastAsia" w:ascii="宋体" w:hAnsi="宋体" w:cs="宋体"/>
                <w:b/>
                <w:color w:val="FF0000"/>
                <w:kern w:val="0"/>
                <w:sz w:val="21"/>
                <w:szCs w:val="21"/>
              </w:rPr>
              <w:t>★售后服务要求</w:t>
            </w:r>
          </w:p>
        </w:tc>
        <w:tc>
          <w:tcPr>
            <w:tcW w:w="8790" w:type="dxa"/>
            <w:gridSpan w:val="2"/>
            <w:vAlign w:val="center"/>
          </w:tcPr>
          <w:p w14:paraId="7B298776">
            <w:pPr>
              <w:ind w:firstLine="420" w:firstLineChars="200"/>
              <w:rPr>
                <w:rFonts w:hint="eastAsia" w:ascii="宋体" w:hAnsi="宋体" w:cs="宋体"/>
                <w:color w:val="FF0000"/>
                <w:sz w:val="21"/>
                <w:szCs w:val="21"/>
              </w:rPr>
            </w:pPr>
            <w:r>
              <w:rPr>
                <w:rFonts w:hint="eastAsia" w:ascii="宋体" w:hAnsi="宋体" w:cs="宋体"/>
                <w:color w:val="FF0000"/>
                <w:sz w:val="21"/>
                <w:szCs w:val="21"/>
              </w:rPr>
              <w:t>1.提供24小时800或400免费维修365天服务热线，机器故障报修后，技术人员需1小时内电话响应，6小时内到现场，24小时内解决问题，如24小时内不能完成维修的，需提供备用方案满足甲方的工作需要。</w:t>
            </w:r>
          </w:p>
          <w:p w14:paraId="76A36750">
            <w:pPr>
              <w:ind w:firstLine="420" w:firstLineChars="200"/>
              <w:rPr>
                <w:rFonts w:hint="eastAsia" w:ascii="宋体" w:hAnsi="宋体" w:cs="宋体"/>
                <w:color w:val="FF0000"/>
                <w:sz w:val="21"/>
                <w:szCs w:val="21"/>
              </w:rPr>
            </w:pPr>
            <w:r>
              <w:rPr>
                <w:rFonts w:hint="eastAsia" w:ascii="宋体" w:hAnsi="宋体" w:cs="宋体"/>
                <w:color w:val="FF0000"/>
                <w:sz w:val="21"/>
                <w:szCs w:val="21"/>
              </w:rPr>
              <w:t>2.所提供维修备件为制造商原厂全新配件，更换时提供相关产品证明给医院。</w:t>
            </w:r>
          </w:p>
          <w:p w14:paraId="5C1C42B7">
            <w:pPr>
              <w:ind w:firstLine="420" w:firstLineChars="200"/>
              <w:rPr>
                <w:rFonts w:hint="eastAsia" w:ascii="宋体" w:hAnsi="宋体" w:cs="宋体"/>
                <w:color w:val="FF0000"/>
                <w:sz w:val="21"/>
                <w:szCs w:val="21"/>
              </w:rPr>
            </w:pPr>
            <w:r>
              <w:rPr>
                <w:rFonts w:hint="eastAsia" w:ascii="宋体" w:hAnsi="宋体" w:cs="宋体"/>
                <w:color w:val="FF0000"/>
                <w:sz w:val="21"/>
                <w:szCs w:val="21"/>
              </w:rPr>
              <w:t>3.投标人需提供2名或以上具有相应资格的工作人员，具备1年或以上的维保设备工作经验（提供投标人开具的工作证明或合同、近3个月社保缴纳证明）、能独立操作的专业工程师负责本项目的维修保养工作(</w:t>
            </w:r>
            <w:r>
              <w:rPr>
                <w:rFonts w:hint="eastAsia" w:ascii="宋体" w:hAnsi="宋体" w:cs="宋体"/>
                <w:color w:val="FF0000"/>
                <w:sz w:val="21"/>
                <w:szCs w:val="21"/>
                <w:highlight w:val="yellow"/>
              </w:rPr>
              <w:t>提供设备生产制造厂家维修培训证书或设备生产制造厂家关于售后服务的授权或技术合作协议</w:t>
            </w:r>
            <w:r>
              <w:rPr>
                <w:rFonts w:hint="eastAsia" w:ascii="宋体" w:hAnsi="宋体" w:cs="宋体"/>
                <w:color w:val="FF0000"/>
                <w:sz w:val="21"/>
                <w:szCs w:val="21"/>
              </w:rPr>
              <w:t>)。如指定工程师有变更，将48小时内另行通知甲方变更情况。</w:t>
            </w:r>
          </w:p>
          <w:p w14:paraId="7BF7637C">
            <w:pPr>
              <w:ind w:firstLine="420" w:firstLineChars="200"/>
              <w:rPr>
                <w:rFonts w:ascii="宋体" w:hAnsi="宋体" w:cs="宋体"/>
                <w:color w:val="FF0000"/>
                <w:sz w:val="21"/>
                <w:szCs w:val="21"/>
              </w:rPr>
            </w:pPr>
            <w:r>
              <w:rPr>
                <w:rFonts w:hint="eastAsia" w:ascii="宋体" w:hAnsi="宋体" w:cs="宋体"/>
                <w:color w:val="FF0000"/>
                <w:sz w:val="21"/>
                <w:szCs w:val="21"/>
              </w:rPr>
              <w:t>4.产品如果在自然损耗以及按照中标方要求的方法使用情况下发生故障，相同的故障半年内中标方无条件免费维修。</w:t>
            </w:r>
          </w:p>
          <w:p w14:paraId="762A3ADA">
            <w:pPr>
              <w:ind w:firstLine="420" w:firstLineChars="200"/>
              <w:rPr>
                <w:rFonts w:ascii="宋体" w:hAnsi="宋体" w:cs="宋体"/>
                <w:color w:val="FF0000"/>
                <w:sz w:val="21"/>
                <w:szCs w:val="21"/>
              </w:rPr>
            </w:pPr>
            <w:r>
              <w:rPr>
                <w:rFonts w:hint="eastAsia" w:ascii="宋体" w:hAnsi="宋体" w:cs="宋体"/>
                <w:color w:val="FF0000"/>
                <w:sz w:val="21"/>
                <w:szCs w:val="21"/>
              </w:rPr>
              <w:t>5.保修期内备品供应：中标方承诺7个工作日内提供相应备品，且备品必须是维修品同一系列的备品。</w:t>
            </w:r>
          </w:p>
          <w:p w14:paraId="5347C8E8">
            <w:pPr>
              <w:ind w:firstLine="420" w:firstLineChars="200"/>
              <w:rPr>
                <w:rFonts w:ascii="宋体" w:hAnsi="宋体" w:cs="宋体"/>
                <w:color w:val="FF0000"/>
                <w:sz w:val="21"/>
                <w:szCs w:val="21"/>
              </w:rPr>
            </w:pPr>
            <w:r>
              <w:rPr>
                <w:rFonts w:hint="eastAsia" w:ascii="宋体" w:hAnsi="宋体" w:cs="宋体"/>
                <w:color w:val="FF0000"/>
                <w:sz w:val="21"/>
                <w:szCs w:val="21"/>
              </w:rPr>
              <w:t>6. 中标方对设备进行的日常检查、维护、保养、维修等活动在没有更优的方案时，应严格按照设备原厂的维修保养要求进行,提供完整的设备维修服务报告。</w:t>
            </w:r>
          </w:p>
          <w:p w14:paraId="605C8B67">
            <w:pPr>
              <w:ind w:firstLine="420" w:firstLineChars="200"/>
              <w:rPr>
                <w:rFonts w:ascii="宋体" w:hAnsi="宋体" w:cs="宋体"/>
                <w:color w:val="FF0000"/>
                <w:sz w:val="21"/>
                <w:szCs w:val="21"/>
              </w:rPr>
            </w:pPr>
            <w:r>
              <w:rPr>
                <w:rFonts w:hint="eastAsia" w:ascii="宋体" w:hAnsi="宋体" w:cs="宋体"/>
                <w:color w:val="FF0000"/>
                <w:sz w:val="21"/>
                <w:szCs w:val="21"/>
              </w:rPr>
              <w:t>7.在合同期内，中标方可根据甲方的需求，对附件内所列设备的使用、清洗和保养方法为甲方提供院内培训并提供半年1次的周边仪器免费除尘清洁服务；</w:t>
            </w:r>
          </w:p>
          <w:p w14:paraId="76C367EC">
            <w:pPr>
              <w:ind w:firstLine="420" w:firstLineChars="200"/>
              <w:rPr>
                <w:rFonts w:ascii="宋体" w:hAnsi="宋体" w:cs="宋体"/>
                <w:color w:val="FF0000"/>
                <w:sz w:val="21"/>
                <w:szCs w:val="21"/>
              </w:rPr>
            </w:pPr>
            <w:r>
              <w:rPr>
                <w:rFonts w:hint="eastAsia" w:ascii="宋体" w:hAnsi="宋体" w:cs="宋体"/>
                <w:color w:val="FF0000"/>
                <w:sz w:val="21"/>
                <w:szCs w:val="21"/>
              </w:rPr>
              <w:t>8.所更换零配件为原装配件。</w:t>
            </w:r>
          </w:p>
          <w:p w14:paraId="6A73D28F">
            <w:pPr>
              <w:ind w:firstLine="420" w:firstLineChars="200"/>
              <w:rPr>
                <w:rFonts w:ascii="宋体" w:hAnsi="宋体" w:cs="宋体"/>
                <w:color w:val="FF0000"/>
                <w:sz w:val="21"/>
                <w:szCs w:val="21"/>
              </w:rPr>
            </w:pPr>
            <w:r>
              <w:rPr>
                <w:rFonts w:hint="eastAsia" w:ascii="宋体" w:hAnsi="宋体" w:cs="宋体"/>
                <w:color w:val="FF0000"/>
                <w:sz w:val="21"/>
                <w:szCs w:val="21"/>
              </w:rPr>
              <w:t>9.所更换零配件保修期半年以上。</w:t>
            </w:r>
          </w:p>
          <w:p w14:paraId="7A08D8E1">
            <w:pPr>
              <w:ind w:firstLine="420" w:firstLineChars="200"/>
              <w:rPr>
                <w:rFonts w:ascii="宋体" w:hAnsi="宋体" w:cs="宋体"/>
                <w:color w:val="FF0000"/>
                <w:sz w:val="21"/>
                <w:szCs w:val="21"/>
              </w:rPr>
            </w:pPr>
            <w:r>
              <w:rPr>
                <w:rFonts w:hint="eastAsia" w:ascii="宋体" w:hAnsi="宋体" w:cs="宋体"/>
                <w:color w:val="FF0000"/>
                <w:sz w:val="21"/>
                <w:szCs w:val="21"/>
              </w:rPr>
              <w:t>10. 中标方指定工程师为甲方提供定期 1个月1次巡检，3个月1次点检，并提交检查报告给医院备档。</w:t>
            </w:r>
          </w:p>
          <w:p w14:paraId="6D507C93">
            <w:pPr>
              <w:ind w:firstLine="420" w:firstLineChars="200"/>
              <w:rPr>
                <w:rFonts w:ascii="宋体" w:hAnsi="宋体" w:cs="宋体"/>
                <w:color w:val="FF0000"/>
                <w:sz w:val="21"/>
                <w:szCs w:val="21"/>
              </w:rPr>
            </w:pPr>
            <w:r>
              <w:rPr>
                <w:rFonts w:hint="eastAsia" w:ascii="宋体" w:hAnsi="宋体" w:cs="宋体"/>
                <w:color w:val="FF0000"/>
                <w:sz w:val="21"/>
                <w:szCs w:val="21"/>
              </w:rPr>
              <w:t>11.向甲方提供培训服务。</w:t>
            </w:r>
          </w:p>
          <w:p w14:paraId="59C90A1D">
            <w:pPr>
              <w:ind w:firstLine="420" w:firstLineChars="200"/>
              <w:rPr>
                <w:rFonts w:ascii="宋体" w:hAnsi="宋体" w:cs="宋体"/>
                <w:color w:val="FF0000"/>
                <w:sz w:val="21"/>
                <w:szCs w:val="21"/>
              </w:rPr>
            </w:pPr>
            <w:r>
              <w:rPr>
                <w:rFonts w:hint="eastAsia" w:ascii="宋体" w:hAnsi="宋体" w:cs="宋体"/>
                <w:color w:val="FF0000"/>
                <w:sz w:val="21"/>
                <w:szCs w:val="21"/>
              </w:rPr>
              <w:t>12. 中标方必须在广东省有固定售后服务工作站（提供工程师电话和技术维修力量情况和维修的详细地址及联系方式）。专业工程师免费现场安装。维修服务工程师在广东地区需要3名以上（投入本项目的维修工程师均需接受系统培训，获得相关证书）</w:t>
            </w:r>
          </w:p>
          <w:p w14:paraId="05DA5B5B">
            <w:pPr>
              <w:ind w:firstLine="420" w:firstLineChars="200"/>
              <w:rPr>
                <w:rFonts w:ascii="宋体" w:hAnsi="宋体" w:cs="宋体"/>
                <w:color w:val="FF0000"/>
                <w:sz w:val="21"/>
                <w:szCs w:val="21"/>
              </w:rPr>
            </w:pPr>
            <w:r>
              <w:rPr>
                <w:rFonts w:hint="eastAsia" w:ascii="宋体" w:hAnsi="宋体" w:cs="宋体"/>
                <w:color w:val="FF0000"/>
                <w:sz w:val="21"/>
                <w:szCs w:val="21"/>
              </w:rPr>
              <w:t>13.设备维修完成后为使用科室提供操作及维护培训。</w:t>
            </w:r>
          </w:p>
          <w:p w14:paraId="063B878C">
            <w:pPr>
              <w:ind w:firstLine="420" w:firstLineChars="200"/>
              <w:rPr>
                <w:rFonts w:ascii="宋体" w:hAnsi="宋体" w:cs="宋体"/>
                <w:color w:val="FF0000"/>
                <w:sz w:val="21"/>
                <w:szCs w:val="21"/>
              </w:rPr>
            </w:pPr>
            <w:r>
              <w:rPr>
                <w:rFonts w:hint="eastAsia" w:ascii="宋体" w:hAnsi="宋体" w:cs="宋体"/>
                <w:color w:val="FF0000"/>
                <w:sz w:val="21"/>
                <w:szCs w:val="21"/>
              </w:rPr>
              <w:t>14.在质保期内，免费提供原厂整机零配件及其维修（维护）、人工等有关费用全免，系统软件终身免费升级，从货物调试验收合起计算；质保期后终身免费提供技术咨询、软件升级，甲方只承担更换零备件的费用。</w:t>
            </w:r>
          </w:p>
          <w:p w14:paraId="09C3A425">
            <w:pPr>
              <w:pStyle w:val="7"/>
              <w:ind w:firstLine="420" w:firstLineChars="0"/>
              <w:rPr>
                <w:rFonts w:hint="eastAsia" w:ascii="宋体" w:hAnsi="宋体" w:eastAsia="宋体" w:cs="Times New Roman"/>
                <w:bCs/>
                <w:color w:val="FF0000"/>
                <w:kern w:val="0"/>
                <w:sz w:val="21"/>
                <w:szCs w:val="21"/>
                <w:lang w:val="en-US" w:eastAsia="zh-CN" w:bidi="ar-SA"/>
              </w:rPr>
            </w:pPr>
            <w:r>
              <w:rPr>
                <w:rFonts w:hint="eastAsia" w:cs="宋体"/>
                <w:color w:val="FF0000"/>
                <w:sz w:val="21"/>
                <w:szCs w:val="21"/>
              </w:rPr>
              <w:t>15.涉及系统对接或信息化改造时，</w:t>
            </w:r>
            <w:r>
              <w:rPr>
                <w:rFonts w:hint="eastAsia" w:ascii="宋体" w:hAnsi="宋体" w:cs="宋体"/>
                <w:color w:val="FF0000"/>
                <w:sz w:val="21"/>
                <w:szCs w:val="21"/>
              </w:rPr>
              <w:t>免费同甲方不限于His、Lis、Pacs等信息化系统对接，并保证正常使用。</w:t>
            </w:r>
          </w:p>
        </w:tc>
      </w:tr>
      <w:tr w14:paraId="50948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gridSpan w:val="2"/>
            <w:vAlign w:val="center"/>
          </w:tcPr>
          <w:p w14:paraId="6504AEE0">
            <w:pPr>
              <w:jc w:val="center"/>
              <w:rPr>
                <w:rFonts w:hint="eastAsia" w:ascii="宋体" w:hAnsi="宋体"/>
                <w:b/>
                <w:bCs/>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kern w:val="0"/>
                <w:sz w:val="21"/>
                <w:szCs w:val="21"/>
              </w:rPr>
              <w:t>报价要求</w:t>
            </w:r>
          </w:p>
        </w:tc>
        <w:tc>
          <w:tcPr>
            <w:tcW w:w="8790" w:type="dxa"/>
            <w:gridSpan w:val="2"/>
            <w:vAlign w:val="center"/>
          </w:tcPr>
          <w:p w14:paraId="722E9883">
            <w:pPr>
              <w:jc w:val="left"/>
              <w:rPr>
                <w:rFonts w:hint="eastAsia" w:ascii="宋体" w:hAnsi="宋体" w:eastAsia="宋体" w:cs="Times New Roman"/>
                <w:bCs/>
                <w:color w:val="FF0000"/>
                <w:kern w:val="0"/>
                <w:sz w:val="21"/>
                <w:szCs w:val="21"/>
                <w:lang w:val="en-US" w:eastAsia="zh-CN" w:bidi="ar-SA"/>
              </w:rPr>
            </w:pPr>
            <w:r>
              <w:rPr>
                <w:rFonts w:hint="eastAsia" w:ascii="宋体" w:hAnsi="宋体" w:cs="宋体"/>
                <w:color w:val="FF0000"/>
                <w:sz w:val="21"/>
                <w:szCs w:val="21"/>
              </w:rPr>
              <w:t>投标报价以人民币报价，不得高于项目预算价，包含但不限于人工费、材料费、运输费、培训费、维保费及国家规定的各项税费等。</w:t>
            </w:r>
          </w:p>
        </w:tc>
      </w:tr>
      <w:tr w14:paraId="7DB21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1362" w:type="dxa"/>
            <w:gridSpan w:val="2"/>
            <w:vAlign w:val="center"/>
          </w:tcPr>
          <w:p w14:paraId="3DBEF133">
            <w:pPr>
              <w:jc w:val="center"/>
              <w:rPr>
                <w:rFonts w:hint="eastAsia" w:ascii="宋体" w:hAnsi="宋体"/>
                <w:b/>
                <w:bCs/>
                <w:color w:val="FF0000"/>
                <w:kern w:val="0"/>
                <w:sz w:val="21"/>
                <w:szCs w:val="21"/>
              </w:rPr>
            </w:pPr>
            <w:r>
              <w:rPr>
                <w:rFonts w:hint="eastAsia" w:ascii="宋体" w:hAnsi="宋体"/>
                <w:b/>
                <w:color w:val="FF0000"/>
                <w:kern w:val="0"/>
                <w:sz w:val="21"/>
                <w:szCs w:val="21"/>
              </w:rPr>
              <w:t>★验收标准</w:t>
            </w:r>
          </w:p>
        </w:tc>
        <w:tc>
          <w:tcPr>
            <w:tcW w:w="8790" w:type="dxa"/>
            <w:gridSpan w:val="2"/>
            <w:vAlign w:val="center"/>
          </w:tcPr>
          <w:p w14:paraId="6E7F4408">
            <w:pPr>
              <w:pStyle w:val="4"/>
              <w:numPr>
                <w:ilvl w:val="0"/>
                <w:numId w:val="1"/>
              </w:numPr>
              <w:spacing w:before="0" w:after="0" w:line="240" w:lineRule="auto"/>
              <w:jc w:val="left"/>
              <w:rPr>
                <w:rFonts w:ascii="宋体" w:hAnsi="宋体" w:eastAsia="宋体" w:cs="宋体"/>
                <w:b w:val="0"/>
                <w:bCs w:val="0"/>
                <w:color w:val="FF0000"/>
                <w:sz w:val="21"/>
                <w:szCs w:val="21"/>
              </w:rPr>
            </w:pPr>
            <w:r>
              <w:rPr>
                <w:rFonts w:ascii="宋体" w:hAnsi="宋体" w:eastAsia="宋体" w:cs="宋体"/>
                <w:b w:val="0"/>
                <w:bCs w:val="0"/>
                <w:color w:val="FF0000"/>
                <w:sz w:val="21"/>
                <w:szCs w:val="21"/>
              </w:rPr>
              <w:t>严格按照技术要求进行</w:t>
            </w:r>
            <w:r>
              <w:rPr>
                <w:rFonts w:hint="eastAsia" w:ascii="宋体" w:hAnsi="宋体" w:eastAsia="宋体" w:cs="宋体"/>
                <w:b w:val="0"/>
                <w:bCs w:val="0"/>
                <w:color w:val="FF0000"/>
                <w:sz w:val="21"/>
                <w:szCs w:val="21"/>
              </w:rPr>
              <w:t>维保维修服务</w:t>
            </w:r>
            <w:r>
              <w:rPr>
                <w:rFonts w:ascii="宋体" w:hAnsi="宋体" w:eastAsia="宋体" w:cs="宋体"/>
                <w:b w:val="0"/>
                <w:bCs w:val="0"/>
                <w:color w:val="FF0000"/>
                <w:sz w:val="21"/>
                <w:szCs w:val="21"/>
              </w:rPr>
              <w:t>，并以客户满意度100%作为验收标准。</w:t>
            </w:r>
          </w:p>
          <w:p w14:paraId="700312EE">
            <w:pPr>
              <w:pStyle w:val="4"/>
              <w:numPr>
                <w:ilvl w:val="0"/>
                <w:numId w:val="1"/>
              </w:numPr>
              <w:spacing w:before="0" w:after="0" w:line="240" w:lineRule="auto"/>
              <w:jc w:val="left"/>
              <w:rPr>
                <w:rFonts w:hint="eastAsia" w:ascii="宋体" w:hAnsi="宋体" w:eastAsia="宋体" w:cs="Times New Roman"/>
                <w:bCs/>
                <w:color w:val="FF0000"/>
                <w:kern w:val="0"/>
                <w:sz w:val="21"/>
                <w:szCs w:val="21"/>
                <w:lang w:val="en-US" w:eastAsia="zh-CN" w:bidi="ar-SA"/>
              </w:rPr>
            </w:pPr>
            <w:r>
              <w:rPr>
                <w:rFonts w:hint="eastAsia" w:ascii="宋体" w:hAnsi="宋体" w:eastAsia="宋体" w:cs="宋体"/>
                <w:b w:val="0"/>
                <w:bCs w:val="0"/>
                <w:color w:val="FF0000"/>
                <w:sz w:val="21"/>
                <w:szCs w:val="21"/>
              </w:rPr>
              <w:t>中标方按照设备运行行业标准、安全指标等对设备进行日常维护保养，确保设备处于正常可用状态。</w:t>
            </w:r>
          </w:p>
        </w:tc>
      </w:tr>
      <w:tr w14:paraId="5B8F3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gridSpan w:val="2"/>
            <w:vAlign w:val="center"/>
          </w:tcPr>
          <w:p w14:paraId="3F7CEDC0">
            <w:pPr>
              <w:jc w:val="center"/>
              <w:rPr>
                <w:rFonts w:hint="eastAsia" w:ascii="宋体" w:hAnsi="宋体"/>
                <w:b/>
                <w:bCs/>
                <w:color w:val="FF0000"/>
                <w:kern w:val="0"/>
                <w:sz w:val="21"/>
                <w:szCs w:val="21"/>
              </w:rPr>
            </w:pPr>
            <w:r>
              <w:rPr>
                <w:rFonts w:hint="eastAsia" w:ascii="宋体" w:hAnsi="宋体" w:cs="宋体"/>
                <w:b/>
                <w:color w:val="FF0000"/>
                <w:kern w:val="0"/>
                <w:sz w:val="21"/>
                <w:szCs w:val="21"/>
              </w:rPr>
              <w:t>★</w:t>
            </w:r>
            <w:r>
              <w:rPr>
                <w:rFonts w:hint="eastAsia" w:ascii="宋体" w:hAnsi="宋体"/>
                <w:b/>
                <w:color w:val="FF0000"/>
                <w:kern w:val="0"/>
                <w:sz w:val="21"/>
                <w:szCs w:val="21"/>
              </w:rPr>
              <w:t>付款方式</w:t>
            </w:r>
          </w:p>
        </w:tc>
        <w:tc>
          <w:tcPr>
            <w:tcW w:w="8790" w:type="dxa"/>
            <w:gridSpan w:val="2"/>
            <w:vAlign w:val="center"/>
          </w:tcPr>
          <w:p w14:paraId="4E0F19C7">
            <w:pPr>
              <w:jc w:val="left"/>
              <w:rPr>
                <w:rFonts w:ascii="宋体" w:hAnsi="宋体" w:cs="宋体"/>
                <w:color w:val="FF0000"/>
                <w:sz w:val="21"/>
                <w:szCs w:val="21"/>
              </w:rPr>
            </w:pPr>
            <w:r>
              <w:rPr>
                <w:rFonts w:hint="eastAsia" w:ascii="宋体" w:hAnsi="宋体" w:cs="宋体"/>
                <w:color w:val="FF0000"/>
                <w:sz w:val="21"/>
                <w:szCs w:val="21"/>
              </w:rPr>
              <w:t>第一期付款时间： 在本合同签订之日起6个月后，甲方应在收到乙方开具的发票后60日内支付服务费的50%。</w:t>
            </w:r>
          </w:p>
          <w:p w14:paraId="3B09811A">
            <w:pPr>
              <w:jc w:val="left"/>
              <w:rPr>
                <w:rFonts w:hint="eastAsia" w:ascii="宋体" w:hAnsi="宋体" w:eastAsia="宋体" w:cs="Times New Roman"/>
                <w:bCs/>
                <w:color w:val="FF0000"/>
                <w:kern w:val="0"/>
                <w:sz w:val="21"/>
                <w:szCs w:val="21"/>
                <w:lang w:val="en-US" w:eastAsia="zh-CN" w:bidi="ar-SA"/>
              </w:rPr>
            </w:pPr>
            <w:r>
              <w:rPr>
                <w:rFonts w:hint="eastAsia" w:ascii="宋体" w:hAnsi="宋体" w:cs="宋体"/>
                <w:color w:val="FF0000"/>
                <w:sz w:val="21"/>
                <w:szCs w:val="21"/>
              </w:rPr>
              <w:t>第二期付款时间：合同期满且甲方对合同期内维保服务验收合格后60日内(以验收报告为准)，甲方付清剩余50%服务费。</w:t>
            </w:r>
          </w:p>
        </w:tc>
      </w:tr>
      <w:tr w14:paraId="7D833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gridSpan w:val="2"/>
            <w:vAlign w:val="center"/>
          </w:tcPr>
          <w:p w14:paraId="72AA933E">
            <w:pPr>
              <w:jc w:val="center"/>
              <w:rPr>
                <w:rFonts w:hint="eastAsia" w:ascii="宋体" w:hAnsi="宋体"/>
                <w:b/>
                <w:bCs/>
                <w:color w:val="FF0000"/>
                <w:kern w:val="0"/>
                <w:sz w:val="21"/>
                <w:szCs w:val="21"/>
              </w:rPr>
            </w:pPr>
            <w:r>
              <w:rPr>
                <w:rFonts w:hint="eastAsia" w:ascii="宋体" w:hAnsi="宋体"/>
                <w:b/>
                <w:color w:val="FF0000"/>
                <w:kern w:val="0"/>
                <w:sz w:val="21"/>
                <w:szCs w:val="21"/>
              </w:rPr>
              <w:t>★服务期限</w:t>
            </w:r>
          </w:p>
        </w:tc>
        <w:tc>
          <w:tcPr>
            <w:tcW w:w="8790" w:type="dxa"/>
            <w:gridSpan w:val="2"/>
            <w:vAlign w:val="center"/>
          </w:tcPr>
          <w:p w14:paraId="36224226">
            <w:pPr>
              <w:jc w:val="left"/>
              <w:rPr>
                <w:rFonts w:hint="eastAsia" w:ascii="宋体" w:hAnsi="宋体" w:eastAsia="宋体" w:cs="Times New Roman"/>
                <w:bCs/>
                <w:color w:val="FF0000"/>
                <w:kern w:val="0"/>
                <w:sz w:val="21"/>
                <w:szCs w:val="21"/>
                <w:lang w:val="en-US" w:eastAsia="zh-CN" w:bidi="ar-SA"/>
              </w:rPr>
            </w:pPr>
            <w:r>
              <w:rPr>
                <w:rFonts w:hint="eastAsia"/>
                <w:color w:val="FF0000"/>
                <w:sz w:val="21"/>
                <w:szCs w:val="21"/>
              </w:rPr>
              <w:t>服务合同期一年，合同一年一签。合同期满后，采购方可根据对中标方的履约考核情况，决定是否续签。合同最多可续签2次。合同的履行期限不得超过三年，协议期内不得改变所有合同实质性条款。</w:t>
            </w:r>
          </w:p>
        </w:tc>
      </w:tr>
      <w:tr w14:paraId="45D3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41AA8050">
            <w:pPr>
              <w:jc w:val="center"/>
              <w:rPr>
                <w:rFonts w:hint="eastAsia" w:ascii="宋体" w:hAnsi="宋体" w:eastAsia="宋体" w:cs="Times New Roman"/>
                <w:b/>
                <w:color w:val="FF0000"/>
                <w:kern w:val="0"/>
                <w:sz w:val="21"/>
                <w:szCs w:val="21"/>
              </w:rPr>
            </w:pPr>
            <w:r>
              <w:rPr>
                <w:rFonts w:hint="eastAsia" w:ascii="宋体" w:hAnsi="宋体" w:cs="宋体"/>
                <w:b/>
                <w:color w:val="FF0000"/>
                <w:kern w:val="0"/>
                <w:sz w:val="21"/>
                <w:szCs w:val="21"/>
              </w:rPr>
              <w:t>★</w:t>
            </w:r>
            <w:r>
              <w:rPr>
                <w:rFonts w:hint="eastAsia" w:ascii="宋体" w:hAnsi="宋体"/>
                <w:b/>
                <w:color w:val="FF0000"/>
                <w:kern w:val="0"/>
                <w:sz w:val="21"/>
                <w:szCs w:val="21"/>
              </w:rPr>
              <w:t>履约考核</w:t>
            </w:r>
          </w:p>
        </w:tc>
        <w:tc>
          <w:tcPr>
            <w:tcW w:w="8790" w:type="dxa"/>
            <w:gridSpan w:val="2"/>
            <w:tcBorders>
              <w:top w:val="single" w:color="auto" w:sz="4" w:space="0"/>
              <w:left w:val="single" w:color="auto" w:sz="4" w:space="0"/>
              <w:bottom w:val="single" w:color="auto" w:sz="4" w:space="0"/>
              <w:right w:val="single" w:color="auto" w:sz="4" w:space="0"/>
            </w:tcBorders>
            <w:noWrap w:val="0"/>
            <w:vAlign w:val="center"/>
          </w:tcPr>
          <w:p w14:paraId="5F86B972">
            <w:pPr>
              <w:jc w:val="left"/>
              <w:rPr>
                <w:rFonts w:hint="eastAsia" w:ascii="Times New Roman" w:cs="Times New Roman"/>
                <w:color w:val="FF0000"/>
                <w:kern w:val="2"/>
                <w:sz w:val="21"/>
                <w:szCs w:val="21"/>
                <w:lang w:val="en-US" w:eastAsia="zh-CN" w:bidi="ar-SA"/>
              </w:rPr>
            </w:pPr>
            <w:r>
              <w:rPr>
                <w:rFonts w:hint="eastAsia" w:ascii="宋体" w:hAnsi="宋体" w:cs="宋体"/>
                <w:color w:val="FF0000"/>
                <w:sz w:val="21"/>
                <w:szCs w:val="21"/>
              </w:rPr>
              <w:t>由采购方使用科室和设备科对中标方进行履约考核评价。合同结束前，根据履约情况决定是否续签合同，履约评价为不合格者，则无资格提供下一年度的项目服务。</w:t>
            </w:r>
          </w:p>
        </w:tc>
      </w:tr>
      <w:tr w14:paraId="685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43BDE318">
            <w:pPr>
              <w:jc w:val="center"/>
              <w:rPr>
                <w:rFonts w:hint="eastAsia" w:ascii="宋体" w:hAnsi="宋体" w:eastAsia="宋体" w:cs="宋体"/>
                <w:b/>
                <w:color w:val="FF0000"/>
                <w:kern w:val="0"/>
                <w:sz w:val="21"/>
                <w:szCs w:val="21"/>
                <w:highlight w:val="none"/>
              </w:rPr>
            </w:pPr>
            <w:r>
              <w:rPr>
                <w:rFonts w:hint="eastAsia" w:ascii="宋体" w:hAnsi="宋体" w:cs="宋体"/>
                <w:b/>
                <w:color w:val="FF0000"/>
                <w:kern w:val="0"/>
                <w:sz w:val="21"/>
                <w:szCs w:val="21"/>
              </w:rPr>
              <w:t>★</w:t>
            </w:r>
            <w:r>
              <w:rPr>
                <w:rFonts w:hint="eastAsia" w:ascii="宋体" w:hAnsi="宋体" w:cs="宋体"/>
                <w:b/>
                <w:bCs/>
                <w:color w:val="FF0000"/>
                <w:sz w:val="21"/>
                <w:szCs w:val="21"/>
              </w:rPr>
              <w:t>违约责任</w:t>
            </w:r>
          </w:p>
        </w:tc>
        <w:tc>
          <w:tcPr>
            <w:tcW w:w="8790" w:type="dxa"/>
            <w:gridSpan w:val="2"/>
            <w:tcBorders>
              <w:top w:val="single" w:color="auto" w:sz="4" w:space="0"/>
              <w:left w:val="single" w:color="auto" w:sz="4" w:space="0"/>
              <w:bottom w:val="single" w:color="auto" w:sz="4" w:space="0"/>
              <w:right w:val="single" w:color="auto" w:sz="4" w:space="0"/>
            </w:tcBorders>
            <w:noWrap w:val="0"/>
            <w:vAlign w:val="center"/>
          </w:tcPr>
          <w:p w14:paraId="0CC83956">
            <w:pPr>
              <w:jc w:val="left"/>
              <w:rPr>
                <w:rFonts w:hint="eastAsia" w:ascii="宋体" w:hAnsi="宋体" w:cs="宋体"/>
                <w:color w:val="FF0000"/>
                <w:sz w:val="21"/>
                <w:szCs w:val="21"/>
                <w:lang w:val="en-US" w:eastAsia="zh-CN"/>
              </w:rPr>
            </w:pPr>
            <w:r>
              <w:rPr>
                <w:rFonts w:hint="eastAsia" w:hAnsi="宋体" w:cs="宋体"/>
                <w:color w:val="FF0000"/>
                <w:sz w:val="21"/>
                <w:szCs w:val="21"/>
              </w:rPr>
              <w:t>中标方若不按规定时间、地点与采购方办理合同签订事宜，则采购方可以终止中标资格。给采购方造成的损失，还应当予以赔偿并承担相应法律责任解除或终止合同。</w:t>
            </w:r>
          </w:p>
        </w:tc>
      </w:tr>
    </w:tbl>
    <w:p w14:paraId="69718488">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359A9"/>
    <w:multiLevelType w:val="singleLevel"/>
    <w:tmpl w:val="A41359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76B195A"/>
    <w:rsid w:val="1AA5178A"/>
    <w:rsid w:val="1BD20B20"/>
    <w:rsid w:val="1E4C5F8A"/>
    <w:rsid w:val="201670C7"/>
    <w:rsid w:val="21B048A7"/>
    <w:rsid w:val="22AC6DA8"/>
    <w:rsid w:val="22D12C54"/>
    <w:rsid w:val="24917E72"/>
    <w:rsid w:val="2DFA155F"/>
    <w:rsid w:val="32140609"/>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5976</Words>
  <Characters>6154</Characters>
  <Lines>0</Lines>
  <Paragraphs>0</Paragraphs>
  <TotalTime>0</TotalTime>
  <ScaleCrop>false</ScaleCrop>
  <LinksUpToDate>false</LinksUpToDate>
  <CharactersWithSpaces>6863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2024-08-23T07:18:56Z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