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4</w:t>
      </w:r>
      <w:r>
        <w:rPr>
          <w:rFonts w:hint="eastAsia" w:cs="Times New Roman" w:asciiTheme="minorEastAsia" w:hAnsiTheme="minorEastAsia" w:eastAsiaTheme="minorEastAsia"/>
          <w:b/>
          <w:bCs/>
          <w:color w:val="003368"/>
          <w:sz w:val="32"/>
          <w:szCs w:val="32"/>
          <w:lang w:val="en-US" w:eastAsia="zh-CN"/>
        </w:rPr>
        <w:t>8期心肺复苏器</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48</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心肺复苏器</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2</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心内科、急诊科</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14</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w:t>
      </w:r>
      <w:bookmarkStart w:id="14" w:name="_GoBack"/>
      <w:bookmarkEnd w:id="14"/>
      <w:r>
        <w:rPr>
          <w:rFonts w:cs="Arial" w:asciiTheme="minorEastAsia" w:hAnsiTheme="minorEastAsia" w:eastAsiaTheme="minorEastAsia"/>
          <w:bCs/>
          <w:color w:val="000000"/>
          <w:kern w:val="0"/>
          <w:szCs w:val="21"/>
        </w:rPr>
        <w:t>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3C66431A">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41FC480">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14:paraId="29156A04">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45B4F95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A4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787E51EB">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0E77ADCC">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4AB61B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09E56092">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71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2D8B2B7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14:paraId="0D77FACC">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14:paraId="069B9D9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31</w:t>
            </w:r>
            <w:r>
              <w:rPr>
                <w:rFonts w:hint="default" w:asciiTheme="minorEastAsia" w:hAnsiTheme="minorEastAsia" w:eastAsiaTheme="minorEastAsia"/>
                <w:color w:val="000000"/>
                <w:szCs w:val="21"/>
                <w:lang w:val="zh-CN"/>
              </w:rPr>
              <w:t>分</w:t>
            </w:r>
          </w:p>
        </w:tc>
        <w:tc>
          <w:tcPr>
            <w:tcW w:w="5115" w:type="dxa"/>
            <w:vAlign w:val="center"/>
          </w:tcPr>
          <w:p w14:paraId="01B5F1A8">
            <w:pPr>
              <w:keepNext w:val="0"/>
              <w:keepLines w:val="0"/>
              <w:suppressLineNumbers w:val="0"/>
              <w:tabs>
                <w:tab w:val="left" w:pos="425"/>
              </w:tabs>
              <w:spacing w:before="0" w:beforeAutospacing="0" w:after="0" w:afterAutospacing="0"/>
              <w:ind w:left="0" w:right="0"/>
              <w:rPr>
                <w:rFonts w:hint="default" w:ascii="Times New Roman" w:hAnsi="Times New Roman" w:eastAsia="宋体" w:cs="Times New Roman"/>
                <w:color w:val="auto"/>
                <w:lang w:val="zh-CN"/>
              </w:rPr>
            </w:pPr>
            <w:r>
              <w:rPr>
                <w:rFonts w:hint="eastAsia" w:ascii="Times New Roman" w:hAnsi="Times New Roman" w:eastAsia="宋体" w:cs="Times New Roman"/>
                <w:color w:val="auto"/>
              </w:rPr>
              <w:t>投标人须对本项目的【技术参数】</w:t>
            </w:r>
            <w:r>
              <w:rPr>
                <w:rFonts w:hint="eastAsia" w:cs="Times New Roman"/>
                <w:color w:val="auto"/>
                <w:lang w:val="en-US" w:eastAsia="zh-CN"/>
              </w:rPr>
              <w:t>要求</w:t>
            </w:r>
            <w:r>
              <w:rPr>
                <w:rFonts w:hint="eastAsia" w:ascii="Times New Roman" w:hAnsi="Times New Roman" w:eastAsia="宋体" w:cs="Times New Roman"/>
                <w:color w:val="auto"/>
              </w:rPr>
              <w:t>进行逐条响应</w:t>
            </w:r>
            <w:r>
              <w:rPr>
                <w:rFonts w:hint="eastAsia" w:ascii="Times New Roman" w:hAnsi="Times New Roman" w:eastAsia="宋体" w:cs="Times New Roman"/>
                <w:color w:val="auto"/>
                <w:lang w:val="zh-CN"/>
              </w:rPr>
              <w:t>｡</w:t>
            </w:r>
          </w:p>
          <w:p w14:paraId="54B303A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Times New Roman" w:hAnsi="Times New Roman" w:eastAsia="宋体" w:cs="Times New Roman"/>
                <w:color w:val="auto"/>
              </w:rPr>
              <w:t>评分依据：以投标文件《</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条款</w:t>
            </w:r>
            <w:r>
              <w:rPr>
                <w:rFonts w:hint="eastAsia" w:ascii="宋体" w:hAnsi="宋体" w:eastAsia="宋体" w:cs="宋体"/>
                <w:color w:val="auto"/>
                <w:szCs w:val="21"/>
              </w:rPr>
              <w:t>偏离表</w:t>
            </w:r>
            <w:r>
              <w:rPr>
                <w:rFonts w:hint="eastAsia" w:ascii="Times New Roman" w:hAnsi="Times New Roman" w:eastAsia="宋体" w:cs="Times New Roman"/>
                <w:color w:val="auto"/>
              </w:rPr>
              <w:t>》为评分依据，按招标文件要求提供相应的证明材料复印件或扫描件加盖投标人公章（原件备查）</w:t>
            </w:r>
            <w:r>
              <w:rPr>
                <w:rFonts w:hint="default" w:asciiTheme="minorEastAsia" w:hAnsiTheme="minorEastAsia" w:eastAsiaTheme="minorEastAsia"/>
              </w:rPr>
              <w:t>,</w:t>
            </w:r>
            <w:r>
              <w:rPr>
                <w:rFonts w:hint="default" w:asciiTheme="minorEastAsia" w:hAnsiTheme="minorEastAsia" w:eastAsiaTheme="minorEastAsia"/>
                <w:szCs w:val="21"/>
              </w:rPr>
              <w:t>完全符合招标要求的,得满分;</w:t>
            </w:r>
            <w:r>
              <w:rPr>
                <w:rFonts w:hint="default" w:asciiTheme="minorEastAsia" w:hAnsiTheme="minorEastAsia" w:eastAsiaTheme="minorEastAsia"/>
              </w:rPr>
              <w:t>注有▲的重要技术要求每1项负偏离,扣</w:t>
            </w:r>
            <w:r>
              <w:rPr>
                <w:rFonts w:hint="default" w:asciiTheme="minorEastAsia" w:hAnsiTheme="minorEastAsia" w:eastAsiaTheme="minorEastAsia"/>
                <w:u w:val="single"/>
              </w:rPr>
              <w:t xml:space="preserve">  </w:t>
            </w:r>
            <w:r>
              <w:rPr>
                <w:rFonts w:hint="eastAsia" w:asciiTheme="minorEastAsia" w:hAnsiTheme="minorEastAsia" w:eastAsiaTheme="minorEastAsia"/>
                <w:color w:val="FF0000"/>
                <w:u w:val="single"/>
                <w:lang w:val="en-US" w:eastAsia="zh-CN"/>
              </w:rPr>
              <w:t>4</w:t>
            </w:r>
            <w:r>
              <w:rPr>
                <w:rFonts w:hint="default" w:asciiTheme="minorEastAsia" w:hAnsiTheme="minorEastAsia" w:eastAsiaTheme="minorEastAsia"/>
                <w:color w:val="FF0000"/>
                <w:u w:val="single"/>
              </w:rPr>
              <w:t>分</w:t>
            </w:r>
            <w:r>
              <w:rPr>
                <w:rFonts w:hint="default" w:asciiTheme="minorEastAsia" w:hAnsiTheme="minorEastAsia" w:eastAsiaTheme="minorEastAsia"/>
              </w:rPr>
              <w:t>;其他一般技术要求每1项负偏离,扣</w:t>
            </w:r>
            <w:r>
              <w:rPr>
                <w:rFonts w:hint="default" w:asciiTheme="minorEastAsia" w:hAnsiTheme="minorEastAsia" w:eastAsiaTheme="minorEastAsia"/>
                <w:color w:val="FF0000"/>
                <w:u w:val="single"/>
              </w:rPr>
              <w:t xml:space="preserve"> </w:t>
            </w:r>
            <w:r>
              <w:rPr>
                <w:rFonts w:hint="eastAsia" w:asciiTheme="minorEastAsia" w:hAnsiTheme="minorEastAsia" w:eastAsiaTheme="minorEastAsia"/>
                <w:color w:val="FF0000"/>
                <w:u w:val="single"/>
                <w:lang w:val="en-US" w:eastAsia="zh-CN"/>
              </w:rPr>
              <w:t>1</w:t>
            </w:r>
            <w:r>
              <w:rPr>
                <w:rFonts w:hint="default" w:asciiTheme="minorEastAsia" w:hAnsiTheme="minorEastAsia" w:eastAsiaTheme="minorEastAsia"/>
                <w:color w:val="FF0000"/>
                <w:u w:val="single"/>
              </w:rPr>
              <w:t>分</w:t>
            </w:r>
            <w:r>
              <w:rPr>
                <w:rFonts w:hint="default" w:asciiTheme="minorEastAsia" w:hAnsiTheme="minorEastAsia" w:eastAsiaTheme="minorEastAsia"/>
              </w:rPr>
              <w:t>;扣完为止</w:t>
            </w:r>
            <w:r>
              <w:rPr>
                <w:rFonts w:hint="eastAsia" w:asciiTheme="minorEastAsia" w:hAnsiTheme="minorEastAsia" w:eastAsiaTheme="minorEastAsia"/>
              </w:rPr>
              <w:t>｡</w:t>
            </w:r>
          </w:p>
        </w:tc>
      </w:tr>
      <w:tr w14:paraId="543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192162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8118AF5">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14:paraId="418FC09C">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14</w:t>
            </w:r>
            <w:r>
              <w:rPr>
                <w:rFonts w:hint="default" w:ascii="宋体" w:hAnsi="宋体" w:eastAsia="宋体" w:cs="Times New Roman"/>
                <w:szCs w:val="21"/>
                <w:lang w:val="zh-CN"/>
              </w:rPr>
              <w:t>分</w:t>
            </w:r>
          </w:p>
        </w:tc>
        <w:tc>
          <w:tcPr>
            <w:tcW w:w="5115" w:type="dxa"/>
          </w:tcPr>
          <w:p w14:paraId="6C42F36F">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1838FFA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66DDF059">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6A995BFC">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5C49320C">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每满足一项内容得2分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14:paraId="319AEC69">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1E69FBE2">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8</w:t>
            </w:r>
            <w:r>
              <w:rPr>
                <w:rFonts w:hint="eastAsia" w:ascii="宋体" w:hAnsi="宋体" w:eastAsia="宋体" w:cs="宋体"/>
                <w:bCs/>
                <w:color w:val="auto"/>
                <w:sz w:val="21"/>
                <w:szCs w:val="21"/>
                <w:highlight w:val="none"/>
              </w:rPr>
              <w:t>分；</w:t>
            </w:r>
          </w:p>
          <w:p w14:paraId="7ED9549E">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0CBD7B1C">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5BA32700">
            <w:pPr>
              <w:pStyle w:val="19"/>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7CAF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183BE62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D19A864">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14:paraId="49E7567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9</w:t>
            </w:r>
            <w:r>
              <w:rPr>
                <w:rFonts w:hint="eastAsia" w:ascii="宋体" w:hAnsi="宋体"/>
                <w:color w:val="000000"/>
                <w:szCs w:val="21"/>
                <w:lang w:val="zh-CN"/>
              </w:rPr>
              <w:t>分</w:t>
            </w:r>
          </w:p>
        </w:tc>
        <w:tc>
          <w:tcPr>
            <w:tcW w:w="5115" w:type="dxa"/>
            <w:vAlign w:val="center"/>
          </w:tcPr>
          <w:p w14:paraId="1EDB335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14:paraId="573CE59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14:paraId="256E74B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14:paraId="49C6CADE">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14:paraId="2524CE3B">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1B446ED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4F6B047E">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04940E9F">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363B3283">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6B9BA17C">
            <w:pPr>
              <w:pStyle w:val="19"/>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2E84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633A99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50D74BB7">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14:paraId="2407B3F7">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14:paraId="0E9D7DAB">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14:paraId="51C0FE2B">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14:paraId="092F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7492779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150E0C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5DE0575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14:paraId="71B2F82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2A7BD45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FA7DB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338EB574">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03A9012F">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5D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D37A0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14:paraId="7EB76D82">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5FF60200">
      <w:pPr>
        <w:pStyle w:val="29"/>
        <w:rPr>
          <w:rFonts w:hint="eastAsia"/>
          <w:lang w:val="en-US" w:eastAsia="zh-CN"/>
        </w:rPr>
      </w:pPr>
    </w:p>
    <w:p w14:paraId="0DB361D0">
      <w:pPr>
        <w:pStyle w:val="68"/>
        <w:ind w:left="723" w:hanging="723"/>
        <w:jc w:val="center"/>
        <w:rPr>
          <w:rFonts w:hint="default" w:ascii="宋体" w:hAnsi="宋体" w:eastAsia="宋体" w:cs="宋体"/>
          <w:sz w:val="30"/>
          <w:szCs w:val="30"/>
          <w:lang w:val="en-US" w:eastAsia="zh-CN"/>
        </w:rPr>
      </w:pPr>
      <w:r>
        <w:rPr>
          <w:rFonts w:hint="eastAsia" w:cs="宋体"/>
          <w:sz w:val="30"/>
          <w:szCs w:val="30"/>
          <w:lang w:val="en-US" w:eastAsia="zh-CN"/>
        </w:rPr>
        <w:t>心肺复苏器</w:t>
      </w:r>
    </w:p>
    <w:p w14:paraId="6816900B">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预算单价</w:t>
      </w:r>
      <w:r>
        <w:rPr>
          <w:rFonts w:asciiTheme="minorEastAsia" w:hAnsiTheme="minorEastAsia" w:eastAsiaTheme="minorEastAsia"/>
          <w:b/>
          <w:color w:val="000000" w:themeColor="text1"/>
          <w:szCs w:val="21"/>
        </w:rPr>
        <w:t>】</w:t>
      </w:r>
    </w:p>
    <w:p w14:paraId="565373BE">
      <w:pPr>
        <w:pStyle w:val="68"/>
        <w:ind w:left="722" w:leftChars="200" w:hanging="302" w:hangingChars="144"/>
        <w:rPr>
          <w:rFonts w:hint="eastAsia" w:ascii="宋体" w:hAnsi="宋体" w:eastAsia="宋体" w:cs="Times New Roman"/>
          <w:kern w:val="2"/>
          <w:sz w:val="21"/>
          <w:szCs w:val="21"/>
          <w:lang w:val="en-US" w:eastAsia="zh-CN" w:bidi="ar-SA"/>
        </w:rPr>
      </w:pPr>
      <w:r>
        <w:rPr>
          <w:rFonts w:hint="eastAsia" w:cs="Times New Roman"/>
          <w:kern w:val="2"/>
          <w:sz w:val="21"/>
          <w:szCs w:val="21"/>
          <w:lang w:val="en-US" w:eastAsia="zh-CN" w:bidi="ar-SA"/>
        </w:rPr>
        <w:t>140000/套</w:t>
      </w:r>
      <w:r>
        <w:rPr>
          <w:rFonts w:hint="eastAsia" w:ascii="宋体" w:hAnsi="宋体" w:eastAsia="宋体" w:cs="Times New Roman"/>
          <w:kern w:val="2"/>
          <w:sz w:val="21"/>
          <w:szCs w:val="21"/>
          <w:lang w:val="en-US" w:eastAsia="zh-CN" w:bidi="ar-SA"/>
        </w:rPr>
        <w:t>。</w:t>
      </w:r>
    </w:p>
    <w:p w14:paraId="61DC467D">
      <w:pPr>
        <w:pStyle w:val="68"/>
        <w:rPr>
          <w:rFonts w:ascii="Times New Roman"/>
          <w:kern w:val="2"/>
          <w:szCs w:val="22"/>
        </w:rPr>
      </w:pPr>
      <w:r>
        <w:rPr>
          <w:rFonts w:hint="eastAsia" w:ascii="宋体" w:hAnsi="宋体" w:eastAsia="宋体" w:cs="Times New Roman"/>
          <w:szCs w:val="21"/>
          <w:lang w:val="en-US" w:eastAsia="zh-CN"/>
        </w:rPr>
        <w:t>★</w:t>
      </w:r>
      <w:r>
        <w:rPr>
          <w:rFonts w:asciiTheme="minorEastAsia" w:hAnsiTheme="minorEastAsia" w:eastAsiaTheme="minorEastAsia"/>
          <w:b/>
          <w:color w:val="000000" w:themeColor="text1"/>
          <w:szCs w:val="21"/>
        </w:rPr>
        <w:t>【配置清单】</w:t>
      </w:r>
    </w:p>
    <w:tbl>
      <w:tblPr>
        <w:tblStyle w:val="22"/>
        <w:tblpPr w:leftFromText="180" w:rightFromText="180" w:vertAnchor="text" w:tblpY="1"/>
        <w:tblOverlap w:val="never"/>
        <w:tblW w:w="8166" w:type="dxa"/>
        <w:tblInd w:w="0" w:type="dxa"/>
        <w:tblLayout w:type="fixed"/>
        <w:tblCellMar>
          <w:top w:w="15" w:type="dxa"/>
          <w:left w:w="15" w:type="dxa"/>
          <w:bottom w:w="15" w:type="dxa"/>
          <w:right w:w="15" w:type="dxa"/>
        </w:tblCellMar>
      </w:tblPr>
      <w:tblGrid>
        <w:gridCol w:w="736"/>
        <w:gridCol w:w="4827"/>
        <w:gridCol w:w="814"/>
        <w:gridCol w:w="1789"/>
      </w:tblGrid>
      <w:tr w14:paraId="36F24AF2">
        <w:tblPrEx>
          <w:tblCellMar>
            <w:top w:w="15" w:type="dxa"/>
            <w:left w:w="15" w:type="dxa"/>
            <w:bottom w:w="15" w:type="dxa"/>
            <w:right w:w="15" w:type="dxa"/>
          </w:tblCellMar>
        </w:tblPrEx>
        <w:trPr>
          <w:trHeight w:val="552" w:hRule="atLeast"/>
        </w:trPr>
        <w:tc>
          <w:tcPr>
            <w:tcW w:w="736"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0658FC68">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sz w:val="28"/>
                <w:szCs w:val="28"/>
              </w:rPr>
            </w:pPr>
            <w:r>
              <w:rPr>
                <w:rFonts w:hint="eastAsia" w:ascii="宋体" w:hAnsi="宋体" w:cs="仿宋"/>
                <w:b/>
                <w:bCs/>
                <w:color w:val="000000"/>
                <w:kern w:val="0"/>
                <w:sz w:val="28"/>
                <w:szCs w:val="28"/>
              </w:rPr>
              <w:t>序号</w:t>
            </w:r>
          </w:p>
        </w:tc>
        <w:tc>
          <w:tcPr>
            <w:tcW w:w="4827" w:type="dxa"/>
            <w:tcBorders>
              <w:top w:val="single" w:color="000000" w:sz="4" w:space="0"/>
              <w:left w:val="single" w:color="auto" w:sz="4" w:space="0"/>
              <w:bottom w:val="single" w:color="000000" w:sz="4" w:space="0"/>
              <w:right w:val="single" w:color="000000" w:sz="4" w:space="0"/>
            </w:tcBorders>
            <w:shd w:val="clear" w:color="auto" w:fill="FFFFFF" w:themeFill="background1"/>
            <w:vAlign w:val="center"/>
          </w:tcPr>
          <w:p w14:paraId="23F901DE">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sz w:val="28"/>
                <w:szCs w:val="28"/>
              </w:rPr>
            </w:pPr>
            <w:r>
              <w:rPr>
                <w:rFonts w:hint="eastAsia" w:ascii="宋体" w:hAnsi="宋体" w:cs="仿宋"/>
                <w:b/>
                <w:bCs/>
                <w:color w:val="000000"/>
                <w:kern w:val="0"/>
                <w:sz w:val="28"/>
                <w:szCs w:val="28"/>
              </w:rPr>
              <w:t>货物名称</w:t>
            </w:r>
          </w:p>
        </w:tc>
        <w:tc>
          <w:tcPr>
            <w:tcW w:w="8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00238">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sz w:val="28"/>
                <w:szCs w:val="28"/>
              </w:rPr>
            </w:pPr>
            <w:r>
              <w:rPr>
                <w:rFonts w:hint="eastAsia" w:ascii="宋体" w:hAnsi="宋体" w:cs="仿宋"/>
                <w:b/>
                <w:bCs/>
                <w:color w:val="000000"/>
                <w:kern w:val="0"/>
                <w:sz w:val="28"/>
                <w:szCs w:val="28"/>
              </w:rPr>
              <w:t>单位</w:t>
            </w:r>
          </w:p>
        </w:tc>
        <w:tc>
          <w:tcPr>
            <w:tcW w:w="178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87A1A">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sz w:val="28"/>
                <w:szCs w:val="28"/>
              </w:rPr>
            </w:pPr>
            <w:r>
              <w:rPr>
                <w:rFonts w:hint="eastAsia" w:ascii="宋体" w:hAnsi="宋体" w:cs="仿宋"/>
                <w:b/>
                <w:bCs/>
                <w:color w:val="000000"/>
                <w:kern w:val="0"/>
                <w:sz w:val="28"/>
                <w:szCs w:val="28"/>
              </w:rPr>
              <w:t>数 量</w:t>
            </w:r>
          </w:p>
        </w:tc>
      </w:tr>
      <w:tr w14:paraId="3387C9A8">
        <w:tblPrEx>
          <w:tblCellMar>
            <w:top w:w="15" w:type="dxa"/>
            <w:left w:w="15" w:type="dxa"/>
            <w:bottom w:w="15" w:type="dxa"/>
            <w:right w:w="15" w:type="dxa"/>
          </w:tblCellMar>
        </w:tblPrEx>
        <w:trPr>
          <w:trHeight w:val="286" w:hRule="atLeast"/>
        </w:trPr>
        <w:tc>
          <w:tcPr>
            <w:tcW w:w="5563" w:type="dxa"/>
            <w:gridSpan w:val="2"/>
            <w:tcBorders>
              <w:top w:val="single" w:color="000000" w:sz="4" w:space="0"/>
              <w:left w:val="single" w:color="000000" w:sz="4" w:space="0"/>
              <w:bottom w:val="single" w:color="000000" w:sz="4" w:space="0"/>
              <w:right w:val="single" w:color="000000" w:sz="4" w:space="0"/>
            </w:tcBorders>
            <w:vAlign w:val="center"/>
          </w:tcPr>
          <w:p w14:paraId="3BC0996F">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kern w:val="0"/>
                <w:sz w:val="22"/>
              </w:rPr>
            </w:pPr>
            <w:r>
              <w:rPr>
                <w:rFonts w:hint="default" w:ascii="宋体" w:hAnsi="宋体" w:cs="仿宋"/>
                <w:b/>
                <w:bCs/>
                <w:color w:val="000000"/>
                <w:kern w:val="0"/>
                <w:sz w:val="22"/>
              </w:rPr>
              <w:t>心肺复苏器</w:t>
            </w:r>
          </w:p>
        </w:tc>
        <w:tc>
          <w:tcPr>
            <w:tcW w:w="814" w:type="dxa"/>
            <w:tcBorders>
              <w:top w:val="single" w:color="000000" w:sz="4" w:space="0"/>
              <w:left w:val="single" w:color="000000" w:sz="4" w:space="0"/>
              <w:bottom w:val="single" w:color="000000" w:sz="4" w:space="0"/>
              <w:right w:val="single" w:color="000000" w:sz="4" w:space="0"/>
            </w:tcBorders>
            <w:vAlign w:val="center"/>
          </w:tcPr>
          <w:p w14:paraId="282F6EC6">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kern w:val="0"/>
                <w:sz w:val="22"/>
              </w:rPr>
            </w:pPr>
            <w:r>
              <w:rPr>
                <w:rFonts w:hint="eastAsia" w:ascii="宋体" w:hAnsi="宋体"/>
                <w:sz w:val="24"/>
              </w:rPr>
              <w:t>台</w:t>
            </w:r>
          </w:p>
        </w:tc>
        <w:tc>
          <w:tcPr>
            <w:tcW w:w="1789" w:type="dxa"/>
            <w:tcBorders>
              <w:top w:val="single" w:color="000000" w:sz="4" w:space="0"/>
              <w:left w:val="single" w:color="000000" w:sz="4" w:space="0"/>
              <w:bottom w:val="single" w:color="000000" w:sz="4" w:space="0"/>
              <w:right w:val="single" w:color="000000" w:sz="4" w:space="0"/>
            </w:tcBorders>
            <w:vAlign w:val="center"/>
          </w:tcPr>
          <w:p w14:paraId="67FADFDC">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
                <w:bCs/>
                <w:color w:val="000000"/>
                <w:kern w:val="0"/>
                <w:sz w:val="22"/>
              </w:rPr>
            </w:pPr>
            <w:r>
              <w:rPr>
                <w:rFonts w:hint="eastAsia" w:ascii="宋体" w:hAnsi="宋体" w:cs="仿宋"/>
                <w:b/>
                <w:bCs/>
                <w:color w:val="000000"/>
                <w:kern w:val="0"/>
                <w:sz w:val="22"/>
              </w:rPr>
              <w:t>1</w:t>
            </w:r>
          </w:p>
        </w:tc>
      </w:tr>
      <w:tr w14:paraId="26FBEE8D">
        <w:tblPrEx>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vAlign w:val="center"/>
          </w:tcPr>
          <w:p w14:paraId="73378150">
            <w:pPr>
              <w:keepNext w:val="0"/>
              <w:keepLines w:val="0"/>
              <w:widowControl/>
              <w:suppressLineNumbers w:val="0"/>
              <w:adjustRightInd w:val="0"/>
              <w:spacing w:before="0" w:beforeAutospacing="0" w:after="78" w:afterAutospacing="0" w:line="360" w:lineRule="auto"/>
              <w:ind w:left="0" w:right="0"/>
              <w:jc w:val="center"/>
              <w:rPr>
                <w:rFonts w:hint="default" w:ascii="宋体" w:hAnsi="宋体"/>
                <w:sz w:val="24"/>
              </w:rPr>
            </w:pPr>
            <w:r>
              <w:rPr>
                <w:rFonts w:hint="eastAsia" w:ascii="宋体" w:hAnsi="宋体"/>
                <w:sz w:val="24"/>
              </w:rPr>
              <w:t>1</w:t>
            </w:r>
          </w:p>
        </w:tc>
        <w:tc>
          <w:tcPr>
            <w:tcW w:w="4827" w:type="dxa"/>
            <w:tcBorders>
              <w:top w:val="single" w:color="000000" w:sz="4" w:space="0"/>
              <w:left w:val="single" w:color="auto" w:sz="4" w:space="0"/>
              <w:bottom w:val="single" w:color="auto" w:sz="4" w:space="0"/>
              <w:right w:val="single" w:color="000000" w:sz="4" w:space="0"/>
            </w:tcBorders>
            <w:vAlign w:val="center"/>
          </w:tcPr>
          <w:p w14:paraId="3FFB1C41">
            <w:pPr>
              <w:pStyle w:val="9"/>
              <w:keepNext w:val="0"/>
              <w:keepLines w:val="0"/>
              <w:suppressLineNumbers w:val="0"/>
              <w:spacing w:before="0" w:beforeAutospacing="0" w:after="78" w:afterAutospacing="0" w:line="360" w:lineRule="auto"/>
              <w:ind w:left="0" w:right="0"/>
              <w:rPr>
                <w:rFonts w:hint="default" w:cs="宋体"/>
                <w:color w:val="auto"/>
                <w:sz w:val="24"/>
                <w:szCs w:val="22"/>
              </w:rPr>
            </w:pPr>
            <w:r>
              <w:rPr>
                <w:rFonts w:hint="eastAsia"/>
                <w:color w:val="auto"/>
                <w:sz w:val="24"/>
              </w:rPr>
              <w:t>主机</w:t>
            </w:r>
          </w:p>
        </w:tc>
        <w:tc>
          <w:tcPr>
            <w:tcW w:w="814" w:type="dxa"/>
            <w:tcBorders>
              <w:top w:val="single" w:color="000000" w:sz="4" w:space="0"/>
              <w:left w:val="single" w:color="000000" w:sz="4" w:space="0"/>
              <w:bottom w:val="single" w:color="auto" w:sz="4" w:space="0"/>
              <w:right w:val="single" w:color="000000" w:sz="4" w:space="0"/>
            </w:tcBorders>
            <w:vAlign w:val="center"/>
          </w:tcPr>
          <w:p w14:paraId="47CF1866">
            <w:pPr>
              <w:keepNext w:val="0"/>
              <w:keepLines w:val="0"/>
              <w:suppressLineNumbers w:val="0"/>
              <w:spacing w:before="0" w:beforeAutospacing="0" w:after="78" w:afterAutospacing="0" w:line="360" w:lineRule="auto"/>
              <w:ind w:left="0" w:right="0"/>
              <w:jc w:val="center"/>
              <w:rPr>
                <w:rFonts w:hint="default" w:ascii="宋体" w:hAnsi="宋体"/>
                <w:sz w:val="24"/>
                <w:highlight w:val="yellow"/>
              </w:rPr>
            </w:pPr>
            <w:r>
              <w:rPr>
                <w:rFonts w:hint="eastAsia" w:ascii="宋体" w:hAnsi="宋体"/>
                <w:sz w:val="24"/>
              </w:rPr>
              <w:t>台</w:t>
            </w:r>
          </w:p>
        </w:tc>
        <w:tc>
          <w:tcPr>
            <w:tcW w:w="1789" w:type="dxa"/>
            <w:tcBorders>
              <w:top w:val="single" w:color="000000" w:sz="4" w:space="0"/>
              <w:left w:val="single" w:color="000000" w:sz="4" w:space="0"/>
              <w:bottom w:val="single" w:color="auto" w:sz="4" w:space="0"/>
              <w:right w:val="single" w:color="000000" w:sz="4" w:space="0"/>
            </w:tcBorders>
            <w:vAlign w:val="center"/>
          </w:tcPr>
          <w:p w14:paraId="799C4647">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Cs/>
                <w:color w:val="000000"/>
                <w:kern w:val="0"/>
                <w:sz w:val="22"/>
                <w:highlight w:val="yellow"/>
              </w:rPr>
            </w:pPr>
            <w:r>
              <w:rPr>
                <w:rFonts w:hint="eastAsia" w:ascii="宋体" w:hAnsi="宋体" w:cs="仿宋"/>
                <w:bCs/>
                <w:color w:val="000000"/>
                <w:kern w:val="0"/>
                <w:sz w:val="22"/>
              </w:rPr>
              <w:t>1</w:t>
            </w:r>
          </w:p>
        </w:tc>
      </w:tr>
      <w:tr w14:paraId="43AE575D">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bottom w:val="single" w:color="auto" w:sz="4" w:space="0"/>
              <w:right w:val="single" w:color="auto" w:sz="4" w:space="0"/>
            </w:tcBorders>
            <w:vAlign w:val="center"/>
          </w:tcPr>
          <w:p w14:paraId="4BBFFE9F">
            <w:pPr>
              <w:keepNext w:val="0"/>
              <w:keepLines w:val="0"/>
              <w:widowControl/>
              <w:suppressLineNumbers w:val="0"/>
              <w:adjustRightInd w:val="0"/>
              <w:spacing w:before="0" w:beforeAutospacing="0" w:after="78" w:afterAutospacing="0" w:line="360" w:lineRule="auto"/>
              <w:ind w:left="0" w:right="0"/>
              <w:jc w:val="center"/>
              <w:rPr>
                <w:rFonts w:hint="default" w:ascii="宋体" w:hAnsi="宋体"/>
                <w:sz w:val="24"/>
              </w:rPr>
            </w:pPr>
            <w:r>
              <w:rPr>
                <w:rFonts w:hint="eastAsia" w:ascii="宋体" w:hAnsi="宋体"/>
                <w:sz w:val="24"/>
              </w:rPr>
              <w:t>2</w:t>
            </w:r>
          </w:p>
        </w:tc>
        <w:tc>
          <w:tcPr>
            <w:tcW w:w="4827" w:type="dxa"/>
            <w:tcBorders>
              <w:top w:val="single" w:color="auto" w:sz="4" w:space="0"/>
              <w:left w:val="single" w:color="auto" w:sz="4" w:space="0"/>
              <w:right w:val="single" w:color="000000" w:sz="4" w:space="0"/>
            </w:tcBorders>
            <w:vAlign w:val="center"/>
          </w:tcPr>
          <w:p w14:paraId="1382406F">
            <w:pPr>
              <w:pStyle w:val="9"/>
              <w:keepNext w:val="0"/>
              <w:keepLines w:val="0"/>
              <w:suppressLineNumbers w:val="0"/>
              <w:spacing w:before="0" w:beforeAutospacing="0" w:after="78" w:afterAutospacing="0" w:line="360" w:lineRule="auto"/>
              <w:ind w:left="0" w:right="0"/>
              <w:jc w:val="left"/>
              <w:rPr>
                <w:rFonts w:hint="default" w:cs="宋体"/>
                <w:color w:val="auto"/>
                <w:sz w:val="24"/>
                <w:szCs w:val="22"/>
              </w:rPr>
            </w:pPr>
            <w:r>
              <w:rPr>
                <w:rFonts w:hint="eastAsia" w:cs="宋体"/>
                <w:color w:val="auto"/>
                <w:sz w:val="24"/>
                <w:szCs w:val="22"/>
              </w:rPr>
              <w:t>专用转接头</w:t>
            </w:r>
          </w:p>
        </w:tc>
        <w:tc>
          <w:tcPr>
            <w:tcW w:w="814" w:type="dxa"/>
            <w:tcBorders>
              <w:top w:val="single" w:color="auto" w:sz="4" w:space="0"/>
              <w:left w:val="single" w:color="000000" w:sz="4" w:space="0"/>
              <w:bottom w:val="single" w:color="auto" w:sz="4" w:space="0"/>
              <w:right w:val="single" w:color="000000" w:sz="4" w:space="0"/>
            </w:tcBorders>
            <w:vAlign w:val="center"/>
          </w:tcPr>
          <w:p w14:paraId="76894765">
            <w:pPr>
              <w:keepNext w:val="0"/>
              <w:keepLines w:val="0"/>
              <w:suppressLineNumbers w:val="0"/>
              <w:spacing w:before="0" w:beforeAutospacing="0" w:after="78" w:afterAutospacing="0"/>
              <w:ind w:left="0" w:right="0"/>
              <w:jc w:val="center"/>
              <w:rPr>
                <w:rFonts w:hint="default" w:ascii="宋体" w:hAnsi="宋体"/>
                <w:sz w:val="24"/>
              </w:rPr>
            </w:pPr>
            <w:r>
              <w:rPr>
                <w:rFonts w:hint="eastAsia" w:ascii="宋体" w:hAnsi="宋体" w:cs="宋体"/>
                <w:sz w:val="24"/>
              </w:rPr>
              <w:t>只</w:t>
            </w:r>
          </w:p>
        </w:tc>
        <w:tc>
          <w:tcPr>
            <w:tcW w:w="1789" w:type="dxa"/>
            <w:tcBorders>
              <w:top w:val="single" w:color="auto" w:sz="4" w:space="0"/>
              <w:left w:val="single" w:color="000000" w:sz="4" w:space="0"/>
              <w:bottom w:val="single" w:color="auto" w:sz="4" w:space="0"/>
              <w:right w:val="single" w:color="000000" w:sz="4" w:space="0"/>
            </w:tcBorders>
            <w:vAlign w:val="center"/>
          </w:tcPr>
          <w:p w14:paraId="67DED9F1">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Cs/>
                <w:color w:val="000000"/>
                <w:kern w:val="0"/>
                <w:sz w:val="22"/>
              </w:rPr>
            </w:pPr>
            <w:r>
              <w:rPr>
                <w:rFonts w:hint="eastAsia" w:ascii="宋体" w:hAnsi="宋体" w:cs="仿宋"/>
                <w:bCs/>
                <w:color w:val="000000"/>
                <w:kern w:val="0"/>
                <w:sz w:val="22"/>
              </w:rPr>
              <w:t>1</w:t>
            </w:r>
          </w:p>
        </w:tc>
      </w:tr>
      <w:tr w14:paraId="5BB900CE">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right w:val="single" w:color="000000" w:sz="4" w:space="0"/>
            </w:tcBorders>
            <w:vAlign w:val="center"/>
          </w:tcPr>
          <w:p w14:paraId="35EBD45A">
            <w:pPr>
              <w:keepNext w:val="0"/>
              <w:keepLines w:val="0"/>
              <w:widowControl/>
              <w:suppressLineNumbers w:val="0"/>
              <w:adjustRightInd w:val="0"/>
              <w:spacing w:before="0" w:beforeAutospacing="0" w:after="78" w:afterAutospacing="0" w:line="360" w:lineRule="auto"/>
              <w:ind w:left="0" w:right="0"/>
              <w:jc w:val="center"/>
              <w:rPr>
                <w:rFonts w:hint="default" w:ascii="宋体" w:hAnsi="宋体"/>
                <w:sz w:val="24"/>
              </w:rPr>
            </w:pPr>
            <w:r>
              <w:rPr>
                <w:rFonts w:hint="eastAsia" w:ascii="宋体" w:hAnsi="宋体"/>
                <w:sz w:val="24"/>
              </w:rPr>
              <w:t>3</w:t>
            </w:r>
          </w:p>
        </w:tc>
        <w:tc>
          <w:tcPr>
            <w:tcW w:w="4827" w:type="dxa"/>
            <w:tcBorders>
              <w:top w:val="single" w:color="auto" w:sz="4" w:space="0"/>
              <w:left w:val="single" w:color="000000" w:sz="4" w:space="0"/>
              <w:right w:val="single" w:color="000000" w:sz="4" w:space="0"/>
            </w:tcBorders>
            <w:vAlign w:val="center"/>
          </w:tcPr>
          <w:p w14:paraId="23879E9F">
            <w:pPr>
              <w:pStyle w:val="9"/>
              <w:keepNext w:val="0"/>
              <w:keepLines w:val="0"/>
              <w:suppressLineNumbers w:val="0"/>
              <w:spacing w:before="0" w:beforeAutospacing="0" w:after="78" w:afterAutospacing="0" w:line="360" w:lineRule="auto"/>
              <w:ind w:left="0" w:right="0"/>
              <w:rPr>
                <w:rFonts w:hint="default" w:cs="宋体"/>
                <w:color w:val="auto"/>
                <w:sz w:val="24"/>
                <w:szCs w:val="22"/>
              </w:rPr>
            </w:pPr>
            <w:r>
              <w:rPr>
                <w:rFonts w:hint="eastAsia" w:cs="宋体"/>
                <w:color w:val="auto"/>
                <w:sz w:val="24"/>
                <w:szCs w:val="22"/>
              </w:rPr>
              <w:t>氧源输入管路</w:t>
            </w:r>
          </w:p>
        </w:tc>
        <w:tc>
          <w:tcPr>
            <w:tcW w:w="814" w:type="dxa"/>
            <w:tcBorders>
              <w:top w:val="single" w:color="auto" w:sz="4" w:space="0"/>
              <w:left w:val="single" w:color="000000" w:sz="4" w:space="0"/>
              <w:bottom w:val="single" w:color="auto" w:sz="4" w:space="0"/>
              <w:right w:val="single" w:color="000000" w:sz="4" w:space="0"/>
            </w:tcBorders>
            <w:vAlign w:val="center"/>
          </w:tcPr>
          <w:p w14:paraId="354F4D2A">
            <w:pPr>
              <w:keepNext w:val="0"/>
              <w:keepLines w:val="0"/>
              <w:suppressLineNumbers w:val="0"/>
              <w:spacing w:before="0" w:beforeAutospacing="0" w:after="78" w:afterAutospacing="0"/>
              <w:ind w:left="0" w:right="0"/>
              <w:jc w:val="center"/>
              <w:rPr>
                <w:rFonts w:hint="default" w:ascii="宋体" w:hAnsi="宋体"/>
                <w:sz w:val="24"/>
              </w:rPr>
            </w:pPr>
            <w:r>
              <w:rPr>
                <w:rFonts w:hint="eastAsia" w:ascii="宋体" w:hAnsi="宋体" w:cs="宋体"/>
                <w:sz w:val="24"/>
              </w:rPr>
              <w:t>条</w:t>
            </w:r>
          </w:p>
        </w:tc>
        <w:tc>
          <w:tcPr>
            <w:tcW w:w="1789" w:type="dxa"/>
            <w:tcBorders>
              <w:top w:val="single" w:color="auto" w:sz="4" w:space="0"/>
              <w:left w:val="single" w:color="000000" w:sz="4" w:space="0"/>
              <w:bottom w:val="single" w:color="auto" w:sz="4" w:space="0"/>
              <w:right w:val="single" w:color="000000" w:sz="4" w:space="0"/>
            </w:tcBorders>
            <w:vAlign w:val="center"/>
          </w:tcPr>
          <w:p w14:paraId="3FF583D8">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Cs/>
                <w:color w:val="000000"/>
                <w:kern w:val="0"/>
                <w:sz w:val="22"/>
              </w:rPr>
            </w:pPr>
            <w:r>
              <w:rPr>
                <w:rFonts w:hint="eastAsia" w:ascii="宋体" w:hAnsi="宋体" w:cs="仿宋"/>
                <w:bCs/>
                <w:color w:val="000000"/>
                <w:kern w:val="0"/>
                <w:sz w:val="22"/>
              </w:rPr>
              <w:t>1</w:t>
            </w:r>
          </w:p>
        </w:tc>
      </w:tr>
      <w:tr w14:paraId="56392E60">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vAlign w:val="center"/>
          </w:tcPr>
          <w:p w14:paraId="410E5734">
            <w:pPr>
              <w:keepNext w:val="0"/>
              <w:keepLines w:val="0"/>
              <w:widowControl/>
              <w:suppressLineNumbers w:val="0"/>
              <w:adjustRightInd w:val="0"/>
              <w:spacing w:before="0" w:beforeAutospacing="0" w:after="78" w:afterAutospacing="0" w:line="360" w:lineRule="auto"/>
              <w:ind w:left="0" w:right="0"/>
              <w:jc w:val="center"/>
              <w:rPr>
                <w:rFonts w:hint="default" w:ascii="宋体" w:hAnsi="宋体"/>
                <w:sz w:val="24"/>
              </w:rPr>
            </w:pPr>
            <w:r>
              <w:rPr>
                <w:rFonts w:hint="eastAsia" w:ascii="宋体" w:hAnsi="宋体"/>
                <w:sz w:val="24"/>
              </w:rPr>
              <w:t>4</w:t>
            </w:r>
          </w:p>
        </w:tc>
        <w:tc>
          <w:tcPr>
            <w:tcW w:w="4827" w:type="dxa"/>
            <w:tcBorders>
              <w:top w:val="single" w:color="auto" w:sz="4" w:space="0"/>
              <w:left w:val="single" w:color="000000" w:sz="4" w:space="0"/>
              <w:bottom w:val="single" w:color="auto" w:sz="4" w:space="0"/>
              <w:right w:val="single" w:color="000000" w:sz="4" w:space="0"/>
            </w:tcBorders>
            <w:vAlign w:val="center"/>
          </w:tcPr>
          <w:p w14:paraId="5D091250">
            <w:pPr>
              <w:pStyle w:val="9"/>
              <w:keepNext w:val="0"/>
              <w:keepLines w:val="0"/>
              <w:suppressLineNumbers w:val="0"/>
              <w:spacing w:before="0" w:beforeAutospacing="0" w:after="78" w:afterAutospacing="0" w:line="360" w:lineRule="auto"/>
              <w:ind w:left="0" w:right="0"/>
              <w:rPr>
                <w:rFonts w:hint="default" w:cs="宋体"/>
                <w:color w:val="auto"/>
                <w:sz w:val="24"/>
                <w:szCs w:val="22"/>
              </w:rPr>
            </w:pPr>
            <w:r>
              <w:rPr>
                <w:rFonts w:hint="eastAsia" w:cs="宋体"/>
                <w:color w:val="auto"/>
                <w:sz w:val="24"/>
                <w:szCs w:val="22"/>
              </w:rPr>
              <w:t>有绑带的背板</w:t>
            </w:r>
          </w:p>
        </w:tc>
        <w:tc>
          <w:tcPr>
            <w:tcW w:w="814" w:type="dxa"/>
            <w:tcBorders>
              <w:top w:val="single" w:color="000000" w:sz="4" w:space="0"/>
              <w:left w:val="single" w:color="000000" w:sz="4" w:space="0"/>
              <w:bottom w:val="single" w:color="000000" w:sz="4" w:space="0"/>
              <w:right w:val="single" w:color="000000" w:sz="4" w:space="0"/>
            </w:tcBorders>
            <w:vAlign w:val="center"/>
          </w:tcPr>
          <w:p w14:paraId="6AF8977D">
            <w:pPr>
              <w:keepNext w:val="0"/>
              <w:keepLines w:val="0"/>
              <w:suppressLineNumbers w:val="0"/>
              <w:spacing w:before="0" w:beforeAutospacing="0" w:after="78" w:afterAutospacing="0"/>
              <w:ind w:left="0" w:right="0"/>
              <w:jc w:val="center"/>
              <w:rPr>
                <w:rFonts w:hint="default" w:ascii="宋体" w:hAnsi="宋体"/>
                <w:sz w:val="24"/>
              </w:rPr>
            </w:pPr>
            <w:r>
              <w:rPr>
                <w:rFonts w:hint="eastAsia" w:ascii="宋体" w:hAnsi="宋体" w:cs="宋体"/>
                <w:sz w:val="24"/>
              </w:rPr>
              <w:t>块</w:t>
            </w:r>
          </w:p>
        </w:tc>
        <w:tc>
          <w:tcPr>
            <w:tcW w:w="1789" w:type="dxa"/>
            <w:tcBorders>
              <w:top w:val="single" w:color="000000" w:sz="4" w:space="0"/>
              <w:left w:val="single" w:color="000000" w:sz="4" w:space="0"/>
              <w:bottom w:val="single" w:color="000000" w:sz="4" w:space="0"/>
              <w:right w:val="single" w:color="000000" w:sz="4" w:space="0"/>
            </w:tcBorders>
            <w:vAlign w:val="center"/>
          </w:tcPr>
          <w:p w14:paraId="4CF29F9D">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Cs/>
                <w:color w:val="000000"/>
                <w:kern w:val="0"/>
                <w:sz w:val="22"/>
              </w:rPr>
            </w:pPr>
            <w:r>
              <w:rPr>
                <w:rFonts w:hint="eastAsia" w:ascii="宋体" w:hAnsi="宋体" w:cs="仿宋"/>
                <w:bCs/>
                <w:color w:val="000000"/>
                <w:kern w:val="0"/>
                <w:sz w:val="22"/>
              </w:rPr>
              <w:t>1</w:t>
            </w:r>
          </w:p>
        </w:tc>
      </w:tr>
      <w:tr w14:paraId="5F4DF774">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vAlign w:val="center"/>
          </w:tcPr>
          <w:p w14:paraId="1F483D21">
            <w:pPr>
              <w:keepNext w:val="0"/>
              <w:keepLines w:val="0"/>
              <w:widowControl/>
              <w:suppressLineNumbers w:val="0"/>
              <w:adjustRightInd w:val="0"/>
              <w:spacing w:before="0" w:beforeAutospacing="0" w:after="78" w:afterAutospacing="0" w:line="360" w:lineRule="auto"/>
              <w:ind w:left="0" w:right="0"/>
              <w:jc w:val="center"/>
              <w:rPr>
                <w:rFonts w:hint="default" w:ascii="宋体" w:hAnsi="宋体"/>
                <w:sz w:val="24"/>
              </w:rPr>
            </w:pPr>
            <w:r>
              <w:rPr>
                <w:rFonts w:hint="eastAsia" w:ascii="宋体" w:hAnsi="宋体"/>
                <w:sz w:val="24"/>
              </w:rPr>
              <w:t>5</w:t>
            </w:r>
          </w:p>
        </w:tc>
        <w:tc>
          <w:tcPr>
            <w:tcW w:w="4827" w:type="dxa"/>
            <w:tcBorders>
              <w:top w:val="single" w:color="auto" w:sz="4" w:space="0"/>
              <w:left w:val="single" w:color="000000" w:sz="4" w:space="0"/>
              <w:bottom w:val="single" w:color="auto" w:sz="4" w:space="0"/>
              <w:right w:val="single" w:color="000000" w:sz="4" w:space="0"/>
            </w:tcBorders>
            <w:vAlign w:val="center"/>
          </w:tcPr>
          <w:p w14:paraId="61107C7E">
            <w:pPr>
              <w:keepNext w:val="0"/>
              <w:keepLines w:val="0"/>
              <w:suppressLineNumbers w:val="0"/>
              <w:spacing w:before="0" w:beforeAutospacing="0" w:after="78" w:afterAutospacing="0" w:line="360" w:lineRule="auto"/>
              <w:ind w:left="0" w:right="0"/>
              <w:jc w:val="left"/>
              <w:rPr>
                <w:rFonts w:hint="default" w:ascii="宋体" w:hAnsi="宋体"/>
                <w:sz w:val="24"/>
              </w:rPr>
            </w:pPr>
            <w:r>
              <w:rPr>
                <w:rFonts w:hint="eastAsia" w:ascii="宋体" w:hAnsi="宋体" w:cs="宋体"/>
                <w:sz w:val="24"/>
              </w:rPr>
              <w:t>使用说明书</w:t>
            </w:r>
          </w:p>
        </w:tc>
        <w:tc>
          <w:tcPr>
            <w:tcW w:w="814" w:type="dxa"/>
            <w:tcBorders>
              <w:top w:val="single" w:color="000000" w:sz="4" w:space="0"/>
              <w:left w:val="single" w:color="000000" w:sz="4" w:space="0"/>
              <w:bottom w:val="single" w:color="000000" w:sz="4" w:space="0"/>
              <w:right w:val="single" w:color="000000" w:sz="4" w:space="0"/>
            </w:tcBorders>
            <w:vAlign w:val="center"/>
          </w:tcPr>
          <w:p w14:paraId="560622E4">
            <w:pPr>
              <w:keepNext w:val="0"/>
              <w:keepLines w:val="0"/>
              <w:suppressLineNumbers w:val="0"/>
              <w:spacing w:before="0" w:beforeAutospacing="0" w:after="78" w:afterAutospacing="0" w:line="360" w:lineRule="auto"/>
              <w:ind w:left="0" w:right="0"/>
              <w:jc w:val="center"/>
              <w:rPr>
                <w:rFonts w:hint="default" w:ascii="宋体" w:hAnsi="宋体"/>
                <w:sz w:val="24"/>
              </w:rPr>
            </w:pPr>
            <w:r>
              <w:rPr>
                <w:rFonts w:hint="eastAsia" w:ascii="宋体" w:hAnsi="宋体" w:cs="宋体"/>
                <w:sz w:val="24"/>
              </w:rPr>
              <w:t>本</w:t>
            </w:r>
          </w:p>
        </w:tc>
        <w:tc>
          <w:tcPr>
            <w:tcW w:w="1789" w:type="dxa"/>
            <w:tcBorders>
              <w:top w:val="single" w:color="000000" w:sz="4" w:space="0"/>
              <w:left w:val="single" w:color="000000" w:sz="4" w:space="0"/>
              <w:bottom w:val="single" w:color="000000" w:sz="4" w:space="0"/>
              <w:right w:val="single" w:color="000000" w:sz="4" w:space="0"/>
            </w:tcBorders>
            <w:vAlign w:val="center"/>
          </w:tcPr>
          <w:p w14:paraId="63F0891B">
            <w:pPr>
              <w:keepNext w:val="0"/>
              <w:keepLines w:val="0"/>
              <w:widowControl/>
              <w:suppressLineNumbers w:val="0"/>
              <w:spacing w:before="0" w:beforeAutospacing="0" w:after="60" w:afterAutospacing="0" w:line="300" w:lineRule="exact"/>
              <w:ind w:left="0" w:right="0"/>
              <w:jc w:val="center"/>
              <w:textAlignment w:val="center"/>
              <w:rPr>
                <w:rFonts w:hint="default" w:ascii="宋体" w:hAnsi="宋体" w:cs="仿宋"/>
                <w:bCs/>
                <w:color w:val="000000"/>
                <w:kern w:val="0"/>
                <w:sz w:val="22"/>
              </w:rPr>
            </w:pPr>
            <w:r>
              <w:rPr>
                <w:rFonts w:hint="eastAsia" w:ascii="宋体" w:hAnsi="宋体" w:cs="仿宋"/>
                <w:bCs/>
                <w:color w:val="000000"/>
                <w:kern w:val="0"/>
                <w:sz w:val="22"/>
              </w:rPr>
              <w:t>1</w:t>
            </w:r>
          </w:p>
        </w:tc>
      </w:tr>
    </w:tbl>
    <w:p w14:paraId="03E64671">
      <w:pPr>
        <w:tabs>
          <w:tab w:val="left" w:pos="425"/>
        </w:tabs>
        <w:ind w:firstLine="440" w:firstLineChars="200"/>
        <w:rPr>
          <w:rFonts w:hint="eastAsia"/>
          <w:b/>
          <w:bCs/>
          <w:kern w:val="2"/>
          <w:sz w:val="22"/>
          <w:szCs w:val="24"/>
          <w:lang w:eastAsia="zh-CN"/>
        </w:rPr>
      </w:pPr>
      <w:r>
        <w:rPr>
          <w:rFonts w:hint="eastAsia"/>
          <w:b/>
          <w:bCs/>
          <w:kern w:val="2"/>
          <w:sz w:val="22"/>
          <w:szCs w:val="24"/>
          <w:lang w:val="en-US" w:eastAsia="zh-CN"/>
        </w:rPr>
        <w:t>备注：以上清单为</w:t>
      </w:r>
      <w:r>
        <w:rPr>
          <w:rFonts w:hint="eastAsia" w:ascii="Times New Roman"/>
          <w:b/>
          <w:bCs/>
          <w:kern w:val="2"/>
          <w:sz w:val="22"/>
          <w:szCs w:val="24"/>
          <w:lang w:eastAsia="zh-CN"/>
        </w:rPr>
        <w:t>单套</w:t>
      </w:r>
      <w:r>
        <w:rPr>
          <w:rFonts w:hint="eastAsia" w:ascii="Times New Roman"/>
          <w:b/>
          <w:bCs/>
          <w:kern w:val="2"/>
          <w:sz w:val="22"/>
          <w:szCs w:val="24"/>
        </w:rPr>
        <w:t>配置清单</w:t>
      </w:r>
      <w:r>
        <w:rPr>
          <w:rFonts w:hint="eastAsia"/>
          <w:b/>
          <w:bCs/>
          <w:kern w:val="2"/>
          <w:sz w:val="22"/>
          <w:szCs w:val="24"/>
          <w:lang w:eastAsia="zh-CN"/>
        </w:rPr>
        <w:t>。</w:t>
      </w:r>
    </w:p>
    <w:p w14:paraId="3AB295F8">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1C22B05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为了提升科室心肺复苏能力、水平及竞争力，避免传统徒手心肺复苏缺点，使心肺复苏操作更为简单，安全，高效，提高抢救成功率，避免医疗纠纷；扩大医院及科室在社会中的影响力，给科室带来病源增加及直接的经济效益。</w:t>
      </w:r>
    </w:p>
    <w:p w14:paraId="30E761C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按压频率100～120次\分钟；按压深度0～8cm连续线性可调；柱状装置可根据患者胸部厚度指示安全20%有效按压深度；有连续不间断按压功能；心脏按摩头可做水平旋转移动，水平旋转移动角度≥</w:t>
      </w:r>
      <w:r>
        <w:rPr>
          <w:rFonts w:hint="eastAsia" w:ascii="宋体" w:hAnsi="宋体" w:cs="Times New Roman"/>
          <w:szCs w:val="21"/>
          <w:lang w:val="en-US" w:eastAsia="zh-CN"/>
        </w:rPr>
        <w:t>180</w:t>
      </w:r>
      <w:r>
        <w:rPr>
          <w:rFonts w:hint="eastAsia" w:ascii="宋体" w:hAnsi="宋体" w:eastAsia="宋体" w:cs="Times New Roman"/>
          <w:szCs w:val="21"/>
          <w:lang w:val="en-US" w:eastAsia="zh-CN"/>
        </w:rPr>
        <w:t>°；具有氧气驱动压力过大自动开启释放阀功能(氧气压力≥0.7Mpa)。可用于心脏源性心跳骤停：如急性心肌梗死、心肌炎、心脏瓣膜病，以及各型心律失常等；非心脏源性疾病：如高血钾、创伤、窒息、脑血管病、触电、溺水等。</w:t>
      </w:r>
    </w:p>
    <w:p w14:paraId="0254392A">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14:paraId="09A5D4F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工作模式：气控、气动</w:t>
      </w:r>
      <w:r>
        <w:rPr>
          <w:rFonts w:hint="eastAsia" w:ascii="宋体" w:hAnsi="宋体" w:eastAsia="宋体" w:cs="Times New Roman"/>
          <w:b/>
          <w:bCs/>
          <w:szCs w:val="21"/>
          <w:lang w:val="en-US" w:eastAsia="zh-CN"/>
        </w:rPr>
        <w:t>（投标时提供说明书或技术白皮书扫描件，原件备查；注：对应参数在证明材料中进行标注）</w:t>
      </w:r>
      <w:r>
        <w:rPr>
          <w:rFonts w:hint="eastAsia" w:ascii="宋体" w:hAnsi="宋体" w:cs="Times New Roman"/>
          <w:szCs w:val="21"/>
          <w:lang w:val="en-US" w:eastAsia="zh-CN"/>
        </w:rPr>
        <w:t>。</w:t>
      </w:r>
    </w:p>
    <w:p w14:paraId="4867646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心脏按压频率：≥ 100次/分钟且≤120次/分钟</w:t>
      </w:r>
      <w:r>
        <w:rPr>
          <w:rFonts w:hint="eastAsia" w:ascii="宋体" w:hAnsi="宋体" w:cs="Times New Roman"/>
          <w:szCs w:val="21"/>
          <w:lang w:val="en-US" w:eastAsia="zh-CN"/>
        </w:rPr>
        <w:t>。</w:t>
      </w:r>
    </w:p>
    <w:p w14:paraId="04051D9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心脏按压深度：0.0cm～8cm</w:t>
      </w:r>
      <w:r>
        <w:rPr>
          <w:rFonts w:hint="eastAsia" w:ascii="宋体" w:hAnsi="宋体" w:eastAsia="宋体" w:cs="Times New Roman"/>
          <w:b/>
          <w:bCs/>
          <w:szCs w:val="21"/>
          <w:lang w:val="en-US" w:eastAsia="zh-CN"/>
        </w:rPr>
        <w:t>（投标时提供说明书或技术白皮书扫描件，原件备查；注：对应参数在证明材料中进行标注）</w:t>
      </w:r>
      <w:r>
        <w:rPr>
          <w:rFonts w:hint="eastAsia" w:ascii="宋体" w:hAnsi="宋体" w:cs="Times New Roman"/>
          <w:szCs w:val="21"/>
          <w:lang w:val="en-US" w:eastAsia="zh-CN"/>
        </w:rPr>
        <w:t>。</w:t>
      </w:r>
    </w:p>
    <w:p w14:paraId="2AAAD8B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按压深度调节方式：连续线性可调</w:t>
      </w:r>
      <w:r>
        <w:rPr>
          <w:rFonts w:hint="eastAsia" w:ascii="宋体" w:hAnsi="宋体" w:cs="Times New Roman"/>
          <w:szCs w:val="21"/>
          <w:lang w:val="en-US" w:eastAsia="zh-CN"/>
        </w:rPr>
        <w:t>。</w:t>
      </w:r>
    </w:p>
    <w:p w14:paraId="25AD263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按压/释放比率：1：1（50%:50%）</w:t>
      </w:r>
      <w:r>
        <w:rPr>
          <w:rFonts w:hint="eastAsia" w:ascii="宋体" w:hAnsi="宋体" w:cs="Times New Roman"/>
          <w:szCs w:val="21"/>
          <w:lang w:val="en-US" w:eastAsia="zh-CN"/>
        </w:rPr>
        <w:t>。</w:t>
      </w:r>
    </w:p>
    <w:p w14:paraId="3F37629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可根据患者胸部厚度的20%指示患者安全有效按压深度</w:t>
      </w:r>
      <w:r>
        <w:rPr>
          <w:rFonts w:hint="eastAsia" w:ascii="宋体" w:hAnsi="宋体" w:eastAsia="宋体" w:cs="Times New Roman"/>
          <w:b/>
          <w:bCs/>
          <w:szCs w:val="21"/>
          <w:lang w:val="en-US" w:eastAsia="zh-CN"/>
        </w:rPr>
        <w:t>（投标时提供说明书或技术白皮书扫描件，原件备查；注：对应参数在证明材料中进行标注）</w:t>
      </w:r>
      <w:r>
        <w:rPr>
          <w:rFonts w:hint="eastAsia" w:ascii="宋体" w:hAnsi="宋体" w:cs="Times New Roman"/>
          <w:szCs w:val="21"/>
          <w:lang w:val="en-US" w:eastAsia="zh-CN"/>
        </w:rPr>
        <w:t>。</w:t>
      </w:r>
    </w:p>
    <w:p w14:paraId="328ACDF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按压方式为模拟徒手按压</w:t>
      </w:r>
      <w:r>
        <w:rPr>
          <w:rFonts w:hint="eastAsia" w:ascii="宋体" w:hAnsi="宋体" w:cs="Times New Roman"/>
          <w:szCs w:val="21"/>
          <w:lang w:val="en-US" w:eastAsia="zh-CN"/>
        </w:rPr>
        <w:t>。</w:t>
      </w:r>
    </w:p>
    <w:p w14:paraId="6A907AFF">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仪器结构为悬臂式刚性固定（非绑带式固定）</w:t>
      </w:r>
      <w:r>
        <w:rPr>
          <w:rFonts w:hint="eastAsia" w:ascii="宋体" w:hAnsi="宋体" w:eastAsia="宋体" w:cs="Times New Roman"/>
          <w:b/>
          <w:bCs/>
          <w:szCs w:val="21"/>
          <w:lang w:val="en-US" w:eastAsia="zh-CN"/>
        </w:rPr>
        <w:t>（投标时提供说明书或技术白皮书扫描件，原件备查；注：对应参数在证明材料中进行标注）</w:t>
      </w:r>
      <w:r>
        <w:rPr>
          <w:rFonts w:hint="eastAsia" w:ascii="宋体" w:hAnsi="宋体" w:cs="Times New Roman"/>
          <w:szCs w:val="21"/>
          <w:lang w:val="en-US" w:eastAsia="zh-CN"/>
        </w:rPr>
        <w:t>。</w:t>
      </w:r>
    </w:p>
    <w:p w14:paraId="2E1C941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心脏按压器材质为模拟人工肌肉</w:t>
      </w:r>
      <w:r>
        <w:rPr>
          <w:rFonts w:hint="eastAsia" w:ascii="宋体" w:hAnsi="宋体" w:cs="Times New Roman"/>
          <w:szCs w:val="21"/>
          <w:lang w:val="en-US" w:eastAsia="zh-CN"/>
        </w:rPr>
        <w:t>。</w:t>
      </w:r>
    </w:p>
    <w:p w14:paraId="7D79218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主机及主机操作控制部位在患者上方，可做水平旋转移动，水平旋转移动角度≥180度，使用中不易造成主机污染</w:t>
      </w:r>
      <w:r>
        <w:rPr>
          <w:rFonts w:hint="eastAsia" w:ascii="宋体" w:hAnsi="宋体" w:eastAsia="宋体" w:cs="Times New Roman"/>
          <w:b/>
          <w:bCs/>
          <w:szCs w:val="21"/>
          <w:lang w:val="en-US" w:eastAsia="zh-CN"/>
        </w:rPr>
        <w:t>（投标时提供说明书或技术白皮书扫描件，原件备查；注：对应参数在证明材料中进行标注）</w:t>
      </w:r>
      <w:r>
        <w:rPr>
          <w:rFonts w:hint="eastAsia" w:ascii="宋体" w:hAnsi="宋体" w:cs="Times New Roman"/>
          <w:szCs w:val="21"/>
          <w:lang w:val="en-US" w:eastAsia="zh-CN"/>
        </w:rPr>
        <w:t>。</w:t>
      </w:r>
    </w:p>
    <w:p w14:paraId="7CE6324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具有实时按压深度显示器，显示器为透明玻璃材质</w:t>
      </w:r>
      <w:r>
        <w:rPr>
          <w:rFonts w:hint="eastAsia" w:ascii="宋体" w:hAnsi="宋体" w:cs="Times New Roman"/>
          <w:szCs w:val="21"/>
          <w:lang w:val="en-US" w:eastAsia="zh-CN"/>
        </w:rPr>
        <w:t>。</w:t>
      </w:r>
    </w:p>
    <w:p w14:paraId="4B37EE0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设备连续不间断工作时间≥20小时</w:t>
      </w:r>
      <w:r>
        <w:rPr>
          <w:rFonts w:hint="eastAsia" w:ascii="宋体" w:hAnsi="宋体" w:cs="Times New Roman"/>
          <w:szCs w:val="21"/>
          <w:lang w:val="en-US" w:eastAsia="zh-CN"/>
        </w:rPr>
        <w:t>。</w:t>
      </w:r>
    </w:p>
    <w:p w14:paraId="19B46D6F">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w:t>
      </w:r>
      <w:r>
        <w:rPr>
          <w:rFonts w:hint="eastAsia" w:ascii="宋体" w:hAnsi="宋体" w:cs="Times New Roman"/>
          <w:szCs w:val="21"/>
          <w:lang w:val="en-US" w:eastAsia="zh-CN"/>
        </w:rPr>
        <w:t>.</w:t>
      </w:r>
      <w:r>
        <w:rPr>
          <w:rFonts w:hint="eastAsia" w:ascii="宋体" w:hAnsi="宋体" w:eastAsia="宋体" w:cs="Times New Roman"/>
          <w:szCs w:val="21"/>
          <w:lang w:val="en-US" w:eastAsia="zh-CN"/>
        </w:rPr>
        <w:t>具有输入氧气压力过大保护自动泄压功能，压力释放阀开启条件≥0.7Ｍpa</w:t>
      </w:r>
      <w:r>
        <w:rPr>
          <w:rFonts w:hint="eastAsia" w:ascii="宋体" w:hAnsi="宋体" w:cs="Times New Roman"/>
          <w:szCs w:val="21"/>
          <w:lang w:val="en-US" w:eastAsia="zh-CN"/>
        </w:rPr>
        <w:t>。</w:t>
      </w:r>
    </w:p>
    <w:p w14:paraId="1A8A05D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14</w:t>
      </w:r>
      <w:r>
        <w:rPr>
          <w:rFonts w:hint="eastAsia" w:ascii="宋体" w:hAnsi="宋体" w:cs="Times New Roman"/>
          <w:szCs w:val="21"/>
          <w:lang w:val="en-US" w:eastAsia="zh-CN"/>
        </w:rPr>
        <w:t>.</w:t>
      </w:r>
      <w:r>
        <w:rPr>
          <w:rFonts w:hint="eastAsia" w:ascii="宋体" w:hAnsi="宋体" w:eastAsia="宋体" w:cs="Times New Roman"/>
          <w:szCs w:val="21"/>
          <w:lang w:val="en-US" w:eastAsia="zh-CN"/>
        </w:rPr>
        <w:t>仪器工作无需专用耗材</w:t>
      </w:r>
      <w:r>
        <w:rPr>
          <w:rFonts w:hint="eastAsia" w:ascii="宋体" w:hAnsi="宋体" w:cs="Times New Roman"/>
          <w:szCs w:val="21"/>
          <w:lang w:val="en-US" w:eastAsia="zh-CN"/>
        </w:rPr>
        <w:t>。</w:t>
      </w:r>
    </w:p>
    <w:p w14:paraId="7D18F44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15</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设备中含有背板用于固定患者，背板上有固定带，背板前端中间有凹槽</w:t>
      </w:r>
      <w:r>
        <w:rPr>
          <w:rFonts w:hint="eastAsia" w:ascii="宋体" w:hAnsi="宋体" w:cs="Times New Roman"/>
          <w:szCs w:val="21"/>
          <w:lang w:val="en-US" w:eastAsia="zh-CN"/>
        </w:rPr>
        <w:t>。</w:t>
      </w:r>
    </w:p>
    <w:p w14:paraId="04111675">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 </w:t>
      </w:r>
      <w:r>
        <w:rPr>
          <w:rFonts w:hint="eastAsia" w:ascii="宋体" w:hAnsi="宋体" w:cs="Times New Roman"/>
          <w:szCs w:val="21"/>
          <w:lang w:val="en-US" w:eastAsia="zh-CN"/>
        </w:rPr>
        <w:t xml:space="preserve">   </w:t>
      </w:r>
      <w:r>
        <w:rPr>
          <w:rFonts w:hint="eastAsia" w:ascii="宋体" w:hAnsi="宋体" w:eastAsia="宋体" w:cs="Times New Roman"/>
          <w:szCs w:val="21"/>
          <w:lang w:val="en-US" w:eastAsia="zh-CN"/>
        </w:rPr>
        <w:t>16</w:t>
      </w:r>
      <w:r>
        <w:rPr>
          <w:rFonts w:hint="eastAsia" w:ascii="宋体" w:hAnsi="宋体" w:cs="Times New Roman"/>
          <w:szCs w:val="21"/>
          <w:lang w:val="en-US" w:eastAsia="zh-CN"/>
        </w:rPr>
        <w:t>.</w:t>
      </w:r>
      <w:r>
        <w:rPr>
          <w:rFonts w:hint="eastAsia" w:ascii="宋体" w:hAnsi="宋体" w:eastAsia="宋体" w:cs="Times New Roman"/>
          <w:szCs w:val="21"/>
          <w:lang w:val="en-US" w:eastAsia="zh-CN"/>
        </w:rPr>
        <w:t>仪器对监护、除颤设备无电磁干扰。</w:t>
      </w:r>
    </w:p>
    <w:p w14:paraId="12769A3E">
      <w:pPr>
        <w:rPr>
          <w:rFonts w:ascii="宋体" w:hAnsi="宋体"/>
          <w:szCs w:val="21"/>
        </w:rPr>
      </w:pPr>
      <w:r>
        <w:rPr>
          <w:rFonts w:hint="eastAsia" w:ascii="宋体" w:hAnsi="宋体" w:eastAsia="宋体" w:cs="Times New Roman"/>
          <w:szCs w:val="21"/>
          <w:lang w:val="en-US" w:eastAsia="zh-CN"/>
        </w:rPr>
        <w:t>★</w:t>
      </w:r>
      <w:r>
        <w:rPr>
          <w:rFonts w:ascii="宋体" w:hAnsi="宋体"/>
          <w:szCs w:val="21"/>
        </w:rPr>
        <w:t>【</w:t>
      </w:r>
      <w:r>
        <w:rPr>
          <w:rFonts w:ascii="宋体" w:hAnsi="宋体"/>
          <w:b/>
          <w:szCs w:val="21"/>
        </w:rPr>
        <w:t>售后服务要求】</w:t>
      </w:r>
    </w:p>
    <w:p w14:paraId="20826FB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14:paraId="12F415C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14:paraId="038AF7F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14:paraId="49B9D8E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14:paraId="34CB8F6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14:paraId="1511B25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14:paraId="58B4A24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14:paraId="75C33CB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14:paraId="786E8B80">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14:paraId="2A6E514E">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14:paraId="43E4AF4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14:paraId="3C6FC79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14:paraId="083F4287">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14:paraId="23A27FA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14.交货期：签订合同后60个日历日内负责货物的安装且合法交付设备使用。</w:t>
      </w:r>
    </w:p>
    <w:p w14:paraId="59C2D905">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14:paraId="191BAA4D">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14:paraId="4648B9A9">
      <w:p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29F04501">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5B8729AC">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33FE7C65">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48</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48</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9"/>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8"/>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1AF8DC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3ABF3C3">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3A59B4C">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D50C7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C95925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7A3A3D0">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2A675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D5F16CB">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0238E5AB">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236726A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7E6D09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ED4A97B">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9"/>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78AC9687">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9"/>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br w:type="page"/>
      </w:r>
    </w:p>
    <w:p w14:paraId="4669DD66">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9"/>
        <w:rPr>
          <w:rFonts w:hint="eastAsia" w:ascii="宋体" w:hAnsi="宋体" w:eastAsia="宋体" w:cs="宋体"/>
          <w:color w:val="000000"/>
        </w:rPr>
      </w:pPr>
    </w:p>
    <w:p w14:paraId="4ACF23B4">
      <w:pPr>
        <w:pStyle w:val="29"/>
        <w:rPr>
          <w:rFonts w:hint="eastAsia" w:ascii="宋体" w:hAnsi="宋体" w:eastAsia="宋体" w:cs="宋体"/>
          <w:color w:val="000000"/>
        </w:rPr>
      </w:pPr>
    </w:p>
    <w:p w14:paraId="094B917A">
      <w:pPr>
        <w:pStyle w:val="29"/>
        <w:rPr>
          <w:rFonts w:hint="eastAsia" w:ascii="宋体" w:hAnsi="宋体" w:eastAsia="宋体" w:cs="宋体"/>
          <w:color w:val="000000"/>
        </w:rPr>
      </w:pPr>
    </w:p>
    <w:p w14:paraId="089B3EE7">
      <w:pPr>
        <w:pStyle w:val="29"/>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9"/>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435515295"/>
      <w:bookmarkStart w:id="8" w:name="_Toc17479"/>
      <w:bookmarkStart w:id="9" w:name="_Toc435514855"/>
      <w:bookmarkStart w:id="10" w:name="_Toc275865606"/>
      <w:bookmarkStart w:id="11"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9"/>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9"/>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59A5A24E">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5"/>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F673EA4">
      <w:pPr>
        <w:spacing w:after="60"/>
        <w:ind w:left="840" w:leftChars="200" w:hanging="420" w:hangingChars="200"/>
        <w:rPr>
          <w:rFonts w:asciiTheme="minorEastAsia" w:hAnsiTheme="minorEastAsia" w:eastAsiaTheme="minorEastAsia"/>
          <w:szCs w:val="21"/>
        </w:rPr>
      </w:pPr>
    </w:p>
    <w:p w14:paraId="19BCACBD">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2E42F54C">
      <w:pPr>
        <w:spacing w:after="60"/>
        <w:ind w:left="840" w:leftChars="200" w:hanging="420" w:hangingChars="200"/>
        <w:rPr>
          <w:rFonts w:asciiTheme="minorEastAsia" w:hAnsiTheme="minorEastAsia" w:eastAsiaTheme="minorEastAsia"/>
          <w:szCs w:val="21"/>
        </w:rPr>
      </w:pPr>
    </w:p>
    <w:p w14:paraId="486E0208">
      <w:pPr>
        <w:spacing w:after="60"/>
        <w:ind w:left="840" w:leftChars="200" w:hanging="420" w:hangingChars="200"/>
        <w:rPr>
          <w:rFonts w:asciiTheme="minorEastAsia" w:hAnsiTheme="minorEastAsia" w:eastAsiaTheme="minorEastAsia"/>
          <w:szCs w:val="21"/>
        </w:rPr>
      </w:pPr>
    </w:p>
    <w:p w14:paraId="31DB68F3">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698CE18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5993126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14:paraId="1F6B2E62">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9"/>
        <w:ind w:firstLine="420"/>
        <w:rPr>
          <w:rFonts w:asciiTheme="minorEastAsia" w:hAnsiTheme="minorEastAsia" w:eastAsiaTheme="minorEastAsia"/>
        </w:rPr>
      </w:pPr>
    </w:p>
    <w:p w14:paraId="46CEA70A">
      <w:pPr>
        <w:pStyle w:val="29"/>
        <w:ind w:firstLine="420"/>
        <w:rPr>
          <w:rFonts w:asciiTheme="minorEastAsia" w:hAnsiTheme="minorEastAsia" w:eastAsiaTheme="minorEastAsia"/>
        </w:rPr>
      </w:pPr>
    </w:p>
    <w:p w14:paraId="49658AAF">
      <w:pPr>
        <w:pStyle w:val="29"/>
        <w:ind w:firstLine="420"/>
        <w:rPr>
          <w:rFonts w:asciiTheme="minorEastAsia" w:hAnsiTheme="minorEastAsia" w:eastAsiaTheme="minorEastAsia"/>
        </w:rPr>
      </w:pPr>
    </w:p>
    <w:p w14:paraId="36C1336E">
      <w:pPr>
        <w:pStyle w:val="29"/>
        <w:ind w:firstLine="420"/>
        <w:rPr>
          <w:rFonts w:asciiTheme="minorEastAsia" w:hAnsiTheme="minorEastAsia" w:eastAsiaTheme="minorEastAsia"/>
        </w:rPr>
      </w:pPr>
    </w:p>
    <w:p w14:paraId="25BAF7E8">
      <w:pPr>
        <w:pStyle w:val="29"/>
        <w:ind w:firstLine="420"/>
        <w:rPr>
          <w:rFonts w:asciiTheme="minorEastAsia" w:hAnsiTheme="minorEastAsia" w:eastAsiaTheme="minorEastAsia"/>
        </w:rPr>
      </w:pPr>
    </w:p>
    <w:p w14:paraId="65F601D7">
      <w:pPr>
        <w:pStyle w:val="29"/>
        <w:ind w:firstLine="420"/>
        <w:rPr>
          <w:rFonts w:asciiTheme="minorEastAsia" w:hAnsiTheme="minorEastAsia" w:eastAsiaTheme="minorEastAsia"/>
        </w:rPr>
      </w:pPr>
    </w:p>
    <w:p w14:paraId="1CC30CEF">
      <w:pPr>
        <w:pStyle w:val="29"/>
        <w:ind w:firstLine="420"/>
        <w:rPr>
          <w:rFonts w:asciiTheme="minorEastAsia" w:hAnsiTheme="minorEastAsia" w:eastAsiaTheme="minorEastAsia"/>
        </w:rPr>
      </w:pPr>
    </w:p>
    <w:p w14:paraId="1B7A7B20">
      <w:pPr>
        <w:pStyle w:val="29"/>
        <w:ind w:firstLine="420"/>
        <w:rPr>
          <w:rFonts w:asciiTheme="minorEastAsia" w:hAnsiTheme="minorEastAsia" w:eastAsiaTheme="minorEastAsia"/>
        </w:rPr>
      </w:pPr>
    </w:p>
    <w:p w14:paraId="1C6123C4">
      <w:pPr>
        <w:pStyle w:val="29"/>
        <w:ind w:firstLine="420"/>
        <w:rPr>
          <w:rFonts w:asciiTheme="minorEastAsia" w:hAnsiTheme="minorEastAsia" w:eastAsiaTheme="minorEastAsia"/>
        </w:rPr>
      </w:pPr>
    </w:p>
    <w:p w14:paraId="527E1812">
      <w:pPr>
        <w:pStyle w:val="29"/>
        <w:ind w:firstLine="420"/>
        <w:rPr>
          <w:rFonts w:asciiTheme="minorEastAsia" w:hAnsiTheme="minorEastAsia" w:eastAsiaTheme="minorEastAsia"/>
        </w:rPr>
      </w:pPr>
    </w:p>
    <w:p w14:paraId="535CA35A">
      <w:pPr>
        <w:pStyle w:val="29"/>
        <w:ind w:firstLine="420"/>
        <w:rPr>
          <w:rFonts w:asciiTheme="minorEastAsia" w:hAnsiTheme="minorEastAsia" w:eastAsiaTheme="minorEastAsia"/>
        </w:rPr>
      </w:pPr>
    </w:p>
    <w:p w14:paraId="3F0D1F05">
      <w:pPr>
        <w:pStyle w:val="29"/>
        <w:ind w:firstLine="420"/>
        <w:rPr>
          <w:rFonts w:asciiTheme="minorEastAsia" w:hAnsiTheme="minorEastAsia" w:eastAsiaTheme="minorEastAsia"/>
        </w:rPr>
      </w:pPr>
    </w:p>
    <w:p w14:paraId="16E72AE0">
      <w:pPr>
        <w:pStyle w:val="29"/>
        <w:ind w:firstLine="420"/>
        <w:rPr>
          <w:rFonts w:asciiTheme="minorEastAsia" w:hAnsiTheme="minorEastAsia" w:eastAsiaTheme="minorEastAsia"/>
        </w:rPr>
      </w:pPr>
    </w:p>
    <w:p w14:paraId="15CDAD3F">
      <w:pPr>
        <w:pStyle w:val="29"/>
        <w:ind w:firstLine="420"/>
        <w:rPr>
          <w:rFonts w:asciiTheme="minorEastAsia" w:hAnsiTheme="minorEastAsia" w:eastAsiaTheme="minorEastAsia"/>
        </w:rPr>
      </w:pPr>
    </w:p>
    <w:p w14:paraId="428F365C">
      <w:pPr>
        <w:pStyle w:val="29"/>
        <w:ind w:firstLine="420"/>
        <w:rPr>
          <w:rFonts w:asciiTheme="minorEastAsia" w:hAnsiTheme="minorEastAsia" w:eastAsiaTheme="minorEastAsia"/>
        </w:rPr>
      </w:pPr>
    </w:p>
    <w:p w14:paraId="45901412">
      <w:pPr>
        <w:pStyle w:val="29"/>
        <w:ind w:firstLine="420"/>
        <w:rPr>
          <w:rFonts w:asciiTheme="minorEastAsia" w:hAnsiTheme="minorEastAsia" w:eastAsiaTheme="minorEastAsia"/>
        </w:rPr>
      </w:pPr>
    </w:p>
    <w:p w14:paraId="47A8BE55">
      <w:pPr>
        <w:pStyle w:val="29"/>
        <w:ind w:firstLine="420"/>
        <w:rPr>
          <w:rFonts w:asciiTheme="minorEastAsia" w:hAnsiTheme="minorEastAsia" w:eastAsiaTheme="minorEastAsia"/>
        </w:rPr>
      </w:pPr>
    </w:p>
    <w:p w14:paraId="64B8DE04">
      <w:pPr>
        <w:pStyle w:val="29"/>
        <w:ind w:firstLine="420"/>
        <w:rPr>
          <w:rFonts w:asciiTheme="minorEastAsia" w:hAnsiTheme="minorEastAsia" w:eastAsiaTheme="minorEastAsia"/>
        </w:rPr>
      </w:pPr>
    </w:p>
    <w:p w14:paraId="659D756C">
      <w:pPr>
        <w:pStyle w:val="29"/>
        <w:ind w:firstLine="420"/>
        <w:rPr>
          <w:rFonts w:asciiTheme="minorEastAsia" w:hAnsiTheme="minorEastAsia" w:eastAsiaTheme="minorEastAsia"/>
        </w:rPr>
      </w:pPr>
    </w:p>
    <w:p w14:paraId="491B156C">
      <w:pPr>
        <w:pStyle w:val="29"/>
        <w:ind w:firstLine="420"/>
        <w:rPr>
          <w:rFonts w:asciiTheme="minorEastAsia" w:hAnsiTheme="minorEastAsia" w:eastAsiaTheme="minorEastAsia"/>
        </w:rPr>
      </w:pPr>
    </w:p>
    <w:p w14:paraId="27A3FEAD">
      <w:pPr>
        <w:pStyle w:val="29"/>
        <w:ind w:firstLine="420"/>
        <w:rPr>
          <w:rFonts w:asciiTheme="minorEastAsia" w:hAnsiTheme="minorEastAsia" w:eastAsiaTheme="minorEastAsia"/>
        </w:rPr>
      </w:pPr>
    </w:p>
    <w:p w14:paraId="5550959C">
      <w:pPr>
        <w:pStyle w:val="29"/>
        <w:ind w:firstLine="420"/>
        <w:rPr>
          <w:rFonts w:asciiTheme="minorEastAsia" w:hAnsiTheme="minorEastAsia" w:eastAsiaTheme="minorEastAsia"/>
        </w:rPr>
      </w:pPr>
    </w:p>
    <w:p w14:paraId="05F9DA3C">
      <w:pPr>
        <w:pStyle w:val="29"/>
        <w:ind w:firstLine="420"/>
        <w:rPr>
          <w:rFonts w:asciiTheme="minorEastAsia" w:hAnsiTheme="minorEastAsia" w:eastAsiaTheme="minorEastAsia"/>
        </w:rPr>
      </w:pPr>
    </w:p>
    <w:p w14:paraId="7B91D0DD">
      <w:pPr>
        <w:pStyle w:val="29"/>
        <w:ind w:firstLine="420"/>
        <w:rPr>
          <w:rFonts w:asciiTheme="minorEastAsia" w:hAnsiTheme="minorEastAsia" w:eastAsiaTheme="minorEastAsia"/>
        </w:rPr>
      </w:pPr>
    </w:p>
    <w:p w14:paraId="190FE48A">
      <w:pPr>
        <w:pStyle w:val="29"/>
        <w:ind w:firstLine="420"/>
        <w:rPr>
          <w:rFonts w:asciiTheme="minorEastAsia" w:hAnsiTheme="minorEastAsia" w:eastAsiaTheme="minorEastAsia"/>
        </w:rPr>
      </w:pPr>
    </w:p>
    <w:p w14:paraId="7F7F505A">
      <w:pPr>
        <w:pStyle w:val="29"/>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48</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1AB67A08">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48</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622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0703F93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02BBF0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22726111">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0D4ABFB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EC3883D">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13417236">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3A4C582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7E73FA0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7649CFE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FE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FD9493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BEAB1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DEE18F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AD3B3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7B89517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616A5A5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F09608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AFE2B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0AF62AA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177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E002CE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DC9FD8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F35D08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7A4E07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400BB27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5C6E9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96A1F9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1ED1F4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E227B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1B0BA7DF">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2C4C05F6">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4E5E1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63C9BA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614FAC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56F0642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0259868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2F1C24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4480D30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144F7D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28CA5A7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36E78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8DE2B2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62D5AE9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64FF05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7F567D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9D3B40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5B6D2C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C4C585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7EC206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B2D6DC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551D17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67B5A4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0A13FB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5120B1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340D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E77AD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76A4C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B9B0CAB">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362BC3D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98EE3C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2D45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7FD23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89C98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C13D0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7AE49835">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7846866A">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42B805D0">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71F96624">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04920AF">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2F3F0054">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795EFA"/>
    <w:rsid w:val="07927F8D"/>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55779"/>
    <w:rsid w:val="21247011"/>
    <w:rsid w:val="213E37D6"/>
    <w:rsid w:val="21556224"/>
    <w:rsid w:val="21626206"/>
    <w:rsid w:val="21827141"/>
    <w:rsid w:val="21A773A1"/>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C45F6A"/>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67361FE"/>
    <w:rsid w:val="36E302B5"/>
    <w:rsid w:val="372969A6"/>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A9209A"/>
    <w:rsid w:val="42547E3B"/>
    <w:rsid w:val="42D62A0E"/>
    <w:rsid w:val="42FF0554"/>
    <w:rsid w:val="4345511B"/>
    <w:rsid w:val="43547BA6"/>
    <w:rsid w:val="4380762E"/>
    <w:rsid w:val="43A21451"/>
    <w:rsid w:val="44213356"/>
    <w:rsid w:val="447D4D4F"/>
    <w:rsid w:val="44C71A88"/>
    <w:rsid w:val="44F12CA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FD5959"/>
    <w:rsid w:val="4901507A"/>
    <w:rsid w:val="49A55F90"/>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98601B"/>
    <w:rsid w:val="55740F0C"/>
    <w:rsid w:val="55A82D9F"/>
    <w:rsid w:val="55AD05A3"/>
    <w:rsid w:val="55E45605"/>
    <w:rsid w:val="56E755C8"/>
    <w:rsid w:val="57704E2E"/>
    <w:rsid w:val="57E00F33"/>
    <w:rsid w:val="58485925"/>
    <w:rsid w:val="58AA5E1A"/>
    <w:rsid w:val="58B42820"/>
    <w:rsid w:val="590A5666"/>
    <w:rsid w:val="599A0FE5"/>
    <w:rsid w:val="599A78B4"/>
    <w:rsid w:val="59F271C5"/>
    <w:rsid w:val="5A3D7F5A"/>
    <w:rsid w:val="5A435F69"/>
    <w:rsid w:val="5A540F6B"/>
    <w:rsid w:val="5ABF64C8"/>
    <w:rsid w:val="5AE12DF7"/>
    <w:rsid w:val="5AF06412"/>
    <w:rsid w:val="5BAF5677"/>
    <w:rsid w:val="5BD3526C"/>
    <w:rsid w:val="5BE07777"/>
    <w:rsid w:val="5BE9386D"/>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CB3D8B"/>
    <w:rsid w:val="64102907"/>
    <w:rsid w:val="64692017"/>
    <w:rsid w:val="648700E8"/>
    <w:rsid w:val="64A37553"/>
    <w:rsid w:val="64C1050B"/>
    <w:rsid w:val="65B31C9E"/>
    <w:rsid w:val="65B8754F"/>
    <w:rsid w:val="665B58A3"/>
    <w:rsid w:val="66D65031"/>
    <w:rsid w:val="670B6A7B"/>
    <w:rsid w:val="671A1DC5"/>
    <w:rsid w:val="6721173E"/>
    <w:rsid w:val="673752E8"/>
    <w:rsid w:val="675B27E4"/>
    <w:rsid w:val="67B927DC"/>
    <w:rsid w:val="68330A12"/>
    <w:rsid w:val="6953498D"/>
    <w:rsid w:val="698F70E0"/>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F62525"/>
    <w:rsid w:val="741305C3"/>
    <w:rsid w:val="743B200D"/>
    <w:rsid w:val="748D0358"/>
    <w:rsid w:val="748D7E3A"/>
    <w:rsid w:val="74DA1431"/>
    <w:rsid w:val="75A93F80"/>
    <w:rsid w:val="75E07F9E"/>
    <w:rsid w:val="76FC0100"/>
    <w:rsid w:val="780B3D70"/>
    <w:rsid w:val="784349CF"/>
    <w:rsid w:val="78B4050B"/>
    <w:rsid w:val="79144850"/>
    <w:rsid w:val="791864CF"/>
    <w:rsid w:val="792B4762"/>
    <w:rsid w:val="79685748"/>
    <w:rsid w:val="79CA7984"/>
    <w:rsid w:val="7A212F9C"/>
    <w:rsid w:val="7A365AD5"/>
    <w:rsid w:val="7A9F26C7"/>
    <w:rsid w:val="7AA159DE"/>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numPr>
        <w:ilvl w:val="3"/>
        <w:numId w:val="1"/>
      </w:numPr>
      <w:outlineLvl w:val="1"/>
    </w:pPr>
    <w:rPr>
      <w:sz w:val="28"/>
    </w:rPr>
  </w:style>
  <w:style w:type="paragraph" w:styleId="4">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Indent"/>
    <w:basedOn w:val="1"/>
    <w:autoRedefine/>
    <w:semiHidden/>
    <w:qFormat/>
    <w:uiPriority w:val="0"/>
    <w:pPr>
      <w:spacing w:line="360" w:lineRule="auto"/>
      <w:ind w:left="720" w:hanging="720" w:hangingChars="300"/>
    </w:pPr>
    <w:rPr>
      <w:sz w:val="24"/>
      <w:szCs w:val="20"/>
    </w:rPr>
  </w:style>
  <w:style w:type="paragraph" w:styleId="7">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72"/>
    <w:autoRedefine/>
    <w:qFormat/>
    <w:uiPriority w:val="0"/>
    <w:pPr>
      <w:spacing w:after="120"/>
    </w:pPr>
  </w:style>
  <w:style w:type="paragraph" w:styleId="10">
    <w:name w:val="Plain Text"/>
    <w:basedOn w:val="1"/>
    <w:link w:val="63"/>
    <w:autoRedefine/>
    <w:qFormat/>
    <w:uiPriority w:val="0"/>
    <w:rPr>
      <w:rFonts w:ascii="宋体" w:hAnsi="Courier New" w:cs="宋体"/>
      <w:szCs w:val="21"/>
    </w:rPr>
  </w:style>
  <w:style w:type="paragraph" w:styleId="11">
    <w:name w:val="Date"/>
    <w:basedOn w:val="1"/>
    <w:next w:val="1"/>
    <w:link w:val="54"/>
    <w:autoRedefine/>
    <w:qFormat/>
    <w:uiPriority w:val="0"/>
    <w:pPr>
      <w:ind w:left="100" w:leftChars="2500"/>
    </w:pPr>
  </w:style>
  <w:style w:type="paragraph" w:styleId="12">
    <w:name w:val="Balloon Text"/>
    <w:basedOn w:val="1"/>
    <w:autoRedefine/>
    <w:semiHidden/>
    <w:qFormat/>
    <w:uiPriority w:val="0"/>
    <w:rPr>
      <w:sz w:val="18"/>
      <w:szCs w:val="18"/>
    </w:rPr>
  </w:style>
  <w:style w:type="paragraph" w:styleId="13">
    <w:name w:val="footer"/>
    <w:basedOn w:val="1"/>
    <w:link w:val="67"/>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autoRedefine/>
    <w:qFormat/>
    <w:uiPriority w:val="0"/>
    <w:pPr>
      <w:spacing w:afterLines="0" w:line="240" w:lineRule="auto"/>
    </w:pPr>
    <w:rPr>
      <w:rFonts w:ascii="Calibri" w:hAnsi="Calibri"/>
      <w:szCs w:val="20"/>
    </w:rPr>
  </w:style>
  <w:style w:type="paragraph" w:styleId="16">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autoRedefine/>
    <w:qFormat/>
    <w:uiPriority w:val="0"/>
    <w:pPr>
      <w:spacing w:after="12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1">
    <w:name w:val="Body Text First Indent"/>
    <w:basedOn w:val="9"/>
    <w:next w:val="1"/>
    <w:qFormat/>
    <w:uiPriority w:val="0"/>
    <w:pPr>
      <w:ind w:firstLine="420" w:firstLineChars="1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basedOn w:val="24"/>
    <w:autoRedefine/>
    <w:qFormat/>
    <w:uiPriority w:val="0"/>
  </w:style>
  <w:style w:type="character" w:styleId="27">
    <w:name w:val="Emphasis"/>
    <w:basedOn w:val="24"/>
    <w:autoRedefine/>
    <w:qFormat/>
    <w:uiPriority w:val="20"/>
    <w:rPr>
      <w:i/>
      <w:iCs/>
    </w:rPr>
  </w:style>
  <w:style w:type="character" w:styleId="28">
    <w:name w:val="Hyperlink"/>
    <w:autoRedefine/>
    <w:qFormat/>
    <w:uiPriority w:val="0"/>
    <w:rPr>
      <w:color w:val="0000FF"/>
      <w:u w:val="single"/>
    </w:r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4"/>
    <w:autoRedefine/>
    <w:qFormat/>
    <w:uiPriority w:val="0"/>
  </w:style>
  <w:style w:type="character" w:customStyle="1" w:styleId="34">
    <w:name w:val="nui-addr-email4"/>
    <w:basedOn w:val="24"/>
    <w:autoRedefine/>
    <w:qFormat/>
    <w:uiPriority w:val="0"/>
  </w:style>
  <w:style w:type="character" w:customStyle="1" w:styleId="35">
    <w:name w:val="正文文本 字符"/>
    <w:link w:val="9"/>
    <w:autoRedefine/>
    <w:qFormat/>
    <w:uiPriority w:val="0"/>
    <w:rPr>
      <w:kern w:val="2"/>
      <w:sz w:val="21"/>
      <w:szCs w:val="24"/>
    </w:rPr>
  </w:style>
  <w:style w:type="character" w:customStyle="1" w:styleId="36">
    <w:name w:val="bumpedfont15"/>
    <w:basedOn w:val="24"/>
    <w:autoRedefine/>
    <w:qFormat/>
    <w:uiPriority w:val="0"/>
  </w:style>
  <w:style w:type="character" w:customStyle="1" w:styleId="37">
    <w:name w:val="ca-22"/>
    <w:basedOn w:val="24"/>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1"/>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autoRedefine/>
    <w:qFormat/>
    <w:uiPriority w:val="0"/>
    <w:rPr>
      <w:rFonts w:ascii="宋体" w:hAnsi="Courier New" w:cs="宋体"/>
      <w:kern w:val="2"/>
      <w:sz w:val="21"/>
      <w:szCs w:val="21"/>
    </w:rPr>
  </w:style>
  <w:style w:type="character" w:customStyle="1" w:styleId="64">
    <w:name w:val="副标题 字符"/>
    <w:link w:val="17"/>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4"/>
    <w:link w:val="13"/>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4"/>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9"/>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18216</Words>
  <Characters>20548</Characters>
  <Lines>94</Lines>
  <Paragraphs>26</Paragraphs>
  <TotalTime>0</TotalTime>
  <ScaleCrop>false</ScaleCrop>
  <LinksUpToDate>false</LinksUpToDate>
  <CharactersWithSpaces>22586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2024-08-29T01:17:00Z</cp:lastPrinted>
  <dcterms:modified xsi:type="dcterms:W3CDTF">2024-09-04T07:33:07Z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3279EEA1E4014AC2BCD51B63EBD36CD0_12</vt:lpwstr>
  </property>
</Properties>
</file>