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hint="eastAsia" w:ascii="宋体" w:hAnsi="宋体" w:cs="宋体-18030"/>
          <w:b/>
          <w:bCs/>
          <w:color w:val="000000"/>
          <w:sz w:val="30"/>
          <w:szCs w:val="30"/>
        </w:rPr>
      </w:pPr>
      <w:r>
        <w:rPr>
          <w:rFonts w:ascii="宋体" w:hAnsi="宋体" w:cs="宋体-18030"/>
          <w:b/>
          <w:bCs/>
          <w:color w:val="000000"/>
          <w:sz w:val="30"/>
          <w:szCs w:val="30"/>
        </w:rPr>
        <w:t>2024年第</w:t>
      </w:r>
      <w:r>
        <w:rPr>
          <w:rFonts w:hint="eastAsia" w:ascii="宋体" w:hAnsi="宋体" w:cs="宋体-18030"/>
          <w:b/>
          <w:bCs/>
          <w:color w:val="000000"/>
          <w:sz w:val="30"/>
          <w:szCs w:val="30"/>
          <w:lang w:val="en-US" w:eastAsia="zh-CN"/>
        </w:rPr>
        <w:t>48</w:t>
      </w:r>
      <w:r>
        <w:rPr>
          <w:rFonts w:ascii="宋体" w:hAnsi="宋体" w:cs="宋体-18030"/>
          <w:b/>
          <w:bCs/>
          <w:color w:val="000000"/>
          <w:sz w:val="30"/>
          <w:szCs w:val="30"/>
        </w:rPr>
        <w:t>期</w:t>
      </w:r>
      <w:r>
        <w:rPr>
          <w:rFonts w:hint="eastAsia" w:ascii="宋体" w:hAnsi="宋体" w:cs="宋体-18030"/>
          <w:b/>
          <w:bCs/>
          <w:color w:val="000000"/>
          <w:sz w:val="30"/>
          <w:szCs w:val="30"/>
        </w:rPr>
        <w:t>3台低温等离子灭菌器全保服务</w:t>
      </w:r>
      <w:r>
        <w:rPr>
          <w:rFonts w:ascii="宋体" w:hAnsi="宋体" w:cs="宋体-18030"/>
          <w:b/>
          <w:bCs/>
          <w:color w:val="000000"/>
          <w:sz w:val="30"/>
          <w:szCs w:val="30"/>
        </w:rPr>
        <w:t>采购公告</w:t>
      </w:r>
    </w:p>
    <w:p>
      <w:pPr>
        <w:widowControl/>
        <w:spacing w:line="460" w:lineRule="exact"/>
        <w:jc w:val="center"/>
        <w:rPr>
          <w:rFonts w:hint="default"/>
          <w:lang w:val="en-US" w:eastAsia="zh-CN"/>
        </w:rPr>
      </w:pPr>
      <w:r>
        <w:rPr>
          <w:rFonts w:ascii="宋体" w:hAnsi="宋体"/>
          <w:b/>
          <w:bCs/>
          <w:sz w:val="30"/>
          <w:szCs w:val="30"/>
        </w:rPr>
        <w:t>采购编号:BYZBCG2024-</w:t>
      </w:r>
      <w:r>
        <w:rPr>
          <w:rFonts w:hint="eastAsia" w:ascii="宋体" w:hAnsi="宋体"/>
          <w:b/>
          <w:bCs/>
          <w:sz w:val="30"/>
          <w:szCs w:val="30"/>
          <w:lang w:val="en-US" w:eastAsia="zh-CN"/>
        </w:rPr>
        <w:t>48</w:t>
      </w:r>
    </w:p>
    <w:p>
      <w:pPr>
        <w:widowControl/>
        <w:shd w:val="clear" w:color="auto" w:fill="FFFFFF"/>
        <w:snapToGrid w:val="0"/>
        <w:spacing w:before="100" w:beforeAutospacing="1" w:after="100" w:afterAutospacing="1"/>
        <w:ind w:left="-141" w:leftChars="-67" w:right="-166" w:rightChars="-79" w:firstLine="420" w:firstLineChars="200"/>
        <w:contextualSpacing/>
        <w:jc w:val="left"/>
        <w:rPr>
          <w:rFonts w:hint="eastAsia" w:ascii="宋体" w:hAnsi="宋体" w:cs="宋体-18030"/>
          <w:bCs/>
          <w:color w:val="000000"/>
          <w:szCs w:val="21"/>
        </w:rPr>
      </w:pPr>
      <w:r>
        <w:rPr>
          <w:rFonts w:ascii="宋体" w:hAnsi="宋体" w:cs="宋体-18030"/>
          <w:bCs/>
          <w:color w:val="000000"/>
          <w:szCs w:val="21"/>
        </w:rPr>
        <w:t>根据国家</w:t>
      </w:r>
      <w:r>
        <w:rPr>
          <w:rFonts w:hint="eastAsia" w:ascii="宋体" w:hAnsi="宋体" w:cs="宋体-18030"/>
          <w:bCs/>
          <w:color w:val="000000"/>
          <w:szCs w:val="21"/>
        </w:rPr>
        <w:t>､省市等有关文件要求</w:t>
      </w:r>
      <w:r>
        <w:rPr>
          <w:rFonts w:ascii="宋体" w:hAnsi="宋体" w:cs="宋体-18030"/>
          <w:bCs/>
          <w:color w:val="000000"/>
          <w:szCs w:val="21"/>
        </w:rPr>
        <w:t>,依照公开</w:t>
      </w:r>
      <w:r>
        <w:rPr>
          <w:rFonts w:hint="eastAsia" w:ascii="宋体" w:hAnsi="宋体" w:cs="宋体-18030"/>
          <w:bCs/>
          <w:color w:val="000000"/>
          <w:szCs w:val="21"/>
        </w:rPr>
        <w:t>､公平､公正的原则</w:t>
      </w:r>
      <w:r>
        <w:rPr>
          <w:rFonts w:ascii="宋体" w:hAnsi="宋体" w:cs="宋体-18030"/>
          <w:bCs/>
          <w:color w:val="000000"/>
          <w:szCs w:val="21"/>
        </w:rPr>
        <w:t>,深圳市宝安区人民医院拟对以下采购项目进行</w:t>
      </w:r>
      <w:r>
        <w:rPr>
          <w:rFonts w:hint="eastAsia" w:ascii="宋体" w:hAnsi="宋体" w:cs="宋体-18030"/>
          <w:bCs/>
          <w:color w:val="000000"/>
          <w:szCs w:val="21"/>
        </w:rPr>
        <w:t>公开</w:t>
      </w:r>
      <w:r>
        <w:rPr>
          <w:rFonts w:ascii="宋体" w:hAnsi="宋体" w:cs="宋体-18030"/>
          <w:bCs/>
          <w:color w:val="000000"/>
          <w:szCs w:val="21"/>
        </w:rPr>
        <w:t>采购,特邀请合格供应商前来进行参与投标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4"/>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43"/>
        <w:gridCol w:w="1964"/>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4243" w:type="dxa"/>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cs="宋体-18030"/>
                <w:bCs/>
                <w:szCs w:val="21"/>
              </w:rPr>
            </w:pPr>
            <w:r>
              <w:rPr>
                <w:rFonts w:ascii="宋体" w:hAnsi="宋体" w:cs="宋体-18030"/>
                <w:bCs/>
                <w:szCs w:val="21"/>
              </w:rPr>
              <w:t>项目名称</w:t>
            </w:r>
          </w:p>
        </w:tc>
        <w:tc>
          <w:tcPr>
            <w:tcW w:w="1964" w:type="dxa"/>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cs="宋体-18030"/>
                <w:bCs/>
                <w:szCs w:val="21"/>
              </w:rPr>
            </w:pPr>
            <w:r>
              <w:rPr>
                <w:rFonts w:ascii="宋体" w:hAnsi="宋体" w:cs="宋体-18030"/>
                <w:bCs/>
                <w:szCs w:val="21"/>
              </w:rPr>
              <w:t>使用科室</w:t>
            </w:r>
          </w:p>
        </w:tc>
        <w:tc>
          <w:tcPr>
            <w:tcW w:w="2394" w:type="dxa"/>
            <w:vAlign w:val="center"/>
          </w:tcPr>
          <w:p>
            <w:pPr>
              <w:widowControl/>
              <w:spacing w:before="100" w:beforeAutospacing="1" w:after="100" w:afterAutospacing="1"/>
              <w:jc w:val="center"/>
              <w:rPr>
                <w:rFonts w:hint="eastAsia" w:ascii="宋体" w:hAnsi="宋体" w:cs="宋体-18030"/>
                <w:bCs/>
                <w:szCs w:val="21"/>
              </w:rPr>
            </w:pPr>
            <w:r>
              <w:rPr>
                <w:rFonts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4243" w:type="dxa"/>
            <w:tcMar>
              <w:top w:w="0" w:type="dxa"/>
              <w:left w:w="108" w:type="dxa"/>
              <w:bottom w:w="0" w:type="dxa"/>
              <w:right w:w="108" w:type="dxa"/>
            </w:tcMar>
            <w:vAlign w:val="center"/>
          </w:tcPr>
          <w:p>
            <w:pPr>
              <w:widowControl/>
              <w:jc w:val="center"/>
              <w:rPr>
                <w:rFonts w:hint="eastAsia" w:ascii="宋体" w:hAnsi="宋体" w:cs="宋体"/>
                <w:kern w:val="0"/>
                <w:szCs w:val="21"/>
              </w:rPr>
            </w:pPr>
            <w:r>
              <w:rPr>
                <w:rFonts w:hint="eastAsia" w:ascii="宋体" w:hAnsi="宋体"/>
              </w:rPr>
              <w:t>3台低温等离子灭菌器全保服务</w:t>
            </w:r>
          </w:p>
        </w:tc>
        <w:tc>
          <w:tcPr>
            <w:tcW w:w="1964" w:type="dxa"/>
            <w:tcMar>
              <w:top w:w="0" w:type="dxa"/>
              <w:left w:w="108" w:type="dxa"/>
              <w:bottom w:w="0" w:type="dxa"/>
              <w:right w:w="108" w:type="dxa"/>
            </w:tcMar>
            <w:vAlign w:val="center"/>
          </w:tcPr>
          <w:p>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消毒供应中心</w:t>
            </w:r>
          </w:p>
        </w:tc>
        <w:tc>
          <w:tcPr>
            <w:tcW w:w="2394" w:type="dxa"/>
            <w:vAlign w:val="center"/>
          </w:tcPr>
          <w:p>
            <w:pPr>
              <w:autoSpaceDE w:val="0"/>
              <w:autoSpaceDN w:val="0"/>
              <w:adjustRightInd w:val="0"/>
              <w:jc w:val="center"/>
              <w:rPr>
                <w:rFonts w:hint="eastAsia" w:ascii="宋体" w:hAnsi="宋体" w:cs="宋体-18030"/>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pPr>
        <w:spacing w:line="400" w:lineRule="exact"/>
        <w:ind w:firstLine="282" w:firstLineChars="134"/>
        <w:rPr>
          <w:rFonts w:hint="eastAsia" w:ascii="宋体" w:hAnsi="宋体"/>
        </w:rPr>
      </w:pPr>
      <w:r>
        <w:rPr>
          <w:rFonts w:ascii="宋体" w:hAnsi="宋体" w:cs="Arial"/>
          <w:b/>
          <w:color w:val="000000"/>
          <w:kern w:val="0"/>
          <w:szCs w:val="21"/>
        </w:rPr>
        <w:t xml:space="preserve"> 二</w:t>
      </w:r>
      <w:r>
        <w:rPr>
          <w:rFonts w:hint="eastAsia" w:ascii="微软雅黑" w:hAnsi="微软雅黑" w:eastAsia="微软雅黑" w:cs="微软雅黑"/>
          <w:b/>
          <w:color w:val="000000"/>
          <w:kern w:val="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即日起至2024年</w:t>
      </w:r>
      <w:r>
        <w:rPr>
          <w:rFonts w:hint="eastAsia" w:ascii="宋体" w:hAnsi="宋体"/>
          <w:lang w:val="en-US" w:eastAsia="zh-CN"/>
        </w:rPr>
        <w:t>9</w:t>
      </w:r>
      <w:r>
        <w:rPr>
          <w:rFonts w:ascii="宋体" w:hAnsi="宋体"/>
        </w:rPr>
        <w:t>月</w:t>
      </w:r>
      <w:r>
        <w:rPr>
          <w:rFonts w:hint="eastAsia" w:ascii="宋体" w:hAnsi="宋体"/>
          <w:lang w:val="en-US" w:eastAsia="zh-CN"/>
        </w:rPr>
        <w:t>5</w:t>
      </w:r>
      <w:bookmarkStart w:id="6" w:name="_GoBack"/>
      <w:bookmarkEnd w:id="6"/>
      <w:r>
        <w:rPr>
          <w:rFonts w:ascii="宋体" w:hAnsi="宋体"/>
        </w:rPr>
        <w:t>日下午4:00前,将1.法人或被授权人携投标书(正本1份(胶装成册))交至宝安区人民医院立体停车场出口对面A栋201室招标办预审;2.现场预审通过后电子版文件发送至电子邮箱,(电子版文件包括:标题格式:2024年+期号+投标公司名称;资料一:投标书正本纸质扫描件(PDF格式),资料二:封面</w:t>
      </w:r>
      <w:r>
        <w:rPr>
          <w:rFonts w:hint="eastAsia" w:ascii="微软雅黑" w:hAnsi="微软雅黑" w:eastAsia="微软雅黑" w:cs="微软雅黑"/>
        </w:rPr>
        <w:t>､</w:t>
      </w:r>
      <w:r>
        <w:rPr>
          <w:rFonts w:ascii="宋体" w:hAnsi="宋体" w:cs="等线"/>
        </w:rPr>
        <w:t>报价单</w:t>
      </w:r>
      <w:r>
        <w:rPr>
          <w:rFonts w:ascii="宋体" w:hAnsi="宋体"/>
        </w:rPr>
        <w:t>(价格不填)为word格式</w:t>
      </w:r>
      <w:r>
        <w:rPr>
          <w:rFonts w:hint="eastAsia" w:ascii="微软雅黑" w:hAnsi="微软雅黑" w:eastAsia="微软雅黑" w:cs="微软雅黑"/>
        </w:rPr>
        <w:t>｡</w:t>
      </w:r>
      <w:r>
        <w:rPr>
          <w:rFonts w:ascii="宋体" w:hAnsi="宋体" w:cs="等线"/>
        </w:rPr>
        <w:t>)投标书不用密封</w:t>
      </w:r>
      <w:r>
        <w:rPr>
          <w:rFonts w:ascii="宋体" w:hAnsi="宋体"/>
        </w:rPr>
        <w:t>,逾期送达或资料缺项者恕不接受</w:t>
      </w:r>
      <w:r>
        <w:rPr>
          <w:rFonts w:hint="eastAsia" w:ascii="微软雅黑" w:hAnsi="微软雅黑" w:eastAsia="微软雅黑" w:cs="微软雅黑"/>
        </w:rPr>
        <w:t>｡</w:t>
      </w:r>
    </w:p>
    <w:p>
      <w:pPr>
        <w:widowControl/>
        <w:spacing w:line="400" w:lineRule="exact"/>
        <w:ind w:firstLine="282" w:firstLineChars="134"/>
        <w:jc w:val="left"/>
        <w:rPr>
          <w:rFonts w:hint="eastAsia" w:ascii="宋体" w:hAnsi="宋体" w:cs="Arial"/>
          <w:color w:val="000000"/>
          <w:kern w:val="0"/>
          <w:szCs w:val="21"/>
        </w:rPr>
      </w:pPr>
      <w:r>
        <w:rPr>
          <w:rFonts w:ascii="宋体" w:hAnsi="宋体" w:cs="Arial"/>
          <w:b/>
          <w:color w:val="000000"/>
          <w:kern w:val="0"/>
          <w:szCs w:val="21"/>
        </w:rPr>
        <w:t xml:space="preserve">  三</w:t>
      </w:r>
      <w:r>
        <w:rPr>
          <w:rFonts w:hint="eastAsia" w:ascii="微软雅黑" w:hAnsi="微软雅黑" w:eastAsia="微软雅黑" w:cs="微软雅黑"/>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pacing w:line="400" w:lineRule="exact"/>
        <w:ind w:right="-166" w:rightChars="-79" w:firstLine="424" w:firstLineChars="201"/>
        <w:jc w:val="left"/>
        <w:rPr>
          <w:rFonts w:hint="eastAsia" w:ascii="宋体" w:hAnsi="宋体" w:cs="Arial"/>
          <w:color w:val="000000"/>
          <w:kern w:val="0"/>
          <w:szCs w:val="21"/>
        </w:rPr>
      </w:pPr>
      <w:r>
        <w:rPr>
          <w:rFonts w:ascii="宋体" w:hAnsi="宋体" w:cs="Arial"/>
          <w:b/>
          <w:color w:val="000000"/>
          <w:kern w:val="0"/>
          <w:szCs w:val="21"/>
        </w:rPr>
        <w:t xml:space="preserve"> 四</w:t>
      </w:r>
      <w:r>
        <w:rPr>
          <w:rFonts w:hint="eastAsia" w:ascii="微软雅黑" w:hAnsi="微软雅黑" w:eastAsia="微软雅黑" w:cs="微软雅黑"/>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auto"/>
          <w:kern w:val="0"/>
          <w:szCs w:val="21"/>
        </w:rPr>
        <w:t>深圳市宝安区人民医院官网-通知公告-招标公告通</w:t>
      </w:r>
      <w:r>
        <w:rPr>
          <w:rFonts w:ascii="宋体" w:hAnsi="宋体" w:cs="Arial"/>
          <w:color w:val="000000"/>
          <w:kern w:val="0"/>
          <w:szCs w:val="21"/>
        </w:rPr>
        <w:t>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pacing w:line="400" w:lineRule="exact"/>
        <w:ind w:firstLine="282" w:firstLineChars="134"/>
        <w:jc w:val="left"/>
        <w:rPr>
          <w:rFonts w:hint="eastAsia" w:ascii="宋体" w:hAnsi="宋体" w:cs="Arial"/>
          <w:color w:val="000000"/>
          <w:kern w:val="0"/>
          <w:szCs w:val="21"/>
        </w:rPr>
      </w:pPr>
      <w:r>
        <w:rPr>
          <w:rFonts w:ascii="宋体" w:hAnsi="宋体" w:cs="Arial"/>
          <w:b/>
          <w:color w:val="000000"/>
          <w:kern w:val="0"/>
          <w:szCs w:val="21"/>
        </w:rPr>
        <w:t xml:space="preserve"> 五</w:t>
      </w:r>
      <w:r>
        <w:rPr>
          <w:rFonts w:hint="eastAsia" w:ascii="微软雅黑" w:hAnsi="微软雅黑" w:eastAsia="微软雅黑" w:cs="微软雅黑"/>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2024年</w:t>
      </w:r>
      <w:r>
        <w:rPr>
          <w:rFonts w:hint="eastAsia" w:ascii="宋体" w:hAnsi="宋体" w:cs="宋体-18030"/>
          <w:bCs/>
          <w:szCs w:val="21"/>
          <w:lang w:val="en-US" w:eastAsia="zh-CN"/>
        </w:rPr>
        <w:t>8</w:t>
      </w:r>
      <w:r>
        <w:rPr>
          <w:rFonts w:ascii="宋体" w:hAnsi="宋体" w:cs="宋体-18030"/>
          <w:bCs/>
          <w:szCs w:val="21"/>
        </w:rPr>
        <w:t>月</w:t>
      </w:r>
      <w:r>
        <w:rPr>
          <w:rFonts w:hint="eastAsia" w:ascii="宋体" w:hAnsi="宋体" w:cs="宋体-18030"/>
          <w:bCs/>
          <w:szCs w:val="21"/>
          <w:lang w:val="en-US" w:eastAsia="zh-CN"/>
        </w:rPr>
        <w:t>26</w:t>
      </w:r>
      <w:r>
        <w:rPr>
          <w:rFonts w:ascii="宋体" w:hAnsi="宋体" w:cs="宋体-18030"/>
          <w:bCs/>
          <w:szCs w:val="21"/>
        </w:rPr>
        <w:t>日</w:t>
      </w:r>
    </w:p>
    <w:p>
      <w:pPr>
        <w:widowControl/>
        <w:spacing w:line="320" w:lineRule="exact"/>
        <w:jc w:val="left"/>
        <w:rPr>
          <w:rFonts w:hint="eastAsia" w:ascii="宋体" w:hAnsi="宋体" w:cs="宋体-18030"/>
          <w:bCs/>
          <w:szCs w:val="21"/>
        </w:rPr>
      </w:pP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､投标人必须是在中华人民共和国内注册</w:t>
      </w:r>
      <w:r>
        <w:rPr>
          <w:rFonts w:ascii="宋体" w:hAnsi="宋体" w:cs="Arial"/>
          <w:color w:val="000000"/>
          <w:kern w:val="0"/>
          <w:szCs w:val="21"/>
        </w:rPr>
        <w:t>,具有履行合同能力的供应商,有国家主管部门核发的有效的《企业法人营业执照》</w:t>
      </w:r>
      <w:r>
        <w:rPr>
          <w:rFonts w:hint="eastAsia" w:ascii="宋体" w:hAnsi="宋体" w:cs="Arial"/>
          <w:color w:val="000000"/>
          <w:kern w:val="0"/>
          <w:szCs w:val="21"/>
        </w:rPr>
        <w:t>､《税务登记证》､</w:t>
      </w:r>
      <w:r>
        <w:rPr>
          <w:rFonts w:ascii="宋体" w:hAnsi="宋体"/>
          <w:color w:val="000000"/>
          <w:szCs w:val="21"/>
        </w:rPr>
        <w:t>《组织机构代码证书》或者有统一社会信用代码</w:t>
      </w:r>
      <w:r>
        <w:rPr>
          <w:rFonts w:ascii="宋体" w:hAnsi="宋体" w:cs="Arial"/>
          <w:color w:val="000000"/>
          <w:kern w:val="0"/>
          <w:szCs w:val="21"/>
        </w:rPr>
        <w:t>《营业执照》</w:t>
      </w:r>
      <w:r>
        <w:rPr>
          <w:rFonts w:hint="eastAsia" w:ascii="宋体" w:hAnsi="宋体" w:cs="Arial"/>
          <w:color w:val="000000"/>
          <w:kern w:val="0"/>
          <w:szCs w:val="21"/>
        </w:rPr>
        <w:t>｡</w:t>
      </w:r>
    </w:p>
    <w:p>
      <w:pPr>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､必须提供在深圳和国内的服务单位名单和相应的合同复印件｡具体准备证件请按照《投标书模板》｡</w:t>
      </w:r>
    </w:p>
    <w:p>
      <w:pPr>
        <w:widowControl/>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､投标人</w:t>
      </w:r>
      <w:r>
        <w:rPr>
          <w:rFonts w:ascii="宋体" w:hAnsi="宋体" w:cs="Arial"/>
          <w:color w:val="000000"/>
          <w:kern w:val="0"/>
          <w:szCs w:val="21"/>
        </w:rPr>
        <w:t>必须在其投标文件中根据服务的详细内容,计入投标总价</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kern w:val="0"/>
          <w:szCs w:val="21"/>
        </w:rPr>
        <w:t>4</w:t>
      </w:r>
      <w:r>
        <w:rPr>
          <w:rFonts w:hint="eastAsia" w:ascii="宋体" w:hAnsi="宋体" w:cs="Arial"/>
          <w:kern w:val="0"/>
          <w:szCs w:val="21"/>
        </w:rPr>
        <w:t>､</w:t>
      </w:r>
      <w:r>
        <w:rPr>
          <w:rFonts w:ascii="宋体" w:hAnsi="宋体" w:cs="Arial"/>
          <w:color w:val="000000"/>
          <w:kern w:val="0"/>
          <w:szCs w:val="21"/>
        </w:rPr>
        <w:t>非单一来源竞价须三家或三家以上投标单位</w:t>
      </w:r>
      <w:r>
        <w:rPr>
          <w:rFonts w:hint="eastAsia" w:ascii="宋体" w:hAnsi="宋体" w:cs="Arial"/>
          <w:color w:val="000000"/>
          <w:kern w:val="0"/>
          <w:szCs w:val="21"/>
        </w:rPr>
        <w:t>｡价格高于深圳市宝安区人民医院</w:t>
      </w:r>
      <w:r>
        <w:rPr>
          <w:rFonts w:ascii="宋体" w:hAnsi="宋体" w:cs="Arial"/>
          <w:color w:val="000000"/>
          <w:kern w:val="0"/>
          <w:szCs w:val="21"/>
        </w:rPr>
        <w:t>拟定的底价为废标</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5</w:t>
      </w:r>
      <w:r>
        <w:rPr>
          <w:rFonts w:hint="eastAsia" w:ascii="宋体" w:hAnsi="宋体" w:cs="Arial"/>
          <w:color w:val="000000"/>
          <w:kern w:val="0"/>
          <w:szCs w:val="21"/>
        </w:rPr>
        <w:t>､标价应为含税实际价格</w:t>
      </w:r>
      <w:r>
        <w:rPr>
          <w:rFonts w:ascii="宋体" w:hAnsi="宋体" w:cs="Arial"/>
          <w:color w:val="000000"/>
          <w:kern w:val="0"/>
          <w:szCs w:val="21"/>
        </w:rPr>
        <w:t>,包括验收合格前所发生的一切费用</w:t>
      </w:r>
      <w:r>
        <w:rPr>
          <w:rFonts w:hint="eastAsia" w:ascii="宋体" w:hAnsi="宋体" w:cs="Arial"/>
          <w:color w:val="000000"/>
          <w:kern w:val="0"/>
          <w:szCs w:val="21"/>
        </w:rPr>
        <w:t>｡</w:t>
      </w:r>
    </w:p>
    <w:p>
      <w:pPr>
        <w:widowControl/>
        <w:jc w:val="left"/>
        <w:rPr>
          <w:rFonts w:hint="eastAsia" w:ascii="宋体" w:hAnsi="宋体" w:cs="Arial"/>
          <w:color w:val="FF0000"/>
          <w:kern w:val="0"/>
          <w:szCs w:val="21"/>
        </w:rPr>
      </w:pPr>
      <w:r>
        <w:rPr>
          <w:rFonts w:ascii="宋体" w:hAnsi="宋体" w:cs="Arial"/>
          <w:color w:val="000000"/>
          <w:kern w:val="0"/>
          <w:szCs w:val="21"/>
        </w:rPr>
        <w:t>6</w:t>
      </w:r>
      <w:r>
        <w:rPr>
          <w:rFonts w:hint="eastAsia" w:ascii="宋体" w:hAnsi="宋体" w:cs="Arial"/>
          <w:color w:val="000000"/>
          <w:kern w:val="0"/>
          <w:szCs w:val="21"/>
        </w:rPr>
        <w:t>､投标</w:t>
      </w:r>
      <w:r>
        <w:rPr>
          <w:rFonts w:ascii="宋体" w:hAnsi="宋体" w:cs="Arial"/>
          <w:color w:val="000000"/>
          <w:kern w:val="0"/>
          <w:szCs w:val="21"/>
        </w:rPr>
        <w:t>人应提供5份投标书(1正4副),每份投标书须清楚地标明“正本”或“副本”字样,正本与副本必须一致;若正本与副本不一致,以正本为准</w:t>
      </w:r>
      <w:r>
        <w:rPr>
          <w:rFonts w:hint="eastAsia" w:ascii="宋体" w:hAnsi="宋体" w:cs="Arial"/>
          <w:color w:val="000000"/>
          <w:kern w:val="0"/>
          <w:szCs w:val="21"/>
        </w:rPr>
        <w:t>｡投标书正本的每一页</w:t>
      </w:r>
      <w:r>
        <w:rPr>
          <w:rFonts w:ascii="宋体" w:hAnsi="宋体" w:cs="Arial"/>
          <w:color w:val="FF0000"/>
          <w:kern w:val="0"/>
          <w:szCs w:val="21"/>
        </w:rPr>
        <w:t>均应加盖公司</w:t>
      </w:r>
      <w:r>
        <w:rPr>
          <w:rFonts w:hint="eastAsia" w:ascii="宋体" w:hAnsi="宋体" w:cs="Arial"/>
          <w:color w:val="FF0000"/>
          <w:kern w:val="0"/>
          <w:szCs w:val="21"/>
        </w:rPr>
        <w:t>公</w:t>
      </w:r>
      <w:r>
        <w:rPr>
          <w:rFonts w:ascii="宋体" w:hAnsi="宋体" w:cs="Arial"/>
          <w:color w:val="FF0000"/>
          <w:kern w:val="0"/>
          <w:szCs w:val="21"/>
        </w:rPr>
        <w:t>章其授权代表用姓名签字</w:t>
      </w:r>
      <w:r>
        <w:rPr>
          <w:rFonts w:hint="eastAsia" w:ascii="宋体" w:hAnsi="宋体" w:cs="Arial"/>
          <w:color w:val="FF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7</w:t>
      </w:r>
      <w:r>
        <w:rPr>
          <w:rFonts w:hint="eastAsia" w:ascii="宋体" w:hAnsi="宋体" w:cs="Arial"/>
          <w:color w:val="000000"/>
          <w:kern w:val="0"/>
          <w:szCs w:val="21"/>
        </w:rPr>
        <w:t>､投标人提</w:t>
      </w:r>
      <w:r>
        <w:rPr>
          <w:rFonts w:ascii="宋体" w:hAnsi="宋体" w:cs="Arial"/>
          <w:color w:val="000000"/>
          <w:kern w:val="0"/>
          <w:szCs w:val="21"/>
        </w:rPr>
        <w:t>供的所有书面文件材料均须加盖公司</w:t>
      </w:r>
      <w:r>
        <w:rPr>
          <w:rFonts w:hint="eastAsia" w:ascii="宋体" w:hAnsi="宋体" w:cs="Arial"/>
          <w:color w:val="000000"/>
          <w:kern w:val="0"/>
          <w:szCs w:val="21"/>
        </w:rPr>
        <w:t>公</w:t>
      </w:r>
      <w:r>
        <w:rPr>
          <w:rFonts w:ascii="宋体" w:hAnsi="宋体" w:cs="Arial"/>
          <w:color w:val="000000"/>
          <w:kern w:val="0"/>
          <w:szCs w:val="21"/>
        </w:rPr>
        <w:t>章</w:t>
      </w:r>
      <w:r>
        <w:rPr>
          <w:rFonts w:hint="eastAsia" w:ascii="宋体" w:hAnsi="宋体" w:cs="Arial"/>
          <w:color w:val="000000"/>
          <w:kern w:val="0"/>
          <w:szCs w:val="21"/>
        </w:rPr>
        <w:t>｡</w:t>
      </w:r>
    </w:p>
    <w:p>
      <w:pPr>
        <w:widowControl/>
        <w:jc w:val="left"/>
        <w:rPr>
          <w:rFonts w:hint="eastAsia" w:ascii="宋体" w:hAnsi="宋体" w:cs="宋体-18030"/>
          <w:bCs/>
          <w:kern w:val="0"/>
          <w:szCs w:val="21"/>
        </w:rPr>
      </w:pPr>
      <w:r>
        <w:rPr>
          <w:rFonts w:ascii="宋体" w:hAnsi="宋体" w:cs="Arial"/>
          <w:color w:val="000000"/>
          <w:kern w:val="0"/>
          <w:szCs w:val="21"/>
        </w:rPr>
        <w:t>8</w:t>
      </w:r>
      <w:r>
        <w:rPr>
          <w:rFonts w:hint="eastAsia" w:ascii="宋体" w:hAnsi="宋体" w:cs="Arial"/>
          <w:color w:val="000000"/>
          <w:kern w:val="0"/>
          <w:szCs w:val="21"/>
        </w:rPr>
        <w:t>､</w:t>
      </w:r>
      <w:r>
        <w:rPr>
          <w:rFonts w:ascii="宋体" w:hAnsi="宋体" w:cs="宋体-18030"/>
          <w:bCs/>
          <w:kern w:val="0"/>
          <w:szCs w:val="21"/>
        </w:rPr>
        <w:t>投标人提供的证明文件材料必须是真实的,若经核实有虚假证明文件则作废标处理,深圳市宝安区人民医院将拒付该中标产品所使用费用款项,并将投标人列入黑名单,2年内禁止其参加深圳市宝安区人民医院招标采购活动</w:t>
      </w:r>
      <w:r>
        <w:rPr>
          <w:rFonts w:hint="eastAsia" w:ascii="宋体" w:hAnsi="宋体" w:cs="宋体-18030"/>
          <w:bCs/>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9</w:t>
      </w:r>
      <w:r>
        <w:rPr>
          <w:rFonts w:hint="eastAsia" w:ascii="宋体" w:hAnsi="宋体" w:cs="Arial"/>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宋体-18030"/>
          <w:bCs/>
          <w:color w:val="800000"/>
          <w:kern w:val="0"/>
          <w:szCs w:val="21"/>
        </w:rPr>
        <w:t>10</w:t>
      </w:r>
      <w:r>
        <w:rPr>
          <w:rFonts w:hint="eastAsia" w:ascii="宋体" w:hAnsi="宋体" w:cs="宋体-18030"/>
          <w:bCs/>
          <w:color w:val="800000"/>
          <w:kern w:val="0"/>
          <w:szCs w:val="21"/>
        </w:rPr>
        <w:t>､投标人必须接受</w:t>
      </w:r>
      <w:r>
        <w:rPr>
          <w:rFonts w:ascii="宋体" w:hAnsi="宋体" w:cs="宋体-18030"/>
          <w:bCs/>
          <w:color w:val="800000"/>
          <w:kern w:val="0"/>
          <w:szCs w:val="21"/>
        </w:rPr>
        <w:t>:需方的采购谈判方法;</w:t>
      </w:r>
      <w:r>
        <w:rPr>
          <w:rFonts w:ascii="宋体" w:hAnsi="宋体" w:cs="Arial"/>
          <w:color w:val="800000"/>
          <w:kern w:val="0"/>
          <w:szCs w:val="21"/>
        </w:rPr>
        <w:t>需方不向落标方解释落标原因,不一定以最低价中标</w:t>
      </w:r>
      <w:r>
        <w:rPr>
          <w:rFonts w:hint="eastAsia" w:ascii="宋体" w:hAnsi="宋体" w:cs="Arial"/>
          <w:color w:val="800000"/>
          <w:kern w:val="0"/>
          <w:szCs w:val="21"/>
        </w:rPr>
        <w:t>､不退还谈判响应文件｡</w:t>
      </w:r>
    </w:p>
    <w:p>
      <w:pPr>
        <w:widowControl/>
        <w:jc w:val="left"/>
        <w:rPr>
          <w:rFonts w:hint="eastAsia" w:ascii="宋体" w:hAnsi="宋体" w:cs="Arial"/>
          <w:color w:val="000000"/>
          <w:kern w:val="0"/>
          <w:szCs w:val="21"/>
        </w:rPr>
      </w:pPr>
      <w:r>
        <w:rPr>
          <w:rFonts w:ascii="宋体" w:hAnsi="宋体" w:cs="Arial"/>
          <w:color w:val="000000"/>
          <w:kern w:val="0"/>
          <w:szCs w:val="21"/>
        </w:rPr>
        <w:t>11</w:t>
      </w:r>
      <w:r>
        <w:rPr>
          <w:rFonts w:hint="eastAsia" w:ascii="宋体" w:hAnsi="宋体" w:cs="Arial"/>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12</w:t>
      </w:r>
      <w:r>
        <w:rPr>
          <w:rFonts w:hint="eastAsia" w:ascii="宋体" w:hAnsi="宋体" w:cs="Arial"/>
          <w:color w:val="000000"/>
          <w:kern w:val="0"/>
          <w:szCs w:val="21"/>
        </w:rPr>
        <w:t>､经深圳市宝安区人民医院</w:t>
      </w:r>
      <w:r>
        <w:rPr>
          <w:rFonts w:ascii="宋体" w:hAnsi="宋体" w:cs="Arial"/>
          <w:color w:val="000000"/>
          <w:kern w:val="0"/>
          <w:szCs w:val="21"/>
        </w:rPr>
        <w:t>评审委员会确认预中标单位并经公示3天,招标</w:t>
      </w:r>
      <w:r>
        <w:rPr>
          <w:rFonts w:hint="eastAsia" w:ascii="宋体" w:hAnsi="宋体" w:cs="Arial"/>
          <w:color w:val="000000"/>
          <w:kern w:val="0"/>
          <w:szCs w:val="21"/>
        </w:rPr>
        <w:t>办</w:t>
      </w:r>
      <w:r>
        <w:rPr>
          <w:rFonts w:ascii="宋体" w:hAnsi="宋体" w:cs="Arial"/>
          <w:color w:val="000000"/>
          <w:kern w:val="0"/>
          <w:szCs w:val="21"/>
        </w:rPr>
        <w:t>通知领取采购结果通知书,凭结果通知书到采购部门签订合同</w:t>
      </w:r>
      <w:r>
        <w:rPr>
          <w:rFonts w:hint="eastAsia" w:ascii="宋体" w:hAnsi="宋体" w:cs="Arial"/>
          <w:color w:val="000000"/>
          <w:kern w:val="0"/>
          <w:szCs w:val="21"/>
        </w:rPr>
        <w:t>｡</w:t>
      </w:r>
    </w:p>
    <w:p>
      <w:pPr>
        <w:widowControl/>
        <w:jc w:val="left"/>
        <w:rPr>
          <w:rFonts w:hint="eastAsia" w:ascii="宋体" w:hAnsi="宋体" w:cs="Arial"/>
          <w:b/>
          <w:bCs/>
          <w:color w:val="993300"/>
          <w:kern w:val="0"/>
          <w:sz w:val="36"/>
          <w:szCs w:val="36"/>
        </w:rPr>
      </w:pPr>
      <w:r>
        <w:rPr>
          <w:rFonts w:ascii="宋体" w:hAnsi="宋体" w:cs="Arial"/>
          <w:color w:val="000000"/>
          <w:kern w:val="0"/>
          <w:szCs w:val="21"/>
        </w:rPr>
        <w:t>13</w:t>
      </w:r>
      <w:r>
        <w:rPr>
          <w:rFonts w:hint="eastAsia" w:ascii="宋体" w:hAnsi="宋体" w:cs="Arial"/>
          <w:color w:val="000000"/>
          <w:kern w:val="0"/>
          <w:szCs w:val="21"/>
        </w:rPr>
        <w:t>､</w:t>
      </w:r>
      <w:r>
        <w:rPr>
          <w:rFonts w:ascii="宋体" w:hAnsi="宋体" w:cs="Arial"/>
          <w:color w:val="000000"/>
          <w:kern w:val="0"/>
          <w:szCs w:val="21"/>
        </w:rPr>
        <w:t>本项目不得转包</w:t>
      </w:r>
      <w:r>
        <w:rPr>
          <w:rFonts w:hint="eastAsia" w:ascii="宋体" w:hAnsi="宋体" w:cs="Arial"/>
          <w:color w:val="000000"/>
          <w:kern w:val="0"/>
          <w:szCs w:val="21"/>
        </w:rPr>
        <w:t>､拆包</w:t>
      </w:r>
      <w:r>
        <w:rPr>
          <w:rFonts w:ascii="宋体" w:hAnsi="宋体" w:cs="Arial"/>
          <w:color w:val="000000"/>
          <w:kern w:val="0"/>
          <w:szCs w:val="21"/>
        </w:rPr>
        <w:t>,不接受联合体投标人</w:t>
      </w:r>
      <w:r>
        <w:rPr>
          <w:rFonts w:hint="eastAsia" w:ascii="宋体" w:hAnsi="宋体" w:cs="Arial"/>
          <w:color w:val="000000"/>
          <w:kern w:val="0"/>
          <w:szCs w:val="21"/>
        </w:rPr>
        <w:t>｡</w:t>
      </w:r>
    </w:p>
    <w:p>
      <w:pPr>
        <w:widowControl/>
        <w:spacing w:line="320" w:lineRule="exact"/>
        <w:jc w:val="left"/>
        <w:rPr>
          <w:rFonts w:hint="eastAsia" w:ascii="宋体" w:hAnsi="宋体"/>
        </w:rPr>
      </w:pPr>
    </w:p>
    <w:p>
      <w:pPr>
        <w:widowControl/>
        <w:spacing w:line="320" w:lineRule="exact"/>
        <w:jc w:val="left"/>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jc w:val="left"/>
        <w:rPr>
          <w:rFonts w:hint="eastAsia" w:ascii="宋体" w:hAnsi="宋体" w:cs="Arial"/>
          <w:color w:val="000000"/>
          <w:kern w:val="0"/>
          <w:szCs w:val="21"/>
        </w:rPr>
      </w:pPr>
      <w:r>
        <w:rPr>
          <w:rFonts w:ascii="宋体" w:hAnsi="宋体" w:cs="Arial"/>
          <w:color w:val="000000"/>
          <w:kern w:val="0"/>
          <w:szCs w:val="21"/>
        </w:rPr>
        <w:t>一</w:t>
      </w:r>
      <w:r>
        <w:rPr>
          <w:rFonts w:hint="eastAsia" w:ascii="宋体" w:hAnsi="宋体" w:cs="Arial"/>
          <w:color w:val="000000"/>
          <w:kern w:val="0"/>
          <w:szCs w:val="21"/>
        </w:rPr>
        <w:t>､评审谈判响应文件</w:t>
      </w:r>
    </w:p>
    <w:p>
      <w:pPr>
        <w:widowControl/>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､评标工作由医院专门组织的评标委员会进行资格性和符合性评审｡</w:t>
      </w:r>
    </w:p>
    <w:p>
      <w:pPr>
        <w:widowControl/>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二</w:t>
      </w:r>
      <w:r>
        <w:rPr>
          <w:rFonts w:hint="eastAsia" w:ascii="宋体" w:hAnsi="宋体" w:cs="Arial"/>
          <w:color w:val="000000"/>
          <w:kern w:val="0"/>
          <w:szCs w:val="21"/>
        </w:rPr>
        <w:t>､谈判小组</w:t>
      </w:r>
    </w:p>
    <w:p>
      <w:pPr>
        <w:widowControl/>
        <w:jc w:val="left"/>
        <w:rPr>
          <w:rFonts w:hint="eastAsia" w:ascii="宋体" w:hAnsi="宋体" w:cs="Arial"/>
          <w:color w:val="000000"/>
          <w:kern w:val="0"/>
          <w:szCs w:val="21"/>
        </w:rPr>
      </w:pPr>
      <w:r>
        <w:rPr>
          <w:rFonts w:ascii="宋体" w:hAnsi="宋体" w:cs="Arial"/>
          <w:color w:val="000000"/>
          <w:kern w:val="0"/>
          <w:szCs w:val="21"/>
        </w:rPr>
        <w:t>(一)谈判小组依法由5人(含)以上奇数的人员组成</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(二)谈判期间,谈判响应方全权代表必须在场,负责解答有关事宜</w:t>
      </w:r>
      <w:r>
        <w:rPr>
          <w:rFonts w:hint="eastAsia" w:ascii="宋体" w:hAnsi="宋体" w:cs="Arial"/>
          <w:color w:val="000000"/>
          <w:kern w:val="0"/>
          <w:szCs w:val="21"/>
        </w:rPr>
        <w:t>｡</w:t>
      </w:r>
    </w:p>
    <w:p>
      <w:pPr>
        <w:widowControl/>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ind w:right="-309" w:rightChars="-147"/>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ind w:right="-309" w:rightChars="-147"/>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jc w:val="left"/>
        <w:rPr>
          <w:rFonts w:hint="eastAsia" w:ascii="宋体" w:hAnsi="宋体" w:cs="Arial"/>
          <w:color w:val="000000"/>
          <w:kern w:val="0"/>
          <w:szCs w:val="21"/>
        </w:rPr>
      </w:pPr>
      <w:r>
        <w:rPr>
          <w:rFonts w:ascii="宋体" w:hAnsi="宋体" w:cs="Arial"/>
          <w:color w:val="000000"/>
          <w:kern w:val="0"/>
          <w:szCs w:val="21"/>
        </w:rPr>
        <w:t>(一)评审小组审核采购响应文件</w:t>
      </w:r>
      <w:r>
        <w:rPr>
          <w:rFonts w:hint="eastAsia" w:ascii="宋体" w:hAnsi="宋体" w:cs="Arial"/>
          <w:color w:val="000000"/>
          <w:kern w:val="0"/>
          <w:szCs w:val="21"/>
        </w:rPr>
        <w:t>｡评审小组按照资格性和符合性进行审核响应文件｡</w:t>
      </w:r>
    </w:p>
    <w:p>
      <w:pPr>
        <w:widowControl/>
        <w:jc w:val="left"/>
        <w:rPr>
          <w:rFonts w:hint="eastAsia" w:ascii="宋体" w:hAnsi="宋体" w:cs="Arial"/>
          <w:color w:val="000000"/>
          <w:kern w:val="0"/>
          <w:szCs w:val="21"/>
        </w:rPr>
      </w:pPr>
      <w:r>
        <w:rPr>
          <w:rFonts w:ascii="宋体" w:hAnsi="宋体" w:cs="Arial"/>
          <w:color w:val="000000"/>
          <w:kern w:val="0"/>
          <w:szCs w:val="21"/>
        </w:rPr>
        <w:t>(二)评审小组汇总并讨论审核情况,确定采购响应方是否符合采购资格</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(三)按标项与各采购响应方进行谈判和评审</w:t>
      </w:r>
      <w:r>
        <w:rPr>
          <w:rFonts w:hint="eastAsia" w:ascii="宋体" w:hAnsi="宋体" w:cs="Arial"/>
          <w:color w:val="000000"/>
          <w:kern w:val="0"/>
          <w:szCs w:val="21"/>
        </w:rPr>
        <w:t>｡</w:t>
      </w:r>
    </w:p>
    <w:p>
      <w:pPr>
        <w:widowControl/>
        <w:jc w:val="left"/>
        <w:rPr>
          <w:rFonts w:hint="eastAsia" w:ascii="宋体" w:hAnsi="宋体" w:cs="Arial"/>
          <w:kern w:val="0"/>
          <w:szCs w:val="21"/>
        </w:rPr>
      </w:pPr>
      <w:r>
        <w:rPr>
          <w:rFonts w:ascii="宋体" w:hAnsi="宋体" w:cs="Arial"/>
          <w:color w:val="993300"/>
          <w:kern w:val="0"/>
          <w:szCs w:val="21"/>
        </w:rPr>
        <w:t xml:space="preserve"> </w:t>
      </w:r>
      <w:r>
        <w:rPr>
          <w:rFonts w:ascii="宋体" w:hAnsi="宋体" w:cs="Arial"/>
          <w:kern w:val="0"/>
          <w:szCs w:val="21"/>
        </w:rPr>
        <w:t>1</w:t>
      </w:r>
      <w:r>
        <w:rPr>
          <w:rFonts w:hint="eastAsia" w:ascii="宋体" w:hAnsi="宋体" w:cs="Arial"/>
          <w:kern w:val="0"/>
          <w:szCs w:val="21"/>
        </w:rPr>
        <w:t>､必要时由谈判响应方介绍公司的基本情况､产</w:t>
      </w:r>
      <w:r>
        <w:rPr>
          <w:rFonts w:ascii="宋体" w:hAnsi="宋体" w:cs="Arial"/>
          <w:kern w:val="0"/>
          <w:szCs w:val="21"/>
        </w:rPr>
        <w:t>品的性质</w:t>
      </w:r>
      <w:r>
        <w:rPr>
          <w:rFonts w:hint="eastAsia" w:ascii="宋体" w:hAnsi="宋体" w:cs="Arial"/>
          <w:kern w:val="0"/>
          <w:szCs w:val="21"/>
        </w:rPr>
        <w:t>､用途､销售及价格｡</w:t>
      </w:r>
    </w:p>
    <w:p>
      <w:pPr>
        <w:widowControl/>
        <w:jc w:val="left"/>
        <w:rPr>
          <w:rFonts w:hint="eastAsia" w:ascii="宋体" w:hAnsi="宋体" w:cs="Arial"/>
          <w:kern w:val="0"/>
          <w:szCs w:val="21"/>
        </w:rPr>
      </w:pPr>
      <w:r>
        <w:rPr>
          <w:rFonts w:ascii="宋体" w:hAnsi="宋体" w:cs="Arial"/>
          <w:kern w:val="0"/>
          <w:szCs w:val="21"/>
        </w:rPr>
        <w:t xml:space="preserve"> 2</w:t>
      </w:r>
      <w:r>
        <w:rPr>
          <w:rFonts w:hint="eastAsia" w:ascii="宋体" w:hAnsi="宋体" w:cs="Arial"/>
          <w:kern w:val="0"/>
          <w:szCs w:val="21"/>
        </w:rPr>
        <w:t>､谈判小组就讨论和汇总的情况与谈判响应方展开谈判｡</w:t>
      </w:r>
    </w:p>
    <w:p>
      <w:pPr>
        <w:widowControl/>
        <w:ind w:right="-309" w:rightChars="-147" w:firstLine="105" w:firstLineChars="50"/>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､各谈判响应方在本标</w:t>
      </w:r>
      <w:r>
        <w:rPr>
          <w:rFonts w:ascii="宋体" w:hAnsi="宋体" w:cs="Arial"/>
          <w:color w:val="000000"/>
          <w:kern w:val="0"/>
          <w:szCs w:val="21"/>
        </w:rPr>
        <w:t>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tabs>
          <w:tab w:val="left" w:pos="312"/>
        </w:tabs>
        <w:ind w:right="-309" w:rightChars="-147"/>
        <w:jc w:val="left"/>
        <w:rPr>
          <w:rFonts w:hint="eastAsia" w:ascii="宋体" w:hAnsi="宋体" w:cs="Arial"/>
          <w:color w:val="000000"/>
          <w:kern w:val="0"/>
          <w:szCs w:val="21"/>
        </w:rPr>
      </w:pPr>
      <w:r>
        <w:rPr>
          <w:rFonts w:hint="eastAsia" w:ascii="宋体" w:hAnsi="宋体" w:cs="Arial"/>
          <w:color w:val="000000"/>
          <w:kern w:val="0"/>
          <w:szCs w:val="21"/>
        </w:rPr>
        <w:t>（四）</w:t>
      </w:r>
      <w:r>
        <w:rPr>
          <w:rFonts w:ascii="宋体" w:hAnsi="宋体" w:cs="Arial"/>
          <w:color w:val="000000"/>
          <w:kern w:val="0"/>
          <w:szCs w:val="21"/>
        </w:rPr>
        <w:t>谈判小组对谈判的情况进行综合评分(总分100分)</w:t>
      </w:r>
      <w:r>
        <w:rPr>
          <w:rFonts w:hint="eastAsia" w:ascii="微软雅黑" w:hAnsi="微软雅黑" w:eastAsia="微软雅黑" w:cs="微软雅黑"/>
          <w:color w:val="000000"/>
          <w:kern w:val="0"/>
          <w:szCs w:val="21"/>
        </w:rPr>
        <w:t>｡</w:t>
      </w:r>
      <w:r>
        <w:rPr>
          <w:rFonts w:ascii="宋体" w:hAnsi="宋体"/>
          <w:color w:val="000000"/>
          <w:szCs w:val="21"/>
        </w:rPr>
        <w:t>技术商务分与报价评审分相加总分最高者为预中标单位</w:t>
      </w:r>
      <w:r>
        <w:rPr>
          <w:rFonts w:hint="eastAsia" w:ascii="微软雅黑" w:hAnsi="微软雅黑" w:eastAsia="微软雅黑" w:cs="微软雅黑"/>
          <w:color w:val="000000"/>
          <w:szCs w:val="21"/>
        </w:rPr>
        <w:t>｡</w:t>
      </w:r>
      <w:r>
        <w:rPr>
          <w:rFonts w:ascii="宋体" w:hAnsi="宋体" w:cs="Arial"/>
          <w:color w:val="000000"/>
          <w:kern w:val="0"/>
          <w:szCs w:val="21"/>
        </w:rPr>
        <w:t xml:space="preserve"> </w:t>
      </w:r>
    </w:p>
    <w:tbl>
      <w:tblPr>
        <w:tblStyle w:val="14"/>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769"/>
        <w:gridCol w:w="6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3" w:type="dxa"/>
            <w:gridSpan w:val="3"/>
            <w:noWrap w:val="0"/>
            <w:vAlign w:val="center"/>
          </w:tcPr>
          <w:p>
            <w:pPr>
              <w:autoSpaceDE w:val="0"/>
              <w:autoSpaceDN w:val="0"/>
              <w:spacing w:line="360" w:lineRule="auto"/>
              <w:jc w:val="center"/>
              <w:rPr>
                <w:rFonts w:hint="default" w:ascii="宋体" w:hAnsi="宋体" w:eastAsia="宋体"/>
                <w:sz w:val="24"/>
                <w:szCs w:val="24"/>
                <w:lang w:val="en-US" w:eastAsia="zh-CN"/>
              </w:rPr>
            </w:pPr>
            <w:r>
              <w:rPr>
                <w:rFonts w:hint="eastAsia" w:ascii="宋体" w:hAnsi="宋体"/>
                <w:sz w:val="24"/>
                <w:szCs w:val="24"/>
                <w:lang w:val="en-US" w:eastAsia="zh-CN"/>
              </w:rPr>
              <w:t>技术商务部分（70分）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center"/>
          </w:tcPr>
          <w:p>
            <w:pPr>
              <w:autoSpaceDE w:val="0"/>
              <w:autoSpaceDN w:val="0"/>
              <w:spacing w:line="360" w:lineRule="auto"/>
              <w:jc w:val="center"/>
              <w:rPr>
                <w:rFonts w:hint="eastAsia" w:ascii="宋体" w:hAnsi="宋体"/>
                <w:sz w:val="24"/>
                <w:szCs w:val="24"/>
              </w:rPr>
            </w:pPr>
            <w:r>
              <w:rPr>
                <w:rFonts w:hint="eastAsia" w:ascii="宋体" w:hAnsi="宋体"/>
                <w:sz w:val="24"/>
                <w:szCs w:val="24"/>
              </w:rPr>
              <w:t>评审因素</w:t>
            </w:r>
          </w:p>
        </w:tc>
        <w:tc>
          <w:tcPr>
            <w:tcW w:w="769" w:type="dxa"/>
            <w:noWrap w:val="0"/>
            <w:vAlign w:val="center"/>
          </w:tcPr>
          <w:p>
            <w:pPr>
              <w:autoSpaceDE w:val="0"/>
              <w:autoSpaceDN w:val="0"/>
              <w:spacing w:line="360" w:lineRule="auto"/>
              <w:jc w:val="center"/>
              <w:rPr>
                <w:rFonts w:hint="eastAsia" w:ascii="宋体" w:hAnsi="宋体"/>
                <w:sz w:val="24"/>
                <w:szCs w:val="24"/>
              </w:rPr>
            </w:pPr>
            <w:r>
              <w:rPr>
                <w:rFonts w:hint="eastAsia" w:ascii="宋体" w:hAnsi="宋体"/>
                <w:sz w:val="24"/>
                <w:szCs w:val="24"/>
              </w:rPr>
              <w:t>分值</w:t>
            </w:r>
          </w:p>
        </w:tc>
        <w:tc>
          <w:tcPr>
            <w:tcW w:w="6756" w:type="dxa"/>
            <w:noWrap w:val="0"/>
            <w:vAlign w:val="center"/>
          </w:tcPr>
          <w:p>
            <w:pPr>
              <w:autoSpaceDE w:val="0"/>
              <w:autoSpaceDN w:val="0"/>
              <w:spacing w:line="360" w:lineRule="auto"/>
              <w:jc w:val="center"/>
              <w:rPr>
                <w:rFonts w:hint="eastAsia" w:ascii="宋体" w:hAnsi="宋体"/>
                <w:sz w:val="24"/>
                <w:szCs w:val="24"/>
              </w:rPr>
            </w:pPr>
            <w:r>
              <w:rPr>
                <w:rFonts w:hint="eastAsia" w:ascii="宋体" w:hAnsi="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38" w:type="dxa"/>
            <w:noWrap w:val="0"/>
            <w:vAlign w:val="center"/>
          </w:tcPr>
          <w:p>
            <w:pPr>
              <w:autoSpaceDE w:val="0"/>
              <w:autoSpaceDN w:val="0"/>
              <w:spacing w:line="360" w:lineRule="auto"/>
              <w:jc w:val="center"/>
              <w:rPr>
                <w:rFonts w:hint="eastAsia" w:ascii="宋体" w:hAnsi="宋体"/>
                <w:sz w:val="24"/>
                <w:szCs w:val="24"/>
              </w:rPr>
            </w:pPr>
            <w:r>
              <w:t xml:space="preserve">服务需求响应情况  </w:t>
            </w:r>
          </w:p>
        </w:tc>
        <w:tc>
          <w:tcPr>
            <w:tcW w:w="769" w:type="dxa"/>
            <w:noWrap w:val="0"/>
            <w:vAlign w:val="center"/>
          </w:tcPr>
          <w:p>
            <w:pPr>
              <w:autoSpaceDE w:val="0"/>
              <w:autoSpaceDN w:val="0"/>
              <w:spacing w:line="360" w:lineRule="auto"/>
              <w:jc w:val="center"/>
              <w:rPr>
                <w:rFonts w:hint="default" w:ascii="宋体" w:hAnsi="宋体" w:eastAsia="宋体"/>
                <w:sz w:val="24"/>
                <w:szCs w:val="24"/>
                <w:lang w:val="en-US" w:eastAsia="zh-CN"/>
              </w:rPr>
            </w:pPr>
            <w:r>
              <w:rPr>
                <w:rFonts w:hint="eastAsia" w:ascii="宋体" w:hAnsi="宋体"/>
                <w:sz w:val="24"/>
                <w:szCs w:val="24"/>
                <w:lang w:val="en-US" w:eastAsia="zh-CN"/>
              </w:rPr>
              <w:t>27</w:t>
            </w:r>
          </w:p>
        </w:tc>
        <w:tc>
          <w:tcPr>
            <w:tcW w:w="6756" w:type="dxa"/>
            <w:noWrap w:val="0"/>
            <w:vAlign w:val="center"/>
          </w:tcPr>
          <w:p>
            <w:pPr>
              <w:spacing w:line="320" w:lineRule="exact"/>
              <w:contextualSpacing/>
              <w:rPr>
                <w:rFonts w:ascii="宋体" w:hAnsi="宋体"/>
                <w:b/>
                <w:bCs/>
                <w:szCs w:val="21"/>
              </w:rPr>
            </w:pPr>
            <w:r>
              <w:rPr>
                <w:rFonts w:hint="eastAsia" w:ascii="宋体" w:hAnsi="宋体"/>
                <w:b/>
                <w:bCs/>
                <w:szCs w:val="21"/>
                <w:lang w:val="en-US" w:eastAsia="zh-CN"/>
              </w:rPr>
              <w:t>一、</w:t>
            </w:r>
            <w:r>
              <w:rPr>
                <w:rFonts w:ascii="宋体" w:hAnsi="宋体"/>
                <w:b/>
                <w:bCs/>
                <w:szCs w:val="21"/>
              </w:rPr>
              <w:t>评审</w:t>
            </w:r>
            <w:r>
              <w:rPr>
                <w:rFonts w:hint="eastAsia" w:ascii="宋体" w:hAnsi="宋体"/>
                <w:b/>
                <w:bCs/>
                <w:szCs w:val="21"/>
              </w:rPr>
              <w:t>标准</w:t>
            </w:r>
            <w:r>
              <w:rPr>
                <w:rFonts w:ascii="宋体" w:hAnsi="宋体"/>
                <w:b/>
                <w:bCs/>
                <w:szCs w:val="21"/>
              </w:rPr>
              <w:t>：</w:t>
            </w:r>
          </w:p>
          <w:p>
            <w:pPr>
              <w:numPr>
                <w:ilvl w:val="0"/>
                <w:numId w:val="0"/>
              </w:numPr>
              <w:contextualSpacing/>
              <w:rPr>
                <w:rFonts w:ascii="宋体" w:hAnsi="宋体"/>
                <w:szCs w:val="21"/>
              </w:rPr>
            </w:pPr>
            <w:r>
              <w:rPr>
                <w:rFonts w:hint="eastAsia" w:ascii="宋体" w:hAnsi="宋体" w:cs="宋体"/>
                <w:szCs w:val="20"/>
                <w:lang w:val="zh-CN"/>
              </w:rPr>
              <w:t>投标人应如实填写《</w:t>
            </w:r>
            <w:r>
              <w:rPr>
                <w:rFonts w:hint="eastAsia" w:ascii="宋体" w:hAnsi="宋体" w:cs="宋体"/>
                <w:szCs w:val="20"/>
                <w:lang w:val="en-US" w:eastAsia="zh-CN"/>
              </w:rPr>
              <w:t>服务需求</w:t>
            </w:r>
            <w:r>
              <w:rPr>
                <w:rFonts w:hint="eastAsia" w:ascii="宋体" w:hAnsi="宋体" w:cs="宋体"/>
                <w:szCs w:val="20"/>
                <w:lang w:val="zh-CN"/>
              </w:rPr>
              <w:t>偏离表》，未对招标文件</w:t>
            </w:r>
            <w:r>
              <w:rPr>
                <w:rFonts w:hint="eastAsia" w:ascii="宋体" w:hAnsi="宋体" w:cs="宋体"/>
                <w:szCs w:val="20"/>
                <w:lang w:val="en-US" w:eastAsia="zh-CN"/>
              </w:rPr>
              <w:t>服务</w:t>
            </w:r>
            <w:r>
              <w:rPr>
                <w:rFonts w:hint="eastAsia" w:ascii="宋体" w:hAnsi="宋体" w:cs="宋体"/>
                <w:szCs w:val="20"/>
                <w:lang w:val="zh-CN"/>
              </w:rPr>
              <w:t>要求进行逐条响应的，视为不满足招标文件要求，对其未响应的技术参数进行扣分。每有一项标注▲的重要参数负偏离扣</w:t>
            </w:r>
            <w:r>
              <w:rPr>
                <w:rFonts w:hint="eastAsia" w:ascii="宋体" w:hAnsi="宋体" w:cs="宋体"/>
                <w:szCs w:val="20"/>
                <w:lang w:val="en-US" w:eastAsia="zh-CN"/>
              </w:rPr>
              <w:t>3</w:t>
            </w:r>
            <w:r>
              <w:rPr>
                <w:rFonts w:hint="eastAsia" w:ascii="宋体" w:hAnsi="宋体" w:cs="宋体"/>
                <w:szCs w:val="20"/>
                <w:lang w:val="zh-CN"/>
              </w:rPr>
              <w:t>分，每有一项普通参</w:t>
            </w:r>
            <w:r>
              <w:rPr>
                <w:rFonts w:hint="eastAsia" w:ascii="宋体" w:hAnsi="宋体" w:cs="宋体"/>
                <w:szCs w:val="20"/>
                <w:lang w:val="en-US" w:eastAsia="zh-CN"/>
              </w:rPr>
              <w:t>数</w:t>
            </w:r>
            <w:r>
              <w:rPr>
                <w:rFonts w:hint="eastAsia" w:ascii="宋体" w:hAnsi="宋体" w:cs="宋体"/>
                <w:szCs w:val="20"/>
                <w:lang w:val="zh-CN"/>
              </w:rPr>
              <w:t>负偏离扣</w:t>
            </w:r>
            <w:r>
              <w:rPr>
                <w:rFonts w:hint="eastAsia" w:ascii="宋体" w:hAnsi="宋体" w:cs="宋体"/>
                <w:szCs w:val="20"/>
                <w:lang w:val="en-US" w:eastAsia="zh-CN"/>
              </w:rPr>
              <w:t>2</w:t>
            </w:r>
            <w:r>
              <w:rPr>
                <w:rFonts w:hint="eastAsia" w:ascii="宋体" w:hAnsi="宋体" w:cs="宋体"/>
                <w:szCs w:val="20"/>
                <w:lang w:val="zh-CN"/>
              </w:rPr>
              <w:t>分，扣完为止。</w:t>
            </w:r>
            <w:r>
              <w:rPr>
                <w:rFonts w:ascii="宋体" w:hAnsi="宋体"/>
                <w:szCs w:val="21"/>
              </w:rPr>
              <w:t xml:space="preserve"> </w:t>
            </w:r>
          </w:p>
          <w:p>
            <w:pPr>
              <w:numPr>
                <w:ilvl w:val="0"/>
                <w:numId w:val="0"/>
              </w:numPr>
              <w:contextualSpacing/>
              <w:rPr>
                <w:rFonts w:ascii="宋体" w:hAnsi="宋体"/>
                <w:b/>
                <w:bCs/>
                <w:szCs w:val="21"/>
              </w:rPr>
            </w:pPr>
            <w:r>
              <w:rPr>
                <w:rFonts w:hint="eastAsia" w:ascii="宋体" w:hAnsi="宋体"/>
                <w:b/>
                <w:bCs/>
                <w:szCs w:val="21"/>
                <w:lang w:val="en-US" w:eastAsia="zh-CN"/>
              </w:rPr>
              <w:t>二、评审依据：</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sz w:val="24"/>
                <w:szCs w:val="24"/>
              </w:rPr>
            </w:pPr>
            <w:r>
              <w:rPr>
                <w:rFonts w:hint="eastAsia" w:ascii="宋体" w:hAnsi="宋体" w:cs="宋体"/>
                <w:szCs w:val="20"/>
                <w:lang w:val="zh-CN"/>
              </w:rPr>
              <w:t>投标人应如实填写《</w:t>
            </w:r>
            <w:r>
              <w:rPr>
                <w:rFonts w:hint="eastAsia" w:ascii="宋体" w:hAnsi="宋体" w:cs="宋体"/>
                <w:szCs w:val="20"/>
                <w:lang w:val="en-US" w:eastAsia="zh-CN"/>
              </w:rPr>
              <w:t>服务需求</w:t>
            </w:r>
            <w:r>
              <w:rPr>
                <w:rFonts w:hint="eastAsia" w:ascii="宋体" w:hAnsi="宋体" w:cs="宋体"/>
                <w:szCs w:val="20"/>
                <w:lang w:val="zh-CN"/>
              </w:rPr>
              <w:t>偏离表》，按招标文件要求提供相应的证明材料扫描件（原件备查），并注明证明材料在投标文件中的具体位置。证明材料与偏离表填写内容不一致，未提供有效证明材料或未注明证明材料在投标文件中的具体位置或提供的证明材料不完整或不清晰的，该项技术指标按负偏离处理。对于不同货物的技术要求中的相同项不满足时按一项不满足进行扣分，不对某一项技术要求重复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jc w:val="center"/>
        </w:trPr>
        <w:tc>
          <w:tcPr>
            <w:tcW w:w="1338" w:type="dxa"/>
            <w:noWrap w:val="0"/>
            <w:vAlign w:val="center"/>
          </w:tcPr>
          <w:p>
            <w:pPr>
              <w:jc w:val="center"/>
              <w:rPr>
                <w:rFonts w:hint="default" w:eastAsia="宋体" w:cs="宋体"/>
                <w:sz w:val="24"/>
                <w:szCs w:val="24"/>
                <w:highlight w:val="none"/>
                <w:lang w:val="en-US" w:eastAsia="zh-CN"/>
              </w:rPr>
            </w:pPr>
            <w:r>
              <w:rPr>
                <w:rFonts w:hint="eastAsia" w:cs="宋体"/>
                <w:sz w:val="21"/>
                <w:szCs w:val="21"/>
                <w:highlight w:val="none"/>
                <w:lang w:val="en-US" w:eastAsia="zh-CN"/>
              </w:rPr>
              <w:t>实施方案</w:t>
            </w:r>
          </w:p>
        </w:tc>
        <w:tc>
          <w:tcPr>
            <w:tcW w:w="769" w:type="dxa"/>
            <w:noWrap w:val="0"/>
            <w:vAlign w:val="center"/>
          </w:tcPr>
          <w:p>
            <w:pPr>
              <w:jc w:val="center"/>
              <w:rPr>
                <w:rFonts w:hint="default" w:eastAsia="宋体" w:cs="宋体"/>
                <w:bCs/>
                <w:sz w:val="24"/>
                <w:szCs w:val="24"/>
                <w:highlight w:val="none"/>
                <w:lang w:val="en-US" w:eastAsia="zh-CN"/>
              </w:rPr>
            </w:pPr>
            <w:r>
              <w:rPr>
                <w:rFonts w:hint="eastAsia" w:ascii="宋体" w:hAnsi="宋体" w:cs="宋体"/>
                <w:szCs w:val="20"/>
                <w:lang w:val="en-US" w:eastAsia="zh-CN"/>
              </w:rPr>
              <w:t>14</w:t>
            </w:r>
          </w:p>
        </w:tc>
        <w:tc>
          <w:tcPr>
            <w:tcW w:w="675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bCs/>
                <w:szCs w:val="20"/>
                <w:lang w:val="zh-CN"/>
              </w:rPr>
            </w:pPr>
            <w:r>
              <w:rPr>
                <w:rFonts w:hint="eastAsia" w:ascii="宋体" w:hAnsi="宋体" w:cs="宋体"/>
                <w:b/>
                <w:bCs/>
                <w:szCs w:val="20"/>
                <w:lang w:val="zh-CN"/>
              </w:rPr>
              <w:t>（一）评分内容：</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zh-CN"/>
              </w:rPr>
              <w:t>制定满足采购人实际需求的服务实施方案，贴合采购人现状及需求，</w:t>
            </w:r>
            <w:r>
              <w:rPr>
                <w:rFonts w:hint="eastAsia" w:ascii="宋体" w:hAnsi="宋体" w:cs="宋体"/>
                <w:b w:val="0"/>
                <w:bCs w:val="0"/>
                <w:szCs w:val="20"/>
                <w:lang w:val="en-US" w:eastAsia="zh-CN"/>
              </w:rPr>
              <w:t>内容</w:t>
            </w:r>
            <w:r>
              <w:rPr>
                <w:rFonts w:hint="eastAsia" w:ascii="宋体" w:hAnsi="宋体" w:cs="宋体"/>
                <w:b w:val="0"/>
                <w:bCs w:val="0"/>
                <w:szCs w:val="20"/>
                <w:lang w:val="zh-CN"/>
              </w:rPr>
              <w:t>包</w:t>
            </w:r>
            <w:r>
              <w:rPr>
                <w:rFonts w:hint="eastAsia" w:ascii="宋体" w:hAnsi="宋体" w:cs="宋体"/>
                <w:b w:val="0"/>
                <w:bCs w:val="0"/>
                <w:szCs w:val="20"/>
                <w:lang w:val="en-US" w:eastAsia="zh-CN"/>
              </w:rPr>
              <w:t>括但不限于</w:t>
            </w:r>
            <w:r>
              <w:rPr>
                <w:rFonts w:hint="eastAsia" w:ascii="宋体" w:hAnsi="宋体" w:cs="宋体"/>
                <w:b w:val="0"/>
                <w:bCs w:val="0"/>
                <w:szCs w:val="20"/>
                <w:lang w:val="zh-CN"/>
              </w:rPr>
              <w:t>：</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en-US" w:eastAsia="zh-CN"/>
              </w:rPr>
              <w:t>1、</w:t>
            </w:r>
            <w:r>
              <w:rPr>
                <w:rFonts w:hint="eastAsia" w:ascii="宋体" w:hAnsi="宋体" w:cs="宋体"/>
                <w:b w:val="0"/>
                <w:bCs w:val="0"/>
                <w:szCs w:val="20"/>
                <w:lang w:val="zh-CN"/>
              </w:rPr>
              <w:t>基本内容：</w:t>
            </w:r>
            <w:r>
              <w:rPr>
                <w:rFonts w:hint="eastAsia" w:ascii="宋体" w:hAnsi="宋体" w:cs="宋体"/>
                <w:b w:val="0"/>
                <w:bCs w:val="0"/>
                <w:szCs w:val="20"/>
                <w:lang w:val="en-US" w:eastAsia="zh-CN"/>
              </w:rPr>
              <w:t>根据深圳市</w:t>
            </w:r>
            <w:r>
              <w:rPr>
                <w:rFonts w:hint="eastAsia" w:ascii="宋体" w:hAnsi="宋体" w:cs="宋体"/>
                <w:b w:val="0"/>
                <w:bCs w:val="0"/>
                <w:szCs w:val="20"/>
                <w:lang w:val="zh-CN"/>
              </w:rPr>
              <w:t>宝安区人民医院</w:t>
            </w:r>
            <w:r>
              <w:rPr>
                <w:rFonts w:hint="eastAsia" w:ascii="宋体" w:hAnsi="宋体" w:cs="宋体"/>
                <w:b w:val="0"/>
                <w:bCs w:val="0"/>
                <w:szCs w:val="20"/>
                <w:lang w:val="en-US" w:eastAsia="zh-CN"/>
              </w:rPr>
              <w:t>消毒供应中心的设备</w:t>
            </w:r>
            <w:r>
              <w:rPr>
                <w:rFonts w:hint="eastAsia" w:ascii="宋体" w:hAnsi="宋体" w:cs="宋体"/>
                <w:b w:val="0"/>
                <w:bCs w:val="0"/>
                <w:szCs w:val="20"/>
                <w:lang w:val="zh-CN"/>
              </w:rPr>
              <w:t>情况制作解决方案</w:t>
            </w:r>
            <w:r>
              <w:rPr>
                <w:rFonts w:hint="eastAsia" w:ascii="宋体" w:hAnsi="宋体" w:cs="宋体"/>
                <w:b w:val="0"/>
                <w:bCs w:val="0"/>
                <w:szCs w:val="20"/>
                <w:lang w:val="zh-CN" w:eastAsia="zh-CN"/>
              </w:rPr>
              <w:t>。</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en-US" w:eastAsia="zh-CN"/>
              </w:rPr>
              <w:t>2、</w:t>
            </w:r>
            <w:r>
              <w:rPr>
                <w:rFonts w:hint="eastAsia" w:ascii="宋体" w:hAnsi="宋体" w:cs="宋体"/>
                <w:b w:val="0"/>
                <w:bCs w:val="0"/>
                <w:szCs w:val="20"/>
                <w:lang w:val="zh-CN"/>
              </w:rPr>
              <w:t>工作任务：</w:t>
            </w:r>
            <w:r>
              <w:rPr>
                <w:rFonts w:hint="eastAsia" w:ascii="宋体" w:hAnsi="宋体" w:cs="宋体"/>
                <w:b w:val="0"/>
                <w:bCs w:val="0"/>
                <w:szCs w:val="20"/>
                <w:lang w:val="en-US" w:eastAsia="zh-CN"/>
              </w:rPr>
              <w:t>全年的维护保养服务计划及实施细则。</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default" w:ascii="宋体" w:hAnsi="宋体" w:cs="宋体"/>
                <w:b w:val="0"/>
                <w:bCs w:val="0"/>
                <w:szCs w:val="20"/>
                <w:lang w:val="en-US"/>
              </w:rPr>
            </w:pPr>
            <w:r>
              <w:rPr>
                <w:rFonts w:hint="eastAsia" w:ascii="宋体" w:hAnsi="宋体" w:cs="宋体"/>
                <w:b w:val="0"/>
                <w:bCs w:val="0"/>
                <w:szCs w:val="20"/>
                <w:lang w:val="en-US" w:eastAsia="zh-CN"/>
              </w:rPr>
              <w:t>3、培训方案（至少包含培训次数、师资力量、培训内容及培训资料、培训计划）</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bCs/>
                <w:szCs w:val="20"/>
                <w:lang w:val="zh-CN"/>
              </w:rPr>
            </w:pPr>
            <w:r>
              <w:rPr>
                <w:rFonts w:hint="eastAsia" w:ascii="宋体" w:hAnsi="宋体" w:cs="宋体"/>
                <w:b/>
                <w:bCs/>
                <w:szCs w:val="20"/>
                <w:lang w:val="zh-CN"/>
              </w:rPr>
              <w:t>（二）评分标准：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zh-CN"/>
              </w:rPr>
              <w:t>每</w:t>
            </w:r>
            <w:r>
              <w:rPr>
                <w:rFonts w:hint="eastAsia" w:ascii="宋体" w:hAnsi="宋体" w:cs="宋体"/>
                <w:b w:val="0"/>
                <w:bCs w:val="0"/>
                <w:szCs w:val="20"/>
                <w:lang w:val="en-US" w:eastAsia="zh-CN"/>
              </w:rPr>
              <w:t>满足一</w:t>
            </w:r>
            <w:r>
              <w:rPr>
                <w:rFonts w:hint="eastAsia" w:ascii="宋体" w:hAnsi="宋体" w:cs="宋体"/>
                <w:b w:val="0"/>
                <w:bCs w:val="0"/>
                <w:szCs w:val="20"/>
                <w:lang w:val="zh-CN"/>
              </w:rPr>
              <w:t>项得</w:t>
            </w:r>
            <w:r>
              <w:rPr>
                <w:rFonts w:hint="eastAsia" w:ascii="宋体" w:hAnsi="宋体" w:cs="宋体"/>
                <w:b w:val="0"/>
                <w:bCs w:val="0"/>
                <w:szCs w:val="20"/>
                <w:lang w:val="en-US" w:eastAsia="zh-CN"/>
              </w:rPr>
              <w:t>3</w:t>
            </w:r>
            <w:r>
              <w:rPr>
                <w:rFonts w:hint="eastAsia" w:ascii="宋体" w:hAnsi="宋体" w:cs="宋体"/>
                <w:b w:val="0"/>
                <w:bCs w:val="0"/>
                <w:szCs w:val="20"/>
                <w:lang w:val="zh-CN"/>
              </w:rPr>
              <w:t>分；全部满足得</w:t>
            </w:r>
            <w:r>
              <w:rPr>
                <w:rFonts w:hint="eastAsia" w:ascii="宋体" w:hAnsi="宋体" w:cs="宋体"/>
                <w:b w:val="0"/>
                <w:bCs w:val="0"/>
                <w:szCs w:val="20"/>
                <w:lang w:val="en-US" w:eastAsia="zh-CN"/>
              </w:rPr>
              <w:t>9</w:t>
            </w:r>
            <w:r>
              <w:rPr>
                <w:rFonts w:hint="eastAsia" w:ascii="宋体" w:hAnsi="宋体" w:cs="宋体"/>
                <w:b w:val="0"/>
                <w:bCs w:val="0"/>
                <w:szCs w:val="20"/>
                <w:lang w:val="zh-CN"/>
              </w:rPr>
              <w:t>分；其他不得分。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zh-CN"/>
              </w:rPr>
              <w:t>在此基础上，由评审委员会对具体响应内容做进一步评审:</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en-US" w:eastAsia="zh-CN"/>
              </w:rPr>
              <w:t>1.</w:t>
            </w:r>
            <w:r>
              <w:rPr>
                <w:rFonts w:hint="eastAsia" w:ascii="宋体" w:hAnsi="宋体" w:cs="宋体"/>
                <w:b w:val="0"/>
                <w:bCs w:val="0"/>
                <w:szCs w:val="20"/>
                <w:lang w:val="zh-CN"/>
              </w:rPr>
              <w:t>方案合理、有针对性、可操作性强，评审为优的加</w:t>
            </w:r>
            <w:r>
              <w:rPr>
                <w:rFonts w:hint="eastAsia" w:ascii="宋体" w:hAnsi="宋体" w:cs="宋体"/>
                <w:b w:val="0"/>
                <w:bCs w:val="0"/>
                <w:szCs w:val="20"/>
                <w:lang w:val="en-US" w:eastAsia="zh-CN"/>
              </w:rPr>
              <w:t>5</w:t>
            </w:r>
            <w:r>
              <w:rPr>
                <w:rFonts w:hint="eastAsia" w:ascii="宋体" w:hAnsi="宋体" w:cs="宋体"/>
                <w:b w:val="0"/>
                <w:bCs w:val="0"/>
                <w:szCs w:val="20"/>
                <w:lang w:val="zh-CN"/>
              </w:rPr>
              <w:t>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en-US" w:eastAsia="zh-CN"/>
              </w:rPr>
              <w:t>2.</w:t>
            </w:r>
            <w:r>
              <w:rPr>
                <w:rFonts w:hint="eastAsia" w:ascii="宋体" w:hAnsi="宋体" w:cs="宋体"/>
                <w:b w:val="0"/>
                <w:bCs w:val="0"/>
                <w:szCs w:val="20"/>
                <w:lang w:val="zh-CN"/>
              </w:rPr>
              <w:t>方案较合理、有一定针对性、一定可操作性，评审为良的，加</w:t>
            </w:r>
            <w:r>
              <w:rPr>
                <w:rFonts w:hint="eastAsia" w:ascii="宋体" w:hAnsi="宋体" w:cs="宋体"/>
                <w:b w:val="0"/>
                <w:bCs w:val="0"/>
                <w:szCs w:val="20"/>
                <w:lang w:val="en-US" w:eastAsia="zh-CN"/>
              </w:rPr>
              <w:t>3</w:t>
            </w:r>
            <w:r>
              <w:rPr>
                <w:rFonts w:hint="eastAsia" w:ascii="宋体" w:hAnsi="宋体" w:cs="宋体"/>
                <w:b w:val="0"/>
                <w:bCs w:val="0"/>
                <w:szCs w:val="20"/>
                <w:lang w:val="zh-CN"/>
              </w:rPr>
              <w:t>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val="0"/>
                <w:bCs w:val="0"/>
                <w:szCs w:val="20"/>
                <w:lang w:val="zh-CN"/>
              </w:rPr>
            </w:pPr>
            <w:r>
              <w:rPr>
                <w:rFonts w:hint="eastAsia" w:ascii="宋体" w:hAnsi="宋体" w:cs="宋体"/>
                <w:b w:val="0"/>
                <w:bCs w:val="0"/>
                <w:szCs w:val="20"/>
                <w:lang w:val="en-US" w:eastAsia="zh-CN"/>
              </w:rPr>
              <w:t>3.</w:t>
            </w:r>
            <w:r>
              <w:rPr>
                <w:rFonts w:hint="eastAsia" w:ascii="宋体" w:hAnsi="宋体" w:cs="宋体"/>
                <w:b w:val="0"/>
                <w:bCs w:val="0"/>
                <w:szCs w:val="20"/>
                <w:lang w:val="zh-CN"/>
              </w:rPr>
              <w:t>方案不尽合理、针对性一般、可操作性一般，评审为中的，加</w:t>
            </w:r>
            <w:r>
              <w:rPr>
                <w:rFonts w:hint="eastAsia" w:ascii="宋体" w:hAnsi="宋体" w:cs="宋体"/>
                <w:b w:val="0"/>
                <w:bCs w:val="0"/>
                <w:szCs w:val="20"/>
                <w:lang w:val="en-US" w:eastAsia="zh-CN"/>
              </w:rPr>
              <w:t>1</w:t>
            </w:r>
            <w:r>
              <w:rPr>
                <w:rFonts w:hint="eastAsia" w:ascii="宋体" w:hAnsi="宋体" w:cs="宋体"/>
                <w:b w:val="0"/>
                <w:bCs w:val="0"/>
                <w:szCs w:val="20"/>
                <w:lang w:val="zh-CN"/>
              </w:rPr>
              <w:t>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eastAsia="宋体"/>
                <w:sz w:val="24"/>
                <w:szCs w:val="24"/>
                <w:highlight w:val="none"/>
                <w:lang w:val="en-US" w:eastAsia="zh-CN"/>
              </w:rPr>
            </w:pPr>
            <w:r>
              <w:rPr>
                <w:rFonts w:hint="eastAsia" w:ascii="宋体" w:hAnsi="宋体" w:cs="宋体"/>
                <w:b w:val="0"/>
                <w:bCs w:val="0"/>
                <w:szCs w:val="20"/>
                <w:lang w:val="en-US" w:eastAsia="zh-CN"/>
              </w:rPr>
              <w:t>4.</w:t>
            </w:r>
            <w:r>
              <w:rPr>
                <w:rFonts w:hint="eastAsia" w:ascii="宋体" w:hAnsi="宋体" w:cs="宋体"/>
                <w:b w:val="0"/>
                <w:bCs w:val="0"/>
                <w:szCs w:val="20"/>
                <w:lang w:val="zh-CN"/>
              </w:rPr>
              <w:t>方案不合理、无针对性、无可操作性，评审为差的</w:t>
            </w:r>
            <w:r>
              <w:rPr>
                <w:rFonts w:hint="eastAsia" w:ascii="宋体" w:hAnsi="宋体" w:cs="宋体"/>
                <w:b w:val="0"/>
                <w:bCs w:val="0"/>
                <w:szCs w:val="20"/>
                <w:lang w:val="en-US" w:eastAsia="zh-CN"/>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jc w:val="center"/>
        </w:trPr>
        <w:tc>
          <w:tcPr>
            <w:tcW w:w="1338" w:type="dxa"/>
            <w:noWrap w:val="0"/>
            <w:vAlign w:val="center"/>
          </w:tcPr>
          <w:p>
            <w:pPr>
              <w:jc w:val="center"/>
              <w:rPr>
                <w:rFonts w:hint="eastAsia" w:cs="宋体"/>
                <w:sz w:val="24"/>
                <w:szCs w:val="24"/>
              </w:rPr>
            </w:pPr>
            <w:r>
              <w:rPr>
                <w:rFonts w:hint="eastAsia" w:cs="宋体"/>
                <w:sz w:val="21"/>
                <w:szCs w:val="21"/>
                <w:highlight w:val="none"/>
                <w:lang w:val="en-US" w:eastAsia="zh-CN"/>
              </w:rPr>
              <w:t>质量（完成时间、安全、应急响应）保障措施及方案</w:t>
            </w:r>
          </w:p>
        </w:tc>
        <w:tc>
          <w:tcPr>
            <w:tcW w:w="76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60" w:lineRule="exact"/>
              <w:ind w:firstLine="210" w:firstLineChars="100"/>
              <w:jc w:val="left"/>
              <w:textAlignment w:val="auto"/>
              <w:rPr>
                <w:rFonts w:hint="default" w:ascii="宋体" w:hAnsi="宋体" w:cs="宋体"/>
                <w:szCs w:val="20"/>
                <w:lang w:val="en-US" w:eastAsia="zh-CN"/>
              </w:rPr>
            </w:pPr>
            <w:r>
              <w:rPr>
                <w:rFonts w:hint="eastAsia" w:ascii="宋体" w:hAnsi="宋体" w:cs="宋体"/>
                <w:szCs w:val="20"/>
                <w:lang w:val="en-US" w:eastAsia="zh-CN"/>
              </w:rPr>
              <w:t>13</w:t>
            </w:r>
          </w:p>
        </w:tc>
        <w:tc>
          <w:tcPr>
            <w:tcW w:w="675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bCs/>
                <w:szCs w:val="20"/>
                <w:lang w:val="zh-CN"/>
              </w:rPr>
            </w:pPr>
            <w:r>
              <w:rPr>
                <w:rFonts w:hint="eastAsia" w:ascii="宋体" w:hAnsi="宋体" w:cs="宋体"/>
                <w:b/>
                <w:bCs/>
                <w:szCs w:val="20"/>
                <w:lang w:val="zh-CN"/>
              </w:rPr>
              <w:t>（一）评分内容：</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为保证服务质量和项目的顺利实施，根据为本项目提供的质量保障措施及方案，内容包括但不限于：</w:t>
            </w:r>
          </w:p>
          <w:p>
            <w:pPr>
              <w:keepNext w:val="0"/>
              <w:keepLines w:val="0"/>
              <w:pageBreakBefore w:val="0"/>
              <w:widowControl w:val="0"/>
              <w:numPr>
                <w:ilvl w:val="0"/>
                <w:numId w:val="1"/>
              </w:numPr>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服务</w:t>
            </w:r>
            <w:r>
              <w:rPr>
                <w:rFonts w:hint="eastAsia" w:ascii="宋体" w:hAnsi="宋体" w:cs="宋体"/>
                <w:szCs w:val="20"/>
                <w:lang w:val="en-US" w:eastAsia="zh-CN"/>
              </w:rPr>
              <w:t>工具及零配件配置情况</w:t>
            </w:r>
            <w:r>
              <w:rPr>
                <w:rFonts w:hint="eastAsia" w:ascii="宋体" w:hAnsi="宋体" w:cs="宋体"/>
                <w:szCs w:val="20"/>
                <w:lang w:val="zh-CN"/>
              </w:rPr>
              <w:t>；</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2、服务质量保障措施；</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3、应急</w:t>
            </w:r>
            <w:r>
              <w:rPr>
                <w:rFonts w:hint="eastAsia" w:ascii="宋体" w:hAnsi="宋体" w:cs="宋体"/>
                <w:szCs w:val="20"/>
                <w:lang w:val="en-US" w:eastAsia="zh-CN"/>
              </w:rPr>
              <w:t>预案</w:t>
            </w:r>
            <w:r>
              <w:rPr>
                <w:rFonts w:hint="eastAsia" w:ascii="宋体" w:hAnsi="宋体" w:cs="宋体"/>
                <w:szCs w:val="20"/>
                <w:lang w:val="zh-CN"/>
              </w:rPr>
              <w:t>机制；</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4、服务响应时间。</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bCs/>
                <w:szCs w:val="20"/>
                <w:lang w:val="zh-CN"/>
              </w:rPr>
            </w:pPr>
            <w:r>
              <w:rPr>
                <w:rFonts w:hint="eastAsia" w:ascii="宋体" w:hAnsi="宋体" w:cs="宋体"/>
                <w:b/>
                <w:bCs/>
                <w:szCs w:val="20"/>
                <w:lang w:val="zh-CN"/>
              </w:rPr>
              <w:t>（二）评分标准：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每</w:t>
            </w:r>
            <w:r>
              <w:rPr>
                <w:rFonts w:hint="eastAsia" w:ascii="宋体" w:hAnsi="宋体" w:cs="宋体"/>
                <w:szCs w:val="20"/>
                <w:lang w:val="en-US" w:eastAsia="zh-CN"/>
              </w:rPr>
              <w:t>满足一</w:t>
            </w:r>
            <w:r>
              <w:rPr>
                <w:rFonts w:hint="eastAsia" w:ascii="宋体" w:hAnsi="宋体" w:cs="宋体"/>
                <w:szCs w:val="20"/>
                <w:lang w:val="zh-CN"/>
              </w:rPr>
              <w:t>项得</w:t>
            </w:r>
            <w:r>
              <w:rPr>
                <w:rFonts w:hint="eastAsia" w:ascii="宋体" w:hAnsi="宋体" w:cs="宋体"/>
                <w:szCs w:val="20"/>
                <w:lang w:val="en-US" w:eastAsia="zh-CN"/>
              </w:rPr>
              <w:t>2</w:t>
            </w:r>
            <w:r>
              <w:rPr>
                <w:rFonts w:hint="eastAsia" w:ascii="宋体" w:hAnsi="宋体" w:cs="宋体"/>
                <w:szCs w:val="20"/>
                <w:lang w:val="zh-CN"/>
              </w:rPr>
              <w:t>分；全部满足得</w:t>
            </w:r>
            <w:r>
              <w:rPr>
                <w:rFonts w:hint="eastAsia" w:ascii="宋体" w:hAnsi="宋体" w:cs="宋体"/>
                <w:szCs w:val="20"/>
                <w:lang w:val="en-US" w:eastAsia="zh-CN"/>
              </w:rPr>
              <w:t>8</w:t>
            </w:r>
            <w:r>
              <w:rPr>
                <w:rFonts w:hint="eastAsia" w:ascii="宋体" w:hAnsi="宋体" w:cs="宋体"/>
                <w:szCs w:val="20"/>
                <w:lang w:val="zh-CN"/>
              </w:rPr>
              <w:t>分；其他不得分。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在此基础上，由评审委员会对具体响应内容做进一步评审:</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en-US" w:eastAsia="zh-CN"/>
              </w:rPr>
              <w:t>1.</w:t>
            </w:r>
            <w:r>
              <w:rPr>
                <w:rFonts w:hint="eastAsia" w:ascii="宋体" w:hAnsi="宋体" w:cs="宋体"/>
                <w:szCs w:val="20"/>
                <w:lang w:val="zh-CN"/>
              </w:rPr>
              <w:t>方案合理、有针对性、可操作性强，评审为优的加</w:t>
            </w:r>
            <w:r>
              <w:rPr>
                <w:rFonts w:hint="eastAsia" w:ascii="宋体" w:hAnsi="宋体" w:cs="宋体"/>
                <w:szCs w:val="20"/>
                <w:lang w:val="en-US" w:eastAsia="zh-CN"/>
              </w:rPr>
              <w:t>5</w:t>
            </w:r>
            <w:r>
              <w:rPr>
                <w:rFonts w:hint="eastAsia" w:ascii="宋体" w:hAnsi="宋体" w:cs="宋体"/>
                <w:szCs w:val="20"/>
                <w:lang w:val="zh-CN"/>
              </w:rPr>
              <w:t>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en-US" w:eastAsia="zh-CN"/>
              </w:rPr>
              <w:t>2.</w:t>
            </w:r>
            <w:r>
              <w:rPr>
                <w:rFonts w:hint="eastAsia" w:ascii="宋体" w:hAnsi="宋体" w:cs="宋体"/>
                <w:szCs w:val="20"/>
                <w:lang w:val="zh-CN"/>
              </w:rPr>
              <w:t>方案较合理、有一定针对性、一定可操作性，评审为良的，加</w:t>
            </w:r>
            <w:r>
              <w:rPr>
                <w:rFonts w:hint="eastAsia" w:ascii="宋体" w:hAnsi="宋体" w:cs="宋体"/>
                <w:szCs w:val="20"/>
                <w:lang w:val="en-US" w:eastAsia="zh-CN"/>
              </w:rPr>
              <w:t>3</w:t>
            </w:r>
            <w:r>
              <w:rPr>
                <w:rFonts w:hint="eastAsia" w:ascii="宋体" w:hAnsi="宋体" w:cs="宋体"/>
                <w:szCs w:val="20"/>
                <w:lang w:val="zh-CN"/>
              </w:rPr>
              <w:t>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en-US" w:eastAsia="zh-CN"/>
              </w:rPr>
              <w:t>3.</w:t>
            </w:r>
            <w:r>
              <w:rPr>
                <w:rFonts w:hint="eastAsia" w:ascii="宋体" w:hAnsi="宋体" w:cs="宋体"/>
                <w:szCs w:val="20"/>
                <w:lang w:val="zh-CN"/>
              </w:rPr>
              <w:t>方案不尽合理、针对性一般、可操作性一般，评审为中的，加</w:t>
            </w:r>
            <w:r>
              <w:rPr>
                <w:rFonts w:hint="eastAsia" w:ascii="宋体" w:hAnsi="宋体" w:cs="宋体"/>
                <w:szCs w:val="20"/>
                <w:lang w:val="en-US" w:eastAsia="zh-CN"/>
              </w:rPr>
              <w:t>1</w:t>
            </w:r>
            <w:r>
              <w:rPr>
                <w:rFonts w:hint="eastAsia" w:ascii="宋体" w:hAnsi="宋体" w:cs="宋体"/>
                <w:szCs w:val="20"/>
                <w:lang w:val="zh-CN"/>
              </w:rPr>
              <w:t>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en-US" w:eastAsia="zh-CN"/>
              </w:rPr>
              <w:t>4.</w:t>
            </w:r>
            <w:r>
              <w:rPr>
                <w:rFonts w:hint="eastAsia" w:ascii="宋体" w:hAnsi="宋体" w:cs="宋体"/>
                <w:szCs w:val="20"/>
                <w:lang w:val="zh-CN"/>
              </w:rPr>
              <w:t>方案不合理、无针对性、无可操作性，评审为差的，</w:t>
            </w:r>
            <w:r>
              <w:rPr>
                <w:rFonts w:hint="eastAsia" w:ascii="宋体" w:hAnsi="宋体" w:cs="宋体"/>
                <w:szCs w:val="20"/>
                <w:lang w:val="en-US" w:eastAsia="zh-CN"/>
              </w:rPr>
              <w:t>不得分</w:t>
            </w:r>
            <w:r>
              <w:rPr>
                <w:rFonts w:hint="eastAsia" w:ascii="宋体" w:hAnsi="宋体" w:cs="宋体"/>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1338" w:type="dxa"/>
            <w:noWrap w:val="0"/>
            <w:vAlign w:val="center"/>
          </w:tcPr>
          <w:p>
            <w:pPr>
              <w:jc w:val="center"/>
              <w:rPr>
                <w:rFonts w:hint="eastAsia" w:ascii="Calibri" w:hAnsi="Calibri" w:eastAsia="宋体" w:cs="Times New Roman"/>
                <w:sz w:val="24"/>
                <w:szCs w:val="24"/>
              </w:rPr>
            </w:pPr>
            <w:r>
              <w:rPr>
                <w:rFonts w:hint="eastAsia" w:ascii="宋体" w:hAnsi="宋体" w:cs="宋体"/>
                <w:szCs w:val="21"/>
              </w:rPr>
              <w:t>拟安排的项目</w:t>
            </w:r>
            <w:r>
              <w:rPr>
                <w:rFonts w:hint="eastAsia" w:ascii="宋体" w:hAnsi="宋体" w:cs="宋体"/>
                <w:szCs w:val="21"/>
                <w:lang w:val="en-US" w:eastAsia="zh-CN"/>
              </w:rPr>
              <w:t>负责</w:t>
            </w:r>
            <w:r>
              <w:rPr>
                <w:rFonts w:hint="eastAsia" w:ascii="宋体" w:hAnsi="宋体" w:cs="宋体"/>
                <w:szCs w:val="21"/>
              </w:rPr>
              <w:t>人</w:t>
            </w:r>
            <w:r>
              <w:rPr>
                <w:rFonts w:hint="eastAsia" w:ascii="宋体" w:hAnsi="宋体" w:cs="宋体"/>
                <w:szCs w:val="21"/>
                <w:lang w:val="en-US" w:eastAsia="zh-CN"/>
              </w:rPr>
              <w:t>员</w:t>
            </w:r>
            <w:r>
              <w:rPr>
                <w:rFonts w:hint="eastAsia" w:ascii="宋体" w:hAnsi="宋体" w:cs="宋体"/>
                <w:szCs w:val="21"/>
              </w:rPr>
              <w:t>情况</w:t>
            </w:r>
          </w:p>
        </w:tc>
        <w:tc>
          <w:tcPr>
            <w:tcW w:w="769" w:type="dxa"/>
            <w:noWrap w:val="0"/>
            <w:vAlign w:val="center"/>
          </w:tcPr>
          <w:p>
            <w:pPr>
              <w:jc w:val="center"/>
              <w:rPr>
                <w:rFonts w:hint="default" w:cs="宋体"/>
                <w:sz w:val="24"/>
                <w:szCs w:val="24"/>
                <w:lang w:val="en-US" w:eastAsia="zh-CN"/>
              </w:rPr>
            </w:pPr>
            <w:r>
              <w:rPr>
                <w:rFonts w:hint="eastAsia" w:cs="宋体"/>
                <w:sz w:val="24"/>
                <w:szCs w:val="24"/>
                <w:lang w:val="en-US" w:eastAsia="zh-CN"/>
              </w:rPr>
              <w:t>4</w:t>
            </w:r>
          </w:p>
        </w:tc>
        <w:tc>
          <w:tcPr>
            <w:tcW w:w="675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bCs/>
                <w:szCs w:val="20"/>
                <w:lang w:val="zh-CN"/>
              </w:rPr>
            </w:pPr>
            <w:r>
              <w:rPr>
                <w:rFonts w:hint="eastAsia" w:ascii="宋体" w:hAnsi="宋体" w:cs="宋体"/>
                <w:b/>
                <w:bCs/>
                <w:szCs w:val="20"/>
                <w:lang w:val="zh-CN"/>
              </w:rPr>
              <w:t>（一）评分内容：</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拟安排项目负责人进行如下证书评分，证书要求如下：</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en-US" w:eastAsia="zh-CN"/>
              </w:rPr>
            </w:pPr>
            <w:r>
              <w:rPr>
                <w:rFonts w:hint="eastAsia" w:ascii="宋体" w:hAnsi="宋体" w:cs="宋体"/>
                <w:szCs w:val="20"/>
                <w:lang w:val="zh-CN"/>
              </w:rPr>
              <w:t>1.</w:t>
            </w:r>
            <w:r>
              <w:rPr>
                <w:rFonts w:hint="eastAsia" w:ascii="宋体" w:hAnsi="宋体" w:cs="宋体"/>
                <w:szCs w:val="20"/>
                <w:lang w:val="en-US" w:eastAsia="zh-CN"/>
              </w:rPr>
              <w:t>是经过原厂技术培训认证合格的工程师，需提供厂家的培训证明。</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2.</w:t>
            </w:r>
            <w:r>
              <w:rPr>
                <w:rFonts w:hint="eastAsia" w:ascii="宋体" w:hAnsi="宋体" w:cs="宋体"/>
                <w:szCs w:val="20"/>
                <w:lang w:val="en-US" w:eastAsia="zh-CN"/>
              </w:rPr>
              <w:t>负责本项目的工程师必须具有投标方有效期内的工作证或任职证明。</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b/>
                <w:bCs/>
                <w:szCs w:val="20"/>
                <w:lang w:val="zh-CN"/>
              </w:rPr>
            </w:pPr>
            <w:r>
              <w:rPr>
                <w:rFonts w:hint="eastAsia" w:ascii="宋体" w:hAnsi="宋体" w:cs="宋体"/>
                <w:b/>
                <w:bCs/>
                <w:szCs w:val="20"/>
                <w:lang w:val="zh-CN"/>
              </w:rPr>
              <w:t>（二）评分依据：</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1.每</w:t>
            </w:r>
            <w:r>
              <w:rPr>
                <w:rFonts w:hint="eastAsia" w:ascii="宋体" w:hAnsi="宋体" w:cs="宋体"/>
                <w:szCs w:val="20"/>
                <w:lang w:val="en-US" w:eastAsia="zh-CN"/>
              </w:rPr>
              <w:t>满足一</w:t>
            </w:r>
            <w:r>
              <w:rPr>
                <w:rFonts w:hint="eastAsia" w:ascii="宋体" w:hAnsi="宋体" w:cs="宋体"/>
                <w:szCs w:val="20"/>
                <w:lang w:val="zh-CN"/>
              </w:rPr>
              <w:t>项得</w:t>
            </w:r>
            <w:r>
              <w:rPr>
                <w:rFonts w:hint="eastAsia" w:ascii="宋体" w:hAnsi="宋体" w:cs="宋体"/>
                <w:szCs w:val="20"/>
                <w:lang w:val="en-US" w:eastAsia="zh-CN"/>
              </w:rPr>
              <w:t>2</w:t>
            </w:r>
            <w:r>
              <w:rPr>
                <w:rFonts w:hint="eastAsia" w:ascii="宋体" w:hAnsi="宋体" w:cs="宋体"/>
                <w:szCs w:val="20"/>
                <w:lang w:val="zh-CN"/>
              </w:rPr>
              <w:t>分；全部满足得</w:t>
            </w:r>
            <w:r>
              <w:rPr>
                <w:rFonts w:hint="eastAsia" w:ascii="宋体" w:hAnsi="宋体" w:cs="宋体"/>
                <w:szCs w:val="20"/>
                <w:lang w:val="en-US" w:eastAsia="zh-CN"/>
              </w:rPr>
              <w:t>4</w:t>
            </w:r>
            <w:r>
              <w:rPr>
                <w:rFonts w:hint="eastAsia" w:ascii="宋体" w:hAnsi="宋体" w:cs="宋体"/>
                <w:szCs w:val="20"/>
                <w:lang w:val="zh-CN"/>
              </w:rPr>
              <w:t xml:space="preserve">分；其他不得分。 </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2.以上资料均要求提供扫描件，对于超过有效期的证书要求同时提供官方网站截图，原件备查。评分中出现无证明资料或专家无法凭所提供资料判断是否得分的情况，一律作不得分处理。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3.项目负责人工作经验证明材料需提供（招标公告发布之日前一月倒推）社保证明材料，未提供不得分。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eastAsia="宋体" w:cs="宋体"/>
                <w:szCs w:val="21"/>
                <w:lang w:val="en-US" w:eastAsia="zh-CN"/>
              </w:rPr>
            </w:pPr>
            <w:r>
              <w:rPr>
                <w:rFonts w:hint="eastAsia" w:ascii="宋体" w:hAnsi="宋体" w:cs="宋体"/>
                <w:szCs w:val="20"/>
                <w:lang w:val="zh-CN"/>
              </w:rPr>
              <w:t>备注：社保证明资料可为社保收缴部门盖章证明资料、社保窗口打印资料或社保官网截图。由于社保部门原因最近一个月的社保证明无法提供的可往前顺延一个月。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6" w:hRule="atLeast"/>
          <w:jc w:val="center"/>
        </w:trPr>
        <w:tc>
          <w:tcPr>
            <w:tcW w:w="1338" w:type="dxa"/>
            <w:noWrap w:val="0"/>
            <w:vAlign w:val="center"/>
          </w:tcPr>
          <w:p>
            <w:pPr>
              <w:jc w:val="left"/>
              <w:rPr>
                <w:sz w:val="24"/>
                <w:szCs w:val="24"/>
              </w:rPr>
            </w:pPr>
            <w:r>
              <w:rPr>
                <w:rFonts w:hint="eastAsia"/>
                <w:sz w:val="21"/>
                <w:szCs w:val="21"/>
              </w:rPr>
              <w:t>同类项目业绩</w:t>
            </w:r>
          </w:p>
        </w:tc>
        <w:tc>
          <w:tcPr>
            <w:tcW w:w="769" w:type="dxa"/>
            <w:noWrap w:val="0"/>
            <w:vAlign w:val="center"/>
          </w:tcPr>
          <w:p>
            <w:pPr>
              <w:jc w:val="center"/>
              <w:rPr>
                <w:rFonts w:hint="default" w:eastAsia="宋体"/>
                <w:sz w:val="24"/>
                <w:szCs w:val="24"/>
                <w:lang w:val="en-US" w:eastAsia="zh-CN"/>
              </w:rPr>
            </w:pPr>
            <w:r>
              <w:rPr>
                <w:rFonts w:hint="eastAsia" w:ascii="宋体" w:hAnsi="宋体" w:cs="宋体"/>
                <w:szCs w:val="20"/>
                <w:lang w:val="en-US" w:eastAsia="zh-CN"/>
              </w:rPr>
              <w:t>4</w:t>
            </w:r>
          </w:p>
        </w:tc>
        <w:tc>
          <w:tcPr>
            <w:tcW w:w="6756" w:type="dxa"/>
            <w:noWrap w:val="0"/>
            <w:vAlign w:val="center"/>
          </w:tcPr>
          <w:p>
            <w:pPr>
              <w:numPr>
                <w:ilvl w:val="0"/>
                <w:numId w:val="2"/>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评分内容：</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自20</w:t>
            </w:r>
            <w:r>
              <w:rPr>
                <w:rFonts w:hint="eastAsia" w:ascii="宋体" w:hAnsi="宋体" w:cs="宋体"/>
                <w:szCs w:val="20"/>
                <w:lang w:val="en-US" w:eastAsia="zh-CN"/>
              </w:rPr>
              <w:t>21</w:t>
            </w:r>
            <w:r>
              <w:rPr>
                <w:rFonts w:hint="eastAsia" w:ascii="宋体" w:hAnsi="宋体" w:cs="宋体"/>
                <w:szCs w:val="20"/>
                <w:lang w:val="zh-CN"/>
              </w:rPr>
              <w:t>年</w:t>
            </w:r>
            <w:r>
              <w:rPr>
                <w:rFonts w:hint="eastAsia" w:ascii="宋体" w:hAnsi="宋体" w:cs="宋体"/>
                <w:szCs w:val="20"/>
                <w:lang w:val="en-US" w:eastAsia="zh-CN"/>
              </w:rPr>
              <w:t>8</w:t>
            </w:r>
            <w:r>
              <w:rPr>
                <w:rFonts w:hint="eastAsia" w:ascii="宋体" w:hAnsi="宋体" w:cs="宋体"/>
                <w:szCs w:val="20"/>
                <w:lang w:val="zh-CN"/>
              </w:rPr>
              <w:t>月至今（以合同签订日期为准），以投标人名义独立完成的同类项目，每提供一份合同得</w:t>
            </w:r>
            <w:r>
              <w:rPr>
                <w:rFonts w:hint="eastAsia" w:ascii="宋体" w:hAnsi="宋体" w:cs="宋体"/>
                <w:szCs w:val="20"/>
                <w:lang w:val="en-US" w:eastAsia="zh-CN"/>
              </w:rPr>
              <w:t>2</w:t>
            </w:r>
            <w:r>
              <w:rPr>
                <w:rFonts w:hint="eastAsia" w:ascii="宋体" w:hAnsi="宋体" w:cs="宋体"/>
                <w:szCs w:val="20"/>
                <w:lang w:val="zh-CN"/>
              </w:rPr>
              <w:t>分，最高得</w:t>
            </w:r>
            <w:r>
              <w:rPr>
                <w:rFonts w:hint="eastAsia" w:ascii="宋体" w:hAnsi="宋体" w:cs="宋体"/>
                <w:szCs w:val="20"/>
                <w:lang w:val="en-US" w:eastAsia="zh-CN"/>
              </w:rPr>
              <w:t>4</w:t>
            </w:r>
            <w:r>
              <w:rPr>
                <w:rFonts w:hint="eastAsia" w:ascii="宋体" w:hAnsi="宋体" w:cs="宋体"/>
                <w:szCs w:val="20"/>
                <w:lang w:val="zh-CN"/>
              </w:rPr>
              <w:t>分。</w:t>
            </w:r>
          </w:p>
          <w:p>
            <w:pPr>
              <w:numPr>
                <w:ilvl w:val="0"/>
                <w:numId w:val="0"/>
              </w:numPr>
              <w:jc w:val="left"/>
              <w:rPr>
                <w:sz w:val="21"/>
                <w:szCs w:val="21"/>
              </w:rPr>
            </w:pPr>
            <w:r>
              <w:rPr>
                <w:rFonts w:hint="eastAsia" w:ascii="宋体" w:hAnsi="宋体" w:cs="宋体"/>
                <w:b/>
                <w:bCs/>
                <w:sz w:val="21"/>
                <w:szCs w:val="21"/>
              </w:rPr>
              <w:t>（二）评分标准：</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1.须提供业绩合同的复印件并加盖投标人公章；</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ascii="宋体" w:hAnsi="宋体" w:cs="宋体"/>
                <w:szCs w:val="20"/>
                <w:lang w:val="zh-CN"/>
              </w:rPr>
            </w:pPr>
            <w:r>
              <w:rPr>
                <w:rFonts w:hint="eastAsia" w:ascii="宋体" w:hAnsi="宋体" w:cs="宋体"/>
                <w:szCs w:val="20"/>
                <w:lang w:val="zh-CN"/>
              </w:rPr>
              <w:t>2.投标人所提供的业绩中同一单位有多份合同的，按一份合同计算，不重复计算。</w:t>
            </w:r>
          </w:p>
          <w:p>
            <w:pPr>
              <w:keepNext w:val="0"/>
              <w:keepLines w:val="0"/>
              <w:pageBreakBefore w:val="0"/>
              <w:widowControl w:val="0"/>
              <w:kinsoku/>
              <w:wordWrap/>
              <w:overflowPunct/>
              <w:topLinePunct w:val="0"/>
              <w:autoSpaceDE w:val="0"/>
              <w:autoSpaceDN w:val="0"/>
              <w:bidi w:val="0"/>
              <w:adjustRightInd/>
              <w:snapToGrid/>
              <w:spacing w:line="260" w:lineRule="exact"/>
              <w:jc w:val="left"/>
              <w:textAlignment w:val="auto"/>
              <w:rPr>
                <w:rFonts w:hint="eastAsia"/>
              </w:rPr>
            </w:pPr>
            <w:r>
              <w:rPr>
                <w:rFonts w:hint="eastAsia" w:ascii="宋体" w:hAnsi="宋体" w:cs="宋体"/>
                <w:szCs w:val="20"/>
                <w:lang w:val="zh-CN"/>
              </w:rPr>
              <w:t>3. 投标人所提供的业绩中需至少包含本项目维保服务的同型号设备，不满足不得分。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jc w:val="center"/>
        </w:trPr>
        <w:tc>
          <w:tcPr>
            <w:tcW w:w="1338" w:type="dxa"/>
            <w:noWrap w:val="0"/>
            <w:vAlign w:val="center"/>
          </w:tcPr>
          <w:p>
            <w:pPr>
              <w:tabs>
                <w:tab w:val="left" w:pos="840"/>
              </w:tabs>
              <w:rPr>
                <w:rFonts w:hint="eastAsia" w:ascii="宋体" w:hAnsi="Times New Roman" w:eastAsia="宋体" w:cs="Times New Roman"/>
                <w:kern w:val="2"/>
                <w:sz w:val="24"/>
                <w:szCs w:val="24"/>
                <w:lang w:val="en-US" w:eastAsia="zh-CN" w:bidi="ar-SA"/>
              </w:rPr>
            </w:pPr>
            <w:r>
              <w:rPr>
                <w:rFonts w:hint="eastAsia" w:ascii="Times New Roman" w:hAnsi="Times New Roman"/>
                <w:szCs w:val="21"/>
              </w:rPr>
              <w:t>服务资质</w:t>
            </w:r>
          </w:p>
        </w:tc>
        <w:tc>
          <w:tcPr>
            <w:tcW w:w="769" w:type="dxa"/>
            <w:noWrap w:val="0"/>
            <w:vAlign w:val="center"/>
          </w:tcPr>
          <w:p>
            <w:pPr>
              <w:ind w:left="-78" w:leftChars="-37" w:right="-73" w:rightChars="-35"/>
              <w:jc w:val="center"/>
              <w:rPr>
                <w:rFonts w:hint="eastAsia" w:ascii="宋体" w:hAnsi="Times New Roman" w:eastAsia="宋体" w:cs="Times New Roman"/>
                <w:kern w:val="2"/>
                <w:sz w:val="24"/>
                <w:szCs w:val="24"/>
                <w:lang w:val="en-US" w:eastAsia="zh-CN" w:bidi="ar-SA"/>
              </w:rPr>
            </w:pPr>
            <w:r>
              <w:rPr>
                <w:rFonts w:hint="eastAsia" w:ascii="宋体" w:hAnsi="宋体" w:cs="宋体"/>
                <w:szCs w:val="20"/>
                <w:lang w:val="en-US" w:eastAsia="zh-CN"/>
              </w:rPr>
              <w:t>3</w:t>
            </w:r>
          </w:p>
        </w:tc>
        <w:tc>
          <w:tcPr>
            <w:tcW w:w="6756" w:type="dxa"/>
            <w:noWrap w:val="0"/>
            <w:vAlign w:val="center"/>
          </w:tcPr>
          <w:p>
            <w:pPr>
              <w:numPr>
                <w:ilvl w:val="0"/>
                <w:numId w:val="3"/>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评审内容：</w:t>
            </w:r>
          </w:p>
          <w:p>
            <w:pPr>
              <w:snapToGrid w:val="0"/>
              <w:rPr>
                <w:rFonts w:hint="eastAsia" w:cs="宋体"/>
                <w:sz w:val="24"/>
                <w:szCs w:val="24"/>
                <w:lang w:val="en-US" w:eastAsia="zh-CN"/>
              </w:rPr>
            </w:pPr>
            <w:r>
              <w:rPr>
                <w:rFonts w:hint="eastAsia" w:ascii="宋体" w:hAnsi="宋体" w:eastAsia="宋体" w:cs="Times New Roman"/>
                <w:szCs w:val="21"/>
                <w:lang w:val="zh-CN" w:eastAsia="zh-CN"/>
              </w:rPr>
              <w:t>投标人有企业内部管理、质量控制制度，</w:t>
            </w:r>
            <w:r>
              <w:rPr>
                <w:rFonts w:hint="eastAsia" w:ascii="宋体" w:hAnsi="宋体" w:eastAsia="宋体" w:cs="Times New Roman"/>
                <w:szCs w:val="21"/>
                <w:lang w:val="en-US" w:eastAsia="zh-CN"/>
              </w:rPr>
              <w:t>拥有IS0900</w:t>
            </w:r>
            <w:r>
              <w:rPr>
                <w:rFonts w:hint="eastAsia" w:ascii="宋体" w:hAnsi="宋体" w:eastAsia="宋体" w:cs="Times New Roman"/>
                <w:szCs w:val="21"/>
                <w:lang w:val="zh-CN" w:eastAsia="zh-CN"/>
              </w:rPr>
              <w:t>1 认证，</w:t>
            </w:r>
            <w:r>
              <w:rPr>
                <w:rFonts w:hint="eastAsia" w:ascii="宋体" w:hAnsi="宋体" w:eastAsia="宋体" w:cs="Times New Roman"/>
                <w:szCs w:val="21"/>
                <w:lang w:val="en-US" w:eastAsia="zh-CN"/>
              </w:rPr>
              <w:t xml:space="preserve">IS013485 </w:t>
            </w:r>
            <w:r>
              <w:rPr>
                <w:rFonts w:hint="eastAsia" w:ascii="宋体" w:hAnsi="宋体" w:eastAsia="宋体" w:cs="Times New Roman"/>
                <w:szCs w:val="21"/>
                <w:lang w:val="zh-CN" w:eastAsia="zh-CN"/>
              </w:rPr>
              <w:t>认证、</w:t>
            </w:r>
            <w:r>
              <w:rPr>
                <w:rFonts w:hint="eastAsia" w:ascii="宋体" w:hAnsi="宋体" w:eastAsia="宋体" w:cs="Times New Roman"/>
                <w:szCs w:val="21"/>
                <w:lang w:val="en-US" w:eastAsia="zh-CN"/>
              </w:rPr>
              <w:t xml:space="preserve">IS014001 </w:t>
            </w:r>
            <w:r>
              <w:rPr>
                <w:rFonts w:hint="eastAsia" w:ascii="宋体" w:hAnsi="宋体" w:eastAsia="宋体" w:cs="Times New Roman"/>
                <w:szCs w:val="21"/>
                <w:lang w:val="zh-CN" w:eastAsia="zh-CN"/>
              </w:rPr>
              <w:t>认证。</w:t>
            </w:r>
            <w:r>
              <w:rPr>
                <w:rFonts w:hint="eastAsia" w:ascii="宋体" w:hAnsi="宋体" w:eastAsia="宋体" w:cs="Times New Roman"/>
                <w:szCs w:val="21"/>
                <w:lang w:val="en-US" w:eastAsia="zh-CN"/>
              </w:rPr>
              <w:t>全部满足得3</w:t>
            </w:r>
            <w:r>
              <w:rPr>
                <w:rFonts w:hint="eastAsia" w:ascii="宋体" w:hAnsi="宋体" w:eastAsia="宋体" w:cs="Times New Roman"/>
                <w:szCs w:val="21"/>
                <w:lang w:val="zh-CN" w:eastAsia="zh-CN"/>
              </w:rPr>
              <w:t>分，</w:t>
            </w:r>
            <w:r>
              <w:rPr>
                <w:rFonts w:hint="eastAsia" w:ascii="宋体" w:hAnsi="宋体" w:eastAsia="宋体" w:cs="Times New Roman"/>
                <w:szCs w:val="21"/>
                <w:lang w:val="en-US" w:eastAsia="zh-CN"/>
              </w:rPr>
              <w:t>少一项及</w:t>
            </w:r>
            <w:r>
              <w:rPr>
                <w:rFonts w:hint="eastAsia" w:ascii="宋体" w:hAnsi="宋体" w:eastAsia="宋体" w:cs="Times New Roman"/>
                <w:szCs w:val="21"/>
                <w:lang w:val="zh-CN" w:eastAsia="zh-CN"/>
              </w:rPr>
              <w:t>未提供不得分。</w:t>
            </w:r>
            <w:r>
              <w:rPr>
                <w:rFonts w:hint="eastAsia" w:cs="宋体"/>
                <w:sz w:val="24"/>
                <w:szCs w:val="24"/>
              </w:rPr>
              <w:t xml:space="preserve"> </w:t>
            </w:r>
          </w:p>
          <w:p>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（二）评审依据：</w:t>
            </w:r>
          </w:p>
          <w:p>
            <w:pPr>
              <w:snapToGrid w:val="0"/>
              <w:rPr>
                <w:rFonts w:hint="eastAsia" w:ascii="宋体" w:hAnsi="宋体" w:eastAsia="宋体" w:cs="Times New Roman"/>
                <w:szCs w:val="21"/>
                <w:lang w:val="zh-CN" w:eastAsia="zh-CN"/>
              </w:rPr>
            </w:pPr>
            <w:r>
              <w:rPr>
                <w:rFonts w:hint="eastAsia" w:ascii="宋体" w:hAnsi="宋体" w:eastAsia="宋体" w:cs="Times New Roman"/>
                <w:szCs w:val="21"/>
                <w:lang w:val="zh-CN" w:eastAsia="zh-CN"/>
              </w:rPr>
              <w:t>1.提供证书扫描件；其中认证证书需同时提供在全国认证认可信息公共服务平台（认e云）（http://cx.cnca.cn）查询截图且显示有效及证书编号一致；</w:t>
            </w:r>
          </w:p>
          <w:p>
            <w:pPr>
              <w:snapToGrid w:val="0"/>
              <w:rPr>
                <w:rFonts w:hint="eastAsia" w:ascii="Times New Roman" w:hAnsi="Times New Roman" w:eastAsia="宋体" w:cs="Times New Roman"/>
                <w:kern w:val="2"/>
                <w:sz w:val="21"/>
                <w:szCs w:val="20"/>
                <w:lang w:val="en-US" w:eastAsia="zh-CN" w:bidi="ar-SA"/>
              </w:rPr>
            </w:pPr>
            <w:r>
              <w:rPr>
                <w:rFonts w:hint="eastAsia" w:ascii="宋体" w:hAnsi="宋体" w:eastAsia="宋体" w:cs="Times New Roman"/>
                <w:szCs w:val="21"/>
                <w:lang w:val="zh-CN" w:eastAsia="zh-CN"/>
              </w:rPr>
              <w:t>2.评分中出现无证明资料或专家无法凭所提供资料判断是否得分的情况，一律作不得分处理。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center"/>
          </w:tcPr>
          <w:p>
            <w:pPr>
              <w:jc w:val="left"/>
              <w:rPr>
                <w:rFonts w:hint="eastAsia" w:ascii="Times New Roman" w:hAnsi="Times New Roman" w:eastAsia="宋体" w:cs="Times New Roman"/>
                <w:kern w:val="2"/>
                <w:sz w:val="24"/>
                <w:szCs w:val="24"/>
                <w:lang w:val="en-US" w:eastAsia="zh-CN" w:bidi="ar-SA"/>
              </w:rPr>
            </w:pPr>
            <w:r>
              <w:rPr>
                <w:rFonts w:hint="eastAsia"/>
                <w:sz w:val="21"/>
                <w:szCs w:val="21"/>
                <w:lang w:val="en-US" w:eastAsia="zh-CN"/>
              </w:rPr>
              <w:t>诚信管理</w:t>
            </w:r>
          </w:p>
        </w:tc>
        <w:tc>
          <w:tcPr>
            <w:tcW w:w="769" w:type="dxa"/>
            <w:noWrap w:val="0"/>
            <w:vAlign w:val="center"/>
          </w:tcPr>
          <w:p>
            <w:pPr>
              <w:jc w:val="center"/>
              <w:rPr>
                <w:rFonts w:hint="eastAsia" w:ascii="Times New Roman" w:hAnsi="Times New Roman" w:eastAsia="宋体" w:cs="Times New Roman"/>
                <w:kern w:val="2"/>
                <w:sz w:val="24"/>
                <w:szCs w:val="24"/>
                <w:lang w:val="en-US" w:eastAsia="zh-CN" w:bidi="ar-SA"/>
              </w:rPr>
            </w:pPr>
            <w:r>
              <w:rPr>
                <w:rFonts w:hint="eastAsia" w:ascii="宋体" w:hAnsi="宋体" w:cs="宋体"/>
                <w:szCs w:val="20"/>
                <w:lang w:val="en-US" w:eastAsia="zh-CN"/>
              </w:rPr>
              <w:t>5</w:t>
            </w:r>
          </w:p>
        </w:tc>
        <w:tc>
          <w:tcPr>
            <w:tcW w:w="6756" w:type="dxa"/>
            <w:noWrap w:val="0"/>
            <w:vAlign w:val="center"/>
          </w:tcPr>
          <w:p>
            <w:pPr>
              <w:numPr>
                <w:ilvl w:val="0"/>
                <w:numId w:val="0"/>
              </w:numPr>
              <w:jc w:val="lef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（一）</w:t>
            </w:r>
            <w:r>
              <w:rPr>
                <w:rFonts w:hint="default" w:ascii="宋体" w:hAnsi="宋体" w:eastAsia="宋体" w:cs="宋体"/>
                <w:b/>
                <w:bCs/>
                <w:sz w:val="21"/>
                <w:szCs w:val="21"/>
                <w:lang w:val="en-US" w:eastAsia="zh-CN"/>
              </w:rPr>
              <w:t>评分内容：</w:t>
            </w:r>
          </w:p>
          <w:p>
            <w:pPr>
              <w:widowControl/>
              <w:textAlignment w:val="center"/>
              <w:rPr>
                <w:rStyle w:val="49"/>
                <w:rFonts w:hint="default"/>
              </w:rPr>
            </w:pPr>
            <w:r>
              <w:rPr>
                <w:rStyle w:val="4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（二）评分标准：</w:t>
            </w:r>
          </w:p>
          <w:p>
            <w:pPr>
              <w:numPr>
                <w:ilvl w:val="0"/>
                <w:numId w:val="0"/>
              </w:numPr>
              <w:jc w:val="left"/>
              <w:rPr>
                <w:rFonts w:hint="eastAsia" w:ascii="Times New Roman" w:hAnsi="Times New Roman" w:eastAsia="宋体" w:cs="Times New Roman"/>
                <w:kern w:val="2"/>
                <w:sz w:val="24"/>
                <w:szCs w:val="24"/>
                <w:lang w:val="en-US" w:eastAsia="zh-CN" w:bidi="ar-SA"/>
              </w:rPr>
            </w:pPr>
            <w:r>
              <w:rPr>
                <w:rStyle w:val="4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7" w:type="dxa"/>
            <w:gridSpan w:val="2"/>
            <w:noWrap w:val="0"/>
            <w:vAlign w:val="center"/>
          </w:tcPr>
          <w:p>
            <w:pPr>
              <w:snapToGrid w:val="0"/>
              <w:contextualSpacing/>
              <w:jc w:val="center"/>
              <w:rPr>
                <w:rFonts w:hint="eastAsia" w:ascii="宋体" w:hAnsi="宋体"/>
                <w:b/>
                <w:bCs/>
              </w:rPr>
            </w:pPr>
            <w:r>
              <w:rPr>
                <w:rFonts w:hint="eastAsia" w:ascii="宋体" w:hAnsi="宋体"/>
                <w:b/>
                <w:bCs/>
              </w:rPr>
              <w:t>报价得分</w:t>
            </w:r>
          </w:p>
          <w:p>
            <w:pPr>
              <w:widowControl/>
              <w:tabs>
                <w:tab w:val="left" w:pos="426"/>
              </w:tabs>
              <w:adjustRightInd w:val="0"/>
              <w:snapToGrid w:val="0"/>
              <w:contextualSpacing/>
              <w:jc w:val="center"/>
              <w:rPr>
                <w:rFonts w:hint="eastAsia" w:ascii="宋体" w:hAnsi="宋体" w:eastAsia="宋体" w:cs="宋体"/>
                <w:kern w:val="2"/>
                <w:sz w:val="21"/>
                <w:szCs w:val="21"/>
                <w:lang w:val="en-US" w:eastAsia="zh-CN" w:bidi="ar-SA"/>
              </w:rPr>
            </w:pPr>
            <w:r>
              <w:rPr>
                <w:rFonts w:hint="eastAsia" w:ascii="宋体" w:hAnsi="宋体"/>
                <w:b/>
                <w:bCs/>
              </w:rPr>
              <w:t>（30分）</w:t>
            </w:r>
          </w:p>
        </w:tc>
        <w:tc>
          <w:tcPr>
            <w:tcW w:w="6756" w:type="dxa"/>
            <w:noWrap w:val="0"/>
            <w:vAlign w:val="center"/>
          </w:tcPr>
          <w:p>
            <w:pPr>
              <w:widowControl/>
              <w:tabs>
                <w:tab w:val="left" w:pos="426"/>
              </w:tabs>
              <w:adjustRightInd w:val="0"/>
              <w:snapToGrid w:val="0"/>
              <w:contextualSpacing/>
              <w:rPr>
                <w:rFonts w:hint="eastAsia" w:ascii="宋体" w:hAnsi="宋体" w:eastAsia="宋体" w:cs="宋体"/>
                <w:kern w:val="2"/>
                <w:sz w:val="21"/>
                <w:szCs w:val="21"/>
                <w:lang w:val="en-US" w:eastAsia="zh-CN" w:bidi="ar-SA"/>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lang w:val="zh-CN"/>
              </w:rPr>
              <w:t>投标报价得分=(评标基准价／投标报价)×30</w:t>
            </w:r>
          </w:p>
        </w:tc>
      </w:tr>
    </w:tbl>
    <w:p>
      <w:pPr>
        <w:widowControl/>
        <w:adjustRightInd w:val="0"/>
        <w:snapToGrid w:val="0"/>
        <w:ind w:left="-141" w:leftChars="-135" w:hanging="142" w:hangingChars="68"/>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78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0" w:name="_Hlk124837366"/>
    </w:p>
    <w:bookmarkEnd w:id="0"/>
    <w:p>
      <w:pPr>
        <w:widowControl/>
        <w:spacing w:line="500" w:lineRule="exact"/>
        <w:jc w:val="left"/>
        <w:rPr>
          <w:rFonts w:hint="eastAsia" w:ascii="宋体" w:hAnsi="宋体" w:eastAsia="宋体" w:cstheme="minorBidi"/>
          <w:b/>
          <w:bCs/>
          <w:kern w:val="2"/>
          <w:sz w:val="30"/>
          <w:szCs w:val="30"/>
          <w:lang w:val="en-US" w:eastAsia="zh-CN" w:bidi="ar-SA"/>
        </w:rPr>
      </w:pPr>
      <w:r>
        <w:rPr>
          <w:rFonts w:ascii="宋体" w:hAnsi="宋体" w:cs="Arial"/>
          <w:b/>
          <w:color w:val="000000"/>
          <w:kern w:val="0"/>
          <w:sz w:val="24"/>
        </w:rPr>
        <w:t>附件:</w:t>
      </w:r>
    </w:p>
    <w:p>
      <w:pPr>
        <w:pStyle w:val="31"/>
        <w:widowControl/>
        <w:spacing w:line="320" w:lineRule="exact"/>
        <w:ind w:left="450" w:firstLine="0" w:firstLineChars="0"/>
        <w:jc w:val="center"/>
        <w:rPr>
          <w:rFonts w:hint="eastAsia" w:ascii="宋体" w:hAnsi="宋体" w:eastAsia="宋体"/>
          <w:b/>
          <w:bCs/>
          <w:sz w:val="30"/>
          <w:szCs w:val="30"/>
        </w:rPr>
      </w:pPr>
      <w:r>
        <w:rPr>
          <w:rFonts w:hint="eastAsia" w:ascii="宋体" w:hAnsi="宋体" w:eastAsia="宋体" w:cstheme="minorBidi"/>
          <w:b/>
          <w:bCs/>
          <w:kern w:val="2"/>
          <w:sz w:val="30"/>
          <w:szCs w:val="30"/>
          <w:lang w:val="en-US" w:eastAsia="zh-CN" w:bidi="ar-SA"/>
        </w:rPr>
        <w:t>3台低温等离子灭菌器全保服务</w:t>
      </w:r>
    </w:p>
    <w:p>
      <w:pPr>
        <w:widowControl/>
        <w:numPr>
          <w:ilvl w:val="0"/>
          <w:numId w:val="4"/>
        </w:numPr>
        <w:spacing w:line="320" w:lineRule="exact"/>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服务范围</w:t>
      </w:r>
    </w:p>
    <w:p>
      <w:pPr>
        <w:widowControl/>
        <w:spacing w:line="320" w:lineRule="exact"/>
        <w:ind w:firstLine="420" w:firstLineChars="200"/>
        <w:jc w:val="left"/>
        <w:rPr>
          <w:rFonts w:hint="eastAsia" w:ascii="宋体" w:hAnsi="宋体"/>
          <w:b/>
          <w:color w:val="000000"/>
          <w:szCs w:val="21"/>
          <w:highlight w:val="none"/>
        </w:rPr>
      </w:pPr>
      <w:r>
        <w:rPr>
          <w:rFonts w:hint="eastAsia" w:ascii="宋体" w:hAnsi="宋体"/>
          <w:b w:val="0"/>
          <w:bCs/>
          <w:color w:val="000000"/>
          <w:szCs w:val="21"/>
          <w:highlight w:val="none"/>
        </w:rPr>
        <w:t>深圳市宝安区人民</w:t>
      </w:r>
      <w:r>
        <w:rPr>
          <w:rFonts w:hint="eastAsia" w:ascii="宋体" w:hAnsi="宋体"/>
          <w:b w:val="0"/>
          <w:bCs/>
          <w:color w:val="000000"/>
          <w:szCs w:val="21"/>
          <w:highlight w:val="none"/>
          <w:lang w:eastAsia="zh-CN"/>
        </w:rPr>
        <w:t>医院</w:t>
      </w:r>
      <w:r>
        <w:rPr>
          <w:rFonts w:hint="eastAsia" w:ascii="宋体" w:hAnsi="宋体"/>
          <w:b w:val="0"/>
          <w:bCs/>
          <w:color w:val="000000"/>
          <w:szCs w:val="21"/>
          <w:highlight w:val="none"/>
          <w:lang w:val="en-US" w:eastAsia="zh-CN"/>
        </w:rPr>
        <w:t>低温等离子消毒机全保</w:t>
      </w:r>
      <w:r>
        <w:rPr>
          <w:rFonts w:hint="eastAsia" w:ascii="宋体" w:hAnsi="宋体"/>
          <w:b w:val="0"/>
          <w:bCs/>
          <w:color w:val="000000"/>
          <w:szCs w:val="21"/>
          <w:highlight w:val="none"/>
        </w:rPr>
        <w:t>服务（其它与周边仪器相关的不可维修的设备和耗品不属于维修范围,不列入合同范围内）</w:t>
      </w:r>
    </w:p>
    <w:p>
      <w:pPr>
        <w:widowControl/>
        <w:spacing w:line="320" w:lineRule="exact"/>
        <w:jc w:val="left"/>
        <w:rPr>
          <w:rFonts w:hint="eastAsia" w:ascii="宋体" w:hAnsi="宋体" w:cs="宋体"/>
          <w:b/>
          <w:bCs/>
          <w:color w:val="000000"/>
          <w:kern w:val="0"/>
          <w:szCs w:val="21"/>
        </w:rPr>
      </w:pPr>
      <w:r>
        <w:rPr>
          <w:rFonts w:hint="eastAsia" w:ascii="宋体" w:hAnsi="宋体"/>
          <w:szCs w:val="21"/>
        </w:rPr>
        <w:t>二、</w:t>
      </w:r>
      <w:r>
        <w:rPr>
          <w:rFonts w:hint="eastAsia" w:ascii="宋体" w:hAnsi="宋体" w:cs="宋体"/>
          <w:b/>
          <w:bCs/>
          <w:color w:val="000000"/>
          <w:kern w:val="0"/>
          <w:szCs w:val="21"/>
        </w:rPr>
        <w:t>预算总金额</w:t>
      </w:r>
    </w:p>
    <w:p>
      <w:pPr>
        <w:spacing w:line="320" w:lineRule="exact"/>
        <w:ind w:firstLine="422" w:firstLineChars="200"/>
        <w:rPr>
          <w:rFonts w:hint="eastAsia" w:ascii="宋体" w:hAnsi="宋体" w:cs="宋体"/>
          <w:kern w:val="0"/>
          <w:szCs w:val="21"/>
          <w:highlight w:val="yellow"/>
        </w:rPr>
      </w:pPr>
      <w:r>
        <w:rPr>
          <w:rFonts w:hint="eastAsia" w:ascii="宋体" w:hAnsi="宋体" w:cs="宋体"/>
          <w:b/>
          <w:kern w:val="0"/>
          <w:szCs w:val="21"/>
          <w:highlight w:val="yellow"/>
        </w:rPr>
        <w:t>198000元整</w:t>
      </w:r>
      <w:r>
        <w:rPr>
          <w:rFonts w:hint="eastAsia" w:ascii="宋体" w:hAnsi="宋体" w:cs="宋体"/>
          <w:kern w:val="0"/>
          <w:szCs w:val="21"/>
          <w:highlight w:val="yellow"/>
        </w:rPr>
        <w:t>，超出项目控制金额将导致废标。</w:t>
      </w:r>
    </w:p>
    <w:p>
      <w:pPr>
        <w:pStyle w:val="31"/>
        <w:widowControl/>
        <w:numPr>
          <w:ilvl w:val="0"/>
          <w:numId w:val="5"/>
        </w:numPr>
        <w:spacing w:line="320" w:lineRule="exact"/>
        <w:ind w:firstLineChars="0"/>
        <w:jc w:val="left"/>
        <w:rPr>
          <w:rFonts w:ascii="宋体" w:hAnsi="宋体" w:eastAsia="宋体" w:cs="宋体"/>
          <w:b/>
          <w:bCs/>
          <w:color w:val="000000"/>
          <w:kern w:val="0"/>
          <w:szCs w:val="21"/>
        </w:rPr>
      </w:pPr>
      <w:bookmarkStart w:id="1" w:name="_Toc178049979"/>
      <w:bookmarkStart w:id="2" w:name="_Toc480449081"/>
      <w:bookmarkStart w:id="3" w:name="_Toc450137347"/>
      <w:r>
        <w:rPr>
          <w:rFonts w:hint="eastAsia" w:ascii="宋体" w:hAnsi="宋体" w:eastAsia="宋体" w:cs="宋体"/>
          <w:b/>
          <w:bCs/>
          <w:color w:val="000000"/>
          <w:kern w:val="0"/>
          <w:szCs w:val="21"/>
        </w:rPr>
        <w:t>投标人资格性要求</w:t>
      </w:r>
    </w:p>
    <w:p>
      <w:pPr>
        <w:tabs>
          <w:tab w:val="left" w:pos="987"/>
        </w:tabs>
        <w:spacing w:after="60"/>
        <w:ind w:firstLine="420" w:firstLineChars="200"/>
        <w:jc w:val="left"/>
        <w:rPr>
          <w:rFonts w:hint="eastAsia"/>
          <w:color w:val="000000"/>
          <w:szCs w:val="21"/>
        </w:rPr>
      </w:pPr>
      <w:bookmarkStart w:id="4" w:name="OLE_LINK133"/>
      <w:r>
        <w:rPr>
          <w:rFonts w:hint="eastAsia"/>
          <w:color w:val="000000"/>
          <w:szCs w:val="21"/>
        </w:rPr>
        <w:t>1、投标人</w:t>
      </w:r>
      <w:r>
        <w:rPr>
          <w:rFonts w:hint="eastAsia" w:ascii="宋体" w:hAnsi="宋体"/>
          <w:bCs/>
          <w:color w:val="000000"/>
          <w:szCs w:val="21"/>
        </w:rPr>
        <w:t>具有独立法人资格（提供营业执照或事业单位法人证等法人证明扫描件，原件备查）</w:t>
      </w:r>
      <w:r>
        <w:rPr>
          <w:rFonts w:hint="eastAsia"/>
          <w:color w:val="000000"/>
          <w:szCs w:val="21"/>
        </w:rPr>
        <w:t>；</w:t>
      </w:r>
    </w:p>
    <w:p>
      <w:pPr>
        <w:pStyle w:val="3"/>
        <w:ind w:firstLine="420" w:firstLineChars="200"/>
        <w:rPr>
          <w:rFonts w:hint="eastAsia"/>
          <w:color w:val="000000"/>
          <w:szCs w:val="21"/>
        </w:rPr>
      </w:pPr>
      <w:r>
        <w:rPr>
          <w:rFonts w:hint="eastAsia"/>
          <w:color w:val="000000"/>
          <w:szCs w:val="21"/>
          <w:lang w:val="en-US" w:eastAsia="zh-CN"/>
        </w:rPr>
        <w:t>2</w:t>
      </w:r>
      <w:r>
        <w:rPr>
          <w:rFonts w:hint="eastAsia"/>
          <w:color w:val="000000"/>
          <w:szCs w:val="21"/>
        </w:rPr>
        <w:t>、投标人参加本次政府采购活动前3年内在经营活动中没有重大违法记录（提供声明函，格式自拟）；</w:t>
      </w:r>
      <w:bookmarkEnd w:id="4"/>
    </w:p>
    <w:p>
      <w:pPr>
        <w:pStyle w:val="3"/>
        <w:ind w:left="0" w:leftChars="0" w:firstLine="0" w:firstLineChars="0"/>
        <w:rPr>
          <w:rStyle w:val="26"/>
          <w:rFonts w:hint="eastAsia"/>
          <w:b/>
          <w:bCs/>
        </w:rPr>
      </w:pPr>
      <w:r>
        <w:rPr>
          <w:rStyle w:val="26"/>
          <w:rFonts w:hint="eastAsia"/>
          <w:b/>
          <w:bCs/>
        </w:rPr>
        <w:t>四、服务要求</w:t>
      </w:r>
    </w:p>
    <w:p>
      <w:pPr>
        <w:numPr>
          <w:ilvl w:val="0"/>
          <w:numId w:val="0"/>
        </w:numPr>
        <w:spacing w:line="360" w:lineRule="auto"/>
        <w:ind w:leftChars="0" w:firstLine="420" w:firstLineChars="200"/>
        <w:jc w:val="left"/>
        <w:rPr>
          <w:rFonts w:hint="eastAsia" w:ascii="宋体" w:hAnsi="宋体" w:eastAsia="宋体" w:cs="Times New Roman"/>
          <w:szCs w:val="21"/>
          <w:lang w:eastAsia="zh-CN"/>
        </w:rPr>
      </w:pPr>
      <w:r>
        <w:rPr>
          <w:rFonts w:hint="eastAsia" w:ascii="宋体" w:hAnsi="宋体" w:eastAsia="宋体" w:cs="Times New Roman"/>
          <w:szCs w:val="21"/>
          <w:lang w:val="en-US" w:eastAsia="zh-CN"/>
        </w:rPr>
        <w:t>1、设备清单</w:t>
      </w:r>
    </w:p>
    <w:tbl>
      <w:tblPr>
        <w:tblStyle w:val="38"/>
        <w:tblW w:w="5430" w:type="dxa"/>
        <w:tblInd w:w="4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0"/>
        <w:gridCol w:w="1335"/>
        <w:gridCol w:w="17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2340" w:type="dxa"/>
            <w:noWrap w:val="0"/>
            <w:vAlign w:val="top"/>
          </w:tcPr>
          <w:p>
            <w:pPr>
              <w:pStyle w:val="56"/>
              <w:spacing w:before="142" w:line="221" w:lineRule="auto"/>
              <w:ind w:left="729"/>
              <w:jc w:val="left"/>
              <w:rPr>
                <w:rFonts w:hint="default" w:eastAsia="宋体"/>
                <w:lang w:val="en-US" w:eastAsia="zh-CN"/>
              </w:rPr>
            </w:pPr>
            <w:r>
              <w:rPr>
                <w:rFonts w:hint="eastAsia"/>
                <w:b/>
                <w:bCs/>
                <w:spacing w:val="-8"/>
                <w:lang w:val="en-US" w:eastAsia="zh-CN"/>
              </w:rPr>
              <w:t>设备名称</w:t>
            </w:r>
          </w:p>
        </w:tc>
        <w:tc>
          <w:tcPr>
            <w:tcW w:w="1335" w:type="dxa"/>
            <w:noWrap w:val="0"/>
            <w:vAlign w:val="top"/>
          </w:tcPr>
          <w:p>
            <w:pPr>
              <w:pStyle w:val="56"/>
              <w:spacing w:before="141" w:line="222" w:lineRule="auto"/>
              <w:ind w:firstLine="213" w:firstLineChars="100"/>
              <w:jc w:val="left"/>
              <w:rPr>
                <w:rFonts w:hint="eastAsia" w:eastAsia="宋体"/>
                <w:b/>
                <w:bCs/>
                <w:spacing w:val="-4"/>
                <w:lang w:val="en-US" w:eastAsia="zh-CN"/>
              </w:rPr>
            </w:pPr>
            <w:r>
              <w:rPr>
                <w:rFonts w:hint="eastAsia"/>
                <w:b/>
                <w:bCs/>
                <w:spacing w:val="-4"/>
                <w:lang w:val="en-US" w:eastAsia="zh-CN"/>
              </w:rPr>
              <w:t>规格型号</w:t>
            </w:r>
          </w:p>
        </w:tc>
        <w:tc>
          <w:tcPr>
            <w:tcW w:w="1755" w:type="dxa"/>
            <w:noWrap w:val="0"/>
            <w:vAlign w:val="top"/>
          </w:tcPr>
          <w:p>
            <w:pPr>
              <w:pStyle w:val="56"/>
              <w:spacing w:before="141" w:line="222" w:lineRule="auto"/>
              <w:ind w:left="366"/>
              <w:jc w:val="left"/>
            </w:pPr>
            <w:r>
              <w:rPr>
                <w:b/>
                <w:bCs/>
                <w:spacing w:val="-4"/>
              </w:rPr>
              <w:t>设备序列号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340" w:type="dxa"/>
            <w:noWrap w:val="0"/>
            <w:vAlign w:val="top"/>
          </w:tcPr>
          <w:p>
            <w:pPr>
              <w:pStyle w:val="56"/>
              <w:spacing w:before="179" w:line="184" w:lineRule="auto"/>
              <w:ind w:left="361"/>
              <w:jc w:val="both"/>
              <w:rPr>
                <w:rFonts w:hint="default"/>
                <w:b w:val="0"/>
                <w:bCs w:val="0"/>
                <w:color w:val="auto"/>
                <w:spacing w:val="-6"/>
                <w:lang w:val="en-US" w:eastAsia="zh-CN"/>
              </w:rPr>
            </w:pPr>
            <w:r>
              <w:rPr>
                <w:rFonts w:hint="eastAsia"/>
                <w:b w:val="0"/>
                <w:bCs w:val="0"/>
                <w:color w:val="auto"/>
                <w:spacing w:val="-6"/>
                <w:lang w:val="en-US" w:eastAsia="zh-CN"/>
              </w:rPr>
              <w:t>低温等离子灭菌器</w:t>
            </w:r>
          </w:p>
        </w:tc>
        <w:tc>
          <w:tcPr>
            <w:tcW w:w="1335" w:type="dxa"/>
            <w:noWrap w:val="0"/>
            <w:vAlign w:val="top"/>
          </w:tcPr>
          <w:p>
            <w:pPr>
              <w:pStyle w:val="56"/>
              <w:spacing w:before="179" w:line="184" w:lineRule="auto"/>
              <w:ind w:left="361"/>
              <w:jc w:val="both"/>
              <w:rPr>
                <w:b w:val="0"/>
                <w:bCs w:val="0"/>
                <w:color w:val="auto"/>
                <w:spacing w:val="-3"/>
              </w:rPr>
            </w:pPr>
            <w:r>
              <w:rPr>
                <w:b w:val="0"/>
                <w:bCs w:val="0"/>
                <w:color w:val="auto"/>
                <w:spacing w:val="-6"/>
              </w:rPr>
              <w:t>100S</w:t>
            </w:r>
          </w:p>
        </w:tc>
        <w:tc>
          <w:tcPr>
            <w:tcW w:w="1755" w:type="dxa"/>
            <w:noWrap w:val="0"/>
            <w:vAlign w:val="top"/>
          </w:tcPr>
          <w:p>
            <w:pPr>
              <w:pStyle w:val="56"/>
              <w:spacing w:before="179" w:line="184" w:lineRule="auto"/>
              <w:ind w:left="361"/>
              <w:jc w:val="both"/>
              <w:rPr>
                <w:b w:val="0"/>
                <w:bCs w:val="0"/>
                <w:color w:val="auto"/>
              </w:rPr>
            </w:pPr>
            <w:r>
              <w:rPr>
                <w:b w:val="0"/>
                <w:bCs w:val="0"/>
                <w:color w:val="auto"/>
                <w:spacing w:val="-3"/>
              </w:rPr>
              <w:t>0101130115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340" w:type="dxa"/>
            <w:noWrap w:val="0"/>
            <w:vAlign w:val="top"/>
          </w:tcPr>
          <w:p>
            <w:pPr>
              <w:pStyle w:val="56"/>
              <w:spacing w:before="179" w:line="184" w:lineRule="auto"/>
              <w:ind w:left="361"/>
              <w:jc w:val="both"/>
              <w:rPr>
                <w:rFonts w:hint="eastAsia"/>
                <w:b w:val="0"/>
                <w:bCs w:val="0"/>
                <w:color w:val="auto"/>
                <w:spacing w:val="-6"/>
              </w:rPr>
            </w:pPr>
            <w:r>
              <w:rPr>
                <w:rFonts w:hint="eastAsia"/>
                <w:b w:val="0"/>
                <w:bCs w:val="0"/>
                <w:color w:val="auto"/>
                <w:spacing w:val="-6"/>
                <w:lang w:val="en-US" w:eastAsia="zh-CN"/>
              </w:rPr>
              <w:t>低温等离子灭菌器</w:t>
            </w:r>
          </w:p>
        </w:tc>
        <w:tc>
          <w:tcPr>
            <w:tcW w:w="1335" w:type="dxa"/>
            <w:noWrap w:val="0"/>
            <w:vAlign w:val="top"/>
          </w:tcPr>
          <w:p>
            <w:pPr>
              <w:pStyle w:val="56"/>
              <w:spacing w:before="179" w:line="184" w:lineRule="auto"/>
              <w:ind w:left="361"/>
              <w:jc w:val="both"/>
              <w:rPr>
                <w:b w:val="0"/>
                <w:bCs w:val="0"/>
                <w:color w:val="auto"/>
                <w:spacing w:val="-3"/>
              </w:rPr>
            </w:pPr>
            <w:r>
              <w:rPr>
                <w:b w:val="0"/>
                <w:bCs w:val="0"/>
                <w:color w:val="auto"/>
                <w:spacing w:val="-6"/>
              </w:rPr>
              <w:t>100S</w:t>
            </w:r>
          </w:p>
        </w:tc>
        <w:tc>
          <w:tcPr>
            <w:tcW w:w="1755" w:type="dxa"/>
            <w:noWrap w:val="0"/>
            <w:vAlign w:val="top"/>
          </w:tcPr>
          <w:p>
            <w:pPr>
              <w:pStyle w:val="56"/>
              <w:spacing w:before="179" w:line="184" w:lineRule="auto"/>
              <w:ind w:left="361"/>
              <w:jc w:val="both"/>
              <w:rPr>
                <w:b w:val="0"/>
                <w:bCs w:val="0"/>
                <w:color w:val="auto"/>
              </w:rPr>
            </w:pPr>
            <w:r>
              <w:rPr>
                <w:b w:val="0"/>
                <w:bCs w:val="0"/>
                <w:color w:val="auto"/>
                <w:spacing w:val="-3"/>
              </w:rPr>
              <w:t>0101170208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340" w:type="dxa"/>
            <w:noWrap w:val="0"/>
            <w:vAlign w:val="top"/>
          </w:tcPr>
          <w:p>
            <w:pPr>
              <w:pStyle w:val="56"/>
              <w:spacing w:before="179" w:line="184" w:lineRule="auto"/>
              <w:ind w:left="361"/>
              <w:jc w:val="both"/>
              <w:rPr>
                <w:rFonts w:hint="eastAsia"/>
                <w:b w:val="0"/>
                <w:bCs w:val="0"/>
                <w:color w:val="auto"/>
                <w:spacing w:val="-6"/>
              </w:rPr>
            </w:pPr>
            <w:r>
              <w:rPr>
                <w:rFonts w:hint="eastAsia"/>
                <w:b w:val="0"/>
                <w:bCs w:val="0"/>
                <w:color w:val="auto"/>
                <w:spacing w:val="-6"/>
                <w:lang w:val="en-US" w:eastAsia="zh-CN"/>
              </w:rPr>
              <w:t>低温等离子灭菌器</w:t>
            </w:r>
          </w:p>
        </w:tc>
        <w:tc>
          <w:tcPr>
            <w:tcW w:w="1335" w:type="dxa"/>
            <w:noWrap w:val="0"/>
            <w:vAlign w:val="top"/>
          </w:tcPr>
          <w:p>
            <w:pPr>
              <w:pStyle w:val="56"/>
              <w:spacing w:before="181" w:line="184" w:lineRule="auto"/>
              <w:ind w:left="361"/>
              <w:jc w:val="both"/>
              <w:rPr>
                <w:b w:val="0"/>
                <w:bCs w:val="0"/>
                <w:color w:val="auto"/>
                <w:spacing w:val="-3"/>
              </w:rPr>
            </w:pPr>
            <w:r>
              <w:rPr>
                <w:b w:val="0"/>
                <w:bCs w:val="0"/>
                <w:color w:val="auto"/>
                <w:spacing w:val="-6"/>
              </w:rPr>
              <w:t>100S</w:t>
            </w:r>
          </w:p>
        </w:tc>
        <w:tc>
          <w:tcPr>
            <w:tcW w:w="1755" w:type="dxa"/>
            <w:noWrap w:val="0"/>
            <w:vAlign w:val="top"/>
          </w:tcPr>
          <w:p>
            <w:pPr>
              <w:pStyle w:val="56"/>
              <w:spacing w:before="181" w:line="184" w:lineRule="auto"/>
              <w:ind w:left="361"/>
              <w:jc w:val="both"/>
              <w:rPr>
                <w:b w:val="0"/>
                <w:bCs w:val="0"/>
                <w:color w:val="auto"/>
              </w:rPr>
            </w:pPr>
            <w:r>
              <w:rPr>
                <w:b w:val="0"/>
                <w:bCs w:val="0"/>
                <w:color w:val="auto"/>
                <w:spacing w:val="-3"/>
              </w:rPr>
              <w:t>0101170492</w:t>
            </w:r>
          </w:p>
        </w:tc>
      </w:tr>
    </w:tbl>
    <w:p>
      <w:pPr>
        <w:numPr>
          <w:ilvl w:val="0"/>
          <w:numId w:val="0"/>
        </w:numPr>
        <w:spacing w:line="360" w:lineRule="auto"/>
        <w:ind w:leftChars="0" w:firstLine="420" w:firstLineChars="200"/>
        <w:jc w:val="left"/>
        <w:rPr>
          <w:rFonts w:hint="eastAsia" w:ascii="宋体" w:hAnsi="宋体" w:eastAsia="宋体" w:cs="Times New Roman"/>
          <w:szCs w:val="21"/>
          <w:lang w:eastAsia="zh-CN"/>
        </w:rPr>
      </w:pPr>
      <w:r>
        <w:rPr>
          <w:rFonts w:hint="eastAsia" w:ascii="宋体" w:hAnsi="宋体" w:eastAsia="宋体" w:cs="Times New Roman"/>
          <w:color w:val="auto"/>
          <w:szCs w:val="21"/>
          <w:lang w:val="en-US" w:eastAsia="zh-CN"/>
        </w:rPr>
        <w:t>2、</w:t>
      </w:r>
      <w:r>
        <w:rPr>
          <w:rFonts w:hint="eastAsia" w:ascii="宋体" w:hAnsi="宋体" w:eastAsia="宋体" w:cs="宋体"/>
          <w:b w:val="0"/>
          <w:bCs w:val="0"/>
          <w:sz w:val="22"/>
          <w:szCs w:val="22"/>
          <w:highlight w:val="none"/>
          <w:u w:val="none"/>
          <w:lang w:val="en-US" w:eastAsia="zh-CN"/>
        </w:rPr>
        <w:t>★</w:t>
      </w:r>
      <w:r>
        <w:rPr>
          <w:rFonts w:hint="eastAsia" w:ascii="宋体" w:hAnsi="宋体" w:eastAsia="宋体" w:cs="Times New Roman"/>
          <w:szCs w:val="21"/>
          <w:lang w:eastAsia="zh-CN"/>
        </w:rPr>
        <w:t>每年</w:t>
      </w: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次保养，</w:t>
      </w:r>
      <w:r>
        <w:rPr>
          <w:rFonts w:hint="eastAsia" w:ascii="宋体" w:hAnsi="宋体" w:eastAsia="宋体" w:cs="Times New Roman"/>
          <w:szCs w:val="21"/>
          <w:lang w:val="en-US" w:eastAsia="zh-CN"/>
        </w:rPr>
        <w:t>常规保养需包含（但不限于）以下内容</w:t>
      </w:r>
      <w:r>
        <w:rPr>
          <w:rFonts w:hint="eastAsia" w:ascii="宋体" w:hAnsi="宋体" w:eastAsia="宋体" w:cs="宋体"/>
          <w:b w:val="0"/>
          <w:bCs w:val="0"/>
          <w:sz w:val="22"/>
          <w:szCs w:val="22"/>
          <w:highlight w:val="none"/>
          <w:u w:val="none"/>
          <w:lang w:val="en-US" w:eastAsia="zh-CN"/>
        </w:rPr>
        <w:t>（提供承诺书）</w:t>
      </w:r>
      <w:r>
        <w:rPr>
          <w:rFonts w:hint="eastAsia" w:ascii="宋体" w:hAnsi="宋体" w:eastAsia="宋体" w:cs="Times New Roman"/>
          <w:szCs w:val="21"/>
          <w:lang w:val="en-US" w:eastAsia="zh-CN"/>
        </w:rPr>
        <w:t>：</w:t>
      </w:r>
    </w:p>
    <w:tbl>
      <w:tblPr>
        <w:tblStyle w:val="15"/>
        <w:tblW w:w="0" w:type="auto"/>
        <w:tblInd w:w="5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3585"/>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950" w:type="dxa"/>
            <w:noWrap w:val="0"/>
            <w:vAlign w:val="center"/>
          </w:tcPr>
          <w:p>
            <w:pPr>
              <w:pStyle w:val="56"/>
              <w:spacing w:before="142" w:line="221" w:lineRule="auto"/>
              <w:ind w:firstLine="410" w:firstLineChars="200"/>
              <w:jc w:val="left"/>
              <w:rPr>
                <w:rFonts w:hint="eastAsia"/>
                <w:b/>
                <w:bCs/>
                <w:spacing w:val="-8"/>
                <w:lang w:val="en-US" w:eastAsia="zh-CN"/>
              </w:rPr>
            </w:pPr>
            <w:r>
              <w:rPr>
                <w:rFonts w:hint="eastAsia"/>
                <w:b/>
                <w:bCs/>
                <w:spacing w:val="-8"/>
                <w:lang w:val="en-US" w:eastAsia="zh-CN"/>
              </w:rPr>
              <w:t>保养项目</w:t>
            </w:r>
          </w:p>
        </w:tc>
        <w:tc>
          <w:tcPr>
            <w:tcW w:w="3585" w:type="dxa"/>
            <w:noWrap w:val="0"/>
            <w:vAlign w:val="center"/>
          </w:tcPr>
          <w:p>
            <w:pPr>
              <w:pStyle w:val="56"/>
              <w:spacing w:before="142" w:line="221" w:lineRule="auto"/>
              <w:ind w:left="729"/>
              <w:jc w:val="left"/>
              <w:rPr>
                <w:rFonts w:hint="eastAsia"/>
                <w:b/>
                <w:bCs/>
                <w:spacing w:val="-8"/>
                <w:lang w:val="en-US" w:eastAsia="zh-CN"/>
              </w:rPr>
            </w:pPr>
            <w:r>
              <w:rPr>
                <w:rFonts w:hint="eastAsia"/>
                <w:b/>
                <w:bCs/>
                <w:spacing w:val="-8"/>
                <w:lang w:val="en-US" w:eastAsia="zh-CN"/>
              </w:rPr>
              <w:t>年度第一次常规保养</w:t>
            </w:r>
          </w:p>
        </w:tc>
        <w:tc>
          <w:tcPr>
            <w:tcW w:w="3615" w:type="dxa"/>
            <w:noWrap w:val="0"/>
            <w:vAlign w:val="center"/>
          </w:tcPr>
          <w:p>
            <w:pPr>
              <w:pStyle w:val="56"/>
              <w:spacing w:before="142" w:line="221" w:lineRule="auto"/>
              <w:ind w:left="729"/>
              <w:jc w:val="left"/>
              <w:rPr>
                <w:rFonts w:hint="eastAsia"/>
                <w:b/>
                <w:bCs/>
                <w:spacing w:val="-8"/>
                <w:lang w:val="en-US" w:eastAsia="zh-CN"/>
              </w:rPr>
            </w:pPr>
            <w:r>
              <w:rPr>
                <w:rFonts w:hint="eastAsia"/>
                <w:b/>
                <w:bCs/>
                <w:spacing w:val="-8"/>
                <w:lang w:val="en-US" w:eastAsia="zh-CN"/>
              </w:rPr>
              <w:t>年度第二次常规保养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所需更换的保养套件</w:t>
            </w:r>
          </w:p>
        </w:tc>
        <w:tc>
          <w:tcPr>
            <w:tcW w:w="3585"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真空泵油</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油雾过滤器替换滤芯</w:t>
            </w:r>
          </w:p>
        </w:tc>
        <w:tc>
          <w:tcPr>
            <w:tcW w:w="3615"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 真空泵油</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油雾过滤器替换滤芯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接触转换器和排气过滤器</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高效空气过滤器</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搁架固定扣</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电极后侧塑料挡圈</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门密封圈</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气动控制组件集水瓶滤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设备所需进行测试和校准的电气参数内容  </w:t>
            </w:r>
          </w:p>
        </w:tc>
        <w:tc>
          <w:tcPr>
            <w:tcW w:w="3585"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交直流电源输出测试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数模转换测试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加热器电阻值及电压测试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温度测试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等离子测试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漏气率测试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真空表校零检测</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注射系统测试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空气压缩机输出测试</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打印机测试</w:t>
            </w:r>
            <w:r>
              <w:rPr>
                <w:rFonts w:hint="eastAsia" w:ascii="宋体" w:hAnsi="宋体" w:eastAsia="宋体" w:cs="宋体"/>
                <w:b w:val="0"/>
                <w:bCs w:val="0"/>
                <w:sz w:val="21"/>
                <w:szCs w:val="21"/>
                <w:lang w:eastAsia="zh-CN"/>
              </w:rPr>
              <w:t>、</w:t>
            </w:r>
          </w:p>
        </w:tc>
        <w:tc>
          <w:tcPr>
            <w:tcW w:w="3615"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交直流电源输出测试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数模转换测试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加热器电阻值及电压测试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温度测试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等离子测试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漏气率测试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真空表校零检测</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注射系统测试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空气压缩机输出测试</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打印机测试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trPr>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其他清洁内容</w:t>
            </w:r>
          </w:p>
        </w:tc>
        <w:tc>
          <w:tcPr>
            <w:tcW w:w="3585"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蒸发盘</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灭菌舱及舱门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空气过滤网</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储水罐及集水瓶 </w:t>
            </w:r>
          </w:p>
        </w:tc>
        <w:tc>
          <w:tcPr>
            <w:tcW w:w="3615"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蒸发盘</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灭菌舱及舱门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空气过滤网</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储水罐及集水瓶 </w:t>
            </w:r>
          </w:p>
        </w:tc>
      </w:tr>
    </w:tbl>
    <w:p>
      <w:pPr>
        <w:rPr>
          <w:rStyle w:val="26"/>
          <w:rFonts w:hint="eastAsia"/>
          <w:b/>
          <w:bCs/>
        </w:rPr>
      </w:pPr>
      <w:r>
        <w:rPr>
          <w:rStyle w:val="26"/>
          <w:rFonts w:hint="eastAsia"/>
          <w:b/>
          <w:bCs/>
        </w:rPr>
        <w:br w:type="page"/>
      </w:r>
    </w:p>
    <w:p>
      <w:pPr>
        <w:pStyle w:val="3"/>
        <w:numPr>
          <w:ilvl w:val="0"/>
          <w:numId w:val="6"/>
        </w:numPr>
        <w:ind w:left="0" w:leftChars="0" w:firstLine="420" w:firstLineChars="200"/>
        <w:rPr>
          <w:rStyle w:val="26"/>
          <w:rFonts w:hint="eastAsia"/>
          <w:b w:val="0"/>
          <w:bCs w:val="0"/>
          <w:lang w:val="en-US" w:eastAsia="zh-CN"/>
        </w:rPr>
      </w:pPr>
      <w:r>
        <w:rPr>
          <w:rStyle w:val="26"/>
          <w:rFonts w:hint="eastAsia"/>
          <w:b w:val="0"/>
          <w:bCs w:val="0"/>
          <w:lang w:val="en-US" w:eastAsia="zh-CN"/>
        </w:rPr>
        <w:t>维修服务要求</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2"/>
          <w:szCs w:val="22"/>
          <w:highlight w:val="none"/>
          <w:u w:val="none"/>
          <w:lang w:val="en-US" w:eastAsia="zh-CN"/>
        </w:rPr>
        <w:t>▲</w:t>
      </w:r>
      <w:r>
        <w:rPr>
          <w:rFonts w:hint="eastAsia" w:ascii="宋体" w:hAnsi="宋体" w:eastAsia="宋体" w:cs="宋体"/>
          <w:b w:val="0"/>
          <w:bCs w:val="0"/>
          <w:sz w:val="21"/>
          <w:szCs w:val="21"/>
          <w:lang w:val="en-US" w:eastAsia="zh-CN"/>
        </w:rPr>
        <w:t>（1）要求投标人至少指定2名工程师负责本项目。负责本项目的工程师必须是指定原厂工程师或经过原厂技术培训认证合格的工程师，专门负责甲方的维修和相应的培训工作，需提供厂家的培训证明及维保方认证的在有效期内的工作证或任职证明。如指定工程师有变更，将另行通知甲方变更情况</w:t>
      </w:r>
      <w:r>
        <w:rPr>
          <w:rFonts w:hint="eastAsia" w:ascii="宋体" w:hAnsi="宋体" w:eastAsia="宋体" w:cs="宋体"/>
          <w:b w:val="0"/>
          <w:bCs w:val="0"/>
          <w:sz w:val="21"/>
          <w:szCs w:val="21"/>
        </w:rPr>
        <w:t>。</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（2）为所保设备保证配件的存储并优先提供配件的供应。提供储存备件清单及仓库存储证明、物流证明。</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▲（3）更换配件应等待采购人现场确认配件为原厂新件才能更换。提供包含报关单（如为进口配件）、配件资料等在内的相关资质文件。</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（4）每月至少一次由指定负责的资深工程师现场巡查一次，巡查内容包括设备是否安全使用、本月内的灭菌数据保存和分析、现场人员操作评价等)，并登记设备巡查表。</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★(5)保证开机率：在服务时间内（按每年365天计算），对所保设备开机率承诺保证达到95%以上，即每年度正常开机达到347日，出现停机状况的日历日不超过18日（提供承诺书）。</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▲（6）具备能够维修保养本项目设备的精密专业工具，需提供专业工具清单。</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（7)现场服务需要提前与采购人沟通确认时间，提供服务工单后需要双方签名确认留底保存。</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投标人必须按国家、行业的标准及招标文件的要求对项目内的设备进行系统的、全面的检测、维护及保养，以保证设备的高效、正常运作。</w:t>
      </w:r>
      <w:r>
        <w:rPr>
          <w:rFonts w:hint="eastAsia" w:ascii="宋体" w:hAnsi="宋体" w:eastAsia="宋体" w:cs="宋体"/>
          <w:b w:val="0"/>
          <w:bCs w:val="0"/>
          <w:sz w:val="21"/>
          <w:szCs w:val="21"/>
          <w:lang w:val="en-US" w:eastAsia="zh-CN"/>
        </w:rPr>
        <w:t>每年度服务结束后应提交年度服务报告。</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9）服务方案：投标人在充分了解本项目的采购需求后，应形成有针对性、有高度可行性的服务方需避免凭空编造、内容前后不一致、前后逻辑错误、不符合采购需求、内容缺失的问题。方案内容应涵盖总体服务方案、实施计划、设备用户培训方案（至少包含培训次数、师资力量、培训内容及培训资料、培训计划）、质量保证实施方案（至少包含服务工具或设备的选择及管理、主动养护措施、备品备件、人员安排的内容）等，以展示投标人作为有实力的维保服务供应商的整体服务水平。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10</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响应时间</w:t>
      </w:r>
      <w:r>
        <w:rPr>
          <w:rFonts w:hint="eastAsia" w:ascii="宋体" w:hAnsi="宋体" w:eastAsia="宋体" w:cs="宋体"/>
          <w:b w:val="0"/>
          <w:bCs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1.全年365天24小时指定负责的资深工程师电话技术支持，0.5小时内（含）电话响应，需向采购人咨询人员提供耐心、详细的解答。</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2.若电话无法解决问题，8小时内（含）赶赴现场处理；如遇夜间8pm—次日8am设备抢修，投标人经与采购人沟通，在不影响灭菌工作开展的前提下可延迟至24小时内（含）赶赴现场处理。</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投标人应建立完善的应急预案机制，将保障设备的正常使用作为最重要的任务。应急预案应充分考虑各种可能导致设备无法正常使用时的情况（包括但不仅限于水电气故障、人员误操作等情况），方案需避免凭空编造、内容前后不一致、前后逻辑错误、不符合采购需求、内容缺失的问题。</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（12）投标人应具有同品牌同类设备维保项目业绩，并在以往的维保项目中取得用户好评。</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（13）为确保维修品质，服务商承诺修理厂家拥有以下认证证书：ISO9001认证、IS013485 认证、IS014001 认证。</w:t>
      </w:r>
    </w:p>
    <w:p>
      <w:pPr>
        <w:pStyle w:val="3"/>
        <w:ind w:firstLine="0"/>
        <w:rPr>
          <w:rStyle w:val="26"/>
          <w:rFonts w:hint="eastAsia" w:ascii="宋体" w:hAnsi="宋体" w:cs="宋体"/>
          <w:color w:val="000000"/>
          <w:kern w:val="0"/>
          <w:szCs w:val="21"/>
        </w:rPr>
      </w:pPr>
      <w:r>
        <w:rPr>
          <w:rStyle w:val="26"/>
          <w:rFonts w:hint="eastAsia" w:ascii="宋体" w:hAnsi="宋体" w:cs="宋体"/>
          <w:b/>
          <w:color w:val="000000"/>
          <w:kern w:val="0"/>
          <w:szCs w:val="21"/>
        </w:rPr>
        <w:t>五、</w:t>
      </w:r>
      <w:r>
        <w:rPr>
          <w:rStyle w:val="26"/>
          <w:rFonts w:hint="eastAsia"/>
          <w:b/>
          <w:bCs/>
        </w:rPr>
        <w:t>商务要求</w:t>
      </w:r>
    </w:p>
    <w:bookmarkEnd w:id="1"/>
    <w:bookmarkEnd w:id="2"/>
    <w:bookmarkEnd w:id="3"/>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 服务期限要求：自合同签订之日起提供一年专项安全服务（365日历日），本项目服务期满后，采购单位保留续签的权利，可根据中标供应商履约情况确定合同期限是否延长，最长不超过三年，合同一年一签。</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 服务形式：深圳市宝安区人民医院报价要求。</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 服务对象：深圳市宝安区人民医院消毒供应中心低温等离子灭菌器设备的保修、维护、保养。</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 报价要求：到达现场提供技术服务的所有差旅费以及人工费用已包含在投标报价中，采购人不另行支付。</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 付款方式：在合同签订后收到乙方正规含税发票60日内先支付合同总价的50%，剩余的50%款项于合同期满后甲方验收合格并收到乙方正规含税发票60日内付清。</w:t>
      </w: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宋体" w:hAnsi="宋体" w:eastAsia="宋体" w:cs="宋体"/>
          <w:b w:val="0"/>
          <w:bCs w:val="0"/>
          <w:sz w:val="21"/>
          <w:szCs w:val="21"/>
          <w:lang w:val="en-US" w:eastAsia="zh-CN"/>
        </w:rPr>
      </w:pPr>
    </w:p>
    <w:p>
      <w:pPr>
        <w:widowControl/>
        <w:spacing w:line="500" w:lineRule="exact"/>
        <w:jc w:val="left"/>
        <w:rPr>
          <w:rFonts w:hint="eastAsia" w:ascii="宋体" w:hAnsi="宋体" w:eastAsia="宋体" w:cs="Arial"/>
          <w:b/>
          <w:color w:val="000000"/>
          <w:kern w:val="0"/>
          <w:sz w:val="32"/>
          <w:szCs w:val="32"/>
          <w:lang w:val="en-US" w:eastAsia="zh-CN"/>
        </w:rPr>
      </w:pPr>
      <w:r>
        <w:rPr>
          <w:rFonts w:hint="eastAsia" w:ascii="宋体" w:hAnsi="宋体" w:cs="Arial"/>
          <w:b/>
          <w:color w:val="000000"/>
          <w:kern w:val="0"/>
          <w:sz w:val="32"/>
          <w:szCs w:val="32"/>
          <w:lang w:val="en-US" w:eastAsia="zh-CN"/>
        </w:rPr>
        <w:t xml:space="preserve"> </w:t>
      </w: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color w:val="FF0000"/>
          <w:sz w:val="24"/>
        </w:rPr>
      </w:pPr>
      <w:r>
        <w:rPr>
          <w:rFonts w:ascii="宋体" w:hAnsi="宋体" w:cs="宋体-18030"/>
          <w:b/>
          <w:bCs/>
          <w:color w:val="FF0000"/>
          <w:sz w:val="24"/>
        </w:rPr>
        <w:t>深圳市宝安区人民医院</w:t>
      </w:r>
      <w:r>
        <w:rPr>
          <w:rFonts w:ascii="宋体" w:hAnsi="宋体"/>
          <w:b/>
          <w:bCs/>
          <w:color w:val="FF0000"/>
          <w:sz w:val="24"/>
        </w:rPr>
        <w:t>2024年第</w:t>
      </w:r>
      <w:r>
        <w:rPr>
          <w:rFonts w:hint="eastAsia" w:ascii="宋体" w:hAnsi="宋体"/>
          <w:b/>
          <w:bCs/>
          <w:color w:val="FF0000"/>
          <w:sz w:val="24"/>
        </w:rPr>
        <w:t>4</w:t>
      </w:r>
      <w:r>
        <w:rPr>
          <w:rFonts w:hint="eastAsia" w:ascii="宋体" w:hAnsi="宋体"/>
          <w:b/>
          <w:bCs/>
          <w:color w:val="FF0000"/>
          <w:sz w:val="24"/>
          <w:lang w:val="en-US" w:eastAsia="zh-CN"/>
        </w:rPr>
        <w:t>8</w:t>
      </w:r>
      <w:r>
        <w:rPr>
          <w:rFonts w:ascii="宋体" w:hAnsi="宋体"/>
          <w:b/>
          <w:bCs/>
          <w:color w:val="FF0000"/>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color w:val="FF0000"/>
          <w:sz w:val="30"/>
          <w:szCs w:val="30"/>
        </w:rPr>
        <w:t>BYZBCG2024-</w:t>
      </w:r>
      <w:r>
        <w:rPr>
          <w:rFonts w:hint="eastAsia" w:ascii="宋体" w:hAnsi="宋体"/>
          <w:b/>
          <w:bCs/>
          <w:color w:val="FF0000"/>
          <w:sz w:val="30"/>
          <w:szCs w:val="30"/>
        </w:rPr>
        <w:t>4</w:t>
      </w:r>
      <w:r>
        <w:rPr>
          <w:rFonts w:hint="eastAsia" w:ascii="宋体" w:hAnsi="宋体"/>
          <w:b/>
          <w:bCs/>
          <w:color w:val="FF0000"/>
          <w:sz w:val="30"/>
          <w:szCs w:val="30"/>
          <w:lang w:val="en-US" w:eastAsia="zh-CN"/>
        </w:rPr>
        <w:t>8</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19"/>
          <w:rFonts w:hint="eastAsia" w:eastAsia="宋体"/>
          <w:color w:val="000000"/>
        </w:rPr>
      </w:pPr>
    </w:p>
    <w:p>
      <w:pPr>
        <w:widowControl/>
        <w:spacing w:line="500" w:lineRule="exact"/>
        <w:ind w:firstLine="970" w:firstLineChars="345"/>
        <w:rPr>
          <w:rStyle w:val="19"/>
          <w:rFonts w:hint="eastAsia" w:eastAsia="宋体"/>
          <w:color w:val="000000"/>
          <w:szCs w:val="28"/>
          <w:u w:val="single"/>
        </w:rPr>
      </w:pPr>
      <w:r>
        <w:rPr>
          <w:rStyle w:val="19"/>
          <w:rFonts w:eastAsia="宋体"/>
          <w:color w:val="000000"/>
          <w:szCs w:val="28"/>
        </w:rPr>
        <w:t>项目名称:</w:t>
      </w:r>
      <w:r>
        <w:rPr>
          <w:rFonts w:ascii="宋体" w:hAnsi="宋体" w:cs="宋体-18030"/>
          <w:bCs/>
          <w:color w:val="000000"/>
          <w:szCs w:val="21"/>
          <w:u w:val="single"/>
        </w:rPr>
        <w:t xml:space="preserve">  </w:t>
      </w:r>
      <w:r>
        <w:rPr>
          <w:rStyle w:val="19"/>
          <w:rFonts w:eastAsia="宋体"/>
          <w:color w:val="000000"/>
          <w:szCs w:val="28"/>
          <w:u w:val="single"/>
        </w:rPr>
        <w:t xml:space="preserve">  </w:t>
      </w:r>
      <w:r>
        <w:rPr>
          <w:rStyle w:val="19"/>
          <w:rFonts w:hint="eastAsia"/>
          <w:color w:val="000000"/>
          <w:szCs w:val="28"/>
          <w:u w:val="single"/>
        </w:rPr>
        <w:t xml:space="preserve">               </w:t>
      </w:r>
      <w:r>
        <w:rPr>
          <w:rStyle w:val="19"/>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rPr>
          <w:rStyle w:val="19"/>
          <w:rFonts w:hint="eastAsia" w:eastAsia="宋体" w:cstheme="minorBidi"/>
          <w:color w:val="000000"/>
          <w:szCs w:val="28"/>
          <w:u w:val="single"/>
        </w:rPr>
      </w:pPr>
      <w:r>
        <w:rPr>
          <w:rStyle w:val="19"/>
          <w:rFonts w:eastAsia="宋体"/>
          <w:color w:val="000000"/>
          <w:szCs w:val="28"/>
        </w:rPr>
        <w:t>投标单位:</w:t>
      </w:r>
      <w:r>
        <w:rPr>
          <w:rStyle w:val="19"/>
          <w:rFonts w:eastAsia="宋体"/>
          <w:color w:val="000000"/>
          <w:szCs w:val="28"/>
          <w:u w:val="single"/>
        </w:rPr>
        <w:t xml:space="preserve">                                 </w:t>
      </w:r>
      <w:r>
        <w:rPr>
          <w:rFonts w:hint="eastAsia"/>
        </w:rPr>
        <w:t xml:space="preserve">     </w:t>
      </w:r>
    </w:p>
    <w:p>
      <w:pPr>
        <w:widowControl/>
        <w:spacing w:line="500" w:lineRule="exact"/>
        <w:ind w:firstLine="970" w:firstLineChars="345"/>
        <w:rPr>
          <w:rStyle w:val="19"/>
          <w:rFonts w:hint="eastAsia" w:eastAsia="宋体"/>
          <w:color w:val="000000"/>
          <w:szCs w:val="28"/>
        </w:rPr>
      </w:pPr>
      <w:r>
        <w:rPr>
          <w:rStyle w:val="19"/>
          <w:rFonts w:eastAsia="宋体"/>
          <w:color w:val="000000"/>
          <w:szCs w:val="28"/>
        </w:rPr>
        <w:t xml:space="preserve">联系人:  </w:t>
      </w:r>
      <w:r>
        <w:rPr>
          <w:rStyle w:val="19"/>
          <w:rFonts w:eastAsia="宋体"/>
          <w:color w:val="000000"/>
          <w:szCs w:val="28"/>
          <w:u w:val="single"/>
        </w:rPr>
        <w:t xml:space="preserve">                                  </w:t>
      </w:r>
    </w:p>
    <w:p>
      <w:pPr>
        <w:widowControl/>
        <w:spacing w:line="500" w:lineRule="exact"/>
        <w:ind w:firstLine="970" w:firstLineChars="345"/>
        <w:rPr>
          <w:rStyle w:val="19"/>
          <w:rFonts w:hint="eastAsia" w:eastAsia="宋体"/>
          <w:color w:val="000000"/>
          <w:szCs w:val="28"/>
          <w:u w:val="single"/>
        </w:rPr>
      </w:pPr>
      <w:r>
        <w:rPr>
          <w:rStyle w:val="19"/>
          <w:rFonts w:eastAsia="宋体"/>
          <w:color w:val="000000"/>
          <w:szCs w:val="28"/>
        </w:rPr>
        <w:t>联系电话:</w:t>
      </w:r>
      <w:r>
        <w:rPr>
          <w:rStyle w:val="19"/>
          <w:rFonts w:eastAsia="宋体"/>
          <w:color w:val="000000"/>
          <w:szCs w:val="28"/>
          <w:u w:val="single"/>
        </w:rPr>
        <w:t xml:space="preserve">                </w:t>
      </w:r>
      <w:r>
        <w:rPr>
          <w:rStyle w:val="19"/>
          <w:rFonts w:eastAsia="宋体"/>
          <w:b w:val="0"/>
          <w:color w:val="000000"/>
          <w:sz w:val="18"/>
          <w:szCs w:val="18"/>
        </w:rPr>
        <w:t>(手机)</w:t>
      </w:r>
      <w:r>
        <w:rPr>
          <w:rStyle w:val="19"/>
          <w:rFonts w:eastAsia="宋体"/>
          <w:color w:val="000000"/>
          <w:szCs w:val="28"/>
          <w:u w:val="single"/>
        </w:rPr>
        <w:t xml:space="preserve">            </w:t>
      </w:r>
      <w:r>
        <w:rPr>
          <w:rStyle w:val="19"/>
          <w:rFonts w:eastAsia="宋体"/>
          <w:b w:val="0"/>
          <w:color w:val="000000"/>
          <w:sz w:val="18"/>
          <w:szCs w:val="18"/>
        </w:rPr>
        <w:t>(办公)</w:t>
      </w:r>
    </w:p>
    <w:p>
      <w:pPr>
        <w:widowControl/>
        <w:spacing w:line="500" w:lineRule="exact"/>
        <w:ind w:firstLine="970" w:firstLineChars="345"/>
        <w:rPr>
          <w:rStyle w:val="19"/>
          <w:rFonts w:hint="eastAsia" w:eastAsia="宋体"/>
          <w:color w:val="000000"/>
          <w:szCs w:val="28"/>
          <w:u w:val="single"/>
        </w:rPr>
      </w:pPr>
      <w:r>
        <w:rPr>
          <w:rStyle w:val="19"/>
          <w:rFonts w:eastAsia="宋体"/>
          <w:color w:val="000000"/>
          <w:szCs w:val="28"/>
        </w:rPr>
        <w:t>地址:</w:t>
      </w:r>
      <w:r>
        <w:rPr>
          <w:rStyle w:val="19"/>
          <w:rFonts w:eastAsia="宋体"/>
          <w:color w:val="000000"/>
          <w:szCs w:val="28"/>
          <w:u w:val="single"/>
        </w:rPr>
        <w:t xml:space="preserve">                                        </w:t>
      </w:r>
    </w:p>
    <w:p>
      <w:pPr>
        <w:widowControl/>
        <w:spacing w:line="500" w:lineRule="exact"/>
        <w:ind w:firstLine="970" w:firstLineChars="345"/>
        <w:rPr>
          <w:rStyle w:val="19"/>
          <w:rFonts w:hint="eastAsia" w:eastAsia="宋体"/>
          <w:color w:val="000000"/>
          <w:szCs w:val="28"/>
        </w:rPr>
      </w:pPr>
      <w:r>
        <w:rPr>
          <w:rStyle w:val="19"/>
          <w:rFonts w:eastAsia="宋体"/>
          <w:color w:val="000000"/>
          <w:szCs w:val="28"/>
        </w:rPr>
        <w:t>日期:2024年</w:t>
      </w:r>
      <w:r>
        <w:rPr>
          <w:rStyle w:val="19"/>
          <w:rFonts w:eastAsia="宋体"/>
          <w:color w:val="000000"/>
          <w:szCs w:val="28"/>
          <w:u w:val="single"/>
        </w:rPr>
        <w:t xml:space="preserve">    </w:t>
      </w:r>
      <w:r>
        <w:rPr>
          <w:rStyle w:val="19"/>
          <w:rFonts w:eastAsia="宋体"/>
          <w:color w:val="000000"/>
          <w:szCs w:val="28"/>
        </w:rPr>
        <w:t>月</w:t>
      </w:r>
      <w:r>
        <w:rPr>
          <w:rStyle w:val="19"/>
          <w:rFonts w:eastAsia="宋体"/>
          <w:color w:val="000000"/>
          <w:szCs w:val="28"/>
          <w:u w:val="single"/>
        </w:rPr>
        <w:t xml:space="preserve">    </w:t>
      </w:r>
      <w:r>
        <w:rPr>
          <w:rStyle w:val="19"/>
          <w:rFonts w:eastAsia="宋体"/>
          <w:color w:val="000000"/>
          <w:szCs w:val="28"/>
        </w:rPr>
        <w:t xml:space="preserve">日                                           </w:t>
      </w:r>
    </w:p>
    <w:p>
      <w:pPr>
        <w:widowControl/>
        <w:spacing w:line="500" w:lineRule="exact"/>
        <w:ind w:firstLine="970" w:firstLineChars="345"/>
        <w:rPr>
          <w:rStyle w:val="19"/>
          <w:rFonts w:hint="eastAsia" w:eastAsia="宋体"/>
          <w:color w:val="000000"/>
          <w:szCs w:val="28"/>
        </w:rPr>
      </w:pPr>
      <w:r>
        <w:rPr>
          <w:rStyle w:val="19"/>
          <w:rFonts w:eastAsia="宋体"/>
          <w:color w:val="000000"/>
          <w:szCs w:val="28"/>
        </w:rPr>
        <w:t xml:space="preserve">                                           </w:t>
      </w:r>
    </w:p>
    <w:p>
      <w:pPr>
        <w:widowControl/>
        <w:spacing w:line="500" w:lineRule="exact"/>
        <w:jc w:val="left"/>
        <w:rPr>
          <w:rStyle w:val="19"/>
          <w:rFonts w:hint="eastAsia" w:cs="宋体"/>
          <w:color w:val="000000"/>
          <w:szCs w:val="28"/>
        </w:rPr>
      </w:pPr>
      <w:r>
        <w:rPr>
          <w:rStyle w:val="19"/>
          <w:rFonts w:hint="eastAsia" w:cs="宋体"/>
          <w:color w:val="000000"/>
          <w:szCs w:val="28"/>
        </w:rPr>
        <w:t>备注:</w:t>
      </w:r>
    </w:p>
    <w:p>
      <w:pPr>
        <w:widowControl/>
        <w:spacing w:line="500" w:lineRule="exact"/>
        <w:jc w:val="left"/>
        <w:rPr>
          <w:rFonts w:hint="eastAsia" w:ascii="微软雅黑" w:hAnsi="微软雅黑" w:eastAsia="微软雅黑" w:cs="微软雅黑"/>
          <w:color w:val="auto"/>
          <w:kern w:val="0"/>
          <w:sz w:val="28"/>
          <w:szCs w:val="28"/>
          <w:highlight w:val="none"/>
        </w:rPr>
      </w:pPr>
      <w:r>
        <w:rPr>
          <w:rStyle w:val="19"/>
          <w:rFonts w:hint="eastAsia" w:cs="宋体"/>
          <w:color w:val="000000"/>
          <w:szCs w:val="28"/>
        </w:rPr>
        <w:t>一</w:t>
      </w:r>
      <w:r>
        <w:rPr>
          <w:rStyle w:val="19"/>
          <w:rFonts w:hint="eastAsia" w:ascii="微软雅黑" w:hAnsi="微软雅黑" w:eastAsia="微软雅黑" w:cs="微软雅黑"/>
          <w:color w:val="000000"/>
          <w:szCs w:val="28"/>
        </w:rPr>
        <w:t>､</w:t>
      </w:r>
      <w:r>
        <w:rPr>
          <w:rStyle w:val="19"/>
          <w:rFonts w:hint="eastAsia" w:ascii="黑体" w:hAnsi="黑体" w:cs="黑体"/>
          <w:color w:val="000000"/>
          <w:szCs w:val="28"/>
        </w:rPr>
        <w:t>资料预审时</w:t>
      </w:r>
      <w:r>
        <w:rPr>
          <w:rStyle w:val="19"/>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19"/>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auto"/>
          <w:kern w:val="0"/>
          <w:sz w:val="28"/>
          <w:szCs w:val="28"/>
          <w:highlight w:val="none"/>
        </w:rPr>
        <w:t>电子版文件包括：标题格式：2024年＋期号＋投标公司名称；资料一：投标书正本(胶装成册)纸质扫描件(PDF格式)，资料二：封面</w:t>
      </w:r>
      <w:r>
        <w:rPr>
          <w:rFonts w:hint="eastAsia" w:ascii="微软雅黑" w:hAnsi="微软雅黑" w:eastAsia="微软雅黑" w:cs="微软雅黑"/>
          <w:color w:val="auto"/>
          <w:kern w:val="0"/>
          <w:sz w:val="28"/>
          <w:szCs w:val="28"/>
          <w:highlight w:val="none"/>
        </w:rPr>
        <w:t>､</w:t>
      </w:r>
      <w:r>
        <w:rPr>
          <w:rFonts w:hint="eastAsia" w:ascii="宋体" w:hAnsi="宋体" w:cs="宋体"/>
          <w:color w:val="auto"/>
          <w:kern w:val="0"/>
          <w:sz w:val="28"/>
          <w:szCs w:val="28"/>
          <w:highlight w:val="none"/>
        </w:rPr>
        <w:t>报价单(价格不填)为word格式</w:t>
      </w:r>
      <w:r>
        <w:rPr>
          <w:rFonts w:hint="eastAsia" w:ascii="微软雅黑" w:hAnsi="微软雅黑" w:eastAsia="微软雅黑" w:cs="微软雅黑"/>
          <w:color w:val="auto"/>
          <w:kern w:val="0"/>
          <w:sz w:val="28"/>
          <w:szCs w:val="28"/>
          <w:highlight w:val="none"/>
        </w:rPr>
        <w:t>｡</w:t>
      </w:r>
      <w:r>
        <w:rPr>
          <w:rFonts w:hint="eastAsia" w:ascii="宋体" w:hAnsi="宋体" w:cs="宋体"/>
          <w:color w:val="auto"/>
          <w:kern w:val="0"/>
          <w:sz w:val="28"/>
          <w:szCs w:val="28"/>
          <w:highlight w:val="none"/>
        </w:rPr>
        <w:t>）</w:t>
      </w:r>
      <w:r>
        <w:rPr>
          <w:rFonts w:hint="eastAsia"/>
          <w:b/>
          <w:bCs/>
          <w:color w:val="auto"/>
          <w:kern w:val="0"/>
          <w:highlight w:val="none"/>
        </w:rPr>
        <w:t>】</w:t>
      </w:r>
    </w:p>
    <w:p>
      <w:pPr>
        <w:widowControl/>
        <w:spacing w:line="500" w:lineRule="exact"/>
        <w:jc w:val="left"/>
        <w:rPr>
          <w:rStyle w:val="19"/>
          <w:rFonts w:hint="eastAsia" w:cs="宋体"/>
          <w:color w:val="000000"/>
          <w:szCs w:val="28"/>
        </w:rPr>
      </w:pPr>
      <w:r>
        <w:rPr>
          <w:rStyle w:val="19"/>
          <w:rFonts w:hint="eastAsia" w:cs="宋体"/>
          <w:color w:val="000000"/>
          <w:szCs w:val="28"/>
        </w:rPr>
        <w:t>二</w:t>
      </w:r>
      <w:r>
        <w:rPr>
          <w:rStyle w:val="19"/>
          <w:rFonts w:hint="eastAsia" w:ascii="微软雅黑" w:hAnsi="微软雅黑" w:eastAsia="微软雅黑" w:cs="微软雅黑"/>
          <w:color w:val="000000"/>
          <w:szCs w:val="28"/>
        </w:rPr>
        <w:t>､</w:t>
      </w:r>
      <w:r>
        <w:rPr>
          <w:rStyle w:val="19"/>
          <w:rFonts w:hint="eastAsia" w:ascii="黑体" w:hAnsi="黑体" w:cs="黑体"/>
          <w:color w:val="000000"/>
          <w:szCs w:val="28"/>
        </w:rPr>
        <w:t>谈判现场</w:t>
      </w:r>
      <w:r>
        <w:rPr>
          <w:rStyle w:val="19"/>
          <w:rFonts w:hint="eastAsia" w:cs="宋体"/>
          <w:color w:val="000000"/>
          <w:szCs w:val="28"/>
        </w:rPr>
        <w:t>,提交副本4份(纸质胶装封面)</w:t>
      </w:r>
      <w:r>
        <w:rPr>
          <w:rStyle w:val="19"/>
          <w:rFonts w:hint="eastAsia" w:ascii="微软雅黑" w:hAnsi="微软雅黑" w:eastAsia="微软雅黑" w:cs="微软雅黑"/>
          <w:color w:val="000000"/>
          <w:szCs w:val="28"/>
        </w:rPr>
        <w:t>､</w:t>
      </w:r>
      <w:r>
        <w:rPr>
          <w:rStyle w:val="19"/>
          <w:rFonts w:hint="eastAsia" w:ascii="黑体" w:hAnsi="黑体" w:cs="黑体"/>
          <w:color w:val="000000"/>
          <w:szCs w:val="28"/>
        </w:rPr>
        <w:t>一份密封报价单</w:t>
      </w:r>
      <w:r>
        <w:rPr>
          <w:rStyle w:val="19"/>
          <w:rFonts w:hint="eastAsia" w:ascii="微软雅黑" w:hAnsi="微软雅黑" w:eastAsia="微软雅黑" w:cs="微软雅黑"/>
          <w:color w:val="000000"/>
          <w:szCs w:val="28"/>
        </w:rPr>
        <w:t>｡</w:t>
      </w:r>
    </w:p>
    <w:p>
      <w:pPr>
        <w:widowControl/>
        <w:spacing w:line="360" w:lineRule="atLeast"/>
        <w:rPr>
          <w:rStyle w:val="19"/>
          <w:rFonts w:hint="eastAsia" w:ascii="微软雅黑" w:hAnsi="微软雅黑" w:eastAsia="微软雅黑" w:cs="微软雅黑"/>
          <w:szCs w:val="28"/>
        </w:rPr>
      </w:pPr>
      <w:r>
        <w:rPr>
          <w:rStyle w:val="19"/>
          <w:rFonts w:hint="eastAsia" w:cs="宋体"/>
          <w:szCs w:val="28"/>
        </w:rPr>
        <w:t>三</w:t>
      </w:r>
      <w:r>
        <w:rPr>
          <w:rStyle w:val="19"/>
          <w:rFonts w:hint="eastAsia" w:ascii="微软雅黑" w:hAnsi="微软雅黑" w:eastAsia="微软雅黑" w:cs="微软雅黑"/>
          <w:szCs w:val="28"/>
        </w:rPr>
        <w:t>､</w:t>
      </w:r>
      <w:r>
        <w:rPr>
          <w:rStyle w:val="19"/>
          <w:rFonts w:hint="eastAsia" w:ascii="黑体" w:hAnsi="黑体" w:cs="黑体"/>
          <w:szCs w:val="28"/>
        </w:rPr>
        <w:t>节约纸张</w:t>
      </w:r>
      <w:r>
        <w:rPr>
          <w:rStyle w:val="19"/>
          <w:rFonts w:hint="eastAsia" w:cs="宋体"/>
          <w:szCs w:val="28"/>
        </w:rPr>
        <w:t>,请双面打印</w:t>
      </w:r>
      <w:r>
        <w:rPr>
          <w:rStyle w:val="19"/>
          <w:rFonts w:hint="eastAsia" w:ascii="微软雅黑" w:hAnsi="微软雅黑" w:eastAsia="微软雅黑" w:cs="微软雅黑"/>
          <w:szCs w:val="28"/>
        </w:rPr>
        <w:t>｡</w:t>
      </w:r>
    </w:p>
    <w:p>
      <w:pPr>
        <w:widowControl/>
        <w:spacing w:line="500" w:lineRule="exact"/>
        <w:jc w:val="left"/>
        <w:rPr>
          <w:rStyle w:val="19"/>
          <w:rFonts w:hint="eastAsia" w:eastAsia="宋体"/>
          <w:color w:val="FF0000"/>
          <w:szCs w:val="28"/>
        </w:rPr>
      </w:pPr>
      <w:r>
        <w:rPr>
          <w:rStyle w:val="19"/>
          <w:rFonts w:eastAsia="宋体"/>
          <w:color w:val="FF0000"/>
          <w:szCs w:val="28"/>
        </w:rPr>
        <w:br w:type="page"/>
      </w:r>
    </w:p>
    <w:p>
      <w:pPr>
        <w:jc w:val="center"/>
        <w:rPr>
          <w:rFonts w:hint="eastAsia" w:ascii="宋体" w:hAnsi="宋体"/>
          <w:b/>
          <w:bCs/>
          <w:sz w:val="48"/>
          <w:szCs w:val="48"/>
          <w:highlight w:val="none"/>
        </w:rPr>
      </w:pPr>
      <w:r>
        <w:rPr>
          <w:rFonts w:hint="eastAsia" w:ascii="宋体" w:hAnsi="宋体"/>
          <w:b/>
          <w:bCs/>
          <w:sz w:val="48"/>
          <w:szCs w:val="48"/>
          <w:highlight w:val="none"/>
        </w:rPr>
        <w:t>特别警示提醒</w:t>
      </w:r>
    </w:p>
    <w:p>
      <w:pPr>
        <w:pStyle w:val="12"/>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2"/>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3"/>
          <w:rFonts w:ascii="宋体" w:hAnsi="宋体"/>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1"/>
        <w:rPr>
          <w:rFonts w:hint="eastAsia" w:ascii="宋体" w:hAnsi="宋体" w:eastAsia="宋体"/>
          <w:smallCaps/>
          <w:sz w:val="24"/>
        </w:rPr>
      </w:pPr>
      <w:r>
        <w:rPr>
          <w:rFonts w:hint="eastAsia" w:ascii="宋体" w:hAnsi="宋体" w:eastAsia="宋体"/>
          <w:szCs w:val="21"/>
        </w:rPr>
        <w:t>六、</w:t>
      </w:r>
      <w:r>
        <w:rPr>
          <w:rStyle w:val="53"/>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2"/>
        <w:rPr>
          <w:color w:val="auto"/>
          <w:sz w:val="24"/>
          <w:szCs w:val="24"/>
          <w:highlight w:val="none"/>
        </w:rPr>
      </w:pPr>
      <w:r>
        <w:rPr>
          <w:rFonts w:hint="eastAsia"/>
          <w:color w:val="auto"/>
          <w:sz w:val="24"/>
          <w:szCs w:val="24"/>
          <w:highlight w:val="none"/>
        </w:rPr>
        <w:t>（此警示条款需与投标文件一起装订入册）</w:t>
      </w:r>
    </w:p>
    <w:p>
      <w:pPr>
        <w:pStyle w:val="2"/>
      </w:pPr>
    </w:p>
    <w:p>
      <w:pPr>
        <w:pStyle w:val="2"/>
      </w:pPr>
    </w:p>
    <w:p>
      <w:pPr>
        <w:pStyle w:val="2"/>
      </w:pPr>
    </w:p>
    <w:p>
      <w:pPr>
        <w:pStyle w:val="2"/>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19"/>
          <w:rFonts w:hint="eastAsia"/>
          <w:sz w:val="36"/>
          <w:szCs w:val="36"/>
        </w:rPr>
      </w:pPr>
      <w:r>
        <w:rPr>
          <w:rStyle w:val="19"/>
          <w:sz w:val="36"/>
          <w:szCs w:val="36"/>
        </w:rPr>
        <w:t>目  录</w:t>
      </w:r>
    </w:p>
    <w:p>
      <w:pPr>
        <w:numPr>
          <w:ilvl w:val="0"/>
          <w:numId w:val="7"/>
        </w:numPr>
        <w:contextualSpacing/>
        <w:rPr>
          <w:rFonts w:hint="eastAsia" w:ascii="宋体" w:hAnsi="宋体"/>
          <w:szCs w:val="21"/>
        </w:rPr>
      </w:pPr>
      <w:r>
        <w:rPr>
          <w:rFonts w:hint="eastAsia" w:ascii="宋体" w:hAnsi="宋体"/>
          <w:szCs w:val="21"/>
        </w:rPr>
        <w:t>评标指引表</w:t>
      </w:r>
    </w:p>
    <w:p>
      <w:pPr>
        <w:numPr>
          <w:ilvl w:val="0"/>
          <w:numId w:val="7"/>
        </w:numPr>
        <w:contextualSpacing/>
        <w:rPr>
          <w:rFonts w:hint="eastAsia" w:ascii="宋体" w:hAnsi="宋体"/>
          <w:szCs w:val="21"/>
        </w:rPr>
      </w:pPr>
      <w:r>
        <w:rPr>
          <w:rFonts w:hint="eastAsia" w:ascii="宋体" w:hAnsi="宋体"/>
          <w:szCs w:val="21"/>
          <w:lang w:val="en-US" w:eastAsia="zh-CN"/>
        </w:rPr>
        <w:t>服务需求</w:t>
      </w:r>
      <w:r>
        <w:rPr>
          <w:rFonts w:hint="eastAsia" w:ascii="宋体" w:hAnsi="宋体"/>
          <w:szCs w:val="21"/>
        </w:rPr>
        <w:t>偏离表</w:t>
      </w:r>
    </w:p>
    <w:p>
      <w:pPr>
        <w:numPr>
          <w:ilvl w:val="0"/>
          <w:numId w:val="7"/>
        </w:numPr>
        <w:contextualSpacing/>
        <w:rPr>
          <w:rFonts w:hint="eastAsia" w:ascii="宋体" w:hAnsi="宋体"/>
          <w:szCs w:val="21"/>
        </w:rPr>
      </w:pPr>
      <w:r>
        <w:rPr>
          <w:rFonts w:hint="eastAsia" w:ascii="宋体" w:hAnsi="宋体"/>
          <w:szCs w:val="21"/>
        </w:rPr>
        <w:t>投标函</w:t>
      </w:r>
    </w:p>
    <w:p>
      <w:pPr>
        <w:numPr>
          <w:ilvl w:val="0"/>
          <w:numId w:val="7"/>
        </w:numPr>
        <w:contextualSpacing/>
        <w:rPr>
          <w:rFonts w:hint="eastAsia" w:ascii="宋体" w:hAnsi="宋体"/>
          <w:szCs w:val="21"/>
        </w:rPr>
      </w:pPr>
      <w:r>
        <w:rPr>
          <w:rFonts w:hint="eastAsia" w:ascii="宋体" w:hAnsi="宋体"/>
          <w:szCs w:val="21"/>
        </w:rPr>
        <w:t>投标履约承诺函</w:t>
      </w:r>
    </w:p>
    <w:p>
      <w:pPr>
        <w:numPr>
          <w:ilvl w:val="0"/>
          <w:numId w:val="7"/>
        </w:numPr>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7"/>
        </w:numPr>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numPr>
          <w:ilvl w:val="0"/>
          <w:numId w:val="7"/>
        </w:numPr>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w:t>
      </w:r>
      <w:r>
        <w:rPr>
          <w:rFonts w:hint="eastAsia" w:ascii="宋体" w:hAnsi="宋体"/>
          <w:szCs w:val="21"/>
        </w:rPr>
        <w:t>投标</w:t>
      </w:r>
      <w:r>
        <w:rPr>
          <w:rFonts w:ascii="宋体" w:hAnsi="宋体"/>
          <w:szCs w:val="21"/>
        </w:rPr>
        <w:t>商)</w:t>
      </w:r>
    </w:p>
    <w:p>
      <w:pPr>
        <w:numPr>
          <w:ilvl w:val="0"/>
          <w:numId w:val="7"/>
        </w:numPr>
        <w:contextualSpacing/>
        <w:rPr>
          <w:rFonts w:hint="eastAsia" w:ascii="宋体" w:hAnsi="宋体"/>
          <w:szCs w:val="21"/>
        </w:rPr>
      </w:pPr>
      <w:r>
        <w:rPr>
          <w:rFonts w:hint="eastAsia" w:ascii="宋体" w:hAnsi="宋体"/>
          <w:szCs w:val="21"/>
        </w:rPr>
        <w:t>企业通过认证的证书</w:t>
      </w:r>
      <w:r>
        <w:rPr>
          <w:rFonts w:ascii="宋体" w:hAnsi="宋体"/>
          <w:szCs w:val="21"/>
        </w:rPr>
        <w:t>(原件备验交扫描件)</w:t>
      </w:r>
    </w:p>
    <w:p>
      <w:pPr>
        <w:numPr>
          <w:ilvl w:val="0"/>
          <w:numId w:val="7"/>
        </w:numPr>
        <w:contextualSpacing/>
        <w:rPr>
          <w:rFonts w:hint="eastAsia" w:ascii="宋体" w:hAnsi="宋体"/>
          <w:szCs w:val="21"/>
        </w:rPr>
      </w:pPr>
      <w:r>
        <w:rPr>
          <w:rFonts w:hint="eastAsia" w:ascii="宋体" w:hAnsi="宋体"/>
          <w:szCs w:val="21"/>
        </w:rPr>
        <w:t>服务承诺书</w:t>
      </w:r>
    </w:p>
    <w:p>
      <w:pPr>
        <w:numPr>
          <w:ilvl w:val="0"/>
          <w:numId w:val="7"/>
        </w:numPr>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7"/>
        </w:numPr>
        <w:contextualSpacing/>
        <w:rPr>
          <w:rFonts w:hint="eastAsia" w:ascii="宋体" w:hAnsi="宋体"/>
          <w:szCs w:val="21"/>
        </w:rPr>
      </w:pPr>
      <w:r>
        <w:rPr>
          <w:rFonts w:hint="eastAsia" w:ascii="宋体" w:hAnsi="宋体"/>
          <w:szCs w:val="21"/>
        </w:rPr>
        <w:t>项目管理主要技术和售后服务人员情况表及近一年社会保险证明</w:t>
      </w:r>
    </w:p>
    <w:p>
      <w:pPr>
        <w:pStyle w:val="2"/>
        <w:snapToGrid w:val="0"/>
        <w:contextualSpacing/>
        <w:rPr>
          <w:rFonts w:hint="eastAsia" w:hAnsi="宋体"/>
        </w:rPr>
      </w:pPr>
      <w:r>
        <w:rPr>
          <w:rFonts w:hint="eastAsia" w:hAnsi="宋体"/>
        </w:rPr>
        <w:t>12. 项目详细设计/实施及保障方案</w:t>
      </w:r>
    </w:p>
    <w:p>
      <w:pPr>
        <w:contextualSpacing/>
        <w:rPr>
          <w:rFonts w:hint="eastAsia"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 xml:space="preserve"> 培训及售后服务计划</w:t>
      </w:r>
    </w:p>
    <w:p>
      <w:pPr>
        <w:contextualSpacing/>
        <w:rPr>
          <w:rFonts w:hint="eastAsia" w:ascii="宋体" w:hAnsi="宋体"/>
          <w:szCs w:val="21"/>
        </w:rPr>
      </w:pPr>
      <w:r>
        <w:rPr>
          <w:rFonts w:hint="eastAsia" w:ascii="宋体" w:hAnsi="宋体"/>
          <w:szCs w:val="21"/>
        </w:rPr>
        <w:t>14</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提供通过</w:t>
      </w:r>
      <w:r>
        <w:rPr>
          <w:rFonts w:hint="eastAsia" w:ascii="宋体" w:hAnsi="宋体"/>
          <w:szCs w:val="21"/>
          <w:lang w:val="en-US" w:eastAsia="zh-CN"/>
        </w:rPr>
        <w:t>15.</w:t>
      </w:r>
      <w:r>
        <w:rPr>
          <w:rFonts w:hint="eastAsia" w:ascii="宋体" w:hAnsi="宋体"/>
          <w:szCs w:val="21"/>
        </w:rPr>
        <w:t>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17"/>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17"/>
          <w:rFonts w:ascii="宋体" w:hAnsi="宋体"/>
          <w:color w:val="auto"/>
          <w:szCs w:val="21"/>
        </w:rPr>
        <w:t>www.creditchina.gov.cn)</w:t>
      </w:r>
    </w:p>
    <w:p>
      <w:pPr>
        <w:snapToGrid w:val="0"/>
        <w:ind w:firstLine="1260" w:firstLineChars="600"/>
        <w:contextualSpacing/>
        <w:rPr>
          <w:rFonts w:hint="eastAsia" w:ascii="宋体" w:hAnsi="宋体"/>
          <w:szCs w:val="21"/>
        </w:rPr>
      </w:pPr>
      <w:r>
        <w:rPr>
          <w:rStyle w:val="17"/>
          <w:rFonts w:hint="eastAsia" w:ascii="宋体" w:hAnsi="宋体" w:cs="微软雅黑"/>
          <w:color w:val="auto"/>
          <w:szCs w:val="21"/>
          <w:lang w:val="en-US" w:eastAsia="zh-CN"/>
        </w:rPr>
        <w:t>15.</w:t>
      </w:r>
      <w:r>
        <w:rPr>
          <w:rStyle w:val="17"/>
          <w:rFonts w:hint="eastAsia" w:ascii="宋体" w:hAnsi="宋体" w:cs="微软雅黑"/>
          <w:color w:val="auto"/>
          <w:szCs w:val="21"/>
        </w:rPr>
        <w:t xml:space="preserve">2 </w:t>
      </w:r>
      <w:r>
        <w:rPr>
          <w:rStyle w:val="17"/>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17"/>
          <w:rFonts w:ascii="宋体" w:hAnsi="宋体"/>
          <w:color w:val="auto"/>
          <w:szCs w:val="21"/>
        </w:rPr>
        <w:t>www.ccgp.gov.cn</w:t>
      </w:r>
      <w:r>
        <w:rPr>
          <w:rStyle w:val="17"/>
          <w:rFonts w:hint="eastAsia" w:ascii="宋体" w:hAnsi="宋体"/>
          <w:color w:val="auto"/>
          <w:szCs w:val="21"/>
        </w:rPr>
        <w:t>)</w:t>
      </w:r>
      <w:r>
        <w:rPr>
          <w:rStyle w:val="17"/>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lang w:val="en-US" w:eastAsia="zh-CN"/>
        </w:rPr>
        <w:t>15.</w:t>
      </w:r>
      <w:r>
        <w:rPr>
          <w:rFonts w:hint="eastAsia" w:ascii="宋体" w:hAnsi="宋体"/>
          <w:szCs w:val="21"/>
        </w:rPr>
        <w:t>3深圳市政府采购监管网(http:/zfcg.sz.gov. cn/cgjg/cxda.</w:t>
      </w:r>
      <w:r>
        <w:rPr>
          <w:rFonts w:ascii="宋体" w:hAnsi="宋体"/>
          <w:szCs w:val="21"/>
        </w:rPr>
        <w:t xml:space="preserve">index.html) </w:t>
      </w:r>
    </w:p>
    <w:p>
      <w:pPr>
        <w:snapToGrid w:val="0"/>
        <w:ind w:firstLine="1260" w:firstLineChars="600"/>
        <w:contextualSpacing/>
        <w:rPr>
          <w:rStyle w:val="49"/>
          <w:rFonts w:hint="default"/>
        </w:rPr>
      </w:pPr>
      <w:r>
        <w:rPr>
          <w:rFonts w:hint="eastAsia" w:ascii="宋体" w:hAnsi="宋体"/>
          <w:szCs w:val="21"/>
          <w:lang w:val="en-US" w:eastAsia="zh-CN"/>
        </w:rPr>
        <w:t>15.</w:t>
      </w:r>
      <w:r>
        <w:rPr>
          <w:rFonts w:hint="eastAsia" w:ascii="宋体" w:hAnsi="宋体"/>
          <w:szCs w:val="21"/>
        </w:rPr>
        <w:t>4</w:t>
      </w:r>
      <w:r>
        <w:rPr>
          <w:rStyle w:val="49"/>
          <w:rFonts w:hint="default"/>
        </w:rPr>
        <w:t>深圳信用网</w:t>
      </w:r>
      <w:r>
        <w:rPr>
          <w:rStyle w:val="49"/>
          <w:rFonts w:hint="default"/>
          <w:color w:val="auto"/>
        </w:rPr>
        <w:t>（</w:t>
      </w:r>
      <w:r>
        <w:fldChar w:fldCharType="begin"/>
      </w:r>
      <w:r>
        <w:instrText xml:space="preserve"> HYPERLINK "https://www.szcredit.org.cn/?cdType=sgsl&amp;type=XZXK" \l "/xyfw" </w:instrText>
      </w:r>
      <w:r>
        <w:fldChar w:fldCharType="separate"/>
      </w:r>
      <w:r>
        <w:rPr>
          <w:rStyle w:val="17"/>
          <w:rFonts w:ascii="宋体" w:hAnsi="宋体" w:cs="宋体"/>
          <w:color w:val="auto"/>
          <w:szCs w:val="21"/>
        </w:rPr>
        <w:t>https://www.szcredit.org.cn/?cdType=sgsl&amp;type=XZXK#/xyfw</w:t>
      </w:r>
      <w:r>
        <w:rPr>
          <w:rStyle w:val="17"/>
          <w:rFonts w:ascii="宋体" w:hAnsi="宋体" w:cs="宋体"/>
          <w:color w:val="auto"/>
          <w:szCs w:val="21"/>
        </w:rPr>
        <w:fldChar w:fldCharType="end"/>
      </w:r>
      <w:r>
        <w:rPr>
          <w:rStyle w:val="49"/>
          <w:rFonts w:hint="default"/>
        </w:rPr>
        <w:t>）</w:t>
      </w:r>
    </w:p>
    <w:p>
      <w:pPr>
        <w:snapToGrid w:val="0"/>
        <w:ind w:firstLine="1260" w:firstLineChars="600"/>
        <w:contextualSpacing/>
        <w:rPr>
          <w:rFonts w:hint="eastAsia" w:ascii="宋体" w:hAnsi="宋体"/>
          <w:szCs w:val="21"/>
        </w:rPr>
      </w:pPr>
      <w:r>
        <w:rPr>
          <w:rStyle w:val="49"/>
          <w:rFonts w:hint="eastAsia"/>
          <w:lang w:val="en-US" w:eastAsia="zh-CN"/>
        </w:rPr>
        <w:t>15.</w:t>
      </w:r>
      <w:r>
        <w:rPr>
          <w:rStyle w:val="49"/>
          <w:rFonts w:hint="default"/>
        </w:rPr>
        <w:t>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17"/>
          <w:rFonts w:ascii="宋体" w:hAnsi="宋体"/>
          <w:color w:val="auto"/>
          <w:szCs w:val="21"/>
        </w:rPr>
        <w:t>https://www.gsxt.gov.cnindex.html</w:t>
      </w:r>
      <w:r>
        <w:rPr>
          <w:rStyle w:val="17"/>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pStyle w:val="31"/>
        <w:numPr>
          <w:ilvl w:val="0"/>
          <w:numId w:val="8"/>
        </w:numPr>
        <w:snapToGrid w:val="0"/>
        <w:ind w:firstLineChars="0"/>
        <w:contextualSpacing/>
        <w:rPr>
          <w:rFonts w:hint="eastAsia" w:ascii="宋体" w:hAnsi="宋体"/>
          <w:color w:val="008000"/>
          <w:szCs w:val="21"/>
        </w:rPr>
      </w:pPr>
      <w:r>
        <w:rPr>
          <w:rFonts w:hint="eastAsia" w:ascii="宋体" w:hAnsi="宋体"/>
          <w:szCs w:val="21"/>
        </w:rPr>
        <w:t>报价</w:t>
      </w:r>
      <w:r>
        <w:rPr>
          <w:rFonts w:ascii="宋体" w:hAnsi="宋体"/>
          <w:szCs w:val="21"/>
        </w:rPr>
        <w:t>表</w:t>
      </w:r>
      <w:r>
        <w:rPr>
          <w:rFonts w:ascii="宋体" w:hAnsi="宋体"/>
          <w:color w:val="008000"/>
          <w:szCs w:val="21"/>
        </w:rPr>
        <w:t>(</w:t>
      </w:r>
      <w:r>
        <w:rPr>
          <w:rFonts w:ascii="宋体" w:hAnsi="宋体"/>
          <w:color w:val="FF0000"/>
          <w:szCs w:val="21"/>
        </w:rPr>
        <w:t>价</w:t>
      </w:r>
      <w:r>
        <w:rPr>
          <w:rFonts w:hint="eastAsia" w:ascii="宋体" w:hAnsi="宋体"/>
          <w:color w:val="FF0000"/>
          <w:szCs w:val="21"/>
        </w:rPr>
        <w:t>格不填</w:t>
      </w:r>
      <w:r>
        <w:rPr>
          <w:rFonts w:ascii="宋体" w:hAnsi="宋体"/>
          <w:color w:val="008000"/>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color w:val="000000"/>
          <w:kern w:val="0"/>
          <w:szCs w:val="21"/>
        </w:rPr>
      </w:pPr>
      <w:r>
        <w:rPr>
          <w:rFonts w:hint="eastAsia" w:ascii="宋体" w:hAnsi="宋体" w:cs="Arial"/>
          <w:color w:val="000000"/>
          <w:kern w:val="0"/>
          <w:szCs w:val="21"/>
        </w:rPr>
        <w:t>以上材料复印件须盖企业红章，</w:t>
      </w:r>
      <w:r>
        <w:rPr>
          <w:rFonts w:hint="eastAsia" w:ascii="宋体" w:hAnsi="宋体" w:cs="Arial"/>
          <w:color w:val="FF0000"/>
          <w:kern w:val="0"/>
          <w:szCs w:val="21"/>
        </w:rPr>
        <w:t>法人代表授权书须有法人代表签名</w:t>
      </w:r>
      <w:r>
        <w:rPr>
          <w:rFonts w:hint="eastAsia" w:ascii="宋体" w:hAnsi="宋体" w:cs="Arial"/>
          <w:color w:val="000000"/>
          <w:kern w:val="0"/>
          <w:szCs w:val="21"/>
        </w:rPr>
        <w:t>。若以上材料未能全面提供以至影响评标结果，投标人自负全责。</w:t>
      </w:r>
    </w:p>
    <w:p>
      <w:pPr>
        <w:spacing w:after="60"/>
        <w:ind w:left="420"/>
        <w:contextualSpacing/>
        <w:rPr>
          <w:rFonts w:hint="eastAsia" w:ascii="宋体" w:hAnsi="宋体"/>
          <w:sz w:val="18"/>
          <w:szCs w:val="18"/>
        </w:rPr>
      </w:pPr>
      <w:r>
        <w:rPr>
          <w:rFonts w:hint="eastAsia" w:ascii="宋体" w:hAnsi="宋体"/>
          <w:szCs w:val="21"/>
        </w:rPr>
        <w:t>备注：1、纸质投标文件请按以上《目录》顺序装订成册，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 w:val="18"/>
          <w:szCs w:val="18"/>
        </w:rPr>
        <w:t>。</w:t>
      </w:r>
    </w:p>
    <w:p>
      <w:pPr>
        <w:widowControl/>
        <w:snapToGrid w:val="0"/>
        <w:ind w:firstLine="420" w:firstLineChars="200"/>
        <w:contextualSpacing/>
        <w:rPr>
          <w:rFonts w:hint="eastAsia" w:ascii="宋体" w:hAnsi="宋体" w:cs="宋体-18030"/>
          <w:bCs/>
          <w:color w:val="000000"/>
          <w:kern w:val="0"/>
          <w:szCs w:val="21"/>
        </w:rPr>
      </w:pPr>
      <w:r>
        <w:rPr>
          <w:rFonts w:hint="eastAsia" w:ascii="宋体" w:hAnsi="宋体" w:cs="宋体-18030"/>
          <w:bCs/>
          <w:color w:val="000000"/>
          <w:kern w:val="0"/>
          <w:szCs w:val="21"/>
        </w:rPr>
        <w:t>2、投标人联系方式为异地号码的，请在号码前面加“0”。</w:t>
      </w:r>
    </w:p>
    <w:p>
      <w:pPr>
        <w:widowControl/>
        <w:snapToGrid w:val="0"/>
        <w:ind w:firstLine="411" w:firstLineChars="196"/>
        <w:contextualSpacing/>
        <w:rPr>
          <w:rFonts w:hint="eastAsia" w:ascii="宋体" w:hAnsi="宋体" w:cs="宋体-18030"/>
          <w:bCs/>
          <w:color w:val="FF0000"/>
          <w:kern w:val="0"/>
          <w:szCs w:val="21"/>
        </w:rPr>
      </w:pPr>
      <w:r>
        <w:rPr>
          <w:rFonts w:hint="eastAsia" w:ascii="宋体" w:hAnsi="宋体" w:cs="宋体-18030"/>
          <w:bCs/>
          <w:color w:val="000000"/>
          <w:kern w:val="0"/>
          <w:szCs w:val="21"/>
        </w:rPr>
        <w:t>3、</w:t>
      </w:r>
      <w:r>
        <w:rPr>
          <w:rFonts w:hint="eastAsia" w:ascii="宋体" w:hAnsi="宋体" w:cs="Arial"/>
          <w:color w:val="000000"/>
          <w:kern w:val="0"/>
          <w:szCs w:val="21"/>
        </w:rPr>
        <w:t>投标书正本的每一页</w:t>
      </w:r>
      <w:r>
        <w:rPr>
          <w:rFonts w:hint="eastAsia" w:ascii="宋体" w:hAnsi="宋体" w:cs="Arial"/>
          <w:color w:val="FF0000"/>
          <w:kern w:val="0"/>
          <w:szCs w:val="21"/>
        </w:rPr>
        <w:t>均应加盖公司公章其授权代表用姓名签字，</w:t>
      </w:r>
      <w:r>
        <w:rPr>
          <w:rFonts w:hint="eastAsia" w:ascii="宋体" w:hAnsi="宋体" w:cs="宋体-18030"/>
          <w:bCs/>
          <w:kern w:val="0"/>
          <w:szCs w:val="21"/>
        </w:rPr>
        <w:t>法人代表授权书须有</w:t>
      </w:r>
      <w:r>
        <w:rPr>
          <w:rFonts w:hint="eastAsia" w:ascii="宋体" w:hAnsi="宋体" w:cs="宋体-18030"/>
          <w:bCs/>
          <w:color w:val="FF0000"/>
          <w:kern w:val="0"/>
          <w:szCs w:val="21"/>
        </w:rPr>
        <w:t>法人代表签名。</w:t>
      </w:r>
    </w:p>
    <w:p>
      <w:pPr>
        <w:ind w:firstLine="420" w:firstLineChars="200"/>
        <w:contextualSpacing/>
        <w:rPr>
          <w:highlight w:val="none"/>
        </w:rPr>
      </w:pPr>
      <w:r>
        <w:rPr>
          <w:rFonts w:hint="eastAsia"/>
        </w:rPr>
        <w:t>4、</w:t>
      </w:r>
      <w:r>
        <w:rPr>
          <w:rFonts w:hint="eastAsia"/>
          <w:highlight w:val="none"/>
        </w:rPr>
        <w:t>请各投标单位提前把标书P</w:t>
      </w:r>
      <w:r>
        <w:rPr>
          <w:highlight w:val="none"/>
        </w:rPr>
        <w:t>DF</w:t>
      </w:r>
      <w:r>
        <w:rPr>
          <w:rFonts w:hint="eastAsia"/>
          <w:highlight w:val="none"/>
        </w:rPr>
        <w:t>版、封面及报价单W</w:t>
      </w:r>
      <w:r>
        <w:rPr>
          <w:highlight w:val="none"/>
        </w:rPr>
        <w:t>ord</w:t>
      </w:r>
      <w:r>
        <w:rPr>
          <w:rFonts w:hint="eastAsia"/>
          <w:highlight w:val="none"/>
        </w:rPr>
        <w:t>保存到本人邮箱，投标文件预审成功后立即发送至招标办邮箱。</w:t>
      </w:r>
    </w:p>
    <w:p>
      <w:pPr>
        <w:spacing w:after="78" w:afterLines="25" w:line="300" w:lineRule="auto"/>
        <w:jc w:val="center"/>
        <w:rPr>
          <w:rFonts w:cs="Arial"/>
          <w:b/>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spacing w:after="78" w:afterLines="25" w:line="300" w:lineRule="auto"/>
        <w:jc w:val="center"/>
        <w:rPr>
          <w:rFonts w:cs="Arial"/>
          <w:b/>
          <w:sz w:val="28"/>
          <w:szCs w:val="28"/>
        </w:rPr>
      </w:pPr>
    </w:p>
    <w:p>
      <w:pPr>
        <w:spacing w:after="78" w:afterLines="25" w:line="300" w:lineRule="auto"/>
        <w:jc w:val="center"/>
        <w:rPr>
          <w:rFonts w:cs="Arial"/>
          <w:b/>
          <w:sz w:val="28"/>
          <w:szCs w:val="28"/>
        </w:rPr>
      </w:pPr>
    </w:p>
    <w:p>
      <w:pPr>
        <w:pStyle w:val="2"/>
      </w:pPr>
    </w:p>
    <w:p>
      <w:pPr>
        <w:pStyle w:val="2"/>
      </w:pPr>
    </w:p>
    <w:p>
      <w:pPr>
        <w:pStyle w:val="2"/>
      </w:pPr>
    </w:p>
    <w:p>
      <w:pPr>
        <w:pStyle w:val="2"/>
      </w:pPr>
    </w:p>
    <w:p>
      <w:pPr>
        <w:pStyle w:val="2"/>
      </w:pPr>
    </w:p>
    <w:p>
      <w:pPr>
        <w:pStyle w:val="2"/>
      </w:pPr>
    </w:p>
    <w:p>
      <w:pPr>
        <w:spacing w:after="78" w:afterLines="25" w:line="300" w:lineRule="auto"/>
        <w:jc w:val="center"/>
        <w:rPr>
          <w:rFonts w:cs="Arial"/>
          <w:b/>
          <w:sz w:val="28"/>
          <w:szCs w:val="28"/>
        </w:rPr>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4"/>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2"/>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2"/>
      </w:pPr>
    </w:p>
    <w:p>
      <w:pPr>
        <w:pStyle w:val="2"/>
      </w:pPr>
    </w:p>
    <w:p>
      <w:pPr>
        <w:pStyle w:val="2"/>
      </w:pPr>
    </w:p>
    <w:p>
      <w:pPr>
        <w:pStyle w:val="2"/>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lang w:val="en-US" w:eastAsia="zh-CN"/>
        </w:rPr>
        <w:t>服务需求</w:t>
      </w:r>
      <w:r>
        <w:rPr>
          <w:rFonts w:ascii="宋体" w:hAnsi="宋体" w:cs="Arial"/>
          <w:b/>
          <w:color w:val="000000"/>
          <w:sz w:val="28"/>
          <w:szCs w:val="28"/>
        </w:rPr>
        <w:t>偏离表</w:t>
      </w:r>
    </w:p>
    <w:p>
      <w:pPr>
        <w:pStyle w:val="2"/>
        <w:ind w:firstLine="207" w:firstLineChars="98"/>
        <w:rPr>
          <w:rFonts w:ascii="Times New Roman" w:hAnsi="Times New Roman"/>
          <w:b/>
          <w:color w:val="000000"/>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686"/>
        <w:gridCol w:w="3124"/>
        <w:gridCol w:w="1890"/>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b/>
                <w:color w:val="000000"/>
              </w:rPr>
            </w:pPr>
            <w:r>
              <w:rPr>
                <w:rFonts w:hint="eastAsia"/>
                <w:b/>
                <w:color w:val="000000"/>
              </w:rPr>
              <w:t>序号</w:t>
            </w:r>
          </w:p>
        </w:tc>
        <w:tc>
          <w:tcPr>
            <w:tcW w:w="2686" w:type="dxa"/>
            <w:vAlign w:val="center"/>
          </w:tcPr>
          <w:p>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pPr>
              <w:jc w:val="center"/>
              <w:rPr>
                <w:b/>
                <w:color w:val="000000"/>
              </w:rPr>
            </w:pPr>
            <w:r>
              <w:rPr>
                <w:rFonts w:hint="eastAsia"/>
                <w:b/>
                <w:color w:val="000000"/>
              </w:rPr>
              <w:t>投标实际参数</w:t>
            </w:r>
          </w:p>
          <w:p>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pPr>
              <w:jc w:val="center"/>
              <w:rPr>
                <w:b/>
                <w:color w:val="000000"/>
              </w:rPr>
            </w:pPr>
            <w:r>
              <w:rPr>
                <w:rFonts w:hint="eastAsia"/>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bCs/>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rFonts w:hint="eastAsia" w:ascii="宋体" w:hAnsi="宋体"/>
                <w:bCs/>
                <w:szCs w:val="21"/>
              </w:rPr>
            </w:pPr>
          </w:p>
        </w:tc>
        <w:tc>
          <w:tcPr>
            <w:tcW w:w="1656" w:type="dxa"/>
            <w:vAlign w:val="center"/>
          </w:tcPr>
          <w:p>
            <w:pPr>
              <w:jc w:val="cente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b/>
                <w:color w:val="000000"/>
              </w:rPr>
            </w:pPr>
          </w:p>
        </w:tc>
        <w:tc>
          <w:tcPr>
            <w:tcW w:w="2686" w:type="dxa"/>
            <w:vAlign w:val="center"/>
          </w:tcPr>
          <w:p>
            <w:pPr>
              <w:jc w:val="center"/>
              <w:rPr>
                <w:b/>
                <w:color w:val="000000"/>
              </w:rPr>
            </w:pPr>
          </w:p>
        </w:tc>
        <w:tc>
          <w:tcPr>
            <w:tcW w:w="3124" w:type="dxa"/>
            <w:vAlign w:val="center"/>
          </w:tcPr>
          <w:p>
            <w:pPr>
              <w:jc w:val="center"/>
              <w:rPr>
                <w:rFonts w:hint="eastAsia" w:ascii="宋体" w:hAnsi="宋体"/>
                <w:b/>
                <w:szCs w:val="21"/>
              </w:rPr>
            </w:pPr>
          </w:p>
        </w:tc>
        <w:tc>
          <w:tcPr>
            <w:tcW w:w="1890" w:type="dxa"/>
            <w:vAlign w:val="center"/>
          </w:tcPr>
          <w:p>
            <w:pPr>
              <w:jc w:val="center"/>
              <w:rPr>
                <w:b/>
                <w:color w:val="000000"/>
              </w:rPr>
            </w:pPr>
          </w:p>
        </w:tc>
        <w:tc>
          <w:tcPr>
            <w:tcW w:w="1656" w:type="dxa"/>
            <w:vAlign w:val="center"/>
          </w:tcPr>
          <w:p>
            <w:pPr>
              <w:jc w:val="center"/>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bl>
    <w:p>
      <w:pPr>
        <w:spacing w:after="60"/>
        <w:ind w:firstLine="210" w:firstLineChars="100"/>
        <w:rPr>
          <w:color w:val="000000"/>
        </w:rPr>
      </w:pPr>
      <w:r>
        <w:rPr>
          <w:rFonts w:hint="eastAsia"/>
          <w:color w:val="000000"/>
        </w:rPr>
        <w:t>此表可延长</w:t>
      </w:r>
    </w:p>
    <w:p>
      <w:pPr>
        <w:rPr>
          <w:color w:val="000000"/>
        </w:rPr>
      </w:pPr>
    </w:p>
    <w:p>
      <w:pPr>
        <w:rPr>
          <w:color w:val="000000"/>
        </w:rPr>
      </w:pPr>
    </w:p>
    <w:p>
      <w:pPr>
        <w:snapToGrid w:val="0"/>
        <w:contextualSpacing/>
        <w:rPr>
          <w:rFonts w:hint="eastAsia" w:ascii="宋体" w:hAnsi="宋体"/>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 xml:space="preserve">   </w:t>
      </w:r>
      <w:r>
        <w:rPr>
          <w:color w:val="000000"/>
        </w:rPr>
        <w:tab/>
      </w:r>
      <w:r>
        <w:rPr>
          <w:color w:val="000000"/>
        </w:rPr>
        <w:tab/>
      </w:r>
      <w:r>
        <w:rPr>
          <w:rFonts w:hint="eastAsia"/>
          <w:color w:val="000000"/>
        </w:rPr>
        <w:t xml:space="preserve">              </w:t>
      </w:r>
      <w:r>
        <w:rPr>
          <w:color w:val="000000"/>
        </w:rPr>
        <w:tab/>
      </w:r>
      <w:r>
        <w:rPr>
          <w:rFonts w:hint="eastAsia" w:ascii="宋体" w:hAnsi="宋体"/>
          <w:color w:val="000000"/>
        </w:rPr>
        <w:t>投标人授权代表签字</w:t>
      </w:r>
      <w:r>
        <w:rPr>
          <w:rFonts w:ascii="宋体" w:hAnsi="宋体"/>
          <w:color w:val="000000"/>
        </w:rPr>
        <w:t>:</w:t>
      </w:r>
    </w:p>
    <w:p>
      <w:pPr>
        <w:snapToGrid w:val="0"/>
        <w:contextualSpacing/>
        <w:rPr>
          <w:rFonts w:hint="eastAsia" w:ascii="宋体" w:hAnsi="宋体"/>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hint="eastAsia" w:ascii="宋体" w:hAnsi="宋体"/>
          <w:color w:val="000000"/>
        </w:rPr>
        <w:t xml:space="preserve">            </w:t>
      </w:r>
      <w:r>
        <w:rPr>
          <w:rFonts w:ascii="宋体" w:hAnsi="宋体"/>
          <w:color w:val="000000"/>
        </w:rPr>
        <w:tab/>
      </w:r>
      <w:r>
        <w:rPr>
          <w:rFonts w:ascii="宋体" w:hAnsi="宋体"/>
          <w:color w:val="000000"/>
        </w:rPr>
        <w:t>(</w:t>
      </w:r>
      <w:r>
        <w:rPr>
          <w:rFonts w:hint="eastAsia" w:ascii="宋体" w:hAnsi="宋体"/>
          <w:color w:val="000000"/>
        </w:rPr>
        <w:t>公章</w:t>
      </w:r>
      <w:r>
        <w:rPr>
          <w:rFonts w:ascii="宋体" w:hAnsi="宋体"/>
          <w:color w:val="000000"/>
        </w:rPr>
        <w:t>)</w:t>
      </w:r>
    </w:p>
    <w:p>
      <w:pPr>
        <w:snapToGrid w:val="0"/>
        <w:contextualSpacing/>
        <w:rPr>
          <w:rFonts w:hint="eastAsia" w:ascii="宋体" w:hAnsi="宋体"/>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hint="eastAsia" w:ascii="宋体" w:hAnsi="宋体"/>
          <w:color w:val="000000"/>
        </w:rPr>
        <w:t xml:space="preserve">            </w:t>
      </w:r>
      <w:r>
        <w:rPr>
          <w:rFonts w:ascii="宋体" w:hAnsi="宋体"/>
          <w:color w:val="000000"/>
        </w:rPr>
        <w:tab/>
      </w:r>
      <w:r>
        <w:rPr>
          <w:rFonts w:hint="eastAsia" w:ascii="宋体" w:hAnsi="宋体"/>
          <w:color w:val="000000"/>
        </w:rPr>
        <w:t>日期</w:t>
      </w:r>
      <w:r>
        <w:rPr>
          <w:rFonts w:ascii="宋体" w:hAnsi="宋体"/>
          <w:color w:val="000000"/>
        </w:rPr>
        <w:t>:</w:t>
      </w:r>
    </w:p>
    <w:p>
      <w:pPr>
        <w:snapToGrid w:val="0"/>
        <w:contextualSpacing/>
        <w:rPr>
          <w:rFonts w:hint="eastAsia" w:ascii="宋体" w:hAnsi="宋体"/>
          <w:color w:val="000000"/>
        </w:rPr>
      </w:pP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职务</w:t>
      </w:r>
      <w:r>
        <w:rPr>
          <w:rFonts w:ascii="宋体" w:hAnsi="宋体"/>
          <w:color w:val="000000"/>
        </w:rPr>
        <w:t>:</w:t>
      </w: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2"/>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5"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4、我单位承诺在本次投标响应中提供的一切文件，无论是原件还是复印件均保证其真实性、准确性和合法性，绝无任何虚假、伪造和夸大的成份，否则，愿承担相应的后果和法律责任。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5"/>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color w:val="000000"/>
          <w:kern w:val="0"/>
          <w:szCs w:val="21"/>
          <w:highlight w:val="none"/>
        </w:rPr>
      </w:pPr>
      <w:r>
        <w:rPr>
          <w:rFonts w:hint="eastAsia" w:ascii="Arial" w:hAnsi="Arial" w:cs="Arial"/>
          <w:szCs w:val="21"/>
          <w:highlight w:val="none"/>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2"/>
      </w:pPr>
    </w:p>
    <w:p>
      <w:pPr>
        <w:pStyle w:val="2"/>
      </w:pPr>
    </w:p>
    <w:p>
      <w:pPr>
        <w:spacing w:line="300" w:lineRule="auto"/>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2"/>
        <w:rPr>
          <w:rFonts w:hint="eastAsia"/>
        </w:rPr>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2"/>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2"/>
        <w:contextualSpacing/>
        <w:rPr>
          <w:rFonts w:hint="eastAsia" w:hAnsi="宋体"/>
        </w:rPr>
      </w:pPr>
    </w:p>
    <w:p>
      <w:pPr>
        <w:widowControl/>
        <w:contextualSpacing/>
        <w:rPr>
          <w:rFonts w:hint="eastAsia" w:ascii="宋体" w:hAnsi="宋体"/>
          <w:b/>
          <w:color w:val="auto"/>
          <w:kern w:val="0"/>
          <w:szCs w:val="21"/>
          <w:highlight w:val="none"/>
        </w:rPr>
      </w:pPr>
      <w:r>
        <w:rPr>
          <w:rFonts w:hint="eastAsia" w:ascii="宋体" w:hAnsi="宋体"/>
          <w:b/>
          <w:color w:val="auto"/>
          <w:kern w:val="0"/>
          <w:szCs w:val="21"/>
          <w:highlight w:val="none"/>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color w:val="auto"/>
          <w:sz w:val="28"/>
          <w:szCs w:val="28"/>
          <w:highlight w:val="none"/>
        </w:rPr>
      </w:pPr>
      <w:r>
        <w:rPr>
          <w:rFonts w:hint="eastAsia" w:ascii="宋体" w:hAnsi="宋体"/>
          <w:b/>
          <w:color w:val="auto"/>
          <w:kern w:val="0"/>
          <w:szCs w:val="21"/>
          <w:highlight w:val="none"/>
        </w:rPr>
        <w:t>2.不得擅自改变此投标履约承诺函内容。</w:t>
      </w: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3"/>
        <w:snapToGrid w:val="0"/>
        <w:contextualSpacing/>
        <w:rPr>
          <w:color w:val="FF0000"/>
        </w:rPr>
      </w:pPr>
      <w:r>
        <w:rPr>
          <w:rFonts w:hint="eastAsia"/>
          <w:color w:val="FF0000"/>
        </w:rPr>
        <w:t>1. 本项目投标授权代表为法定代表人（负责人）的，无需提供《投标文件签署授权委托书》。</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color w:val="auto"/>
          <w:kern w:val="0"/>
          <w:szCs w:val="21"/>
        </w:rPr>
      </w:pPr>
      <w:r>
        <w:rPr>
          <w:rFonts w:hint="eastAsia" w:ascii="宋体" w:hAnsi="宋体"/>
          <w:b/>
          <w:bCs/>
          <w:color w:val="auto"/>
          <w:kern w:val="0"/>
          <w:szCs w:val="21"/>
        </w:rPr>
        <w:t>特别提醒：</w:t>
      </w:r>
    </w:p>
    <w:p>
      <w:pPr>
        <w:widowControl/>
        <w:snapToGrid w:val="0"/>
        <w:contextualSpacing/>
        <w:jc w:val="left"/>
        <w:rPr>
          <w:rFonts w:hint="eastAsia" w:ascii="宋体" w:hAnsi="宋体"/>
          <w:color w:val="auto"/>
          <w:szCs w:val="21"/>
        </w:rPr>
      </w:pPr>
      <w:r>
        <w:rPr>
          <w:rFonts w:hint="eastAsia" w:ascii="宋体" w:hAnsi="宋体"/>
          <w:color w:val="auto"/>
          <w:kern w:val="0"/>
          <w:szCs w:val="21"/>
        </w:rPr>
        <w:t xml:space="preserve">    《深圳经济特区政府采购条例实施细则》</w:t>
      </w:r>
      <w:r>
        <w:rPr>
          <w:rFonts w:hint="eastAsia" w:ascii="宋体" w:hAnsi="宋体"/>
          <w:color w:val="auto"/>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color w:val="auto"/>
          <w:kern w:val="0"/>
          <w:szCs w:val="21"/>
        </w:rPr>
      </w:pPr>
      <w:r>
        <w:rPr>
          <w:rFonts w:hint="eastAsia" w:ascii="宋体" w:hAnsi="宋体"/>
          <w:b/>
          <w:color w:val="auto"/>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（四）不同投标供应商的投标文件或部分投标文件相互混装；</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（五）不同投标供应商的投标文件内容存在非正常一致；</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（七）主管部门依照法律、法规认定的其他情形。</w:t>
      </w:r>
    </w:p>
    <w:p>
      <w:pPr>
        <w:widowControl/>
        <w:snapToGrid w:val="0"/>
        <w:contextualSpacing/>
        <w:jc w:val="left"/>
        <w:rPr>
          <w:rFonts w:hint="eastAsia" w:ascii="宋体" w:hAnsi="宋体"/>
          <w:color w:val="auto"/>
          <w:kern w:val="0"/>
          <w:szCs w:val="21"/>
        </w:rPr>
      </w:pPr>
    </w:p>
    <w:p>
      <w:pPr>
        <w:widowControl/>
        <w:snapToGrid w:val="0"/>
        <w:contextualSpacing/>
        <w:jc w:val="left"/>
        <w:rPr>
          <w:rFonts w:hint="eastAsia" w:ascii="宋体" w:hAnsi="宋体"/>
          <w:b/>
          <w:color w:val="auto"/>
          <w:kern w:val="0"/>
          <w:szCs w:val="21"/>
        </w:rPr>
      </w:pPr>
      <w:r>
        <w:rPr>
          <w:rFonts w:hint="eastAsia" w:ascii="宋体" w:hAnsi="宋体"/>
          <w:b/>
          <w:color w:val="auto"/>
          <w:kern w:val="0"/>
          <w:szCs w:val="21"/>
        </w:rPr>
        <w:t>投标人提供以下资料（格式自拟）：</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pacing w:after="60" w:line="360" w:lineRule="auto"/>
        <w:ind w:firstLine="281" w:firstLineChars="100"/>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spacing w:after="60" w:line="360" w:lineRule="auto"/>
        <w:jc w:val="center"/>
        <w:rPr>
          <w:color w:val="000000"/>
          <w:szCs w:val="21"/>
        </w:rPr>
      </w:pPr>
      <w:r>
        <w:rPr>
          <w:rFonts w:hint="eastAsia" w:cs="Arial"/>
          <w:b/>
          <w:color w:val="000000"/>
          <w:sz w:val="28"/>
          <w:szCs w:val="28"/>
        </w:rPr>
        <w:t>七</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2"/>
      </w:pPr>
    </w:p>
    <w:p>
      <w:pPr>
        <w:pStyle w:val="2"/>
      </w:pPr>
    </w:p>
    <w:p>
      <w:pPr>
        <w:spacing w:after="60" w:line="360" w:lineRule="auto"/>
        <w:jc w:val="left"/>
        <w:rPr>
          <w:b/>
          <w:color w:val="000000"/>
          <w:sz w:val="28"/>
          <w:szCs w:val="28"/>
        </w:rPr>
      </w:pPr>
    </w:p>
    <w:p>
      <w:pPr>
        <w:spacing w:after="60" w:line="360" w:lineRule="auto"/>
        <w:ind w:right="-286" w:rightChars="-136" w:firstLine="281" w:firstLineChars="100"/>
        <w:jc w:val="center"/>
        <w:rPr>
          <w:b/>
          <w:color w:val="000000"/>
          <w:sz w:val="28"/>
          <w:szCs w:val="28"/>
        </w:rPr>
      </w:pPr>
      <w:r>
        <w:rPr>
          <w:rFonts w:hint="eastAsia"/>
          <w:b/>
          <w:color w:val="000000"/>
          <w:sz w:val="28"/>
          <w:szCs w:val="28"/>
        </w:rPr>
        <w:t>八、</w:t>
      </w:r>
      <w:r>
        <w:rPr>
          <w:rFonts w:hint="eastAsia" w:ascii="宋体" w:hAnsi="宋体" w:cs="宋体"/>
          <w:b/>
          <w:color w:val="000000"/>
          <w:sz w:val="28"/>
          <w:szCs w:val="28"/>
        </w:rPr>
        <w:t>企业通过认证的证书（原件备验交扫描件）</w:t>
      </w: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九</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服务承诺书</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rPr>
          <w:rFonts w:cs="Arial"/>
          <w:b/>
          <w:sz w:val="28"/>
          <w:szCs w:val="28"/>
        </w:rPr>
      </w:pPr>
      <w:r>
        <w:rPr>
          <w:rFonts w:hint="eastAsia"/>
          <w:b/>
          <w:color w:val="000000"/>
          <w:sz w:val="28"/>
          <w:szCs w:val="28"/>
        </w:rPr>
        <w:t>十</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78" w:afterLines="25" w:line="300" w:lineRule="auto"/>
        <w:ind w:left="1" w:leftChars="-605" w:hanging="1271" w:hangingChars="452"/>
        <w:jc w:val="center"/>
        <w:rPr>
          <w:b/>
          <w:color w:val="000000"/>
          <w:sz w:val="28"/>
          <w:szCs w:val="28"/>
        </w:rPr>
      </w:pPr>
      <w:r>
        <w:rPr>
          <w:rFonts w:hint="eastAsia"/>
          <w:b/>
          <w:color w:val="000000"/>
          <w:sz w:val="28"/>
          <w:szCs w:val="28"/>
        </w:rPr>
        <w:t xml:space="preserve">        十一</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项目管理主要技术和售后服务人员情况表</w:t>
      </w:r>
      <w:r>
        <w:rPr>
          <w:rFonts w:hint="eastAsia"/>
          <w:b/>
          <w:color w:val="000000"/>
          <w:sz w:val="28"/>
          <w:szCs w:val="28"/>
        </w:rPr>
        <w:t>及近一年社会保险证明</w:t>
      </w:r>
    </w:p>
    <w:p>
      <w:pPr>
        <w:widowControl/>
        <w:snapToGrid w:val="0"/>
        <w:contextualSpacing/>
        <w:jc w:val="left"/>
        <w:outlineLvl w:val="3"/>
        <w:rPr>
          <w:rFonts w:hint="eastAsia" w:ascii="宋体" w:hAnsi="宋体"/>
          <w:b/>
          <w:bCs/>
          <w:color w:val="auto"/>
          <w:kern w:val="0"/>
          <w:szCs w:val="21"/>
        </w:rPr>
      </w:pPr>
      <w:r>
        <w:rPr>
          <w:rFonts w:hint="eastAsia" w:ascii="宋体" w:hAnsi="宋体"/>
          <w:b/>
          <w:bCs/>
          <w:color w:val="auto"/>
          <w:kern w:val="0"/>
          <w:szCs w:val="21"/>
        </w:rPr>
        <w:t>特别提醒：</w:t>
      </w:r>
    </w:p>
    <w:p>
      <w:pPr>
        <w:widowControl/>
        <w:snapToGrid w:val="0"/>
        <w:contextualSpacing/>
        <w:jc w:val="left"/>
        <w:rPr>
          <w:rFonts w:hint="eastAsia" w:ascii="宋体" w:hAnsi="宋体"/>
          <w:color w:val="auto"/>
          <w:szCs w:val="21"/>
        </w:rPr>
      </w:pPr>
      <w:r>
        <w:rPr>
          <w:rFonts w:hint="eastAsia" w:ascii="宋体" w:hAnsi="宋体"/>
          <w:color w:val="auto"/>
          <w:kern w:val="0"/>
          <w:szCs w:val="21"/>
        </w:rPr>
        <w:t xml:space="preserve">    《深圳经济特区政府采购条例实施细则》</w:t>
      </w:r>
      <w:r>
        <w:rPr>
          <w:rFonts w:hint="eastAsia" w:ascii="宋体" w:hAnsi="宋体"/>
          <w:color w:val="auto"/>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color w:val="auto"/>
          <w:kern w:val="0"/>
          <w:szCs w:val="21"/>
        </w:rPr>
      </w:pPr>
      <w:r>
        <w:rPr>
          <w:rFonts w:hint="eastAsia" w:ascii="宋体" w:hAnsi="宋体"/>
          <w:b/>
          <w:color w:val="auto"/>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（四）不同投标供应商的投标文件或部分投标文件相互混装；</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（五）不同投标供应商的投标文件内容存在非正常一致；</w:t>
      </w:r>
    </w:p>
    <w:p>
      <w:pPr>
        <w:widowControl/>
        <w:snapToGrid w:val="0"/>
        <w:ind w:firstLine="424" w:firstLineChars="202"/>
        <w:contextualSpacing/>
        <w:jc w:val="left"/>
        <w:rPr>
          <w:rFonts w:hint="eastAsia" w:ascii="宋体" w:hAnsi="宋体"/>
          <w:color w:val="auto"/>
          <w:kern w:val="0"/>
          <w:szCs w:val="21"/>
        </w:rPr>
      </w:pPr>
      <w:r>
        <w:rPr>
          <w:rFonts w:hint="eastAsia" w:ascii="宋体" w:hAnsi="宋体"/>
          <w:color w:val="auto"/>
          <w:kern w:val="0"/>
          <w:szCs w:val="21"/>
        </w:rPr>
        <w:t>（六）由同一单位工作人员为两家以上（含两家）供应商进行同一项投标活动的；</w:t>
      </w:r>
    </w:p>
    <w:p>
      <w:pPr>
        <w:spacing w:after="78" w:afterLines="25"/>
        <w:ind w:left="420"/>
        <w:contextualSpacing/>
        <w:jc w:val="left"/>
        <w:rPr>
          <w:rFonts w:hint="eastAsia" w:ascii="宋体" w:hAnsi="宋体"/>
          <w:color w:val="auto"/>
          <w:kern w:val="0"/>
          <w:szCs w:val="21"/>
        </w:rPr>
      </w:pPr>
      <w:r>
        <w:rPr>
          <w:rFonts w:hint="eastAsia" w:ascii="宋体" w:hAnsi="宋体"/>
          <w:color w:val="auto"/>
          <w:kern w:val="0"/>
          <w:szCs w:val="21"/>
        </w:rPr>
        <w:t>（七）主管部门依照法律、法规认定的其他情形。</w:t>
      </w:r>
    </w:p>
    <w:p>
      <w:pPr>
        <w:pStyle w:val="2"/>
        <w:rPr>
          <w:color w:val="auto"/>
        </w:rPr>
      </w:pPr>
    </w:p>
    <w:p>
      <w:pPr>
        <w:snapToGrid w:val="0"/>
        <w:spacing w:after="78" w:afterLines="25"/>
        <w:ind w:left="-134" w:leftChars="-64" w:firstLine="133" w:firstLineChars="63"/>
        <w:contextualSpacing/>
        <w:jc w:val="left"/>
        <w:rPr>
          <w:rFonts w:hint="eastAsia" w:ascii="宋体" w:hAnsi="宋体"/>
          <w:b/>
          <w:color w:val="auto"/>
          <w:szCs w:val="21"/>
        </w:rPr>
      </w:pPr>
      <w:r>
        <w:rPr>
          <w:rFonts w:hint="eastAsia" w:ascii="宋体" w:hAnsi="宋体"/>
          <w:b/>
          <w:color w:val="auto"/>
          <w:szCs w:val="21"/>
        </w:rPr>
        <w:t>投标人提供以下资料（格式自拟）：</w:t>
      </w:r>
    </w:p>
    <w:p>
      <w:pPr>
        <w:snapToGrid w:val="0"/>
        <w:spacing w:after="78" w:afterLines="25"/>
        <w:ind w:left="420"/>
        <w:contextualSpacing/>
        <w:jc w:val="left"/>
        <w:rPr>
          <w:rFonts w:hint="eastAsia" w:ascii="宋体" w:hAnsi="宋体"/>
          <w:bCs/>
          <w:color w:val="auto"/>
          <w:szCs w:val="21"/>
        </w:rPr>
      </w:pPr>
      <w:r>
        <w:rPr>
          <w:rFonts w:hint="eastAsia" w:ascii="宋体" w:hAnsi="宋体"/>
          <w:bCs/>
          <w:color w:val="auto"/>
          <w:szCs w:val="21"/>
        </w:rPr>
        <w:t>1、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十二、项目详细设计/实施保障方案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after="60" w:line="500" w:lineRule="exact"/>
        <w:jc w:val="center"/>
        <w:rPr>
          <w:b/>
          <w:color w:val="000000"/>
          <w:sz w:val="28"/>
          <w:szCs w:val="28"/>
        </w:rPr>
      </w:pPr>
      <w:r>
        <w:rPr>
          <w:rFonts w:hint="eastAsia"/>
          <w:b/>
          <w:color w:val="000000"/>
          <w:sz w:val="28"/>
          <w:szCs w:val="28"/>
        </w:rPr>
        <w:t>十三、培训及售后服务计划</w:t>
      </w:r>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十四</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2"/>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十五</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17"/>
          <w:rFonts w:ascii="宋体" w:hAnsi="宋体"/>
          <w:b/>
          <w:bCs/>
          <w:color w:val="auto"/>
          <w:sz w:val="28"/>
          <w:szCs w:val="28"/>
          <w:u w:val="none"/>
        </w:rPr>
        <w:t>https://www.szcredit.org.cn/?cdType=sgsl&amp;type=XZXK#/xyfw</w:t>
      </w:r>
      <w:r>
        <w:rPr>
          <w:rStyle w:val="17"/>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0"/>
        </w:numPr>
        <w:ind w:leftChars="0" w:firstLine="3132" w:firstLineChars="1300"/>
        <w:jc w:val="both"/>
        <w:rPr>
          <w:rFonts w:hint="eastAsia" w:ascii="宋体" w:hAnsi="宋体" w:cs="宋体"/>
          <w:b/>
          <w:kern w:val="0"/>
          <w:sz w:val="24"/>
        </w:rPr>
      </w:pPr>
      <w:r>
        <w:rPr>
          <w:rFonts w:hint="eastAsia" w:ascii="宋体" w:hAnsi="宋体" w:cs="宋体"/>
          <w:b/>
          <w:kern w:val="0"/>
          <w:sz w:val="24"/>
          <w:lang w:val="en-US" w:eastAsia="zh-CN"/>
        </w:rPr>
        <w:t>15.1</w:t>
      </w: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254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lang w:val="en-US" w:eastAsia="zh-CN"/>
        </w:rPr>
        <w:t>15.</w:t>
      </w: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2540" b="3175"/>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2"/>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lang w:val="en-US" w:eastAsia="zh-CN"/>
        </w:rPr>
        <w:t>15.</w:t>
      </w: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9525" b="9525"/>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9525"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2"/>
      </w:pPr>
    </w:p>
    <w:p>
      <w:pPr>
        <w:jc w:val="center"/>
        <w:rPr>
          <w:rFonts w:hint="eastAsia" w:ascii="宋体" w:hAnsi="宋体" w:cs="Arial"/>
          <w:b/>
          <w:sz w:val="24"/>
        </w:rPr>
      </w:pPr>
      <w:r>
        <w:rPr>
          <w:rFonts w:hint="eastAsia" w:ascii="宋体" w:hAnsi="宋体" w:cs="Arial"/>
          <w:b/>
          <w:sz w:val="24"/>
          <w:lang w:val="en-US" w:eastAsia="zh-CN"/>
        </w:rPr>
        <w:t>15.</w:t>
      </w:r>
      <w:r>
        <w:rPr>
          <w:rFonts w:hint="eastAsia" w:ascii="宋体" w:hAnsi="宋体" w:cs="Arial"/>
          <w:b/>
          <w:sz w:val="24"/>
        </w:rPr>
        <w:t>4深圳信用网</w:t>
      </w:r>
    </w:p>
    <w:p>
      <w:pPr>
        <w:pStyle w:val="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7"/>
          <w:b/>
          <w:bCs/>
          <w:color w:val="auto"/>
          <w:sz w:val="24"/>
          <w:szCs w:val="24"/>
        </w:rPr>
        <w:t>https://www.szcredit.org.cn/?cdType=sgsl&amp;type=XZXK#/xyfw</w:t>
      </w:r>
      <w:r>
        <w:rPr>
          <w:rStyle w:val="17"/>
          <w:b/>
          <w:bCs/>
          <w:color w:val="auto"/>
          <w:sz w:val="24"/>
          <w:szCs w:val="24"/>
        </w:rPr>
        <w:fldChar w:fldCharType="end"/>
      </w:r>
      <w:r>
        <w:rPr>
          <w:rFonts w:hint="eastAsia"/>
          <w:b/>
          <w:bCs/>
          <w:sz w:val="24"/>
          <w:szCs w:val="24"/>
        </w:rPr>
        <w:t>）</w:t>
      </w:r>
    </w:p>
    <w:p>
      <w:pPr>
        <w:pStyle w:val="2"/>
        <w:rPr>
          <w:b/>
          <w:bCs/>
          <w:sz w:val="24"/>
          <w:szCs w:val="24"/>
        </w:rPr>
      </w:pPr>
      <w:r>
        <w:rPr>
          <w:rFonts w:hint="eastAsia"/>
          <w:b/>
          <w:bCs/>
          <w:sz w:val="24"/>
          <w:szCs w:val="24"/>
        </w:rPr>
        <w:t>示例图片：</w:t>
      </w:r>
    </w:p>
    <w:p>
      <w:pPr>
        <w:pStyle w:val="2"/>
        <w:rPr>
          <w:b/>
          <w:bCs/>
          <w:sz w:val="24"/>
          <w:szCs w:val="24"/>
        </w:rPr>
      </w:pPr>
      <w:r>
        <w:drawing>
          <wp:inline distT="0" distB="0" distL="0" distR="0">
            <wp:extent cx="6645910" cy="827722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2"/>
        <w:jc w:val="center"/>
        <w:rPr>
          <w:b/>
          <w:bCs/>
          <w:sz w:val="24"/>
          <w:szCs w:val="24"/>
        </w:rPr>
      </w:pPr>
    </w:p>
    <w:p>
      <w:pPr>
        <w:pStyle w:val="2"/>
        <w:jc w:val="center"/>
        <w:rPr>
          <w:b/>
          <w:bCs/>
          <w:sz w:val="24"/>
          <w:szCs w:val="24"/>
        </w:rPr>
      </w:pPr>
    </w:p>
    <w:p>
      <w:pPr>
        <w:jc w:val="center"/>
        <w:rPr>
          <w:rFonts w:hint="eastAsia" w:ascii="宋体" w:hAnsi="宋体" w:cs="Arial"/>
          <w:b/>
          <w:sz w:val="24"/>
        </w:rPr>
      </w:pPr>
      <w:r>
        <w:rPr>
          <w:rFonts w:hint="eastAsia" w:ascii="宋体" w:hAnsi="宋体" w:cs="Arial"/>
          <w:b/>
          <w:sz w:val="24"/>
          <w:lang w:val="en-US" w:eastAsia="zh-CN"/>
        </w:rPr>
        <w:t>15.</w:t>
      </w:r>
      <w:r>
        <w:rPr>
          <w:rFonts w:hint="eastAsia" w:ascii="宋体" w:hAnsi="宋体" w:cs="Arial"/>
          <w:b/>
          <w:sz w:val="24"/>
        </w:rPr>
        <w:t>5国家企业信用信息公示系统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pStyle w:val="2"/>
      </w:pPr>
    </w:p>
    <w:p>
      <w:pPr>
        <w:snapToGrid w:val="0"/>
        <w:ind w:firstLine="843" w:firstLineChars="300"/>
        <w:contextualSpacing/>
        <w:rPr>
          <w:rFonts w:hint="eastAsia" w:ascii="宋体" w:hAnsi="宋体"/>
          <w:b/>
          <w:bCs/>
          <w:color w:val="000000"/>
          <w:sz w:val="28"/>
          <w:szCs w:val="28"/>
        </w:rPr>
      </w:pPr>
      <w:r>
        <w:rPr>
          <w:rFonts w:hint="eastAsia" w:ascii="宋体" w:hAnsi="宋体"/>
          <w:b/>
          <w:color w:val="000000"/>
          <w:sz w:val="28"/>
          <w:szCs w:val="28"/>
        </w:rPr>
        <w:t>十六</w:t>
      </w:r>
      <w:r>
        <w:rPr>
          <w:rFonts w:hint="eastAsia" w:ascii="微软雅黑" w:hAnsi="微软雅黑" w:eastAsia="微软雅黑" w:cs="微软雅黑"/>
          <w:b/>
          <w:color w:val="000000"/>
          <w:sz w:val="28"/>
          <w:szCs w:val="28"/>
        </w:rPr>
        <w:t>､</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color w:val="FF0000"/>
          <w:kern w:val="0"/>
          <w:szCs w:val="21"/>
        </w:rPr>
      </w:pPr>
      <w:r>
        <w:rPr>
          <w:rFonts w:hint="eastAsia" w:ascii="宋体" w:hAnsi="宋体"/>
          <w:color w:val="FF0000"/>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r>
        <w:rPr>
          <w:rFonts w:ascii="宋体" w:hAnsi="宋体"/>
          <w:b/>
          <w:color w:val="000000"/>
          <w:sz w:val="28"/>
          <w:szCs w:val="28"/>
        </w:rPr>
        <w:t>(</w:t>
      </w:r>
      <w:r>
        <w:rPr>
          <w:rFonts w:hint="eastAsia" w:ascii="宋体" w:hAnsi="宋体"/>
          <w:b/>
          <w:color w:val="FF0000"/>
          <w:sz w:val="28"/>
          <w:szCs w:val="28"/>
        </w:rPr>
        <w:t>价格不填</w:t>
      </w:r>
      <w:r>
        <w:rPr>
          <w:rFonts w:ascii="宋体" w:hAnsi="宋体"/>
          <w:b/>
          <w:color w:val="000000"/>
          <w:sz w:val="28"/>
          <w:szCs w:val="28"/>
        </w:rPr>
        <w:t>)</w:t>
      </w:r>
    </w:p>
    <w:p>
      <w:pPr>
        <w:widowControl/>
        <w:spacing w:line="360" w:lineRule="exact"/>
        <w:ind w:firstLine="3654" w:firstLineChars="1300"/>
        <w:rPr>
          <w:rFonts w:hint="eastAsia" w:ascii="宋体" w:hAnsi="宋体" w:cs="Arial"/>
          <w:b/>
          <w:color w:val="000000"/>
          <w:sz w:val="28"/>
          <w:szCs w:val="28"/>
          <w:lang w:val="en-US" w:eastAsia="zh-CN"/>
        </w:rPr>
      </w:pPr>
      <w:r>
        <w:rPr>
          <w:rFonts w:ascii="宋体" w:hAnsi="宋体" w:cs="Arial"/>
          <w:b/>
          <w:color w:val="000000"/>
          <w:sz w:val="28"/>
          <w:szCs w:val="28"/>
        </w:rPr>
        <w:t>采购编号:BYZBCG2024-</w:t>
      </w:r>
      <w:r>
        <w:rPr>
          <w:rFonts w:hint="eastAsia" w:ascii="宋体" w:hAnsi="宋体" w:cs="Arial"/>
          <w:b/>
          <w:color w:val="000000"/>
          <w:sz w:val="28"/>
          <w:szCs w:val="28"/>
          <w:lang w:val="en-US" w:eastAsia="zh-CN"/>
        </w:rPr>
        <w:t>48</w:t>
      </w:r>
    </w:p>
    <w:p>
      <w:pPr>
        <w:pStyle w:val="2"/>
        <w:rPr>
          <w:rFonts w:hint="default"/>
          <w:lang w:val="en-US" w:eastAsia="zh-CN"/>
        </w:rPr>
      </w:pPr>
    </w:p>
    <w:p>
      <w:pPr>
        <w:widowControl/>
        <w:spacing w:line="360" w:lineRule="exact"/>
        <w:ind w:left="1" w:firstLine="600" w:firstLineChars="200"/>
        <w:rPr>
          <w:rFonts w:hint="eastAsia" w:ascii="宋体" w:hAnsi="宋体"/>
          <w:sz w:val="36"/>
          <w:szCs w:val="36"/>
        </w:rPr>
      </w:pPr>
      <w:r>
        <w:rPr>
          <w:rFonts w:ascii="宋体" w:hAnsi="宋体"/>
          <w:sz w:val="30"/>
          <w:szCs w:val="30"/>
        </w:rPr>
        <w:t>投标单位:</w:t>
      </w:r>
      <w:r>
        <w:rPr>
          <w:rFonts w:ascii="宋体" w:hAnsi="宋体"/>
          <w:sz w:val="30"/>
          <w:szCs w:val="30"/>
          <w:u w:val="single"/>
        </w:rPr>
        <w:t xml:space="preserve">                                  </w:t>
      </w:r>
    </w:p>
    <w:tbl>
      <w:tblPr>
        <w:tblStyle w:val="14"/>
        <w:tblpPr w:leftFromText="180" w:rightFromText="180" w:vertAnchor="text" w:horzAnchor="margin" w:tblpX="534"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2"/>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bottom w:val="single" w:color="auto" w:sz="4" w:space="0"/>
            </w:tcBorders>
            <w:vAlign w:val="center"/>
          </w:tcPr>
          <w:p>
            <w:pPr>
              <w:spacing w:line="360" w:lineRule="exact"/>
              <w:jc w:val="center"/>
              <w:rPr>
                <w:rFonts w:hint="eastAsia" w:ascii="宋体" w:hAnsi="宋体" w:cs="Arial"/>
                <w:color w:val="000000"/>
                <w:kern w:val="0"/>
                <w:szCs w:val="21"/>
              </w:rPr>
            </w:pPr>
            <w:r>
              <w:rPr>
                <w:rFonts w:ascii="宋体" w:hAnsi="宋体" w:cs="Arial"/>
                <w:color w:val="000000"/>
                <w:kern w:val="0"/>
                <w:szCs w:val="21"/>
              </w:rPr>
              <w:t>项目名称</w:t>
            </w:r>
          </w:p>
        </w:tc>
        <w:tc>
          <w:tcPr>
            <w:tcW w:w="4218" w:type="dxa"/>
            <w:tcBorders>
              <w:bottom w:val="single" w:color="auto" w:sz="4" w:space="0"/>
            </w:tcBorders>
            <w:vAlign w:val="center"/>
          </w:tcPr>
          <w:p>
            <w:pPr>
              <w:spacing w:line="360" w:lineRule="exact"/>
              <w:jc w:val="center"/>
              <w:rPr>
                <w:rFonts w:hint="eastAsia" w:ascii="宋体" w:hAnsi="宋体"/>
                <w:szCs w:val="21"/>
              </w:rPr>
            </w:pPr>
            <w:r>
              <w:rPr>
                <w:rFonts w:ascii="宋体" w:hAnsi="宋体" w:cs="Arial"/>
                <w:color w:val="000000"/>
                <w:kern w:val="0"/>
                <w:szCs w:val="21"/>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Cs w:val="21"/>
              </w:rPr>
            </w:pPr>
          </w:p>
        </w:tc>
        <w:tc>
          <w:tcPr>
            <w:tcW w:w="42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Cs w:val="21"/>
              </w:rPr>
            </w:pPr>
          </w:p>
        </w:tc>
      </w:tr>
    </w:tbl>
    <w:p>
      <w:pPr>
        <w:widowControl/>
        <w:ind w:firstLine="426" w:firstLineChars="142"/>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ind w:firstLine="426" w:firstLineChars="142"/>
        <w:jc w:val="left"/>
        <w:rPr>
          <w:rFonts w:hint="eastAsia" w:ascii="宋体" w:hAnsi="宋体"/>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pPr>
        <w:spacing w:line="360" w:lineRule="exact"/>
        <w:jc w:val="center"/>
        <w:rPr>
          <w:rFonts w:hint="eastAsia" w:ascii="宋体" w:hAnsi="宋体"/>
          <w:sz w:val="36"/>
          <w:szCs w:val="36"/>
        </w:rPr>
      </w:pPr>
      <w:r>
        <w:rPr>
          <w:rFonts w:ascii="宋体" w:hAnsi="宋体"/>
          <w:sz w:val="36"/>
          <w:szCs w:val="36"/>
        </w:rPr>
        <w:t xml:space="preserve">                                         </w:t>
      </w:r>
    </w:p>
    <w:p>
      <w:pPr>
        <w:widowControl/>
        <w:spacing w:line="360" w:lineRule="exact"/>
        <w:ind w:left="283" w:leftChars="135" w:firstLine="283" w:firstLineChars="135"/>
        <w:jc w:val="left"/>
        <w:rPr>
          <w:rFonts w:hint="eastAsia" w:ascii="宋体" w:hAnsi="宋体" w:cs="Arial"/>
          <w:color w:val="000000"/>
          <w:kern w:val="0"/>
          <w:szCs w:val="21"/>
        </w:rPr>
      </w:pPr>
      <w:r>
        <w:rPr>
          <w:rFonts w:ascii="宋体" w:hAnsi="宋体" w:cs="Arial"/>
          <w:color w:val="000000"/>
          <w:kern w:val="0"/>
          <w:szCs w:val="21"/>
        </w:rPr>
        <w:t>备注:1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宋体" w:hAnsi="宋体" w:cs="微软雅黑"/>
          <w:color w:val="000000"/>
          <w:kern w:val="0"/>
          <w:szCs w:val="21"/>
        </w:rPr>
        <w:t>｡</w:t>
      </w:r>
    </w:p>
    <w:p>
      <w:pPr>
        <w:widowControl/>
        <w:spacing w:line="360" w:lineRule="exact"/>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706" w:leftChars="336" w:right="258" w:rightChars="123" w:firstLine="420" w:firstLineChars="200"/>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E9360C3"/>
    <w:multiLevelType w:val="singleLevel"/>
    <w:tmpl w:val="0E9360C3"/>
    <w:lvl w:ilvl="0" w:tentative="0">
      <w:start w:val="1"/>
      <w:numFmt w:val="decimal"/>
      <w:suff w:val="nothing"/>
      <w:lvlText w:val="%1、"/>
      <w:lvlJc w:val="left"/>
    </w:lvl>
  </w:abstractNum>
  <w:abstractNum w:abstractNumId="2">
    <w:nsid w:val="2482467F"/>
    <w:multiLevelType w:val="multilevel"/>
    <w:tmpl w:val="2482467F"/>
    <w:lvl w:ilvl="0" w:tentative="0">
      <w:start w:val="3"/>
      <w:numFmt w:val="japaneseCounting"/>
      <w:lvlText w:val="%1、"/>
      <w:lvlJc w:val="left"/>
      <w:pPr>
        <w:ind w:left="450" w:hanging="45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C38B355"/>
    <w:multiLevelType w:val="singleLevel"/>
    <w:tmpl w:val="2C38B355"/>
    <w:lvl w:ilvl="0" w:tentative="0">
      <w:start w:val="1"/>
      <w:numFmt w:val="chineseCounting"/>
      <w:suff w:val="nothing"/>
      <w:lvlText w:val="（%1）"/>
      <w:lvlJc w:val="left"/>
      <w:rPr>
        <w:rFonts w:hint="eastAsia"/>
        <w:sz w:val="21"/>
        <w:szCs w:val="21"/>
      </w:rPr>
    </w:lvl>
  </w:abstractNum>
  <w:abstractNum w:abstractNumId="4">
    <w:nsid w:val="3D277C40"/>
    <w:multiLevelType w:val="singleLevel"/>
    <w:tmpl w:val="3D277C40"/>
    <w:lvl w:ilvl="0" w:tentative="0">
      <w:start w:val="1"/>
      <w:numFmt w:val="chineseCounting"/>
      <w:suff w:val="nothing"/>
      <w:lvlText w:val="%1、"/>
      <w:lvlJc w:val="left"/>
      <w:rPr>
        <w:rFonts w:hint="eastAsia"/>
      </w:rPr>
    </w:lvl>
  </w:abstractNum>
  <w:abstractNum w:abstractNumId="5">
    <w:nsid w:val="5D3B69F8"/>
    <w:multiLevelType w:val="multilevel"/>
    <w:tmpl w:val="5D3B69F8"/>
    <w:lvl w:ilvl="0" w:tentative="0">
      <w:start w:val="17"/>
      <w:numFmt w:val="decimal"/>
      <w:lvlText w:val="%1."/>
      <w:lvlJc w:val="left"/>
      <w:pPr>
        <w:ind w:left="360" w:hanging="360"/>
      </w:pPr>
      <w:rPr>
        <w:rFonts w:hint="default"/>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62267A32"/>
    <w:multiLevelType w:val="singleLevel"/>
    <w:tmpl w:val="62267A32"/>
    <w:lvl w:ilvl="0" w:tentative="0">
      <w:start w:val="1"/>
      <w:numFmt w:val="chineseCounting"/>
      <w:suff w:val="nothing"/>
      <w:lvlText w:val="（%1）"/>
      <w:lvlJc w:val="left"/>
      <w:rPr>
        <w:rFonts w:hint="eastAsia"/>
      </w:rPr>
    </w:lvl>
  </w:abstractNum>
  <w:abstractNum w:abstractNumId="7">
    <w:nsid w:val="70A107F5"/>
    <w:multiLevelType w:val="singleLevel"/>
    <w:tmpl w:val="70A107F5"/>
    <w:lvl w:ilvl="0" w:tentative="0">
      <w:start w:val="3"/>
      <w:numFmt w:val="decimal"/>
      <w:suff w:val="nothing"/>
      <w:lvlText w:val="%1、"/>
      <w:lvlJc w:val="left"/>
    </w:lvl>
  </w:abstractNum>
  <w:num w:numId="1">
    <w:abstractNumId w:val="1"/>
  </w:num>
  <w:num w:numId="2">
    <w:abstractNumId w:val="3"/>
  </w:num>
  <w:num w:numId="3">
    <w:abstractNumId w:val="6"/>
  </w:num>
  <w:num w:numId="4">
    <w:abstractNumId w:val="4"/>
  </w:num>
  <w:num w:numId="5">
    <w:abstractNumId w:val="2"/>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78403c99-a22d-4ee0-8afd-490a740b9501"/>
  </w:docVars>
  <w:rsids>
    <w:rsidRoot w:val="00EE2525"/>
    <w:rsid w:val="00000DCB"/>
    <w:rsid w:val="00001D49"/>
    <w:rsid w:val="000022EA"/>
    <w:rsid w:val="00003873"/>
    <w:rsid w:val="00006320"/>
    <w:rsid w:val="00007B0B"/>
    <w:rsid w:val="000102F1"/>
    <w:rsid w:val="00011789"/>
    <w:rsid w:val="00012865"/>
    <w:rsid w:val="00015B32"/>
    <w:rsid w:val="00025AD6"/>
    <w:rsid w:val="0003161B"/>
    <w:rsid w:val="00036505"/>
    <w:rsid w:val="00036947"/>
    <w:rsid w:val="00042BB7"/>
    <w:rsid w:val="000430B0"/>
    <w:rsid w:val="00044D74"/>
    <w:rsid w:val="000456DE"/>
    <w:rsid w:val="00051F82"/>
    <w:rsid w:val="000534DA"/>
    <w:rsid w:val="000546AA"/>
    <w:rsid w:val="00054DF9"/>
    <w:rsid w:val="00057DD7"/>
    <w:rsid w:val="0006304C"/>
    <w:rsid w:val="0006542A"/>
    <w:rsid w:val="00067F88"/>
    <w:rsid w:val="0007547E"/>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6FB9"/>
    <w:rsid w:val="000B1DA4"/>
    <w:rsid w:val="000B1E21"/>
    <w:rsid w:val="000B6416"/>
    <w:rsid w:val="000B7711"/>
    <w:rsid w:val="000B79BE"/>
    <w:rsid w:val="000C0B4C"/>
    <w:rsid w:val="000C2253"/>
    <w:rsid w:val="000C42B7"/>
    <w:rsid w:val="000D0CB7"/>
    <w:rsid w:val="000D3E7C"/>
    <w:rsid w:val="000D78CD"/>
    <w:rsid w:val="000E6061"/>
    <w:rsid w:val="000E6D80"/>
    <w:rsid w:val="000E75CA"/>
    <w:rsid w:val="000F230C"/>
    <w:rsid w:val="000F240F"/>
    <w:rsid w:val="000F5D0F"/>
    <w:rsid w:val="00100EED"/>
    <w:rsid w:val="00100F62"/>
    <w:rsid w:val="00101B90"/>
    <w:rsid w:val="00106609"/>
    <w:rsid w:val="00110D6E"/>
    <w:rsid w:val="00136177"/>
    <w:rsid w:val="001412BC"/>
    <w:rsid w:val="00143BB1"/>
    <w:rsid w:val="00146473"/>
    <w:rsid w:val="00147465"/>
    <w:rsid w:val="00147BEE"/>
    <w:rsid w:val="001502BE"/>
    <w:rsid w:val="0015597D"/>
    <w:rsid w:val="00156F90"/>
    <w:rsid w:val="00165544"/>
    <w:rsid w:val="001658AA"/>
    <w:rsid w:val="001710BF"/>
    <w:rsid w:val="00177F0B"/>
    <w:rsid w:val="00184C93"/>
    <w:rsid w:val="001965BB"/>
    <w:rsid w:val="00196778"/>
    <w:rsid w:val="00197B5D"/>
    <w:rsid w:val="001A02C2"/>
    <w:rsid w:val="001A17DD"/>
    <w:rsid w:val="001A2C67"/>
    <w:rsid w:val="001A4FBB"/>
    <w:rsid w:val="001A5677"/>
    <w:rsid w:val="001A57E2"/>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6DE9"/>
    <w:rsid w:val="00227E44"/>
    <w:rsid w:val="0023436B"/>
    <w:rsid w:val="00235561"/>
    <w:rsid w:val="002430E0"/>
    <w:rsid w:val="00243CF0"/>
    <w:rsid w:val="00247B32"/>
    <w:rsid w:val="00251F4F"/>
    <w:rsid w:val="00254127"/>
    <w:rsid w:val="00255EFC"/>
    <w:rsid w:val="002612ED"/>
    <w:rsid w:val="002627A3"/>
    <w:rsid w:val="00263CB1"/>
    <w:rsid w:val="00264C15"/>
    <w:rsid w:val="00272284"/>
    <w:rsid w:val="002828EA"/>
    <w:rsid w:val="0028321D"/>
    <w:rsid w:val="002906B4"/>
    <w:rsid w:val="002A30CA"/>
    <w:rsid w:val="002A576F"/>
    <w:rsid w:val="002A7FFB"/>
    <w:rsid w:val="002B1321"/>
    <w:rsid w:val="002B338D"/>
    <w:rsid w:val="002B7BAC"/>
    <w:rsid w:val="002C3FA1"/>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25986"/>
    <w:rsid w:val="00333F7F"/>
    <w:rsid w:val="00334D83"/>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7C7"/>
    <w:rsid w:val="003861BC"/>
    <w:rsid w:val="00391D8A"/>
    <w:rsid w:val="003967D0"/>
    <w:rsid w:val="00397601"/>
    <w:rsid w:val="0039771C"/>
    <w:rsid w:val="00397E8F"/>
    <w:rsid w:val="003A04F7"/>
    <w:rsid w:val="003A1A71"/>
    <w:rsid w:val="003A3084"/>
    <w:rsid w:val="003A4B11"/>
    <w:rsid w:val="003A7359"/>
    <w:rsid w:val="003B0C63"/>
    <w:rsid w:val="003B1F6C"/>
    <w:rsid w:val="003B2CFD"/>
    <w:rsid w:val="003B5B68"/>
    <w:rsid w:val="003B7150"/>
    <w:rsid w:val="003C178B"/>
    <w:rsid w:val="003C266E"/>
    <w:rsid w:val="003C4144"/>
    <w:rsid w:val="003C7C7D"/>
    <w:rsid w:val="003D13AA"/>
    <w:rsid w:val="003D1608"/>
    <w:rsid w:val="003D3B87"/>
    <w:rsid w:val="003D668F"/>
    <w:rsid w:val="003F062A"/>
    <w:rsid w:val="003F0B8E"/>
    <w:rsid w:val="003F693C"/>
    <w:rsid w:val="003F6AF5"/>
    <w:rsid w:val="004053D1"/>
    <w:rsid w:val="00407D6D"/>
    <w:rsid w:val="0041217F"/>
    <w:rsid w:val="00415B7D"/>
    <w:rsid w:val="00420BE2"/>
    <w:rsid w:val="00424CB0"/>
    <w:rsid w:val="00427DD3"/>
    <w:rsid w:val="00431026"/>
    <w:rsid w:val="00442267"/>
    <w:rsid w:val="004437F5"/>
    <w:rsid w:val="00450E58"/>
    <w:rsid w:val="00452617"/>
    <w:rsid w:val="004541B7"/>
    <w:rsid w:val="00454400"/>
    <w:rsid w:val="00457A11"/>
    <w:rsid w:val="004665AE"/>
    <w:rsid w:val="00470A1A"/>
    <w:rsid w:val="0047228C"/>
    <w:rsid w:val="0047305B"/>
    <w:rsid w:val="00475924"/>
    <w:rsid w:val="00475E52"/>
    <w:rsid w:val="00476E99"/>
    <w:rsid w:val="00484513"/>
    <w:rsid w:val="00493413"/>
    <w:rsid w:val="004957A5"/>
    <w:rsid w:val="004958B6"/>
    <w:rsid w:val="004A602C"/>
    <w:rsid w:val="004A695F"/>
    <w:rsid w:val="004B2BB0"/>
    <w:rsid w:val="004B6577"/>
    <w:rsid w:val="004C5954"/>
    <w:rsid w:val="004C781A"/>
    <w:rsid w:val="004C7BE8"/>
    <w:rsid w:val="004D1FA5"/>
    <w:rsid w:val="004D211C"/>
    <w:rsid w:val="004F24E8"/>
    <w:rsid w:val="004F4A18"/>
    <w:rsid w:val="00501EAC"/>
    <w:rsid w:val="005122A4"/>
    <w:rsid w:val="00515886"/>
    <w:rsid w:val="00516075"/>
    <w:rsid w:val="00525134"/>
    <w:rsid w:val="00526757"/>
    <w:rsid w:val="00530610"/>
    <w:rsid w:val="00530F85"/>
    <w:rsid w:val="0053209C"/>
    <w:rsid w:val="005331A1"/>
    <w:rsid w:val="00533F97"/>
    <w:rsid w:val="005366D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3FE2"/>
    <w:rsid w:val="005B6758"/>
    <w:rsid w:val="005B7678"/>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65F81"/>
    <w:rsid w:val="006728C6"/>
    <w:rsid w:val="00672B94"/>
    <w:rsid w:val="00677636"/>
    <w:rsid w:val="00681E21"/>
    <w:rsid w:val="006876A8"/>
    <w:rsid w:val="00690CD9"/>
    <w:rsid w:val="00691FA4"/>
    <w:rsid w:val="006A0EDC"/>
    <w:rsid w:val="006A3C40"/>
    <w:rsid w:val="006A4A66"/>
    <w:rsid w:val="006A6BE9"/>
    <w:rsid w:val="006B1AC8"/>
    <w:rsid w:val="006B25F9"/>
    <w:rsid w:val="006B7023"/>
    <w:rsid w:val="006C15F4"/>
    <w:rsid w:val="006C20DE"/>
    <w:rsid w:val="006C25D1"/>
    <w:rsid w:val="006C2E62"/>
    <w:rsid w:val="006C481A"/>
    <w:rsid w:val="006C54BA"/>
    <w:rsid w:val="006C727C"/>
    <w:rsid w:val="006D165D"/>
    <w:rsid w:val="006D31AD"/>
    <w:rsid w:val="006D4355"/>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76FD"/>
    <w:rsid w:val="0074275C"/>
    <w:rsid w:val="00742F7B"/>
    <w:rsid w:val="007460B8"/>
    <w:rsid w:val="00747B37"/>
    <w:rsid w:val="0075120A"/>
    <w:rsid w:val="0075319F"/>
    <w:rsid w:val="00757378"/>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6255"/>
    <w:rsid w:val="007C6CC9"/>
    <w:rsid w:val="007D16E4"/>
    <w:rsid w:val="007D38A8"/>
    <w:rsid w:val="007D6FA6"/>
    <w:rsid w:val="007E002C"/>
    <w:rsid w:val="007E1B58"/>
    <w:rsid w:val="007E3BC2"/>
    <w:rsid w:val="007F170F"/>
    <w:rsid w:val="007F35FE"/>
    <w:rsid w:val="007F3E26"/>
    <w:rsid w:val="007F6A7F"/>
    <w:rsid w:val="008046DC"/>
    <w:rsid w:val="00811F91"/>
    <w:rsid w:val="00812196"/>
    <w:rsid w:val="00820145"/>
    <w:rsid w:val="0082199A"/>
    <w:rsid w:val="00825161"/>
    <w:rsid w:val="00825E48"/>
    <w:rsid w:val="00825EFA"/>
    <w:rsid w:val="008316A4"/>
    <w:rsid w:val="00837578"/>
    <w:rsid w:val="00841059"/>
    <w:rsid w:val="00842C9E"/>
    <w:rsid w:val="00847EFA"/>
    <w:rsid w:val="00855D88"/>
    <w:rsid w:val="00856CC4"/>
    <w:rsid w:val="00857DFE"/>
    <w:rsid w:val="0086612B"/>
    <w:rsid w:val="00867132"/>
    <w:rsid w:val="008747C8"/>
    <w:rsid w:val="00894D01"/>
    <w:rsid w:val="008A5BE9"/>
    <w:rsid w:val="008A608B"/>
    <w:rsid w:val="008B00E9"/>
    <w:rsid w:val="008B4387"/>
    <w:rsid w:val="008B64A2"/>
    <w:rsid w:val="008B7021"/>
    <w:rsid w:val="008C7A1F"/>
    <w:rsid w:val="008D23C6"/>
    <w:rsid w:val="008E014A"/>
    <w:rsid w:val="008E2B38"/>
    <w:rsid w:val="008E2C75"/>
    <w:rsid w:val="008E43D6"/>
    <w:rsid w:val="008E4AB4"/>
    <w:rsid w:val="008E5133"/>
    <w:rsid w:val="008F158F"/>
    <w:rsid w:val="008F3567"/>
    <w:rsid w:val="008F3D57"/>
    <w:rsid w:val="008F6934"/>
    <w:rsid w:val="00905879"/>
    <w:rsid w:val="009072D6"/>
    <w:rsid w:val="00910729"/>
    <w:rsid w:val="00910978"/>
    <w:rsid w:val="00911CB8"/>
    <w:rsid w:val="00914EA0"/>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5037"/>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162A"/>
    <w:rsid w:val="00A0524C"/>
    <w:rsid w:val="00A07083"/>
    <w:rsid w:val="00A071A4"/>
    <w:rsid w:val="00A153F7"/>
    <w:rsid w:val="00A15F3E"/>
    <w:rsid w:val="00A22419"/>
    <w:rsid w:val="00A26D5D"/>
    <w:rsid w:val="00A32389"/>
    <w:rsid w:val="00A32F02"/>
    <w:rsid w:val="00A40AA0"/>
    <w:rsid w:val="00A40AD9"/>
    <w:rsid w:val="00A441BE"/>
    <w:rsid w:val="00A5339F"/>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7280"/>
    <w:rsid w:val="00AE153E"/>
    <w:rsid w:val="00AE465F"/>
    <w:rsid w:val="00AE49CD"/>
    <w:rsid w:val="00AE628E"/>
    <w:rsid w:val="00AF1891"/>
    <w:rsid w:val="00AF7E05"/>
    <w:rsid w:val="00B20579"/>
    <w:rsid w:val="00B22ED9"/>
    <w:rsid w:val="00B246D5"/>
    <w:rsid w:val="00B26E31"/>
    <w:rsid w:val="00B35D03"/>
    <w:rsid w:val="00B37B7B"/>
    <w:rsid w:val="00B40DEF"/>
    <w:rsid w:val="00B507E6"/>
    <w:rsid w:val="00B611B2"/>
    <w:rsid w:val="00B6139C"/>
    <w:rsid w:val="00B64E56"/>
    <w:rsid w:val="00B774EE"/>
    <w:rsid w:val="00B8129D"/>
    <w:rsid w:val="00B83991"/>
    <w:rsid w:val="00B86563"/>
    <w:rsid w:val="00B91724"/>
    <w:rsid w:val="00B92C40"/>
    <w:rsid w:val="00B93457"/>
    <w:rsid w:val="00B96161"/>
    <w:rsid w:val="00BA1868"/>
    <w:rsid w:val="00BA33E8"/>
    <w:rsid w:val="00BA4125"/>
    <w:rsid w:val="00BA5007"/>
    <w:rsid w:val="00BA70F1"/>
    <w:rsid w:val="00BA7AF1"/>
    <w:rsid w:val="00BB229B"/>
    <w:rsid w:val="00BB2FD8"/>
    <w:rsid w:val="00BB511A"/>
    <w:rsid w:val="00BB7923"/>
    <w:rsid w:val="00BC3C50"/>
    <w:rsid w:val="00BC45D4"/>
    <w:rsid w:val="00BC4A3F"/>
    <w:rsid w:val="00BC56D4"/>
    <w:rsid w:val="00BC6DBB"/>
    <w:rsid w:val="00BC7B6F"/>
    <w:rsid w:val="00BD02FF"/>
    <w:rsid w:val="00BE1468"/>
    <w:rsid w:val="00BE1C1E"/>
    <w:rsid w:val="00BE47AA"/>
    <w:rsid w:val="00BE772C"/>
    <w:rsid w:val="00BF04EB"/>
    <w:rsid w:val="00BF0BE4"/>
    <w:rsid w:val="00BF0D2F"/>
    <w:rsid w:val="00BF6979"/>
    <w:rsid w:val="00C0174B"/>
    <w:rsid w:val="00C034EC"/>
    <w:rsid w:val="00C11107"/>
    <w:rsid w:val="00C16B4D"/>
    <w:rsid w:val="00C33189"/>
    <w:rsid w:val="00C34DFC"/>
    <w:rsid w:val="00C429D0"/>
    <w:rsid w:val="00C47BB7"/>
    <w:rsid w:val="00C520DC"/>
    <w:rsid w:val="00C53CCB"/>
    <w:rsid w:val="00C5571B"/>
    <w:rsid w:val="00C57CD8"/>
    <w:rsid w:val="00C622BF"/>
    <w:rsid w:val="00C62316"/>
    <w:rsid w:val="00C638B9"/>
    <w:rsid w:val="00C63A77"/>
    <w:rsid w:val="00C64782"/>
    <w:rsid w:val="00C705A5"/>
    <w:rsid w:val="00C70F84"/>
    <w:rsid w:val="00C92B26"/>
    <w:rsid w:val="00C94233"/>
    <w:rsid w:val="00CA113E"/>
    <w:rsid w:val="00CA59D9"/>
    <w:rsid w:val="00CB6716"/>
    <w:rsid w:val="00CC386D"/>
    <w:rsid w:val="00CC4037"/>
    <w:rsid w:val="00CC5A6C"/>
    <w:rsid w:val="00CD0F9C"/>
    <w:rsid w:val="00CD32FE"/>
    <w:rsid w:val="00CD3AF9"/>
    <w:rsid w:val="00CD607A"/>
    <w:rsid w:val="00CD69B2"/>
    <w:rsid w:val="00CD720F"/>
    <w:rsid w:val="00CD7A1E"/>
    <w:rsid w:val="00CE0A60"/>
    <w:rsid w:val="00CE44C8"/>
    <w:rsid w:val="00CE54C3"/>
    <w:rsid w:val="00CE7BA4"/>
    <w:rsid w:val="00CF136E"/>
    <w:rsid w:val="00CF373D"/>
    <w:rsid w:val="00CF3E7E"/>
    <w:rsid w:val="00CF7E74"/>
    <w:rsid w:val="00D01623"/>
    <w:rsid w:val="00D06094"/>
    <w:rsid w:val="00D07464"/>
    <w:rsid w:val="00D13D24"/>
    <w:rsid w:val="00D2267C"/>
    <w:rsid w:val="00D23C99"/>
    <w:rsid w:val="00D3588C"/>
    <w:rsid w:val="00D359E0"/>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924CF"/>
    <w:rsid w:val="00D9338D"/>
    <w:rsid w:val="00D93D4F"/>
    <w:rsid w:val="00D94F0F"/>
    <w:rsid w:val="00D95AFF"/>
    <w:rsid w:val="00D96290"/>
    <w:rsid w:val="00D96EF4"/>
    <w:rsid w:val="00D971E8"/>
    <w:rsid w:val="00DA26A3"/>
    <w:rsid w:val="00DA28C0"/>
    <w:rsid w:val="00DA6B5D"/>
    <w:rsid w:val="00DB067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20760"/>
    <w:rsid w:val="00E2369B"/>
    <w:rsid w:val="00E246EA"/>
    <w:rsid w:val="00E26218"/>
    <w:rsid w:val="00E301A3"/>
    <w:rsid w:val="00E30DAD"/>
    <w:rsid w:val="00E32677"/>
    <w:rsid w:val="00E47724"/>
    <w:rsid w:val="00E47AB9"/>
    <w:rsid w:val="00E535D7"/>
    <w:rsid w:val="00E54243"/>
    <w:rsid w:val="00E54C17"/>
    <w:rsid w:val="00E62E7B"/>
    <w:rsid w:val="00E6315C"/>
    <w:rsid w:val="00E63B86"/>
    <w:rsid w:val="00E7319A"/>
    <w:rsid w:val="00E734CF"/>
    <w:rsid w:val="00E766FC"/>
    <w:rsid w:val="00E8011C"/>
    <w:rsid w:val="00E80FC7"/>
    <w:rsid w:val="00E814B9"/>
    <w:rsid w:val="00E81DCD"/>
    <w:rsid w:val="00E81E86"/>
    <w:rsid w:val="00E8232E"/>
    <w:rsid w:val="00E82AA9"/>
    <w:rsid w:val="00E90B2F"/>
    <w:rsid w:val="00E9423E"/>
    <w:rsid w:val="00EA7BE9"/>
    <w:rsid w:val="00EB1B36"/>
    <w:rsid w:val="00EB1CF5"/>
    <w:rsid w:val="00EB3A59"/>
    <w:rsid w:val="00EB3BAD"/>
    <w:rsid w:val="00EB6C70"/>
    <w:rsid w:val="00EB7EC9"/>
    <w:rsid w:val="00EC4D8D"/>
    <w:rsid w:val="00EC63CE"/>
    <w:rsid w:val="00ED1312"/>
    <w:rsid w:val="00ED1B7A"/>
    <w:rsid w:val="00ED2FF9"/>
    <w:rsid w:val="00ED3144"/>
    <w:rsid w:val="00ED6BBD"/>
    <w:rsid w:val="00ED6F2E"/>
    <w:rsid w:val="00EE1F4B"/>
    <w:rsid w:val="00EE2525"/>
    <w:rsid w:val="00EE762C"/>
    <w:rsid w:val="00EF25FA"/>
    <w:rsid w:val="00EF3F91"/>
    <w:rsid w:val="00EF528A"/>
    <w:rsid w:val="00EF5584"/>
    <w:rsid w:val="00F03371"/>
    <w:rsid w:val="00F11A63"/>
    <w:rsid w:val="00F20C14"/>
    <w:rsid w:val="00F225B4"/>
    <w:rsid w:val="00F22CE0"/>
    <w:rsid w:val="00F30095"/>
    <w:rsid w:val="00F3011A"/>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4EEE"/>
    <w:rsid w:val="00FB7CD3"/>
    <w:rsid w:val="00FC14CE"/>
    <w:rsid w:val="00FC4BD8"/>
    <w:rsid w:val="00FC5B25"/>
    <w:rsid w:val="00FD4D41"/>
    <w:rsid w:val="00FD55C7"/>
    <w:rsid w:val="00FD6EBD"/>
    <w:rsid w:val="00FE1E48"/>
    <w:rsid w:val="00FE3BF2"/>
    <w:rsid w:val="00FF2BBC"/>
    <w:rsid w:val="00FF6AE5"/>
    <w:rsid w:val="01B3097E"/>
    <w:rsid w:val="02FD56D7"/>
    <w:rsid w:val="04BA6D56"/>
    <w:rsid w:val="054D6166"/>
    <w:rsid w:val="08B738FC"/>
    <w:rsid w:val="153E3549"/>
    <w:rsid w:val="168F3C34"/>
    <w:rsid w:val="1984103F"/>
    <w:rsid w:val="1A663D17"/>
    <w:rsid w:val="1BB35654"/>
    <w:rsid w:val="1E8245AD"/>
    <w:rsid w:val="21944DEE"/>
    <w:rsid w:val="26047E6A"/>
    <w:rsid w:val="29F8398C"/>
    <w:rsid w:val="2C566953"/>
    <w:rsid w:val="307C56EC"/>
    <w:rsid w:val="30B33C47"/>
    <w:rsid w:val="317F1137"/>
    <w:rsid w:val="32952DB4"/>
    <w:rsid w:val="329C76FF"/>
    <w:rsid w:val="34D7691B"/>
    <w:rsid w:val="3A227ADB"/>
    <w:rsid w:val="3E292C11"/>
    <w:rsid w:val="3EBE4AC0"/>
    <w:rsid w:val="42E3216A"/>
    <w:rsid w:val="43EC179D"/>
    <w:rsid w:val="49A308A5"/>
    <w:rsid w:val="49E22A33"/>
    <w:rsid w:val="4B8A7F8A"/>
    <w:rsid w:val="4D6C5536"/>
    <w:rsid w:val="51981FF4"/>
    <w:rsid w:val="51FF032F"/>
    <w:rsid w:val="564F6EA2"/>
    <w:rsid w:val="5A360CAA"/>
    <w:rsid w:val="5CCC3817"/>
    <w:rsid w:val="5DFF4054"/>
    <w:rsid w:val="5E306E1C"/>
    <w:rsid w:val="5F404B37"/>
    <w:rsid w:val="5F5F2503"/>
    <w:rsid w:val="61187829"/>
    <w:rsid w:val="616E61BD"/>
    <w:rsid w:val="645D3BCA"/>
    <w:rsid w:val="64C45B85"/>
    <w:rsid w:val="673E09F7"/>
    <w:rsid w:val="677C37D9"/>
    <w:rsid w:val="689759A9"/>
    <w:rsid w:val="6A073068"/>
    <w:rsid w:val="6C67530A"/>
    <w:rsid w:val="6D9D4CB1"/>
    <w:rsid w:val="733C6D53"/>
    <w:rsid w:val="7A7029F5"/>
    <w:rsid w:val="7C2C6CA8"/>
    <w:rsid w:val="7D000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2"/>
    <w:qFormat/>
    <w:uiPriority w:val="0"/>
    <w:rPr>
      <w:rFonts w:ascii="宋体" w:hAnsi="Courier New" w:cs="宋体"/>
      <w:szCs w:val="21"/>
    </w:rPr>
  </w:style>
  <w:style w:type="paragraph" w:styleId="3">
    <w:name w:val="Normal Indent"/>
    <w:basedOn w:val="1"/>
    <w:link w:val="21"/>
    <w:qFormat/>
    <w:uiPriority w:val="0"/>
    <w:pPr>
      <w:ind w:firstLine="420"/>
    </w:pPr>
    <w:rPr>
      <w:szCs w:val="20"/>
    </w:rPr>
  </w:style>
  <w:style w:type="paragraph" w:styleId="4">
    <w:name w:val="Document Map"/>
    <w:basedOn w:val="1"/>
    <w:unhideWhenUsed/>
    <w:qFormat/>
    <w:uiPriority w:val="99"/>
    <w:rPr>
      <w:rFonts w:ascii="宋体"/>
      <w:sz w:val="18"/>
      <w:szCs w:val="18"/>
    </w:rPr>
  </w:style>
  <w:style w:type="paragraph" w:styleId="5">
    <w:name w:val="annotation text"/>
    <w:basedOn w:val="1"/>
    <w:link w:val="37"/>
    <w:qFormat/>
    <w:uiPriority w:val="99"/>
    <w:pPr>
      <w:jc w:val="left"/>
    </w:pPr>
  </w:style>
  <w:style w:type="paragraph" w:styleId="6">
    <w:name w:val="Body Text"/>
    <w:basedOn w:val="1"/>
    <w:next w:val="1"/>
    <w:link w:val="29"/>
    <w:qFormat/>
    <w:uiPriority w:val="1"/>
    <w:pPr>
      <w:spacing w:after="120"/>
    </w:pPr>
  </w:style>
  <w:style w:type="paragraph" w:styleId="7">
    <w:name w:val="Body Text Indent"/>
    <w:basedOn w:val="1"/>
    <w:link w:val="51"/>
    <w:semiHidden/>
    <w:unhideWhenUsed/>
    <w:qFormat/>
    <w:uiPriority w:val="99"/>
    <w:pPr>
      <w:spacing w:after="120"/>
      <w:ind w:left="420" w:leftChars="200"/>
    </w:pPr>
  </w:style>
  <w:style w:type="paragraph" w:styleId="8">
    <w:name w:val="Date"/>
    <w:basedOn w:val="1"/>
    <w:next w:val="1"/>
    <w:link w:val="36"/>
    <w:semiHidden/>
    <w:unhideWhenUsed/>
    <w:qFormat/>
    <w:uiPriority w:val="99"/>
    <w:pPr>
      <w:ind w:left="100" w:leftChars="2500"/>
    </w:pPr>
  </w:style>
  <w:style w:type="paragraph" w:styleId="9">
    <w:name w:val="Balloon Text"/>
    <w:basedOn w:val="1"/>
    <w:link w:val="40"/>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link w:val="52"/>
    <w:semiHidden/>
    <w:unhideWhenUsed/>
    <w:qFormat/>
    <w:uiPriority w:val="99"/>
    <w:pPr>
      <w:ind w:firstLine="420" w:firstLineChars="200"/>
    </w:p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unhideWhenUsed/>
    <w:qFormat/>
    <w:uiPriority w:val="99"/>
    <w:rPr>
      <w:sz w:val="21"/>
      <w:szCs w:val="21"/>
    </w:rPr>
  </w:style>
  <w:style w:type="character" w:customStyle="1" w:styleId="19">
    <w:name w:val="标题 1 Char"/>
    <w:qFormat/>
    <w:uiPriority w:val="0"/>
    <w:rPr>
      <w:rFonts w:ascii="宋体" w:hAnsi="宋体" w:eastAsia="黑体"/>
      <w:b/>
      <w:bCs/>
      <w:kern w:val="44"/>
      <w:sz w:val="28"/>
      <w:szCs w:val="44"/>
      <w:lang w:val="en-US" w:eastAsia="zh-CN" w:bidi="ar-SA"/>
    </w:rPr>
  </w:style>
  <w:style w:type="character" w:customStyle="1" w:styleId="20">
    <w:name w:val="纯文本 字符"/>
    <w:basedOn w:val="16"/>
    <w:qFormat/>
    <w:uiPriority w:val="0"/>
    <w:rPr>
      <w:rFonts w:hAnsi="Courier New" w:cs="Courier New" w:asciiTheme="minorEastAsia"/>
      <w:szCs w:val="24"/>
    </w:rPr>
  </w:style>
  <w:style w:type="character" w:customStyle="1" w:styleId="21">
    <w:name w:val="正文缩进 字符"/>
    <w:basedOn w:val="16"/>
    <w:link w:val="3"/>
    <w:qFormat/>
    <w:uiPriority w:val="0"/>
    <w:rPr>
      <w:rFonts w:ascii="Times New Roman" w:hAnsi="Times New Roman" w:eastAsia="宋体" w:cs="Times New Roman"/>
      <w:szCs w:val="20"/>
    </w:rPr>
  </w:style>
  <w:style w:type="character" w:customStyle="1" w:styleId="22">
    <w:name w:val="纯文本 字符1"/>
    <w:basedOn w:val="16"/>
    <w:link w:val="2"/>
    <w:qFormat/>
    <w:uiPriority w:val="0"/>
    <w:rPr>
      <w:rFonts w:ascii="宋体" w:hAnsi="Courier New" w:eastAsia="宋体" w:cs="宋体"/>
      <w:szCs w:val="21"/>
    </w:rPr>
  </w:style>
  <w:style w:type="character" w:customStyle="1" w:styleId="23">
    <w:name w:val="页眉 字符"/>
    <w:basedOn w:val="16"/>
    <w:link w:val="11"/>
    <w:qFormat/>
    <w:uiPriority w:val="99"/>
    <w:rPr>
      <w:rFonts w:ascii="Times New Roman" w:hAnsi="Times New Roman" w:eastAsia="宋体" w:cs="Times New Roman"/>
      <w:sz w:val="18"/>
      <w:szCs w:val="18"/>
    </w:rPr>
  </w:style>
  <w:style w:type="character" w:customStyle="1" w:styleId="24">
    <w:name w:val="页脚 字符"/>
    <w:basedOn w:val="16"/>
    <w:link w:val="10"/>
    <w:qFormat/>
    <w:uiPriority w:val="99"/>
    <w:rPr>
      <w:rFonts w:ascii="Times New Roman" w:hAnsi="Times New Roman" w:eastAsia="宋体" w:cs="Times New Roman"/>
      <w:sz w:val="18"/>
      <w:szCs w:val="18"/>
    </w:rPr>
  </w:style>
  <w:style w:type="paragraph" w:customStyle="1" w:styleId="25">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26">
    <w:name w:val="正文缩进 Char1 Char"/>
    <w:basedOn w:val="16"/>
    <w:qFormat/>
    <w:uiPriority w:val="0"/>
    <w:rPr>
      <w:kern w:val="2"/>
      <w:sz w:val="21"/>
    </w:rPr>
  </w:style>
  <w:style w:type="character" w:customStyle="1" w:styleId="27">
    <w:name w:val="纯文本 Char"/>
    <w:basedOn w:val="16"/>
    <w:qFormat/>
    <w:uiPriority w:val="0"/>
    <w:rPr>
      <w:rFonts w:ascii="宋体" w:hAnsi="Courier New" w:cs="宋体"/>
      <w:kern w:val="2"/>
      <w:sz w:val="21"/>
      <w:szCs w:val="21"/>
    </w:rPr>
  </w:style>
  <w:style w:type="paragraph" w:customStyle="1" w:styleId="28">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29">
    <w:name w:val="正文文本 字符"/>
    <w:basedOn w:val="16"/>
    <w:link w:val="6"/>
    <w:qFormat/>
    <w:uiPriority w:val="1"/>
    <w:rPr>
      <w:rFonts w:ascii="Times New Roman" w:hAnsi="Times New Roman" w:eastAsia="宋体" w:cs="Times New Roman"/>
      <w:szCs w:val="24"/>
    </w:rPr>
  </w:style>
  <w:style w:type="character" w:customStyle="1" w:styleId="30">
    <w:name w:val="列表段落 字符"/>
    <w:link w:val="31"/>
    <w:qFormat/>
    <w:uiPriority w:val="34"/>
    <w:rPr>
      <w:szCs w:val="24"/>
    </w:rPr>
  </w:style>
  <w:style w:type="paragraph" w:styleId="31">
    <w:name w:val="List Paragraph"/>
    <w:basedOn w:val="1"/>
    <w:link w:val="30"/>
    <w:qFormat/>
    <w:uiPriority w:val="34"/>
    <w:pPr>
      <w:ind w:firstLine="420" w:firstLineChars="200"/>
    </w:pPr>
    <w:rPr>
      <w:rFonts w:asciiTheme="minorHAnsi" w:hAnsiTheme="minorHAnsi" w:eastAsiaTheme="minorEastAsia" w:cstheme="minorBidi"/>
    </w:rPr>
  </w:style>
  <w:style w:type="paragraph" w:customStyle="1" w:styleId="32">
    <w:name w:val="表格文字"/>
    <w:basedOn w:val="1"/>
    <w:qFormat/>
    <w:uiPriority w:val="0"/>
    <w:pPr>
      <w:spacing w:before="25" w:after="25"/>
    </w:pPr>
    <w:rPr>
      <w:bCs/>
      <w:spacing w:val="10"/>
      <w:szCs w:val="20"/>
    </w:rPr>
  </w:style>
  <w:style w:type="character" w:customStyle="1" w:styleId="33">
    <w:name w:val="正文1 Char Char"/>
    <w:link w:val="34"/>
    <w:qFormat/>
    <w:uiPriority w:val="0"/>
    <w:rPr>
      <w:rFonts w:ascii="宋体"/>
      <w:sz w:val="24"/>
    </w:rPr>
  </w:style>
  <w:style w:type="paragraph" w:customStyle="1" w:styleId="34">
    <w:name w:val="正文1"/>
    <w:link w:val="33"/>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5">
    <w:name w:val="002级标题"/>
    <w:basedOn w:val="1"/>
    <w:qFormat/>
    <w:uiPriority w:val="0"/>
    <w:pPr>
      <w:widowControl/>
      <w:spacing w:before="120" w:after="120"/>
      <w:ind w:firstLine="200"/>
      <w:jc w:val="left"/>
      <w:outlineLvl w:val="1"/>
    </w:pPr>
    <w:rPr>
      <w:rFonts w:ascii="Calibri" w:hAnsi="Calibri"/>
      <w:b/>
    </w:rPr>
  </w:style>
  <w:style w:type="character" w:customStyle="1" w:styleId="36">
    <w:name w:val="日期 字符"/>
    <w:basedOn w:val="16"/>
    <w:link w:val="8"/>
    <w:semiHidden/>
    <w:qFormat/>
    <w:uiPriority w:val="99"/>
    <w:rPr>
      <w:rFonts w:ascii="Times New Roman" w:hAnsi="Times New Roman" w:eastAsia="宋体" w:cs="Times New Roman"/>
      <w:szCs w:val="24"/>
    </w:rPr>
  </w:style>
  <w:style w:type="character" w:customStyle="1" w:styleId="37">
    <w:name w:val="批注文字 字符"/>
    <w:basedOn w:val="16"/>
    <w:link w:val="5"/>
    <w:qFormat/>
    <w:uiPriority w:val="99"/>
    <w:rPr>
      <w:rFonts w:ascii="Times New Roman" w:hAnsi="Times New Roman" w:eastAsia="宋体" w:cs="Times New Roman"/>
      <w:szCs w:val="24"/>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正文文本 Char1"/>
    <w:qFormat/>
    <w:uiPriority w:val="99"/>
    <w:rPr>
      <w:kern w:val="2"/>
      <w:sz w:val="21"/>
      <w:szCs w:val="24"/>
    </w:rPr>
  </w:style>
  <w:style w:type="character" w:customStyle="1" w:styleId="40">
    <w:name w:val="批注框文本 字符"/>
    <w:basedOn w:val="16"/>
    <w:link w:val="9"/>
    <w:semiHidden/>
    <w:qFormat/>
    <w:uiPriority w:val="99"/>
    <w:rPr>
      <w:rFonts w:ascii="Times New Roman" w:hAnsi="Times New Roman" w:eastAsia="宋体" w:cs="Times New Roman"/>
      <w:sz w:val="18"/>
      <w:szCs w:val="18"/>
    </w:rPr>
  </w:style>
  <w:style w:type="character" w:customStyle="1" w:styleId="41">
    <w:name w:val="_正文段落 Char"/>
    <w:link w:val="42"/>
    <w:qFormat/>
    <w:uiPriority w:val="0"/>
    <w:rPr>
      <w:sz w:val="24"/>
      <w:szCs w:val="24"/>
    </w:rPr>
  </w:style>
  <w:style w:type="paragraph" w:customStyle="1" w:styleId="42">
    <w:name w:val="_正文段落"/>
    <w:basedOn w:val="1"/>
    <w:link w:val="41"/>
    <w:qFormat/>
    <w:uiPriority w:val="0"/>
    <w:pPr>
      <w:snapToGrid w:val="0"/>
      <w:spacing w:before="240" w:after="120" w:line="360" w:lineRule="auto"/>
      <w:ind w:firstLine="200" w:firstLineChars="200"/>
      <w:jc w:val="left"/>
    </w:pPr>
    <w:rPr>
      <w:kern w:val="0"/>
      <w:sz w:val="24"/>
    </w:rPr>
  </w:style>
  <w:style w:type="paragraph" w:customStyle="1" w:styleId="43">
    <w:name w:val="列出段落1"/>
    <w:basedOn w:val="1"/>
    <w:link w:val="55"/>
    <w:qFormat/>
    <w:uiPriority w:val="0"/>
    <w:pPr>
      <w:ind w:firstLine="420" w:firstLineChars="200"/>
    </w:pPr>
    <w:rPr>
      <w:rFonts w:ascii="Calibri" w:hAnsi="Calibri"/>
      <w:szCs w:val="22"/>
    </w:rPr>
  </w:style>
  <w:style w:type="paragraph" w:customStyle="1" w:styleId="44">
    <w:name w:val="表格"/>
    <w:basedOn w:val="1"/>
    <w:qFormat/>
    <w:uiPriority w:val="0"/>
    <w:pPr>
      <w:spacing w:line="360" w:lineRule="auto"/>
    </w:pPr>
    <w:rPr>
      <w:rFonts w:ascii="仿宋_GB2312" w:hAnsi="宋体" w:eastAsia="仿宋_GB2312"/>
      <w:bCs/>
      <w:color w:val="333333"/>
      <w:kern w:val="0"/>
      <w:sz w:val="28"/>
    </w:rPr>
  </w:style>
  <w:style w:type="character" w:customStyle="1" w:styleId="45">
    <w:name w:val="font31"/>
    <w:basedOn w:val="16"/>
    <w:qFormat/>
    <w:uiPriority w:val="0"/>
    <w:rPr>
      <w:rFonts w:hint="eastAsia" w:ascii="微软雅黑" w:hAnsi="微软雅黑" w:eastAsia="微软雅黑" w:cs="微软雅黑"/>
      <w:color w:val="FF0000"/>
      <w:sz w:val="24"/>
      <w:szCs w:val="24"/>
      <w:u w:val="none"/>
    </w:rPr>
  </w:style>
  <w:style w:type="character" w:customStyle="1" w:styleId="46">
    <w:name w:val="font01"/>
    <w:basedOn w:val="16"/>
    <w:qFormat/>
    <w:uiPriority w:val="0"/>
    <w:rPr>
      <w:rFonts w:hint="eastAsia" w:ascii="微软雅黑" w:hAnsi="微软雅黑" w:eastAsia="微软雅黑" w:cs="微软雅黑"/>
      <w:color w:val="000000"/>
      <w:sz w:val="24"/>
      <w:szCs w:val="24"/>
      <w:u w:val="none"/>
    </w:rPr>
  </w:style>
  <w:style w:type="paragraph" w:customStyle="1" w:styleId="47">
    <w:name w:val="正文文本首行缩进 21"/>
    <w:basedOn w:val="1"/>
    <w:qFormat/>
    <w:uiPriority w:val="0"/>
    <w:pPr>
      <w:spacing w:line="500" w:lineRule="exact"/>
      <w:ind w:firstLine="420" w:firstLineChars="200"/>
    </w:pPr>
    <w:rPr>
      <w:rFonts w:ascii="Calibri" w:hAnsi="Calibri"/>
      <w:szCs w:val="22"/>
    </w:rPr>
  </w:style>
  <w:style w:type="table" w:customStyle="1" w:styleId="48">
    <w:name w:val="标书网格型表格正文1"/>
    <w:basedOn w:val="14"/>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font21"/>
    <w:qFormat/>
    <w:uiPriority w:val="0"/>
    <w:rPr>
      <w:rFonts w:hint="eastAsia" w:ascii="宋体" w:hAnsi="宋体" w:eastAsia="宋体" w:cs="宋体"/>
      <w:color w:val="000000"/>
      <w:sz w:val="21"/>
      <w:szCs w:val="21"/>
      <w:u w:val="none"/>
    </w:rPr>
  </w:style>
  <w:style w:type="character" w:customStyle="1" w:styleId="50">
    <w:name w:val="NormalCharacter"/>
    <w:qFormat/>
    <w:uiPriority w:val="0"/>
  </w:style>
  <w:style w:type="character" w:customStyle="1" w:styleId="51">
    <w:name w:val="正文文本缩进 字符"/>
    <w:basedOn w:val="16"/>
    <w:link w:val="7"/>
    <w:semiHidden/>
    <w:qFormat/>
    <w:uiPriority w:val="99"/>
    <w:rPr>
      <w:kern w:val="2"/>
      <w:sz w:val="21"/>
      <w:szCs w:val="24"/>
    </w:rPr>
  </w:style>
  <w:style w:type="character" w:customStyle="1" w:styleId="52">
    <w:name w:val="正文文本首行缩进 2 字符"/>
    <w:basedOn w:val="51"/>
    <w:link w:val="13"/>
    <w:semiHidden/>
    <w:qFormat/>
    <w:uiPriority w:val="99"/>
    <w:rPr>
      <w:kern w:val="2"/>
      <w:sz w:val="21"/>
      <w:szCs w:val="24"/>
    </w:rPr>
  </w:style>
  <w:style w:type="character" w:customStyle="1" w:styleId="53">
    <w:name w:val="Subtle Reference"/>
    <w:qFormat/>
    <w:uiPriority w:val="31"/>
    <w:rPr>
      <w:smallCaps/>
      <w:color w:val="5A5A5A"/>
    </w:rPr>
  </w:style>
  <w:style w:type="character" w:customStyle="1" w:styleId="54">
    <w:name w:val="Unresolved Mention"/>
    <w:basedOn w:val="16"/>
    <w:semiHidden/>
    <w:unhideWhenUsed/>
    <w:qFormat/>
    <w:uiPriority w:val="99"/>
    <w:rPr>
      <w:color w:val="605E5C"/>
      <w:shd w:val="clear" w:color="auto" w:fill="E1DFDD"/>
    </w:rPr>
  </w:style>
  <w:style w:type="character" w:customStyle="1" w:styleId="55">
    <w:name w:val="列出段落 字符"/>
    <w:link w:val="43"/>
    <w:qFormat/>
    <w:uiPriority w:val="0"/>
    <w:rPr>
      <w:rFonts w:ascii="Calibri" w:hAnsi="Calibri"/>
      <w:kern w:val="2"/>
      <w:sz w:val="21"/>
      <w:szCs w:val="22"/>
    </w:rPr>
  </w:style>
  <w:style w:type="paragraph" w:customStyle="1" w:styleId="56">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34</Pages>
  <Words>14642</Words>
  <Characters>15595</Characters>
  <Lines>121</Lines>
  <Paragraphs>34</Paragraphs>
  <TotalTime>14</TotalTime>
  <ScaleCrop>false</ScaleCrop>
  <LinksUpToDate>false</LinksUpToDate>
  <CharactersWithSpaces>17186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Administrator</cp:lastModifiedBy>
  <cp:lastPrinted>2024-08-21T02:08:00Z</cp:lastPrinted>
  <dcterms:modified xsi:type="dcterms:W3CDTF">2024-08-26T06:41:43Z</dcterms:modified>
  <dc:title>院内招标采购公告</dc:title>
  <cp:revision>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8E5B3923CAFC4229AF0C5D53F6367A9C</vt:lpwstr>
  </property>
</Properties>
</file>