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6"/>
      </w:tblGrid>
      <w:tr w14:paraId="794A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46" w:type="dxa"/>
            <w:tcBorders>
              <w:top w:val="nil"/>
              <w:left w:val="nil"/>
              <w:bottom w:val="nil"/>
              <w:right w:val="nil"/>
            </w:tcBorders>
            <w:shd w:val="clear" w:color="auto" w:fill="auto"/>
            <w:vAlign w:val="center"/>
          </w:tcPr>
          <w:p w14:paraId="0E6651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bookmarkStart w:id="0" w:name="_GoBack"/>
            <w:bookmarkEnd w:id="0"/>
            <w:r>
              <w:rPr>
                <w:rFonts w:hint="eastAsia" w:ascii="宋体" w:hAnsi="宋体" w:eastAsia="宋体" w:cs="宋体"/>
                <w:b/>
                <w:bCs/>
                <w:i w:val="0"/>
                <w:iCs w:val="0"/>
                <w:color w:val="000000"/>
                <w:kern w:val="0"/>
                <w:sz w:val="22"/>
                <w:szCs w:val="22"/>
                <w:u w:val="none"/>
                <w:lang w:val="en-US" w:eastAsia="zh-CN" w:bidi="ar"/>
              </w:rPr>
              <w:t>附件</w:t>
            </w:r>
          </w:p>
        </w:tc>
      </w:tr>
      <w:tr w14:paraId="5621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46" w:type="dxa"/>
            <w:tcBorders>
              <w:top w:val="nil"/>
              <w:left w:val="nil"/>
              <w:bottom w:val="nil"/>
              <w:right w:val="nil"/>
            </w:tcBorders>
            <w:shd w:val="clear" w:color="auto" w:fill="auto"/>
            <w:vAlign w:val="center"/>
          </w:tcPr>
          <w:p w14:paraId="60132CBE">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14:paraId="644D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46" w:type="dxa"/>
            <w:tcBorders>
              <w:top w:val="nil"/>
              <w:left w:val="nil"/>
              <w:bottom w:val="nil"/>
              <w:right w:val="nil"/>
            </w:tcBorders>
            <w:shd w:val="clear" w:color="auto" w:fill="auto"/>
            <w:vAlign w:val="center"/>
          </w:tcPr>
          <w:p w14:paraId="58A4C95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项目编号：SZBAFYYY20240</w:t>
            </w:r>
            <w:r>
              <w:rPr>
                <w:rFonts w:hint="eastAsia" w:ascii="宋体" w:hAnsi="宋体" w:cs="宋体"/>
                <w:b/>
                <w:bCs/>
                <w:i w:val="0"/>
                <w:iCs w:val="0"/>
                <w:color w:val="000000"/>
                <w:kern w:val="0"/>
                <w:sz w:val="32"/>
                <w:szCs w:val="32"/>
                <w:u w:val="none"/>
                <w:lang w:val="en-US" w:eastAsia="zh-CN" w:bidi="ar"/>
              </w:rPr>
              <w:t>8</w:t>
            </w:r>
            <w:r>
              <w:rPr>
                <w:rFonts w:hint="eastAsia" w:ascii="宋体" w:hAnsi="宋体" w:eastAsia="宋体" w:cs="宋体"/>
                <w:b/>
                <w:bCs/>
                <w:i w:val="0"/>
                <w:iCs w:val="0"/>
                <w:color w:val="000000"/>
                <w:kern w:val="0"/>
                <w:sz w:val="32"/>
                <w:szCs w:val="32"/>
                <w:u w:val="none"/>
                <w:lang w:val="en-US" w:eastAsia="zh-CN" w:bidi="ar"/>
              </w:rPr>
              <w:t>-01</w:t>
            </w:r>
          </w:p>
        </w:tc>
      </w:tr>
      <w:tr w14:paraId="666B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7" w:hRule="atLeast"/>
        </w:trPr>
        <w:tc>
          <w:tcPr>
            <w:tcW w:w="9446" w:type="dxa"/>
            <w:tcBorders>
              <w:top w:val="nil"/>
              <w:left w:val="nil"/>
              <w:bottom w:val="nil"/>
              <w:right w:val="nil"/>
            </w:tcBorders>
            <w:shd w:val="clear" w:color="auto" w:fill="auto"/>
            <w:vAlign w:val="center"/>
          </w:tcPr>
          <w:p w14:paraId="1E6D216F">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作为医疗器械管理的中标产品需在深圳医用耗材阳光交易和监管平台签订线上采购合同，中标价不可高于预算单价。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3366"/>
                <w:kern w:val="0"/>
                <w:sz w:val="24"/>
                <w:szCs w:val="24"/>
                <w:u w:val="none"/>
                <w:lang w:val="en-US" w:eastAsia="zh-CN" w:bidi="ar"/>
              </w:rPr>
              <w:t>如果平台价高于我院预算单价，且厂家不同意按不高于我院预算单价在平台签订合同的，请不要投标。</w:t>
            </w:r>
          </w:p>
          <w:p w14:paraId="37DE8A0A">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p w14:paraId="1866DF07">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bl>
            <w:tblPr>
              <w:tblStyle w:val="2"/>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55"/>
            </w:tblGrid>
            <w:tr w14:paraId="42F7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955" w:type="dxa"/>
                  <w:tcBorders>
                    <w:top w:val="nil"/>
                    <w:left w:val="nil"/>
                    <w:bottom w:val="nil"/>
                    <w:right w:val="nil"/>
                  </w:tcBorders>
                  <w:shd w:val="clear" w:color="auto" w:fill="auto"/>
                  <w:vAlign w:val="center"/>
                </w:tcPr>
                <w:p w14:paraId="104B3573">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p w14:paraId="25223326">
                  <w:pPr>
                    <w:keepNext w:val="0"/>
                    <w:keepLines w:val="0"/>
                    <w:widowControl/>
                    <w:suppressLineNumbers w:val="0"/>
                    <w:ind w:firstLine="482" w:firstLineChars="200"/>
                    <w:jc w:val="left"/>
                    <w:textAlignment w:val="center"/>
                    <w:rPr>
                      <w:rFonts w:hint="eastAsia"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作为医疗器械管理的中标产品需在深圳医用耗材阳光交易和监管平台签订线上采购合同，投标价不可高于阳光平台限价。</w:t>
                  </w:r>
                  <w:r>
                    <w:rPr>
                      <w:rFonts w:hint="eastAsia" w:ascii="宋体" w:hAnsi="宋体" w:eastAsia="宋体" w:cs="宋体"/>
                      <w:b/>
                      <w:bCs/>
                      <w:i w:val="0"/>
                      <w:iCs w:val="0"/>
                      <w:color w:val="FF0000"/>
                      <w:kern w:val="0"/>
                      <w:sz w:val="24"/>
                      <w:szCs w:val="24"/>
                      <w:u w:val="none"/>
                      <w:lang w:val="en-US" w:eastAsia="zh-CN" w:bidi="ar"/>
                    </w:rPr>
                    <w:br w:type="textWrapping"/>
                  </w:r>
                  <w:r>
                    <w:rPr>
                      <w:rFonts w:hint="eastAsia" w:ascii="宋体" w:hAnsi="宋体" w:eastAsia="宋体" w:cs="宋体"/>
                      <w:b/>
                      <w:bCs/>
                      <w:i w:val="0"/>
                      <w:iCs w:val="0"/>
                      <w:color w:val="FF0000"/>
                      <w:kern w:val="0"/>
                      <w:sz w:val="24"/>
                      <w:szCs w:val="24"/>
                      <w:u w:val="none"/>
                      <w:lang w:val="en-US" w:eastAsia="zh-CN" w:bidi="ar"/>
                    </w:rPr>
                    <w:t>如果报价高于阳光平台限价，且厂家不配合议价的，不能在平台签订合同的，请不要投标。</w:t>
                  </w:r>
                </w:p>
                <w:p w14:paraId="7C2450CB">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tc>
            </w:tr>
            <w:tr w14:paraId="7600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955" w:type="dxa"/>
                  <w:tcBorders>
                    <w:top w:val="nil"/>
                    <w:left w:val="nil"/>
                    <w:bottom w:val="nil"/>
                    <w:right w:val="nil"/>
                  </w:tcBorders>
                  <w:shd w:val="clear" w:color="auto" w:fill="auto"/>
                  <w:vAlign w:val="center"/>
                </w:tcPr>
                <w:tbl>
                  <w:tblPr>
                    <w:tblStyle w:val="2"/>
                    <w:tblW w:w="898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1617"/>
                    <w:gridCol w:w="903"/>
                    <w:gridCol w:w="1800"/>
                    <w:gridCol w:w="1557"/>
                    <w:gridCol w:w="1758"/>
                  </w:tblGrid>
                  <w:tr w14:paraId="5342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BB0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D04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669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F85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586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规格型号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3B5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1EE6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D64B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心血管内科</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5872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心血管内科耗材</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AA9F">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2E3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主动脉内球囊反搏导管及附件</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42A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F62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用于冠脉介入手术中及冠心病极高危患者抢救时增加心脏供血治疗。适用于箭牌/IAP-0701设备。</w:t>
                        </w:r>
                      </w:p>
                    </w:tc>
                  </w:tr>
                  <w:tr w14:paraId="4CF9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EC7F">
                        <w:pPr>
                          <w:jc w:val="left"/>
                          <w:rPr>
                            <w:rFonts w:hint="eastAsia" w:ascii="宋体" w:hAnsi="宋体" w:eastAsia="宋体" w:cs="宋体"/>
                            <w:b/>
                            <w:bCs/>
                            <w:i w:val="0"/>
                            <w:iCs w:val="0"/>
                            <w:color w:val="000000"/>
                            <w:sz w:val="28"/>
                            <w:szCs w:val="2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8FC55">
                        <w:pPr>
                          <w:jc w:val="left"/>
                          <w:rPr>
                            <w:rFonts w:hint="eastAsia" w:ascii="宋体" w:hAnsi="宋体" w:eastAsia="宋体" w:cs="宋体"/>
                            <w:b/>
                            <w:bCs/>
                            <w:i w:val="0"/>
                            <w:iCs w:val="0"/>
                            <w:color w:val="000000"/>
                            <w:sz w:val="28"/>
                            <w:szCs w:val="2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72FF">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1EA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一次性使用有创压力传感器</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389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329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IABP设备使用时的有创压力监测</w:t>
                        </w:r>
                        <w:r>
                          <w:rPr>
                            <w:rFonts w:hint="eastAsia" w:ascii="宋体" w:hAnsi="宋体" w:cs="宋体"/>
                            <w:b/>
                            <w:bCs/>
                            <w:i w:val="0"/>
                            <w:iCs w:val="0"/>
                            <w:color w:val="000000"/>
                            <w:kern w:val="0"/>
                            <w:sz w:val="28"/>
                            <w:szCs w:val="28"/>
                            <w:u w:val="none"/>
                            <w:lang w:val="en-US" w:eastAsia="zh-CN" w:bidi="ar"/>
                          </w:rPr>
                          <w:t>，适用于箭牌/IAP-0701设备。</w:t>
                        </w:r>
                      </w:p>
                    </w:tc>
                  </w:tr>
                  <w:tr w14:paraId="448C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ECC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麻醉科</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C17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麻醉科耗材</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69BC">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693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一次性无菌双腔支气管插管</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cs="宋体"/>
                            <w:b/>
                            <w:bCs/>
                            <w:i w:val="0"/>
                            <w:iCs w:val="0"/>
                            <w:color w:val="auto"/>
                            <w:kern w:val="0"/>
                            <w:sz w:val="28"/>
                            <w:szCs w:val="28"/>
                            <w:u w:val="none"/>
                            <w:lang w:val="en-US" w:eastAsia="zh-CN" w:bidi="ar"/>
                          </w:rPr>
                          <w:t>（</w:t>
                        </w:r>
                        <w:r>
                          <w:rPr>
                            <w:rFonts w:hint="eastAsia" w:ascii="宋体" w:hAnsi="宋体" w:eastAsia="宋体" w:cs="宋体"/>
                            <w:b/>
                            <w:bCs/>
                            <w:i w:val="0"/>
                            <w:iCs w:val="0"/>
                            <w:color w:val="auto"/>
                            <w:kern w:val="0"/>
                            <w:sz w:val="28"/>
                            <w:szCs w:val="28"/>
                            <w:u w:val="none"/>
                            <w:lang w:val="en-US" w:eastAsia="zh-CN" w:bidi="ar"/>
                          </w:rPr>
                          <w:t>可视左腔B型</w:t>
                        </w:r>
                        <w:r>
                          <w:rPr>
                            <w:rFonts w:hint="eastAsia" w:ascii="宋体" w:hAnsi="宋体" w:cs="宋体"/>
                            <w:b/>
                            <w:bCs/>
                            <w:i w:val="0"/>
                            <w:iCs w:val="0"/>
                            <w:color w:val="auto"/>
                            <w:kern w:val="0"/>
                            <w:sz w:val="28"/>
                            <w:szCs w:val="2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872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770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用于胸科需要单肺通气的手术</w:t>
                        </w:r>
                      </w:p>
                    </w:tc>
                  </w:tr>
                  <w:tr w14:paraId="5653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E0C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普外科</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351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普外科耗材</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5C04">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7AE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形状记忆环抱接骨板</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865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C68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肋骨骨折切开复位内固定手术使用</w:t>
                        </w:r>
                      </w:p>
                    </w:tc>
                  </w:tr>
                  <w:tr w14:paraId="1923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3EB0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肾病学科</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4D2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肾病学科耗材1包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A89D">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E17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一次性使用血浆胆红素吸附器</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E25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223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用于急性或慢性肝衰竭、高胆红素血症等疾病的救治</w:t>
                        </w:r>
                      </w:p>
                    </w:tc>
                  </w:tr>
                  <w:tr w14:paraId="6681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D7E76">
                        <w:pPr>
                          <w:jc w:val="left"/>
                          <w:rPr>
                            <w:rFonts w:hint="eastAsia" w:ascii="宋体" w:hAnsi="宋体" w:eastAsia="宋体" w:cs="宋体"/>
                            <w:b/>
                            <w:bCs/>
                            <w:i w:val="0"/>
                            <w:iCs w:val="0"/>
                            <w:color w:val="000000"/>
                            <w:sz w:val="28"/>
                            <w:szCs w:val="28"/>
                            <w:u w:val="none"/>
                          </w:rPr>
                        </w:pP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9BF2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肾病学科耗材2包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83FF">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B93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膜性血浆分离器</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51C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94A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在血浆交换疗法中，用于将血浆从血液中分离，一次性使用</w:t>
                        </w:r>
                      </w:p>
                    </w:tc>
                  </w:tr>
                  <w:tr w14:paraId="53C4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D7AFF">
                        <w:pPr>
                          <w:jc w:val="left"/>
                          <w:rPr>
                            <w:rFonts w:hint="eastAsia" w:ascii="宋体" w:hAnsi="宋体" w:eastAsia="宋体" w:cs="宋体"/>
                            <w:b/>
                            <w:bCs/>
                            <w:i w:val="0"/>
                            <w:iCs w:val="0"/>
                            <w:color w:val="000000"/>
                            <w:sz w:val="28"/>
                            <w:szCs w:val="2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B689">
                        <w:pPr>
                          <w:jc w:val="left"/>
                          <w:rPr>
                            <w:rFonts w:hint="eastAsia" w:ascii="宋体" w:hAnsi="宋体" w:eastAsia="宋体" w:cs="宋体"/>
                            <w:b/>
                            <w:bCs/>
                            <w:i w:val="0"/>
                            <w:iCs w:val="0"/>
                            <w:color w:val="000000"/>
                            <w:sz w:val="28"/>
                            <w:szCs w:val="2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BB40">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3ED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选择性血浆成分吸附器</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2CF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1EB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用于吸附血浆中的有害物质，从而达到改善免疫性神经疾病病情的目的</w:t>
                        </w:r>
                      </w:p>
                    </w:tc>
                  </w:tr>
                </w:tbl>
                <w:p w14:paraId="7F567DFF">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tc>
            </w:tr>
          </w:tbl>
          <w:p w14:paraId="3205F544">
            <w:pPr>
              <w:pStyle w:val="4"/>
              <w:keepNext w:val="0"/>
              <w:keepLines w:val="0"/>
              <w:pageBreakBefore w:val="0"/>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color w:val="auto"/>
                <w:sz w:val="24"/>
                <w:lang w:val="en-US" w:eastAsia="zh-CN"/>
              </w:rPr>
            </w:pPr>
          </w:p>
          <w:p w14:paraId="3309D21A">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c>
      </w:tr>
    </w:tbl>
    <w:p w14:paraId="3829B8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zIyZThiMDc4ZDY1N2Q0YzE3ZTg0YzZmMDAwM2YifQ=="/>
  </w:docVars>
  <w:rsids>
    <w:rsidRoot w:val="0DF31883"/>
    <w:rsid w:val="0A780920"/>
    <w:rsid w:val="0DF31883"/>
    <w:rsid w:val="16C27265"/>
    <w:rsid w:val="1D5346D0"/>
    <w:rsid w:val="3F2E6E2D"/>
    <w:rsid w:val="40462686"/>
    <w:rsid w:val="449F1EDC"/>
    <w:rsid w:val="45945A6B"/>
    <w:rsid w:val="638D6C91"/>
    <w:rsid w:val="6FCE720A"/>
    <w:rsid w:val="775E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文字"/>
    <w:basedOn w:val="1"/>
    <w:qFormat/>
    <w:uiPriority w:val="0"/>
    <w:pPr>
      <w:spacing w:before="25" w:after="25" w:line="240" w:lineRule="auto"/>
      <w:ind w:firstLine="0"/>
      <w:jc w:val="left"/>
    </w:pPr>
    <w:rPr>
      <w:bCs/>
      <w:spacing w:val="10"/>
      <w:kern w:val="0"/>
      <w:sz w:val="24"/>
    </w:rPr>
  </w:style>
  <w:style w:type="character" w:customStyle="1" w:styleId="5">
    <w:name w:val="font31"/>
    <w:basedOn w:val="3"/>
    <w:qFormat/>
    <w:uiPriority w:val="0"/>
    <w:rPr>
      <w:rFonts w:hint="eastAsia" w:ascii="宋体" w:hAnsi="宋体" w:eastAsia="宋体" w:cs="宋体"/>
      <w:b/>
      <w:color w:val="000000"/>
      <w:sz w:val="22"/>
      <w:szCs w:val="22"/>
      <w:u w:val="none"/>
    </w:rPr>
  </w:style>
  <w:style w:type="character" w:customStyle="1" w:styleId="6">
    <w:name w:val="font01"/>
    <w:basedOn w:val="3"/>
    <w:qFormat/>
    <w:uiPriority w:val="0"/>
    <w:rPr>
      <w:rFonts w:hint="eastAsia" w:ascii="宋体" w:hAnsi="宋体" w:eastAsia="宋体" w:cs="宋体"/>
      <w:b/>
      <w:color w:val="FF0000"/>
      <w:sz w:val="22"/>
      <w:szCs w:val="22"/>
      <w:u w:val="none"/>
    </w:rPr>
  </w:style>
  <w:style w:type="character" w:customStyle="1" w:styleId="7">
    <w:name w:val="font21"/>
    <w:basedOn w:val="3"/>
    <w:qFormat/>
    <w:uiPriority w:val="0"/>
    <w:rPr>
      <w:rFonts w:hint="eastAsia" w:ascii="宋体" w:hAnsi="宋体" w:eastAsia="宋体" w:cs="宋体"/>
      <w:b/>
      <w:color w:val="000000"/>
      <w:sz w:val="22"/>
      <w:szCs w:val="22"/>
      <w:u w:val="none"/>
    </w:rPr>
  </w:style>
  <w:style w:type="character" w:customStyle="1" w:styleId="8">
    <w:name w:val="font11"/>
    <w:basedOn w:val="3"/>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570</Words>
  <Characters>605</Characters>
  <Lines>0</Lines>
  <Paragraphs>0</Paragraphs>
  <TotalTime>7</TotalTime>
  <ScaleCrop>false</ScaleCrop>
  <LinksUpToDate>false</LinksUpToDate>
  <CharactersWithSpaces>605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燕子</dc:creator>
  <cp:lastModifiedBy>光辉岁月</cp:lastModifiedBy>
  <dcterms:modified xsi:type="dcterms:W3CDTF">2024-08-23T02:46:06Z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2ECC04D9116B451F856F9898239351CD_13</vt:lpwstr>
  </property>
</Properties>
</file>