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jc w:val="center"/>
        <w:rPr>
          <w:b/>
          <w:sz w:val="44"/>
          <w:szCs w:val="44"/>
        </w:rPr>
      </w:pPr>
      <w:r>
        <w:rPr>
          <w:rFonts w:hint="eastAsia"/>
          <w:b/>
          <w:sz w:val="44"/>
          <w:szCs w:val="44"/>
        </w:rPr>
        <w:t>采购5000片LiF(Mg,Cu,P)热释光探测器项目</w:t>
      </w:r>
    </w:p>
    <w:p>
      <w:pPr>
        <w:jc w:val="center"/>
        <w:rPr>
          <w:b/>
          <w:sz w:val="30"/>
          <w:szCs w:val="30"/>
        </w:rPr>
      </w:pPr>
    </w:p>
    <w:p>
      <w:pPr>
        <w:jc w:val="center"/>
        <w:rPr>
          <w:b/>
          <w:sz w:val="30"/>
          <w:szCs w:val="30"/>
        </w:rPr>
      </w:pPr>
      <w:r>
        <w:rPr>
          <w:rFonts w:hint="eastAsia"/>
          <w:b/>
          <w:sz w:val="30"/>
          <w:szCs w:val="30"/>
        </w:rPr>
        <w:t>项目编号：</w:t>
      </w:r>
      <w:bookmarkStart w:id="0" w:name="_Hlk161679009"/>
      <w:r>
        <w:rPr>
          <w:b/>
          <w:sz w:val="30"/>
          <w:szCs w:val="30"/>
        </w:rPr>
        <w:t>BACDCCG202</w:t>
      </w:r>
      <w:r>
        <w:rPr>
          <w:rFonts w:hint="eastAsia"/>
          <w:b/>
          <w:sz w:val="30"/>
          <w:szCs w:val="30"/>
        </w:rPr>
        <w:t>40</w:t>
      </w:r>
      <w:bookmarkEnd w:id="0"/>
      <w:r>
        <w:rPr>
          <w:rFonts w:hint="eastAsia"/>
          <w:b/>
          <w:sz w:val="30"/>
          <w:szCs w:val="30"/>
        </w:rPr>
        <w:t>14</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jc w:val="center"/>
        <w:rPr>
          <w:b/>
          <w:sz w:val="72"/>
          <w:szCs w:val="72"/>
        </w:rPr>
      </w:pPr>
      <w:r>
        <w:rPr>
          <w:rFonts w:hint="eastAsia"/>
          <w:b/>
          <w:sz w:val="72"/>
          <w:szCs w:val="72"/>
        </w:rPr>
        <w:t>招标文件</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spacing w:line="360" w:lineRule="auto"/>
      </w:pPr>
    </w:p>
    <w:p>
      <w:pPr>
        <w:spacing w:line="360" w:lineRule="auto"/>
        <w:ind w:firstLine="420" w:firstLineChars="200"/>
      </w:pPr>
    </w:p>
    <w:p>
      <w:pPr>
        <w:spacing w:line="360" w:lineRule="auto"/>
        <w:jc w:val="center"/>
        <w:rPr>
          <w:b/>
          <w:sz w:val="30"/>
          <w:szCs w:val="30"/>
        </w:rPr>
      </w:pPr>
      <w:r>
        <w:rPr>
          <w:rFonts w:hint="eastAsia"/>
          <w:b/>
          <w:sz w:val="30"/>
          <w:szCs w:val="30"/>
        </w:rPr>
        <w:t>深圳市宝安区疾病预防控制中心</w:t>
      </w:r>
    </w:p>
    <w:p>
      <w:pPr>
        <w:spacing w:line="360" w:lineRule="auto"/>
        <w:jc w:val="center"/>
        <w:rPr>
          <w:b/>
          <w:sz w:val="30"/>
          <w:szCs w:val="30"/>
        </w:rPr>
      </w:pPr>
      <w:r>
        <w:rPr>
          <w:rFonts w:hint="eastAsia"/>
          <w:b/>
          <w:sz w:val="30"/>
          <w:szCs w:val="30"/>
        </w:rPr>
        <w:t>二〇二四年八月</w:t>
      </w:r>
    </w:p>
    <w:p>
      <w:pPr>
        <w:spacing w:line="360" w:lineRule="auto"/>
        <w:ind w:firstLine="420" w:firstLineChars="200"/>
      </w:pPr>
    </w:p>
    <w:p>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pPr>
        <w:pStyle w:val="2"/>
      </w:pPr>
      <w:bookmarkStart w:id="1" w:name="_Toc61539108"/>
      <w:bookmarkStart w:id="2" w:name="_Toc86939328"/>
      <w:r>
        <w:rPr>
          <w:rFonts w:hint="eastAsia"/>
        </w:rPr>
        <w:t xml:space="preserve">第一章  </w:t>
      </w:r>
      <w:bookmarkEnd w:id="1"/>
      <w:r>
        <w:rPr>
          <w:rFonts w:hint="eastAsia"/>
        </w:rPr>
        <w:t>招标公告</w:t>
      </w:r>
      <w:bookmarkEnd w:id="2"/>
    </w:p>
    <w:p>
      <w:pPr>
        <w:spacing w:line="360" w:lineRule="auto"/>
        <w:ind w:firstLine="420" w:firstLineChars="200"/>
      </w:pPr>
      <w:bookmarkStart w:id="3" w:name="_Hlk69568487"/>
      <w:r>
        <w:rPr>
          <w:rFonts w:hint="eastAsia"/>
        </w:rPr>
        <w:t>深圳市宝安区疾病预防控制中心</w:t>
      </w:r>
      <w:bookmarkEnd w:id="3"/>
      <w:r>
        <w:rPr>
          <w:rFonts w:hint="eastAsia"/>
          <w:color w:val="000000" w:themeColor="text1"/>
          <w14:textFill>
            <w14:solidFill>
              <w14:schemeClr w14:val="tx1"/>
            </w14:solidFill>
          </w14:textFill>
        </w:rPr>
        <w:t>就采购5000片LiF(Mg,Cu,P)热释光探测器项目</w:t>
      </w:r>
      <w:r>
        <w:rPr>
          <w:rFonts w:hint="eastAsia"/>
        </w:rPr>
        <w:t>接受以下投标人提交密封响应文件。有关事项如下：</w:t>
      </w:r>
    </w:p>
    <w:p>
      <w:pPr>
        <w:pStyle w:val="5"/>
        <w:ind w:firstLine="482"/>
      </w:pPr>
      <w:bookmarkStart w:id="4" w:name="_Hlk69568538"/>
      <w:r>
        <w:rPr>
          <w:rFonts w:hint="eastAsia"/>
        </w:rPr>
        <w:t>一、项目基本信息</w:t>
      </w:r>
    </w:p>
    <w:p>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目名称：采购5000片LiF(Mg,Cu,P)热释光探测器项目</w:t>
      </w:r>
    </w:p>
    <w:p>
      <w:pPr>
        <w:spacing w:line="360" w:lineRule="auto"/>
        <w:ind w:firstLine="420" w:firstLineChars="200"/>
      </w:pPr>
      <w:r>
        <w:rPr>
          <w:rFonts w:hint="eastAsia"/>
        </w:rPr>
        <w:t>2、</w:t>
      </w:r>
      <w:r>
        <w:t>项目编号：BACDCCG20240</w:t>
      </w:r>
      <w:r>
        <w:rPr>
          <w:rFonts w:hint="eastAsia"/>
        </w:rPr>
        <w:t>14</w:t>
      </w:r>
    </w:p>
    <w:p>
      <w:pPr>
        <w:spacing w:line="360" w:lineRule="auto"/>
        <w:ind w:firstLine="420" w:firstLineChars="200"/>
      </w:pPr>
      <w:r>
        <w:rPr>
          <w:rFonts w:hint="eastAsia"/>
        </w:rPr>
        <w:t>3、项目类别：货物类</w:t>
      </w:r>
    </w:p>
    <w:p>
      <w:pPr>
        <w:spacing w:line="360" w:lineRule="auto"/>
        <w:ind w:firstLine="420" w:firstLineChars="200"/>
      </w:pPr>
      <w:r>
        <w:t>4</w:t>
      </w:r>
      <w:r>
        <w:rPr>
          <w:rFonts w:hint="eastAsia"/>
        </w:rPr>
        <w:t>、</w:t>
      </w:r>
      <w:r>
        <w:t>采购单位：</w:t>
      </w:r>
      <w:r>
        <w:rPr>
          <w:rFonts w:hint="eastAsia"/>
        </w:rPr>
        <w:t>深圳市宝安区疾病预防控制中心</w:t>
      </w:r>
    </w:p>
    <w:p>
      <w:pPr>
        <w:spacing w:line="360" w:lineRule="auto"/>
        <w:ind w:firstLine="420" w:firstLineChars="200"/>
      </w:pPr>
      <w:r>
        <w:t>5</w:t>
      </w:r>
      <w:r>
        <w:rPr>
          <w:rFonts w:hint="eastAsia"/>
        </w:rPr>
        <w:t>、采购方式：公开招标</w:t>
      </w:r>
    </w:p>
    <w:p>
      <w:pPr>
        <w:spacing w:line="360" w:lineRule="auto"/>
        <w:ind w:firstLine="420" w:firstLineChars="200"/>
      </w:pPr>
      <w:r>
        <w:rPr>
          <w:rFonts w:hint="eastAsia"/>
        </w:rPr>
        <w:t>6、评标方法：最低评标价法</w:t>
      </w:r>
    </w:p>
    <w:bookmarkEnd w:id="4"/>
    <w:p>
      <w:pPr>
        <w:pStyle w:val="5"/>
        <w:ind w:firstLine="482"/>
      </w:pPr>
      <w:r>
        <w:rPr>
          <w:rFonts w:hint="eastAsia"/>
        </w:rPr>
        <w:t>二、采购预算</w:t>
      </w:r>
    </w:p>
    <w:p>
      <w:pPr>
        <w:spacing w:line="360" w:lineRule="auto"/>
        <w:ind w:firstLine="420" w:firstLineChars="200"/>
      </w:pPr>
      <w:r>
        <w:rPr>
          <w:rFonts w:hint="eastAsia"/>
        </w:rPr>
        <w:t>本项目采购预算金额为47，</w:t>
      </w:r>
      <w:r>
        <w:t>000</w:t>
      </w:r>
      <w:r>
        <w:rPr>
          <w:rFonts w:hint="eastAsia"/>
        </w:rPr>
        <w:t>.00元整。</w:t>
      </w:r>
    </w:p>
    <w:p>
      <w:pPr>
        <w:pStyle w:val="5"/>
        <w:ind w:firstLine="482"/>
      </w:pPr>
      <w:bookmarkStart w:id="5" w:name="_Hlk69568757"/>
      <w:r>
        <w:rPr>
          <w:rFonts w:hint="eastAsia"/>
        </w:rPr>
        <w:t>三、需落实的采购政策</w:t>
      </w:r>
    </w:p>
    <w:p>
      <w:pPr>
        <w:spacing w:line="360" w:lineRule="auto"/>
        <w:ind w:firstLine="420" w:firstLineChars="200"/>
      </w:pPr>
      <w:r>
        <w:rPr>
          <w:rFonts w:hint="eastAsia"/>
        </w:rPr>
        <w:t>按照相关规定执行，详见采购需求标准。</w:t>
      </w:r>
    </w:p>
    <w:p>
      <w:pPr>
        <w:pStyle w:val="5"/>
        <w:ind w:firstLine="482"/>
      </w:pPr>
      <w:r>
        <w:rPr>
          <w:rFonts w:hint="eastAsia"/>
        </w:rPr>
        <w:t>四、供应商资格要求</w:t>
      </w:r>
    </w:p>
    <w:p>
      <w:pPr>
        <w:spacing w:line="360" w:lineRule="auto"/>
        <w:ind w:firstLine="420" w:firstLineChars="200"/>
      </w:pPr>
      <w:r>
        <w:rPr>
          <w:rFonts w:hint="eastAsia"/>
        </w:rPr>
        <w:t>1、</w:t>
      </w:r>
      <w:bookmarkStart w:id="6" w:name="_Hlk145674892"/>
      <w:r>
        <w:rPr>
          <w:rFonts w:hint="eastAsia"/>
        </w:rPr>
        <w:t>投标人</w:t>
      </w:r>
      <w:bookmarkEnd w:id="6"/>
      <w:r>
        <w:rPr>
          <w:rFonts w:hint="eastAsia"/>
        </w:rPr>
        <w:t>必须是在中华人民共和国境内注册的独立法人或其他组织</w:t>
      </w:r>
      <w:bookmarkStart w:id="7" w:name="_Hlk145674976"/>
      <w:r>
        <w:rPr>
          <w:rFonts w:hint="eastAsia"/>
        </w:rPr>
        <w:t>（提供营业执照复印件）；</w:t>
      </w:r>
      <w:bookmarkEnd w:id="7"/>
    </w:p>
    <w:p>
      <w:pPr>
        <w:spacing w:line="360" w:lineRule="auto"/>
        <w:ind w:firstLine="420" w:firstLineChars="200"/>
      </w:pPr>
      <w:r>
        <w:rPr>
          <w:rFonts w:hint="eastAsia"/>
        </w:rPr>
        <w:t>2、投标人参加本次政府采购活动前3年内在经营活动中没有重大违法记录（提供声明函）；</w:t>
      </w:r>
    </w:p>
    <w:p>
      <w:pPr>
        <w:spacing w:line="360" w:lineRule="auto"/>
        <w:ind w:firstLine="420" w:firstLineChars="200"/>
      </w:pPr>
      <w:r>
        <w:rPr>
          <w:rFonts w:hint="eastAsia"/>
        </w:rPr>
        <w:t>3、截至开标时间为止，未被深圳市各级政府采购主管部门行政处罚（指禁止参与政府采购活动且在有效期内）的投标人；</w:t>
      </w:r>
    </w:p>
    <w:p>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pPr>
        <w:spacing w:line="360" w:lineRule="auto"/>
        <w:ind w:firstLine="420" w:firstLineChars="200"/>
      </w:pPr>
      <w:r>
        <w:rPr>
          <w:rFonts w:hint="eastAsia"/>
        </w:rPr>
        <w:t>5、本项目不接受联合体投标。</w:t>
      </w:r>
    </w:p>
    <w:p>
      <w:pPr>
        <w:pStyle w:val="5"/>
        <w:ind w:firstLine="482"/>
      </w:pPr>
      <w:r>
        <w:rPr>
          <w:rFonts w:hint="eastAsia"/>
        </w:rPr>
        <w:t>五、获取采购文件的时间、地点及方式</w:t>
      </w:r>
    </w:p>
    <w:bookmarkEnd w:id="5"/>
    <w:p>
      <w:pPr>
        <w:spacing w:line="360" w:lineRule="auto"/>
        <w:ind w:firstLine="420" w:firstLineChars="200"/>
      </w:pPr>
      <w:r>
        <w:rPr>
          <w:rFonts w:hint="eastAsia"/>
        </w:rPr>
        <w:t>1、获取采购文件时间：2024年</w:t>
      </w:r>
      <w:r>
        <w:rPr>
          <w:rFonts w:hint="eastAsia"/>
          <w:lang w:val="en-US" w:eastAsia="zh-CN"/>
        </w:rPr>
        <w:t>8</w:t>
      </w:r>
      <w:r>
        <w:rPr>
          <w:rFonts w:hint="eastAsia"/>
        </w:rPr>
        <w:t>月</w:t>
      </w:r>
      <w:r>
        <w:rPr>
          <w:rFonts w:hint="eastAsia"/>
          <w:lang w:val="en-US" w:eastAsia="zh-CN"/>
        </w:rPr>
        <w:t>22</w:t>
      </w:r>
      <w:r>
        <w:rPr>
          <w:rFonts w:hint="eastAsia"/>
        </w:rPr>
        <w:t>日起至2024年</w:t>
      </w:r>
      <w:r>
        <w:rPr>
          <w:rFonts w:hint="eastAsia"/>
          <w:lang w:val="en-US" w:eastAsia="zh-CN"/>
        </w:rPr>
        <w:t>8</w:t>
      </w:r>
      <w:r>
        <w:rPr>
          <w:rFonts w:hint="eastAsia"/>
        </w:rPr>
        <w:t>月</w:t>
      </w:r>
      <w:r>
        <w:rPr>
          <w:rFonts w:hint="eastAsia"/>
          <w:lang w:val="en-US" w:eastAsia="zh-CN"/>
        </w:rPr>
        <w:t>28</w:t>
      </w:r>
      <w:r>
        <w:rPr>
          <w:rFonts w:hint="eastAsia"/>
        </w:rPr>
        <w:t>日（节假日除外），上午9：00～11：30，下午14：00～17：30（北京时间）。</w:t>
      </w:r>
    </w:p>
    <w:p>
      <w:pPr>
        <w:spacing w:line="360" w:lineRule="auto"/>
        <w:ind w:firstLine="420" w:firstLineChars="200"/>
      </w:pPr>
      <w:r>
        <w:rPr>
          <w:rFonts w:hint="eastAsia"/>
        </w:rPr>
        <w:t>2、获取采购文件地点：深圳市宝安区海秀路3号（深圳市宝安区疾病预防控制中心）512。</w:t>
      </w:r>
    </w:p>
    <w:p>
      <w:pPr>
        <w:spacing w:line="360" w:lineRule="auto"/>
        <w:ind w:firstLine="420" w:firstLineChars="200"/>
      </w:pPr>
      <w:r>
        <w:rPr>
          <w:rFonts w:hint="eastAsia"/>
        </w:rPr>
        <w:t>3、获取采购文件方式：线上下载。</w:t>
      </w:r>
    </w:p>
    <w:p>
      <w:pPr>
        <w:spacing w:line="360" w:lineRule="auto"/>
        <w:ind w:firstLine="420" w:firstLineChars="200"/>
      </w:pPr>
      <w:r>
        <w:rPr>
          <w:rFonts w:hint="eastAsia"/>
          <w:lang w:val="en-US" w:eastAsia="zh-CN"/>
        </w:rPr>
        <w:t>4</w:t>
      </w:r>
      <w:r>
        <w:rPr>
          <w:rFonts w:hint="eastAsia"/>
        </w:rPr>
        <w:t>、联系人：郑工</w:t>
      </w:r>
    </w:p>
    <w:p>
      <w:pPr>
        <w:spacing w:line="360" w:lineRule="auto"/>
        <w:ind w:firstLine="420" w:firstLineChars="200"/>
      </w:pPr>
      <w:r>
        <w:rPr>
          <w:rFonts w:hint="eastAsia"/>
          <w:lang w:val="en-US" w:eastAsia="zh-CN"/>
        </w:rPr>
        <w:t>5</w:t>
      </w:r>
      <w:bookmarkStart w:id="171" w:name="_GoBack"/>
      <w:bookmarkEnd w:id="171"/>
      <w:r>
        <w:rPr>
          <w:rFonts w:hint="eastAsia"/>
        </w:rPr>
        <w:t>、联系电话：0755-2370307</w:t>
      </w:r>
      <w:r>
        <w:t>5</w:t>
      </w:r>
    </w:p>
    <w:p>
      <w:pPr>
        <w:pStyle w:val="5"/>
        <w:ind w:firstLine="482"/>
      </w:pPr>
      <w:r>
        <w:rPr>
          <w:rFonts w:hint="eastAsia"/>
        </w:rPr>
        <w:t>六、投标截止时间</w:t>
      </w:r>
    </w:p>
    <w:p>
      <w:pPr>
        <w:spacing w:line="360" w:lineRule="auto"/>
        <w:ind w:firstLine="420" w:firstLineChars="200"/>
      </w:pPr>
      <w:r>
        <w:rPr>
          <w:rFonts w:hint="eastAsia"/>
        </w:rPr>
        <w:t>1、递交响应文件时间：2024年</w:t>
      </w:r>
      <w:r>
        <w:rPr>
          <w:rFonts w:hint="eastAsia"/>
          <w:lang w:val="en-US" w:eastAsia="zh-CN"/>
        </w:rPr>
        <w:t>8</w:t>
      </w:r>
      <w:r>
        <w:rPr>
          <w:rFonts w:hint="eastAsia"/>
        </w:rPr>
        <w:t>月</w:t>
      </w:r>
      <w:r>
        <w:rPr>
          <w:rFonts w:hint="eastAsia"/>
          <w:lang w:val="en-US" w:eastAsia="zh-CN"/>
        </w:rPr>
        <w:t>29</w:t>
      </w:r>
      <w:r>
        <w:rPr>
          <w:rFonts w:hint="eastAsia"/>
        </w:rPr>
        <w:t>日下午1</w:t>
      </w:r>
      <w:r>
        <w:t>4</w:t>
      </w:r>
      <w:r>
        <w:rPr>
          <w:rFonts w:hint="eastAsia"/>
        </w:rPr>
        <w:t>：00前（可快递，以签收时间为准）。</w:t>
      </w:r>
    </w:p>
    <w:p>
      <w:pPr>
        <w:spacing w:line="360" w:lineRule="auto"/>
        <w:ind w:firstLine="420" w:firstLineChars="200"/>
      </w:pPr>
      <w:r>
        <w:rPr>
          <w:rFonts w:hint="eastAsia"/>
        </w:rPr>
        <w:t>2、递交响应文件地点：深圳市宝安区海秀路3号（深圳市宝安区疾病预防控制中心）516，如无法进入大楼可放置保安室。</w:t>
      </w:r>
    </w:p>
    <w:p>
      <w:pPr>
        <w:pStyle w:val="5"/>
        <w:ind w:firstLine="482"/>
      </w:pPr>
      <w:r>
        <w:rPr>
          <w:rFonts w:hint="eastAsia"/>
        </w:rPr>
        <w:t>七、采购公告查询：</w:t>
      </w:r>
    </w:p>
    <w:p>
      <w:pPr>
        <w:spacing w:line="360" w:lineRule="auto"/>
        <w:ind w:firstLine="420" w:firstLineChars="200"/>
      </w:pPr>
      <w:r>
        <w:t>http://www.bawjxt.net/bacdc/</w:t>
      </w:r>
      <w:r>
        <w:rPr>
          <w:rFonts w:hint="eastAsia"/>
        </w:rPr>
        <w:t xml:space="preserve"> (深圳市宝安区疾病预防控制中心官网)</w:t>
      </w:r>
    </w:p>
    <w:p>
      <w:pPr>
        <w:spacing w:line="360" w:lineRule="auto"/>
        <w:ind w:firstLine="420" w:firstLineChars="200"/>
      </w:pPr>
    </w:p>
    <w:p>
      <w:pPr>
        <w:spacing w:line="360" w:lineRule="auto"/>
        <w:ind w:firstLine="420" w:firstLineChars="200"/>
      </w:pPr>
    </w:p>
    <w:p>
      <w:pPr>
        <w:spacing w:line="360" w:lineRule="auto"/>
        <w:ind w:firstLine="5460" w:firstLineChars="2600"/>
      </w:pPr>
      <w:r>
        <w:rPr>
          <w:rFonts w:hint="eastAsia"/>
        </w:rPr>
        <w:t>深圳市宝安区疾病预防控制中心</w:t>
      </w:r>
    </w:p>
    <w:p>
      <w:pPr>
        <w:spacing w:line="360" w:lineRule="auto"/>
        <w:ind w:firstLine="5880" w:firstLineChars="2800"/>
      </w:pPr>
      <w:r>
        <w:rPr>
          <w:rFonts w:hint="eastAsia"/>
        </w:rPr>
        <w:t>2</w:t>
      </w:r>
      <w:r>
        <w:t>02</w:t>
      </w:r>
      <w:r>
        <w:rPr>
          <w:rFonts w:hint="eastAsia"/>
        </w:rPr>
        <w:t>4年</w:t>
      </w:r>
      <w:r>
        <w:rPr>
          <w:rFonts w:hint="eastAsia"/>
          <w:lang w:val="en-US" w:eastAsia="zh-CN"/>
        </w:rPr>
        <w:t>8</w:t>
      </w:r>
      <w:r>
        <w:rPr>
          <w:rFonts w:hint="eastAsia"/>
        </w:rPr>
        <w:t>月</w:t>
      </w:r>
      <w:r>
        <w:rPr>
          <w:rFonts w:hint="eastAsia"/>
          <w:lang w:val="en-US" w:eastAsia="zh-CN"/>
        </w:rPr>
        <w:t>22</w:t>
      </w:r>
      <w:r>
        <w:rPr>
          <w:rFonts w:hint="eastAsia"/>
        </w:rPr>
        <w:t>日</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8" w:name="_Toc61539109"/>
      <w:bookmarkStart w:id="9" w:name="_Toc86939329"/>
      <w:r>
        <w:rPr>
          <w:rFonts w:hint="eastAsia"/>
        </w:rPr>
        <w:t>第二章  用户需求书</w:t>
      </w:r>
      <w:bookmarkEnd w:id="8"/>
      <w:bookmarkEnd w:id="9"/>
    </w:p>
    <w:p>
      <w:pPr>
        <w:pStyle w:val="3"/>
      </w:pPr>
      <w:bookmarkStart w:id="10" w:name="_Toc86939330"/>
      <w:bookmarkStart w:id="11" w:name="_Toc86741961"/>
      <w:r>
        <w:rPr>
          <w:rFonts w:hint="eastAsia"/>
        </w:rPr>
        <w:t>一、服务要求</w:t>
      </w:r>
    </w:p>
    <w:p>
      <w:pPr>
        <w:pStyle w:val="30"/>
        <w:numPr>
          <w:ilvl w:val="0"/>
          <w:numId w:val="2"/>
        </w:numPr>
        <w:tabs>
          <w:tab w:val="left" w:pos="907"/>
        </w:tabs>
        <w:spacing w:line="360" w:lineRule="auto"/>
        <w:ind w:firstLineChars="0"/>
        <w:rPr>
          <w:rFonts w:hint="eastAsia" w:asciiTheme="minorEastAsia" w:hAnsiTheme="minorEastAsia"/>
          <w:szCs w:val="21"/>
        </w:rPr>
      </w:pPr>
      <w:r>
        <w:rPr>
          <w:rFonts w:hint="eastAsia" w:asciiTheme="minorEastAsia" w:hAnsiTheme="minorEastAsia"/>
          <w:szCs w:val="21"/>
        </w:rPr>
        <w:t>原设备品牌及型号：</w:t>
      </w:r>
    </w:p>
    <w:tbl>
      <w:tblPr>
        <w:tblStyle w:val="17"/>
        <w:tblW w:w="0" w:type="auto"/>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9"/>
        <w:gridCol w:w="2268"/>
        <w:gridCol w:w="851"/>
        <w:gridCol w:w="81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59" w:type="dxa"/>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名称</w:t>
            </w:r>
          </w:p>
        </w:tc>
        <w:tc>
          <w:tcPr>
            <w:tcW w:w="2268" w:type="dxa"/>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型号</w:t>
            </w:r>
          </w:p>
        </w:tc>
        <w:tc>
          <w:tcPr>
            <w:tcW w:w="851" w:type="dxa"/>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单位</w:t>
            </w:r>
          </w:p>
        </w:tc>
        <w:tc>
          <w:tcPr>
            <w:tcW w:w="813" w:type="dxa"/>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数量</w:t>
            </w:r>
          </w:p>
        </w:tc>
        <w:tc>
          <w:tcPr>
            <w:tcW w:w="1477" w:type="dxa"/>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vAlign w:val="center"/>
          </w:tcPr>
          <w:p>
            <w:pPr>
              <w:pStyle w:val="30"/>
              <w:tabs>
                <w:tab w:val="left" w:pos="907"/>
              </w:tabs>
              <w:spacing w:line="360" w:lineRule="auto"/>
              <w:ind w:firstLine="0" w:firstLineChars="0"/>
              <w:rPr>
                <w:rFonts w:hint="eastAsia" w:asciiTheme="minorEastAsia" w:hAnsiTheme="minorEastAsia"/>
                <w:szCs w:val="21"/>
              </w:rPr>
            </w:pPr>
            <w:r>
              <w:rPr>
                <w:rFonts w:hint="eastAsia" w:ascii="宋体" w:hAnsi="宋体"/>
                <w:sz w:val="22"/>
              </w:rPr>
              <w:t>分散度＜1% LiF(Mg,Cu,P)热释光探测器</w:t>
            </w:r>
          </w:p>
        </w:tc>
        <w:tc>
          <w:tcPr>
            <w:tcW w:w="2268" w:type="dxa"/>
            <w:vAlign w:val="center"/>
          </w:tcPr>
          <w:p>
            <w:pPr>
              <w:pStyle w:val="30"/>
              <w:tabs>
                <w:tab w:val="left" w:pos="907"/>
              </w:tabs>
              <w:spacing w:line="360" w:lineRule="auto"/>
              <w:ind w:firstLine="0" w:firstLineChars="0"/>
              <w:rPr>
                <w:rFonts w:hint="eastAsia" w:asciiTheme="minorEastAsia" w:hAnsiTheme="minorEastAsia"/>
                <w:szCs w:val="21"/>
              </w:rPr>
            </w:pPr>
            <w:r>
              <w:rPr>
                <w:rFonts w:hint="eastAsia" w:ascii="宋体" w:hAnsi="宋体" w:cs="宋体"/>
                <w:spacing w:val="24"/>
                <w:sz w:val="22"/>
              </w:rPr>
              <w:t>直径4</w:t>
            </w:r>
            <w:r>
              <w:rPr>
                <w:rFonts w:hint="eastAsia" w:cs="宋体"/>
                <w:spacing w:val="24"/>
                <w:sz w:val="22"/>
              </w:rPr>
              <w:t>.</w:t>
            </w:r>
            <w:r>
              <w:rPr>
                <w:rFonts w:hint="eastAsia" w:ascii="宋体" w:hAnsi="宋体" w:cs="宋体"/>
                <w:spacing w:val="24"/>
                <w:sz w:val="22"/>
              </w:rPr>
              <w:t>5</w:t>
            </w:r>
            <w:r>
              <w:rPr>
                <w:rFonts w:hint="eastAsia" w:ascii="宋体" w:hAnsi="宋体" w:cs="宋体"/>
                <w:sz w:val="22"/>
              </w:rPr>
              <w:t>mm</w:t>
            </w:r>
            <w:r>
              <w:rPr>
                <w:rFonts w:hint="eastAsia" w:ascii="宋体" w:hAnsi="宋体" w:cs="宋体"/>
                <w:spacing w:val="85"/>
                <w:sz w:val="22"/>
              </w:rPr>
              <w:t xml:space="preserve"> </w:t>
            </w:r>
            <w:r>
              <w:rPr>
                <w:rFonts w:hint="eastAsia" w:ascii="宋体" w:hAnsi="宋体" w:cs="宋体"/>
                <w:spacing w:val="24"/>
                <w:sz w:val="22"/>
              </w:rPr>
              <w:t>,厚0.</w:t>
            </w:r>
            <w:r>
              <w:rPr>
                <w:rFonts w:hint="eastAsia" w:cs="宋体"/>
                <w:spacing w:val="24"/>
                <w:sz w:val="22"/>
              </w:rPr>
              <w:t>8</w:t>
            </w:r>
            <w:r>
              <w:rPr>
                <w:rFonts w:hint="eastAsia" w:ascii="宋体" w:hAnsi="宋体" w:cs="宋体"/>
                <w:sz w:val="22"/>
              </w:rPr>
              <w:t>mm</w:t>
            </w:r>
          </w:p>
        </w:tc>
        <w:tc>
          <w:tcPr>
            <w:tcW w:w="851" w:type="dxa"/>
            <w:vAlign w:val="center"/>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片</w:t>
            </w:r>
          </w:p>
        </w:tc>
        <w:tc>
          <w:tcPr>
            <w:tcW w:w="813" w:type="dxa"/>
            <w:vAlign w:val="center"/>
          </w:tcPr>
          <w:p>
            <w:pPr>
              <w:pStyle w:val="30"/>
              <w:tabs>
                <w:tab w:val="left" w:pos="907"/>
              </w:tabs>
              <w:spacing w:line="360" w:lineRule="auto"/>
              <w:ind w:firstLine="0" w:firstLineChars="0"/>
              <w:rPr>
                <w:rFonts w:hint="eastAsia" w:asciiTheme="minorEastAsia" w:hAnsiTheme="minorEastAsia"/>
                <w:szCs w:val="21"/>
              </w:rPr>
            </w:pPr>
            <w:r>
              <w:rPr>
                <w:rFonts w:ascii="宋体" w:hAnsi="宋体" w:cs="宋体"/>
                <w:color w:val="000000"/>
                <w:kern w:val="0"/>
                <w:sz w:val="22"/>
              </w:rPr>
              <w:t>1000</w:t>
            </w:r>
          </w:p>
        </w:tc>
        <w:tc>
          <w:tcPr>
            <w:tcW w:w="1477" w:type="dxa"/>
            <w:vAlign w:val="center"/>
          </w:tcPr>
          <w:p>
            <w:pPr>
              <w:pStyle w:val="30"/>
              <w:tabs>
                <w:tab w:val="left" w:pos="907"/>
              </w:tabs>
              <w:spacing w:line="360" w:lineRule="auto"/>
              <w:ind w:firstLine="0" w:firstLineChars="0"/>
              <w:rPr>
                <w:rFonts w:hint="eastAsia" w:asciiTheme="minorEastAsia" w:hAnsiTheme="minorEastAsia"/>
                <w:szCs w:val="21"/>
              </w:rPr>
            </w:pPr>
            <w:r>
              <w:rPr>
                <w:rFonts w:hint="eastAsia" w:ascii="宋体" w:hAnsi="宋体" w:cs="宋体"/>
                <w:color w:val="000000"/>
                <w:kern w:val="0"/>
                <w:sz w:val="22"/>
              </w:rPr>
              <w:t>分散度＜1％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vAlign w:val="center"/>
          </w:tcPr>
          <w:p>
            <w:pPr>
              <w:pStyle w:val="30"/>
              <w:tabs>
                <w:tab w:val="left" w:pos="907"/>
              </w:tabs>
              <w:spacing w:line="360" w:lineRule="auto"/>
              <w:ind w:firstLine="0" w:firstLineChars="0"/>
              <w:rPr>
                <w:rFonts w:hint="eastAsia" w:asciiTheme="minorEastAsia" w:hAnsiTheme="minorEastAsia"/>
                <w:szCs w:val="21"/>
              </w:rPr>
            </w:pPr>
            <w:r>
              <w:rPr>
                <w:rFonts w:hint="eastAsia" w:ascii="宋体" w:hAnsi="宋体"/>
                <w:sz w:val="22"/>
              </w:rPr>
              <w:t>分散度＜3% LiF(Mg,Cu,P)热释光探测器</w:t>
            </w:r>
          </w:p>
        </w:tc>
        <w:tc>
          <w:tcPr>
            <w:tcW w:w="2268" w:type="dxa"/>
            <w:vAlign w:val="center"/>
          </w:tcPr>
          <w:p>
            <w:pPr>
              <w:pStyle w:val="30"/>
              <w:tabs>
                <w:tab w:val="left" w:pos="907"/>
              </w:tabs>
              <w:spacing w:line="360" w:lineRule="auto"/>
              <w:ind w:firstLine="0" w:firstLineChars="0"/>
              <w:rPr>
                <w:rFonts w:hint="eastAsia" w:asciiTheme="minorEastAsia" w:hAnsiTheme="minorEastAsia"/>
                <w:szCs w:val="21"/>
              </w:rPr>
            </w:pPr>
            <w:r>
              <w:rPr>
                <w:rFonts w:hint="eastAsia" w:ascii="宋体" w:hAnsi="宋体" w:cs="宋体"/>
                <w:spacing w:val="24"/>
                <w:sz w:val="22"/>
              </w:rPr>
              <w:t>直径4</w:t>
            </w:r>
            <w:r>
              <w:rPr>
                <w:rFonts w:hint="eastAsia" w:cs="宋体"/>
                <w:spacing w:val="24"/>
                <w:sz w:val="22"/>
              </w:rPr>
              <w:t>.</w:t>
            </w:r>
            <w:r>
              <w:rPr>
                <w:rFonts w:hint="eastAsia" w:ascii="宋体" w:hAnsi="宋体" w:cs="宋体"/>
                <w:spacing w:val="24"/>
                <w:sz w:val="22"/>
              </w:rPr>
              <w:t>5</w:t>
            </w:r>
            <w:r>
              <w:rPr>
                <w:rFonts w:hint="eastAsia" w:ascii="宋体" w:hAnsi="宋体" w:cs="宋体"/>
                <w:sz w:val="22"/>
              </w:rPr>
              <w:t>mm</w:t>
            </w:r>
            <w:r>
              <w:rPr>
                <w:rFonts w:hint="eastAsia" w:ascii="宋体" w:hAnsi="宋体" w:cs="宋体"/>
                <w:spacing w:val="85"/>
                <w:sz w:val="22"/>
              </w:rPr>
              <w:t xml:space="preserve"> </w:t>
            </w:r>
            <w:r>
              <w:rPr>
                <w:rFonts w:hint="eastAsia" w:ascii="宋体" w:hAnsi="宋体" w:cs="宋体"/>
                <w:spacing w:val="24"/>
                <w:sz w:val="22"/>
              </w:rPr>
              <w:t>,厚0.</w:t>
            </w:r>
            <w:r>
              <w:rPr>
                <w:rFonts w:hint="eastAsia" w:cs="宋体"/>
                <w:spacing w:val="24"/>
                <w:sz w:val="22"/>
              </w:rPr>
              <w:t>8</w:t>
            </w:r>
            <w:r>
              <w:rPr>
                <w:rFonts w:hint="eastAsia" w:ascii="宋体" w:hAnsi="宋体" w:cs="宋体"/>
                <w:sz w:val="22"/>
              </w:rPr>
              <w:t>mm</w:t>
            </w:r>
          </w:p>
        </w:tc>
        <w:tc>
          <w:tcPr>
            <w:tcW w:w="851" w:type="dxa"/>
            <w:vAlign w:val="center"/>
          </w:tcPr>
          <w:p>
            <w:pPr>
              <w:pStyle w:val="30"/>
              <w:tabs>
                <w:tab w:val="left" w:pos="907"/>
              </w:tabs>
              <w:spacing w:line="360" w:lineRule="auto"/>
              <w:ind w:firstLine="0" w:firstLineChars="0"/>
              <w:rPr>
                <w:rFonts w:hint="eastAsia" w:asciiTheme="minorEastAsia" w:hAnsiTheme="minorEastAsia"/>
                <w:szCs w:val="21"/>
              </w:rPr>
            </w:pPr>
            <w:r>
              <w:rPr>
                <w:rFonts w:hint="eastAsia" w:ascii="宋体" w:hAnsi="宋体" w:cs="宋体"/>
                <w:color w:val="000000"/>
                <w:kern w:val="0"/>
                <w:sz w:val="22"/>
              </w:rPr>
              <w:t>片</w:t>
            </w:r>
          </w:p>
        </w:tc>
        <w:tc>
          <w:tcPr>
            <w:tcW w:w="813" w:type="dxa"/>
            <w:vAlign w:val="center"/>
          </w:tcPr>
          <w:p>
            <w:pPr>
              <w:pStyle w:val="30"/>
              <w:tabs>
                <w:tab w:val="left" w:pos="907"/>
              </w:tabs>
              <w:spacing w:line="360" w:lineRule="auto"/>
              <w:ind w:firstLine="0" w:firstLineChars="0"/>
              <w:rPr>
                <w:rFonts w:hint="eastAsia" w:asciiTheme="minorEastAsia" w:hAnsiTheme="minorEastAsia"/>
                <w:szCs w:val="21"/>
              </w:rPr>
            </w:pPr>
            <w:r>
              <w:rPr>
                <w:rFonts w:hint="eastAsia" w:ascii="宋体" w:hAnsi="宋体" w:cs="宋体"/>
                <w:color w:val="000000"/>
                <w:kern w:val="0"/>
                <w:sz w:val="22"/>
              </w:rPr>
              <w:t>4000</w:t>
            </w:r>
          </w:p>
        </w:tc>
        <w:tc>
          <w:tcPr>
            <w:tcW w:w="1477" w:type="dxa"/>
            <w:vAlign w:val="center"/>
          </w:tcPr>
          <w:p>
            <w:pPr>
              <w:pStyle w:val="30"/>
              <w:tabs>
                <w:tab w:val="left" w:pos="907"/>
              </w:tabs>
              <w:spacing w:line="360" w:lineRule="auto"/>
              <w:ind w:firstLine="0" w:firstLineChars="0"/>
              <w:rPr>
                <w:rFonts w:hint="eastAsia" w:asciiTheme="minorEastAsia" w:hAnsiTheme="minorEastAsia"/>
                <w:szCs w:val="21"/>
              </w:rPr>
            </w:pPr>
            <w:r>
              <w:rPr>
                <w:rFonts w:hint="eastAsia" w:ascii="宋体" w:hAnsi="宋体" w:cs="宋体"/>
                <w:color w:val="000000"/>
                <w:kern w:val="0"/>
                <w:sz w:val="22"/>
              </w:rPr>
              <w:t>分散度＜3％</w:t>
            </w:r>
          </w:p>
        </w:tc>
      </w:tr>
    </w:tbl>
    <w:p>
      <w:pPr>
        <w:pStyle w:val="30"/>
        <w:tabs>
          <w:tab w:val="left" w:pos="907"/>
        </w:tabs>
        <w:spacing w:line="360" w:lineRule="auto"/>
        <w:ind w:left="780" w:firstLine="0" w:firstLineChars="0"/>
        <w:rPr>
          <w:rFonts w:hint="eastAsia" w:asciiTheme="minorEastAsia" w:hAnsiTheme="minorEastAsia"/>
          <w:szCs w:val="21"/>
        </w:rPr>
      </w:pPr>
    </w:p>
    <w:p>
      <w:pPr>
        <w:spacing w:line="360" w:lineRule="auto"/>
        <w:ind w:firstLine="480"/>
        <w:jc w:val="left"/>
        <w:rPr>
          <w:rFonts w:hint="eastAsia" w:ascii="宋体" w:hAnsi="宋体"/>
          <w:sz w:val="24"/>
        </w:rPr>
      </w:pPr>
      <w:r>
        <w:rPr>
          <w:rFonts w:hint="eastAsia" w:ascii="宋体" w:hAnsi="宋体"/>
          <w:sz w:val="24"/>
        </w:rPr>
        <w:t>2. 服务范围：</w:t>
      </w:r>
      <w:r>
        <w:rPr>
          <w:rFonts w:ascii="宋体" w:hAnsi="宋体"/>
          <w:sz w:val="24"/>
        </w:rPr>
        <w:t xml:space="preserve"> </w:t>
      </w:r>
    </w:p>
    <w:tbl>
      <w:tblPr>
        <w:tblStyle w:val="17"/>
        <w:tblW w:w="0" w:type="auto"/>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736"/>
        <w:gridCol w:w="467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序号</w:t>
            </w:r>
          </w:p>
        </w:tc>
        <w:tc>
          <w:tcPr>
            <w:tcW w:w="1736" w:type="dxa"/>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名称</w:t>
            </w:r>
          </w:p>
        </w:tc>
        <w:tc>
          <w:tcPr>
            <w:tcW w:w="4678" w:type="dxa"/>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单位</w:t>
            </w:r>
          </w:p>
        </w:tc>
        <w:tc>
          <w:tcPr>
            <w:tcW w:w="851" w:type="dxa"/>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1</w:t>
            </w:r>
          </w:p>
        </w:tc>
        <w:tc>
          <w:tcPr>
            <w:tcW w:w="1736" w:type="dxa"/>
            <w:vAlign w:val="center"/>
          </w:tcPr>
          <w:p>
            <w:pPr>
              <w:pStyle w:val="30"/>
              <w:tabs>
                <w:tab w:val="left" w:pos="907"/>
              </w:tabs>
              <w:spacing w:line="360" w:lineRule="auto"/>
              <w:ind w:firstLine="0" w:firstLineChars="0"/>
              <w:rPr>
                <w:rFonts w:hint="eastAsia" w:asciiTheme="minorEastAsia" w:hAnsiTheme="minorEastAsia"/>
                <w:szCs w:val="21"/>
              </w:rPr>
            </w:pPr>
            <w:r>
              <w:rPr>
                <w:rFonts w:hint="eastAsia" w:ascii="宋体" w:hAnsi="宋体"/>
                <w:sz w:val="22"/>
              </w:rPr>
              <w:t>分散度＜1% LiF(Mg,Cu,P)热释光探测器</w:t>
            </w:r>
          </w:p>
        </w:tc>
        <w:tc>
          <w:tcPr>
            <w:tcW w:w="4678" w:type="dxa"/>
            <w:vAlign w:val="center"/>
          </w:tcPr>
          <w:p>
            <w:pPr>
              <w:pStyle w:val="41"/>
              <w:spacing w:before="210" w:line="219" w:lineRule="auto"/>
              <w:rPr>
                <w:rFonts w:hint="eastAsia"/>
                <w:color w:val="000000"/>
                <w:kern w:val="0"/>
                <w:sz w:val="24"/>
                <w:szCs w:val="24"/>
                <w:lang w:eastAsia="zh-CN"/>
              </w:rPr>
            </w:pPr>
            <w:r>
              <w:rPr>
                <w:rFonts w:hint="eastAsia"/>
                <w:color w:val="000000"/>
                <w:kern w:val="0"/>
                <w:sz w:val="24"/>
                <w:szCs w:val="24"/>
                <w:lang w:eastAsia="zh-CN"/>
              </w:rPr>
              <w:t>★.1、测量范围：10μGy~10Gy；</w:t>
            </w:r>
          </w:p>
          <w:p>
            <w:pPr>
              <w:pStyle w:val="41"/>
              <w:spacing w:before="210" w:line="219" w:lineRule="auto"/>
              <w:rPr>
                <w:rFonts w:hint="eastAsia"/>
                <w:color w:val="000000"/>
                <w:kern w:val="0"/>
                <w:sz w:val="24"/>
                <w:szCs w:val="24"/>
              </w:rPr>
            </w:pPr>
            <w:r>
              <w:rPr>
                <w:rFonts w:hint="eastAsia"/>
                <w:color w:val="000000"/>
                <w:kern w:val="0"/>
                <w:sz w:val="24"/>
                <w:szCs w:val="24"/>
              </w:rPr>
              <w:t>2、</w:t>
            </w:r>
            <w:r>
              <w:rPr>
                <w:rFonts w:hint="eastAsia"/>
                <w:color w:val="000000"/>
                <w:kern w:val="0"/>
                <w:sz w:val="24"/>
                <w:szCs w:val="24"/>
                <w:lang w:eastAsia="zh-CN"/>
              </w:rPr>
              <w:t>非线性</w:t>
            </w:r>
            <w:r>
              <w:rPr>
                <w:rFonts w:hint="eastAsia"/>
                <w:color w:val="000000"/>
                <w:kern w:val="0"/>
                <w:sz w:val="24"/>
                <w:szCs w:val="24"/>
              </w:rPr>
              <w:t>：</w:t>
            </w:r>
            <w:r>
              <w:rPr>
                <w:rFonts w:hint="eastAsia"/>
                <w:color w:val="000000"/>
                <w:kern w:val="0"/>
                <w:sz w:val="24"/>
                <w:szCs w:val="24"/>
                <w:lang w:eastAsia="zh-CN"/>
              </w:rPr>
              <w:t>±2%</w:t>
            </w:r>
            <w:r>
              <w:rPr>
                <w:rFonts w:hint="eastAsia"/>
                <w:color w:val="000000"/>
                <w:kern w:val="0"/>
                <w:sz w:val="24"/>
                <w:szCs w:val="24"/>
              </w:rPr>
              <w:t>；</w:t>
            </w:r>
          </w:p>
          <w:p>
            <w:pPr>
              <w:pStyle w:val="41"/>
              <w:spacing w:before="210" w:line="219" w:lineRule="auto"/>
              <w:rPr>
                <w:rFonts w:hint="eastAsia"/>
                <w:color w:val="000000"/>
                <w:kern w:val="0"/>
                <w:sz w:val="24"/>
                <w:szCs w:val="24"/>
                <w:lang w:eastAsia="zh-CN"/>
              </w:rPr>
            </w:pPr>
            <w:r>
              <w:rPr>
                <w:rFonts w:hint="eastAsia"/>
                <w:color w:val="000000"/>
                <w:kern w:val="0"/>
                <w:sz w:val="24"/>
                <w:szCs w:val="24"/>
                <w:lang w:eastAsia="zh-CN"/>
              </w:rPr>
              <w:t>3、</w:t>
            </w:r>
            <w:r>
              <w:rPr>
                <w:rFonts w:hint="eastAsia"/>
                <w:color w:val="000000"/>
                <w:kern w:val="0"/>
                <w:sz w:val="24"/>
                <w:szCs w:val="24"/>
              </w:rPr>
              <w:t>Hp(10)时</w:t>
            </w:r>
            <w:r>
              <w:rPr>
                <w:rFonts w:hint="eastAsia"/>
                <w:color w:val="000000"/>
                <w:kern w:val="0"/>
                <w:sz w:val="24"/>
                <w:szCs w:val="24"/>
                <w:lang w:eastAsia="zh-CN"/>
              </w:rPr>
              <w:t>，</w:t>
            </w:r>
            <w:r>
              <w:rPr>
                <w:rFonts w:hint="eastAsia"/>
                <w:color w:val="000000"/>
                <w:kern w:val="0"/>
                <w:sz w:val="24"/>
                <w:szCs w:val="24"/>
              </w:rPr>
              <w:t>x,γ 20keV</w:t>
            </w:r>
            <w:r>
              <w:rPr>
                <w:rFonts w:hint="eastAsia"/>
                <w:color w:val="000000"/>
                <w:kern w:val="0"/>
                <w:sz w:val="24"/>
                <w:szCs w:val="24"/>
                <w:lang w:eastAsia="zh-CN"/>
              </w:rPr>
              <w:t>~</w:t>
            </w:r>
            <w:r>
              <w:rPr>
                <w:rFonts w:hint="eastAsia"/>
                <w:color w:val="000000"/>
                <w:kern w:val="0"/>
                <w:sz w:val="24"/>
                <w:szCs w:val="24"/>
              </w:rPr>
              <w:t>9MeV</w:t>
            </w:r>
            <w:r>
              <w:rPr>
                <w:rFonts w:hint="eastAsia"/>
                <w:color w:val="000000"/>
                <w:kern w:val="0"/>
                <w:sz w:val="24"/>
                <w:szCs w:val="24"/>
                <w:lang w:eastAsia="zh-CN"/>
              </w:rPr>
              <w:t>；</w:t>
            </w:r>
          </w:p>
          <w:p>
            <w:pPr>
              <w:pStyle w:val="41"/>
              <w:spacing w:before="210" w:line="219" w:lineRule="auto"/>
              <w:rPr>
                <w:rFonts w:hint="eastAsia"/>
                <w:color w:val="000000"/>
                <w:kern w:val="0"/>
                <w:sz w:val="24"/>
                <w:szCs w:val="24"/>
                <w:lang w:eastAsia="zh-CN"/>
              </w:rPr>
            </w:pPr>
            <w:r>
              <w:rPr>
                <w:rFonts w:hint="eastAsia"/>
                <w:color w:val="000000"/>
                <w:kern w:val="0"/>
                <w:sz w:val="24"/>
                <w:szCs w:val="24"/>
              </w:rPr>
              <w:t>Hp(0.07)时 x,γ 10keV</w:t>
            </w:r>
            <w:r>
              <w:rPr>
                <w:rFonts w:hint="eastAsia"/>
                <w:color w:val="000000"/>
                <w:kern w:val="0"/>
                <w:sz w:val="24"/>
                <w:szCs w:val="24"/>
                <w:lang w:eastAsia="zh-CN"/>
              </w:rPr>
              <w:t>~</w:t>
            </w:r>
            <w:r>
              <w:rPr>
                <w:rFonts w:hint="eastAsia"/>
                <w:color w:val="000000"/>
                <w:kern w:val="0"/>
                <w:sz w:val="24"/>
                <w:szCs w:val="24"/>
              </w:rPr>
              <w:t>1.5MeV</w:t>
            </w:r>
            <w:r>
              <w:rPr>
                <w:rFonts w:hint="eastAsia"/>
                <w:color w:val="000000"/>
                <w:kern w:val="0"/>
                <w:sz w:val="24"/>
                <w:szCs w:val="24"/>
                <w:lang w:eastAsia="zh-CN"/>
              </w:rPr>
              <w:t>；</w:t>
            </w:r>
          </w:p>
          <w:p>
            <w:pPr>
              <w:pStyle w:val="41"/>
              <w:spacing w:before="210" w:line="219" w:lineRule="auto"/>
              <w:rPr>
                <w:rFonts w:hint="eastAsia"/>
                <w:color w:val="000000"/>
                <w:kern w:val="0"/>
                <w:sz w:val="24"/>
                <w:szCs w:val="24"/>
                <w:lang w:eastAsia="zh-CN"/>
              </w:rPr>
            </w:pPr>
            <w:r>
              <w:rPr>
                <w:rFonts w:hint="eastAsia"/>
                <w:color w:val="000000"/>
                <w:kern w:val="0"/>
                <w:sz w:val="24"/>
                <w:szCs w:val="24"/>
              </w:rPr>
              <w:t>▲</w:t>
            </w:r>
            <w:r>
              <w:rPr>
                <w:rFonts w:hint="eastAsia"/>
                <w:color w:val="000000"/>
                <w:kern w:val="0"/>
                <w:sz w:val="24"/>
                <w:szCs w:val="24"/>
                <w:lang w:eastAsia="zh-CN"/>
              </w:rPr>
              <w:t>4、</w:t>
            </w:r>
            <w:r>
              <w:rPr>
                <w:rFonts w:hint="eastAsia"/>
                <w:color w:val="000000"/>
                <w:kern w:val="0"/>
                <w:sz w:val="24"/>
                <w:szCs w:val="24"/>
              </w:rPr>
              <w:t>探测下限(DML)</w:t>
            </w:r>
            <w:r>
              <w:rPr>
                <w:rFonts w:hint="eastAsia"/>
                <w:color w:val="000000"/>
                <w:kern w:val="0"/>
                <w:sz w:val="24"/>
                <w:szCs w:val="24"/>
                <w:lang w:eastAsia="zh-CN"/>
              </w:rPr>
              <w:t>：</w:t>
            </w:r>
            <w:r>
              <w:rPr>
                <w:rFonts w:hint="eastAsia"/>
                <w:color w:val="000000"/>
                <w:kern w:val="0"/>
                <w:sz w:val="24"/>
                <w:szCs w:val="24"/>
              </w:rPr>
              <w:t>0.1μG</w:t>
            </w:r>
            <w:r>
              <w:rPr>
                <w:rFonts w:hint="eastAsia"/>
                <w:color w:val="000000"/>
                <w:kern w:val="0"/>
                <w:sz w:val="24"/>
                <w:szCs w:val="24"/>
                <w:lang w:eastAsia="zh-CN"/>
              </w:rPr>
              <w:t>y；</w:t>
            </w:r>
          </w:p>
          <w:p>
            <w:pPr>
              <w:pStyle w:val="41"/>
              <w:spacing w:before="210" w:line="219" w:lineRule="auto"/>
              <w:rPr>
                <w:rFonts w:hint="eastAsia"/>
                <w:color w:val="000000"/>
                <w:kern w:val="0"/>
                <w:sz w:val="24"/>
                <w:szCs w:val="24"/>
                <w:lang w:eastAsia="zh-CN"/>
              </w:rPr>
            </w:pPr>
            <w:r>
              <w:rPr>
                <w:rFonts w:hint="eastAsia"/>
                <w:color w:val="000000"/>
                <w:kern w:val="0"/>
                <w:sz w:val="24"/>
                <w:szCs w:val="24"/>
                <w:lang w:eastAsia="zh-CN"/>
              </w:rPr>
              <w:t>▲5、误差：&lt;30%；</w:t>
            </w:r>
          </w:p>
          <w:p>
            <w:pPr>
              <w:pStyle w:val="41"/>
              <w:spacing w:before="210" w:line="219" w:lineRule="auto"/>
              <w:rPr>
                <w:rFonts w:hint="eastAsia"/>
                <w:sz w:val="24"/>
                <w:szCs w:val="24"/>
                <w:lang w:eastAsia="zh-CN"/>
              </w:rPr>
            </w:pPr>
            <w:r>
              <w:rPr>
                <w:rFonts w:hint="eastAsia"/>
                <w:color w:val="000000"/>
                <w:kern w:val="0"/>
                <w:sz w:val="24"/>
                <w:szCs w:val="24"/>
                <w:lang w:eastAsia="zh-CN"/>
              </w:rPr>
              <w:t>6、3个月内累积计量损失：&lt;10% 重复性：≤2%；</w:t>
            </w:r>
          </w:p>
          <w:p>
            <w:pPr>
              <w:pStyle w:val="41"/>
              <w:spacing w:before="210" w:line="219" w:lineRule="auto"/>
              <w:rPr>
                <w:rFonts w:hint="eastAsia"/>
                <w:spacing w:val="-2"/>
                <w:sz w:val="24"/>
                <w:szCs w:val="24"/>
                <w:lang w:eastAsia="zh-CN"/>
              </w:rPr>
            </w:pPr>
            <w:r>
              <w:rPr>
                <w:rFonts w:hint="eastAsia"/>
                <w:spacing w:val="-2"/>
                <w:sz w:val="24"/>
                <w:szCs w:val="24"/>
                <w:lang w:eastAsia="zh-CN"/>
              </w:rPr>
              <w:t>7、剂量片形状：圆形；</w:t>
            </w:r>
          </w:p>
          <w:p>
            <w:pPr>
              <w:pStyle w:val="41"/>
              <w:spacing w:before="210" w:line="219" w:lineRule="auto"/>
              <w:rPr>
                <w:rFonts w:hint="eastAsia"/>
                <w:spacing w:val="-2"/>
                <w:sz w:val="24"/>
                <w:szCs w:val="24"/>
                <w:lang w:eastAsia="zh-CN"/>
              </w:rPr>
            </w:pPr>
            <w:r>
              <w:rPr>
                <w:rFonts w:hint="eastAsia"/>
                <w:sz w:val="24"/>
                <w:szCs w:val="24"/>
                <w:lang w:eastAsia="zh-CN"/>
              </w:rPr>
              <w:t>★8、</w:t>
            </w:r>
            <w:r>
              <w:rPr>
                <w:rFonts w:hint="eastAsia"/>
                <w:spacing w:val="24"/>
                <w:sz w:val="24"/>
                <w:szCs w:val="24"/>
                <w:lang w:eastAsia="zh-CN"/>
              </w:rPr>
              <w:t>规格：直径4.5</w:t>
            </w:r>
            <w:r>
              <w:rPr>
                <w:rFonts w:hint="eastAsia"/>
                <w:sz w:val="24"/>
                <w:szCs w:val="24"/>
                <w:lang w:eastAsia="zh-CN"/>
              </w:rPr>
              <w:t>mm</w:t>
            </w:r>
            <w:r>
              <w:rPr>
                <w:rFonts w:hint="eastAsia"/>
                <w:spacing w:val="85"/>
                <w:sz w:val="24"/>
                <w:szCs w:val="24"/>
                <w:lang w:eastAsia="zh-CN"/>
              </w:rPr>
              <w:t xml:space="preserve"> </w:t>
            </w:r>
            <w:r>
              <w:rPr>
                <w:rFonts w:hint="eastAsia"/>
                <w:spacing w:val="24"/>
                <w:sz w:val="24"/>
                <w:szCs w:val="24"/>
                <w:lang w:eastAsia="zh-CN"/>
              </w:rPr>
              <w:t>,厚0.8</w:t>
            </w:r>
            <w:r>
              <w:rPr>
                <w:rFonts w:hint="eastAsia"/>
                <w:sz w:val="24"/>
                <w:szCs w:val="24"/>
                <w:lang w:eastAsia="zh-CN"/>
              </w:rPr>
              <w:t>mm；</w:t>
            </w:r>
          </w:p>
          <w:p>
            <w:pPr>
              <w:pStyle w:val="41"/>
              <w:spacing w:before="210" w:line="219" w:lineRule="auto"/>
              <w:rPr>
                <w:rFonts w:hint="eastAsia"/>
                <w:spacing w:val="-2"/>
                <w:sz w:val="24"/>
                <w:szCs w:val="24"/>
                <w:lang w:eastAsia="zh-CN"/>
              </w:rPr>
            </w:pPr>
            <w:r>
              <w:rPr>
                <w:rFonts w:hint="eastAsia"/>
                <w:spacing w:val="-2"/>
                <w:sz w:val="24"/>
                <w:szCs w:val="24"/>
                <w:lang w:eastAsia="zh-CN"/>
              </w:rPr>
              <w:t>9、有效原子序数Z：</w:t>
            </w:r>
            <w:r>
              <w:rPr>
                <w:rFonts w:hint="eastAsia"/>
                <w:spacing w:val="-3"/>
                <w:sz w:val="24"/>
                <w:szCs w:val="24"/>
                <w:lang w:eastAsia="zh-CN"/>
              </w:rPr>
              <w:t>8.2；</w:t>
            </w:r>
          </w:p>
          <w:p>
            <w:pPr>
              <w:pStyle w:val="41"/>
              <w:spacing w:before="210" w:line="219" w:lineRule="auto"/>
              <w:rPr>
                <w:rFonts w:hint="eastAsia"/>
                <w:spacing w:val="-2"/>
                <w:sz w:val="24"/>
                <w:szCs w:val="24"/>
                <w:lang w:eastAsia="zh-CN"/>
              </w:rPr>
            </w:pPr>
            <w:r>
              <w:rPr>
                <w:rFonts w:hint="eastAsia"/>
                <w:spacing w:val="21"/>
                <w:sz w:val="24"/>
                <w:szCs w:val="24"/>
                <w:lang w:eastAsia="zh-CN"/>
              </w:rPr>
              <w:t>10、密度(g/</w:t>
            </w:r>
            <w:r>
              <w:rPr>
                <w:rFonts w:hint="eastAsia"/>
                <w:sz w:val="24"/>
                <w:szCs w:val="24"/>
                <w:lang w:eastAsia="zh-CN"/>
              </w:rPr>
              <w:t>cm</w:t>
            </w:r>
            <w:r>
              <w:rPr>
                <w:rFonts w:hint="eastAsia"/>
                <w:spacing w:val="21"/>
                <w:sz w:val="24"/>
                <w:szCs w:val="24"/>
                <w:lang w:eastAsia="zh-CN"/>
              </w:rPr>
              <w:t>³)：2.5；</w:t>
            </w:r>
          </w:p>
          <w:p>
            <w:pPr>
              <w:pStyle w:val="41"/>
              <w:spacing w:before="210" w:line="219" w:lineRule="auto"/>
              <w:rPr>
                <w:rFonts w:hint="eastAsia"/>
                <w:spacing w:val="-2"/>
                <w:sz w:val="24"/>
                <w:szCs w:val="24"/>
                <w:lang w:eastAsia="zh-CN"/>
              </w:rPr>
            </w:pPr>
            <w:r>
              <w:rPr>
                <w:rFonts w:hint="eastAsia"/>
                <w:spacing w:val="2"/>
                <w:sz w:val="24"/>
                <w:szCs w:val="24"/>
                <w:lang w:eastAsia="zh-CN"/>
              </w:rPr>
              <w:t>11、发光波长：385nm；</w:t>
            </w:r>
          </w:p>
          <w:p>
            <w:pPr>
              <w:pStyle w:val="41"/>
              <w:spacing w:before="210" w:line="219" w:lineRule="auto"/>
              <w:rPr>
                <w:rFonts w:hint="eastAsia"/>
                <w:spacing w:val="-2"/>
                <w:sz w:val="24"/>
                <w:szCs w:val="24"/>
                <w:lang w:eastAsia="zh-CN"/>
              </w:rPr>
            </w:pPr>
            <w:r>
              <w:rPr>
                <w:rFonts w:hint="eastAsia"/>
                <w:spacing w:val="-1"/>
                <w:sz w:val="24"/>
                <w:szCs w:val="24"/>
                <w:lang w:eastAsia="zh-CN"/>
              </w:rPr>
              <w:t>12、相对于TL-100灵敏度:65；</w:t>
            </w:r>
          </w:p>
          <w:p>
            <w:pPr>
              <w:pStyle w:val="41"/>
              <w:spacing w:before="210" w:line="219" w:lineRule="auto"/>
              <w:rPr>
                <w:rFonts w:hint="eastAsia"/>
                <w:spacing w:val="-2"/>
                <w:sz w:val="24"/>
                <w:szCs w:val="24"/>
                <w:lang w:eastAsia="zh-CN"/>
              </w:rPr>
            </w:pPr>
            <w:r>
              <w:rPr>
                <w:rFonts w:hint="eastAsia"/>
                <w:spacing w:val="4"/>
                <w:sz w:val="24"/>
                <w:szCs w:val="24"/>
                <w:lang w:eastAsia="zh-CN"/>
              </w:rPr>
              <w:t>13、峰值加热温度℃:210；</w:t>
            </w:r>
          </w:p>
          <w:p>
            <w:pPr>
              <w:pStyle w:val="41"/>
              <w:spacing w:before="210" w:line="219" w:lineRule="auto"/>
              <w:rPr>
                <w:rFonts w:hint="eastAsia"/>
                <w:spacing w:val="-2"/>
                <w:sz w:val="24"/>
                <w:szCs w:val="24"/>
                <w:lang w:eastAsia="zh-CN"/>
              </w:rPr>
            </w:pPr>
            <w:r>
              <w:rPr>
                <w:rFonts w:hint="eastAsia"/>
                <w:spacing w:val="5"/>
                <w:sz w:val="24"/>
                <w:szCs w:val="24"/>
                <w:lang w:eastAsia="zh-CN"/>
              </w:rPr>
              <w:t>14、零剂量读数(</w:t>
            </w:r>
            <w:r>
              <w:rPr>
                <w:rFonts w:hint="eastAsia"/>
                <w:spacing w:val="5"/>
                <w:sz w:val="24"/>
                <w:szCs w:val="24"/>
              </w:rPr>
              <w:t>μ</w:t>
            </w:r>
            <w:r>
              <w:rPr>
                <w:rFonts w:hint="eastAsia"/>
                <w:sz w:val="24"/>
                <w:szCs w:val="24"/>
                <w:lang w:eastAsia="zh-CN"/>
              </w:rPr>
              <w:t>Gy</w:t>
            </w:r>
            <w:r>
              <w:rPr>
                <w:rFonts w:hint="eastAsia"/>
                <w:spacing w:val="5"/>
                <w:sz w:val="24"/>
                <w:szCs w:val="24"/>
                <w:lang w:eastAsia="zh-CN"/>
              </w:rPr>
              <w:t>):1；</w:t>
            </w:r>
          </w:p>
          <w:p>
            <w:pPr>
              <w:pStyle w:val="41"/>
              <w:spacing w:before="210" w:line="219" w:lineRule="auto"/>
              <w:rPr>
                <w:rFonts w:hint="eastAsia"/>
                <w:spacing w:val="-2"/>
                <w:sz w:val="24"/>
                <w:szCs w:val="24"/>
                <w:lang w:eastAsia="zh-CN"/>
              </w:rPr>
            </w:pPr>
            <w:r>
              <w:rPr>
                <w:rFonts w:hint="eastAsia"/>
                <w:spacing w:val="-2"/>
                <w:sz w:val="24"/>
                <w:szCs w:val="24"/>
                <w:lang w:eastAsia="zh-CN"/>
              </w:rPr>
              <w:t>15、探测阈值</w:t>
            </w:r>
            <w:r>
              <w:rPr>
                <w:rFonts w:hint="eastAsia"/>
                <w:spacing w:val="5"/>
                <w:sz w:val="24"/>
                <w:szCs w:val="24"/>
                <w:lang w:eastAsia="zh-CN"/>
              </w:rPr>
              <w:t>(</w:t>
            </w:r>
            <w:r>
              <w:rPr>
                <w:rFonts w:hint="eastAsia"/>
                <w:spacing w:val="5"/>
                <w:sz w:val="24"/>
                <w:szCs w:val="24"/>
              </w:rPr>
              <w:t>μ</w:t>
            </w:r>
            <w:r>
              <w:rPr>
                <w:rFonts w:hint="eastAsia"/>
                <w:sz w:val="24"/>
                <w:szCs w:val="24"/>
                <w:lang w:eastAsia="zh-CN"/>
              </w:rPr>
              <w:t>Gy</w:t>
            </w:r>
            <w:r>
              <w:rPr>
                <w:rFonts w:hint="eastAsia"/>
                <w:spacing w:val="5"/>
                <w:sz w:val="24"/>
                <w:szCs w:val="24"/>
                <w:lang w:eastAsia="zh-CN"/>
              </w:rPr>
              <w:t>)</w:t>
            </w:r>
            <w:r>
              <w:rPr>
                <w:rFonts w:hint="eastAsia"/>
                <w:spacing w:val="-2"/>
                <w:sz w:val="24"/>
                <w:szCs w:val="24"/>
                <w:lang w:eastAsia="zh-CN"/>
              </w:rPr>
              <w:t>：1；</w:t>
            </w:r>
          </w:p>
          <w:p>
            <w:pPr>
              <w:pStyle w:val="41"/>
              <w:spacing w:before="210" w:line="219" w:lineRule="auto"/>
              <w:rPr>
                <w:rFonts w:hint="eastAsia"/>
                <w:spacing w:val="-2"/>
                <w:sz w:val="24"/>
                <w:szCs w:val="24"/>
                <w:lang w:eastAsia="zh-CN"/>
              </w:rPr>
            </w:pPr>
            <w:r>
              <w:rPr>
                <w:rFonts w:hint="eastAsia"/>
                <w:color w:val="000000"/>
                <w:kern w:val="0"/>
                <w:sz w:val="24"/>
                <w:szCs w:val="24"/>
                <w:lang w:eastAsia="zh-CN"/>
              </w:rPr>
              <w:t>▲</w:t>
            </w:r>
            <w:r>
              <w:rPr>
                <w:rFonts w:hint="eastAsia"/>
                <w:spacing w:val="-2"/>
                <w:sz w:val="24"/>
                <w:szCs w:val="24"/>
                <w:lang w:eastAsia="zh-CN"/>
              </w:rPr>
              <w:t>16、线性范围：0.1</w:t>
            </w:r>
            <w:r>
              <w:rPr>
                <w:rFonts w:hint="eastAsia"/>
                <w:spacing w:val="5"/>
                <w:sz w:val="24"/>
                <w:szCs w:val="24"/>
              </w:rPr>
              <w:t>μ</w:t>
            </w:r>
            <w:r>
              <w:rPr>
                <w:rFonts w:hint="eastAsia"/>
                <w:sz w:val="24"/>
                <w:szCs w:val="24"/>
                <w:lang w:eastAsia="zh-CN"/>
              </w:rPr>
              <w:t>Gy-12Gy；</w:t>
            </w:r>
          </w:p>
          <w:p>
            <w:pPr>
              <w:pStyle w:val="41"/>
              <w:spacing w:before="210" w:line="219" w:lineRule="auto"/>
              <w:rPr>
                <w:rFonts w:hint="eastAsia"/>
                <w:spacing w:val="-2"/>
                <w:sz w:val="24"/>
                <w:szCs w:val="24"/>
                <w:lang w:eastAsia="zh-CN"/>
              </w:rPr>
            </w:pPr>
            <w:r>
              <w:rPr>
                <w:rFonts w:hint="eastAsia"/>
                <w:spacing w:val="4"/>
                <w:sz w:val="24"/>
                <w:szCs w:val="24"/>
                <w:lang w:eastAsia="zh-CN"/>
              </w:rPr>
              <w:t>17、剂量计角响应：</w:t>
            </w:r>
            <w:r>
              <w:rPr>
                <w:rFonts w:hint="eastAsia"/>
                <w:spacing w:val="-22"/>
                <w:sz w:val="24"/>
                <w:szCs w:val="24"/>
                <w:lang w:eastAsia="zh-CN"/>
              </w:rPr>
              <w:t>射线入射角偏离正常方向0°</w:t>
            </w:r>
            <w:r>
              <w:rPr>
                <w:rFonts w:hint="eastAsia"/>
                <w:spacing w:val="-21"/>
                <w:sz w:val="24"/>
                <w:szCs w:val="24"/>
                <w:lang w:eastAsia="zh-CN"/>
              </w:rPr>
              <w:t>、20°、40°、60°时，剂量计的剂</w:t>
            </w:r>
            <w:r>
              <w:rPr>
                <w:rFonts w:hint="eastAsia"/>
                <w:spacing w:val="-8"/>
                <w:sz w:val="24"/>
                <w:szCs w:val="24"/>
                <w:lang w:eastAsia="zh-CN"/>
              </w:rPr>
              <w:t>量</w:t>
            </w:r>
            <w:r>
              <w:rPr>
                <w:rFonts w:hint="eastAsia"/>
                <w:spacing w:val="-2"/>
                <w:sz w:val="24"/>
                <w:szCs w:val="24"/>
                <w:lang w:eastAsia="zh-CN"/>
              </w:rPr>
              <w:t>响应最大变化≤11%；</w:t>
            </w:r>
          </w:p>
          <w:p>
            <w:pPr>
              <w:pStyle w:val="41"/>
              <w:spacing w:before="210" w:line="219" w:lineRule="auto"/>
              <w:rPr>
                <w:rFonts w:hint="eastAsia"/>
                <w:spacing w:val="-2"/>
                <w:sz w:val="24"/>
                <w:szCs w:val="24"/>
                <w:lang w:eastAsia="zh-CN"/>
              </w:rPr>
            </w:pPr>
            <w:r>
              <w:rPr>
                <w:rFonts w:hint="eastAsia"/>
                <w:spacing w:val="-3"/>
                <w:sz w:val="24"/>
                <w:szCs w:val="24"/>
                <w:lang w:eastAsia="zh-CN"/>
              </w:rPr>
              <w:t>18、重复性：＜2%；</w:t>
            </w:r>
          </w:p>
          <w:p>
            <w:pPr>
              <w:pStyle w:val="41"/>
              <w:spacing w:before="210" w:line="219" w:lineRule="auto"/>
              <w:rPr>
                <w:rFonts w:hint="eastAsia"/>
                <w:spacing w:val="-2"/>
                <w:sz w:val="24"/>
                <w:szCs w:val="24"/>
                <w:lang w:eastAsia="zh-CN"/>
              </w:rPr>
            </w:pPr>
            <w:r>
              <w:rPr>
                <w:rFonts w:hint="eastAsia"/>
                <w:spacing w:val="3"/>
                <w:sz w:val="24"/>
                <w:szCs w:val="24"/>
                <w:lang w:eastAsia="zh-CN"/>
              </w:rPr>
              <w:t>19、能量响应(30</w:t>
            </w:r>
            <w:r>
              <w:rPr>
                <w:rFonts w:hint="eastAsia"/>
                <w:sz w:val="24"/>
                <w:szCs w:val="24"/>
                <w:lang w:eastAsia="zh-CN"/>
              </w:rPr>
              <w:t>keV</w:t>
            </w:r>
            <w:r>
              <w:rPr>
                <w:rFonts w:hint="eastAsia"/>
                <w:spacing w:val="3"/>
                <w:sz w:val="24"/>
                <w:szCs w:val="24"/>
                <w:lang w:eastAsia="zh-CN"/>
              </w:rPr>
              <w:t>---1.3</w:t>
            </w:r>
            <w:r>
              <w:rPr>
                <w:rFonts w:hint="eastAsia"/>
                <w:sz w:val="24"/>
                <w:szCs w:val="24"/>
                <w:lang w:eastAsia="zh-CN"/>
              </w:rPr>
              <w:t>MeV</w:t>
            </w:r>
            <w:r>
              <w:rPr>
                <w:rFonts w:hint="eastAsia"/>
                <w:spacing w:val="3"/>
                <w:sz w:val="24"/>
                <w:szCs w:val="24"/>
                <w:lang w:eastAsia="zh-CN"/>
              </w:rPr>
              <w:t>)：＜</w:t>
            </w:r>
            <w:r>
              <w:rPr>
                <w:rFonts w:hint="eastAsia"/>
                <w:spacing w:val="-3"/>
                <w:sz w:val="24"/>
                <w:szCs w:val="24"/>
                <w:lang w:eastAsia="zh-CN"/>
              </w:rPr>
              <w:t>20%；</w:t>
            </w:r>
          </w:p>
          <w:p>
            <w:pPr>
              <w:pStyle w:val="41"/>
              <w:spacing w:before="210" w:line="219" w:lineRule="auto"/>
              <w:rPr>
                <w:rFonts w:hint="eastAsia"/>
                <w:spacing w:val="-2"/>
                <w:sz w:val="24"/>
                <w:szCs w:val="24"/>
                <w:lang w:eastAsia="zh-CN"/>
              </w:rPr>
            </w:pPr>
            <w:r>
              <w:rPr>
                <w:rFonts w:hint="eastAsia"/>
                <w:sz w:val="24"/>
                <w:szCs w:val="24"/>
                <w:lang w:eastAsia="zh-CN"/>
              </w:rPr>
              <w:t>★20、</w:t>
            </w:r>
            <w:r>
              <w:rPr>
                <w:rFonts w:hint="eastAsia"/>
                <w:spacing w:val="5"/>
                <w:sz w:val="24"/>
                <w:szCs w:val="24"/>
                <w:lang w:eastAsia="zh-CN"/>
              </w:rPr>
              <w:t>批次分散度：＜1%；</w:t>
            </w:r>
          </w:p>
          <w:p>
            <w:pPr>
              <w:pStyle w:val="41"/>
              <w:spacing w:before="210" w:line="219" w:lineRule="auto"/>
              <w:rPr>
                <w:rFonts w:hint="eastAsia"/>
                <w:spacing w:val="-2"/>
                <w:sz w:val="24"/>
                <w:szCs w:val="24"/>
                <w:lang w:eastAsia="zh-CN"/>
              </w:rPr>
            </w:pPr>
            <w:r>
              <w:rPr>
                <w:rFonts w:hint="eastAsia"/>
                <w:spacing w:val="7"/>
                <w:sz w:val="24"/>
                <w:szCs w:val="24"/>
                <w:lang w:eastAsia="zh-CN"/>
              </w:rPr>
              <w:t>21、衰退(室温)：＜5%/年；</w:t>
            </w:r>
          </w:p>
          <w:p>
            <w:pPr>
              <w:pStyle w:val="41"/>
              <w:spacing w:before="210" w:line="219" w:lineRule="auto"/>
              <w:rPr>
                <w:rFonts w:hint="eastAsia"/>
                <w:spacing w:val="-2"/>
                <w:sz w:val="24"/>
                <w:szCs w:val="24"/>
                <w:lang w:eastAsia="zh-CN"/>
              </w:rPr>
            </w:pPr>
            <w:r>
              <w:rPr>
                <w:rFonts w:hint="eastAsia"/>
                <w:spacing w:val="2"/>
                <w:sz w:val="24"/>
                <w:szCs w:val="24"/>
                <w:lang w:eastAsia="zh-CN"/>
              </w:rPr>
              <w:t>22、光照对衰退影响：</w:t>
            </w:r>
            <w:r>
              <w:rPr>
                <w:rFonts w:hint="eastAsia"/>
                <w:spacing w:val="1"/>
                <w:sz w:val="24"/>
                <w:szCs w:val="24"/>
                <w:lang w:eastAsia="zh-CN"/>
              </w:rPr>
              <w:t>灯照无影响；</w:t>
            </w:r>
          </w:p>
          <w:p>
            <w:pPr>
              <w:pStyle w:val="41"/>
              <w:spacing w:before="210" w:line="219" w:lineRule="auto"/>
              <w:rPr>
                <w:rFonts w:hint="eastAsia"/>
                <w:spacing w:val="-2"/>
                <w:sz w:val="24"/>
                <w:szCs w:val="24"/>
                <w:lang w:eastAsia="zh-CN"/>
              </w:rPr>
            </w:pPr>
            <w:r>
              <w:rPr>
                <w:rFonts w:hint="eastAsia"/>
                <w:spacing w:val="-2"/>
                <w:sz w:val="24"/>
                <w:szCs w:val="24"/>
                <w:lang w:eastAsia="zh-CN"/>
              </w:rPr>
              <w:t>23、重复使用次数：</w:t>
            </w:r>
            <w:r>
              <w:rPr>
                <w:rFonts w:hint="eastAsia"/>
                <w:sz w:val="24"/>
                <w:szCs w:val="24"/>
                <w:lang w:eastAsia="zh-CN"/>
              </w:rPr>
              <w:t>实际应用中大于20次；</w:t>
            </w:r>
          </w:p>
          <w:p>
            <w:pPr>
              <w:pStyle w:val="30"/>
              <w:tabs>
                <w:tab w:val="left" w:pos="907"/>
              </w:tabs>
              <w:spacing w:line="360" w:lineRule="auto"/>
              <w:ind w:firstLine="0" w:firstLineChars="0"/>
              <w:rPr>
                <w:rFonts w:hint="eastAsia" w:asciiTheme="minorEastAsia" w:hAnsiTheme="minorEastAsia"/>
                <w:szCs w:val="21"/>
              </w:rPr>
            </w:pPr>
            <w:r>
              <w:rPr>
                <w:rFonts w:hint="eastAsia"/>
                <w:spacing w:val="2"/>
                <w:sz w:val="24"/>
                <w:szCs w:val="24"/>
              </w:rPr>
              <w:t>24、剂量率变化无影响。</w:t>
            </w:r>
          </w:p>
        </w:tc>
        <w:tc>
          <w:tcPr>
            <w:tcW w:w="851" w:type="dxa"/>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2</w:t>
            </w:r>
          </w:p>
        </w:tc>
        <w:tc>
          <w:tcPr>
            <w:tcW w:w="1736" w:type="dxa"/>
            <w:vAlign w:val="center"/>
          </w:tcPr>
          <w:p>
            <w:pPr>
              <w:pStyle w:val="30"/>
              <w:tabs>
                <w:tab w:val="left" w:pos="907"/>
              </w:tabs>
              <w:spacing w:line="360" w:lineRule="auto"/>
              <w:ind w:firstLine="0" w:firstLineChars="0"/>
              <w:rPr>
                <w:rFonts w:hint="eastAsia" w:asciiTheme="minorEastAsia" w:hAnsiTheme="minorEastAsia"/>
                <w:szCs w:val="21"/>
              </w:rPr>
            </w:pPr>
            <w:r>
              <w:rPr>
                <w:rFonts w:hint="eastAsia" w:ascii="宋体" w:hAnsi="宋体"/>
                <w:sz w:val="22"/>
              </w:rPr>
              <w:t>分散度＜3% LiF(Mg,Cu,P)热释光探测器</w:t>
            </w:r>
          </w:p>
        </w:tc>
        <w:tc>
          <w:tcPr>
            <w:tcW w:w="4678" w:type="dxa"/>
            <w:vAlign w:val="center"/>
          </w:tcPr>
          <w:p>
            <w:pPr>
              <w:pStyle w:val="41"/>
              <w:spacing w:before="210" w:line="219" w:lineRule="auto"/>
              <w:rPr>
                <w:rFonts w:hint="eastAsia"/>
                <w:color w:val="000000"/>
                <w:kern w:val="0"/>
                <w:sz w:val="24"/>
                <w:szCs w:val="24"/>
                <w:lang w:eastAsia="zh-CN"/>
              </w:rPr>
            </w:pPr>
            <w:r>
              <w:rPr>
                <w:rFonts w:hint="eastAsia"/>
                <w:color w:val="000000"/>
                <w:kern w:val="0"/>
                <w:sz w:val="24"/>
                <w:szCs w:val="24"/>
                <w:lang w:eastAsia="zh-CN"/>
              </w:rPr>
              <w:t>★.1、测量范围：10μGy~10Gy；</w:t>
            </w:r>
          </w:p>
          <w:p>
            <w:pPr>
              <w:pStyle w:val="41"/>
              <w:spacing w:before="210" w:line="219" w:lineRule="auto"/>
              <w:rPr>
                <w:rFonts w:hint="eastAsia"/>
                <w:color w:val="000000"/>
                <w:kern w:val="0"/>
                <w:sz w:val="24"/>
                <w:szCs w:val="24"/>
              </w:rPr>
            </w:pPr>
            <w:r>
              <w:rPr>
                <w:rFonts w:hint="eastAsia"/>
                <w:color w:val="000000"/>
                <w:kern w:val="0"/>
                <w:sz w:val="24"/>
                <w:szCs w:val="24"/>
              </w:rPr>
              <w:t>2、</w:t>
            </w:r>
            <w:r>
              <w:rPr>
                <w:rFonts w:hint="eastAsia"/>
                <w:color w:val="000000"/>
                <w:kern w:val="0"/>
                <w:sz w:val="24"/>
                <w:szCs w:val="24"/>
                <w:lang w:eastAsia="zh-CN"/>
              </w:rPr>
              <w:t>非线性</w:t>
            </w:r>
            <w:r>
              <w:rPr>
                <w:rFonts w:hint="eastAsia"/>
                <w:color w:val="000000"/>
                <w:kern w:val="0"/>
                <w:sz w:val="24"/>
                <w:szCs w:val="24"/>
              </w:rPr>
              <w:t>：</w:t>
            </w:r>
            <w:r>
              <w:rPr>
                <w:rFonts w:hint="eastAsia"/>
                <w:color w:val="000000"/>
                <w:kern w:val="0"/>
                <w:sz w:val="24"/>
                <w:szCs w:val="24"/>
                <w:lang w:eastAsia="zh-CN"/>
              </w:rPr>
              <w:t>±2%</w:t>
            </w:r>
            <w:r>
              <w:rPr>
                <w:rFonts w:hint="eastAsia"/>
                <w:color w:val="000000"/>
                <w:kern w:val="0"/>
                <w:sz w:val="24"/>
                <w:szCs w:val="24"/>
              </w:rPr>
              <w:t>；</w:t>
            </w:r>
          </w:p>
          <w:p>
            <w:pPr>
              <w:pStyle w:val="41"/>
              <w:spacing w:before="210" w:line="219" w:lineRule="auto"/>
              <w:rPr>
                <w:rFonts w:hint="eastAsia"/>
                <w:color w:val="000000"/>
                <w:kern w:val="0"/>
                <w:sz w:val="24"/>
                <w:szCs w:val="24"/>
                <w:lang w:eastAsia="zh-CN"/>
              </w:rPr>
            </w:pPr>
            <w:r>
              <w:rPr>
                <w:rFonts w:hint="eastAsia"/>
                <w:color w:val="000000"/>
                <w:kern w:val="0"/>
                <w:sz w:val="24"/>
                <w:szCs w:val="24"/>
                <w:lang w:eastAsia="zh-CN"/>
              </w:rPr>
              <w:t>3、</w:t>
            </w:r>
            <w:r>
              <w:rPr>
                <w:rFonts w:hint="eastAsia"/>
                <w:color w:val="000000"/>
                <w:kern w:val="0"/>
                <w:sz w:val="24"/>
                <w:szCs w:val="24"/>
              </w:rPr>
              <w:t>Hp(10)时</w:t>
            </w:r>
            <w:r>
              <w:rPr>
                <w:rFonts w:hint="eastAsia"/>
                <w:color w:val="000000"/>
                <w:kern w:val="0"/>
                <w:sz w:val="24"/>
                <w:szCs w:val="24"/>
                <w:lang w:eastAsia="zh-CN"/>
              </w:rPr>
              <w:t>，</w:t>
            </w:r>
            <w:r>
              <w:rPr>
                <w:rFonts w:hint="eastAsia"/>
                <w:color w:val="000000"/>
                <w:kern w:val="0"/>
                <w:sz w:val="24"/>
                <w:szCs w:val="24"/>
              </w:rPr>
              <w:t>x,γ 20keV</w:t>
            </w:r>
            <w:r>
              <w:rPr>
                <w:rFonts w:hint="eastAsia"/>
                <w:color w:val="000000"/>
                <w:kern w:val="0"/>
                <w:sz w:val="24"/>
                <w:szCs w:val="24"/>
                <w:lang w:eastAsia="zh-CN"/>
              </w:rPr>
              <w:t>~</w:t>
            </w:r>
            <w:r>
              <w:rPr>
                <w:rFonts w:hint="eastAsia"/>
                <w:color w:val="000000"/>
                <w:kern w:val="0"/>
                <w:sz w:val="24"/>
                <w:szCs w:val="24"/>
              </w:rPr>
              <w:t>9MeV</w:t>
            </w:r>
            <w:r>
              <w:rPr>
                <w:rFonts w:hint="eastAsia"/>
                <w:color w:val="000000"/>
                <w:kern w:val="0"/>
                <w:sz w:val="24"/>
                <w:szCs w:val="24"/>
                <w:lang w:eastAsia="zh-CN"/>
              </w:rPr>
              <w:t>；</w:t>
            </w:r>
          </w:p>
          <w:p>
            <w:pPr>
              <w:pStyle w:val="41"/>
              <w:spacing w:before="210" w:line="219" w:lineRule="auto"/>
              <w:rPr>
                <w:rFonts w:hint="eastAsia"/>
                <w:color w:val="000000"/>
                <w:kern w:val="0"/>
                <w:sz w:val="24"/>
                <w:szCs w:val="24"/>
                <w:lang w:eastAsia="zh-CN"/>
              </w:rPr>
            </w:pPr>
            <w:r>
              <w:rPr>
                <w:rFonts w:hint="eastAsia"/>
                <w:color w:val="000000"/>
                <w:kern w:val="0"/>
                <w:sz w:val="24"/>
                <w:szCs w:val="24"/>
              </w:rPr>
              <w:t>Hp(0.07)时 x,γ 10keV</w:t>
            </w:r>
            <w:r>
              <w:rPr>
                <w:rFonts w:hint="eastAsia"/>
                <w:color w:val="000000"/>
                <w:kern w:val="0"/>
                <w:sz w:val="24"/>
                <w:szCs w:val="24"/>
                <w:lang w:eastAsia="zh-CN"/>
              </w:rPr>
              <w:t>~</w:t>
            </w:r>
            <w:r>
              <w:rPr>
                <w:rFonts w:hint="eastAsia"/>
                <w:color w:val="000000"/>
                <w:kern w:val="0"/>
                <w:sz w:val="24"/>
                <w:szCs w:val="24"/>
              </w:rPr>
              <w:t>1.5MeV</w:t>
            </w:r>
            <w:r>
              <w:rPr>
                <w:rFonts w:hint="eastAsia"/>
                <w:color w:val="000000"/>
                <w:kern w:val="0"/>
                <w:sz w:val="24"/>
                <w:szCs w:val="24"/>
                <w:lang w:eastAsia="zh-CN"/>
              </w:rPr>
              <w:t>；</w:t>
            </w:r>
          </w:p>
          <w:p>
            <w:pPr>
              <w:pStyle w:val="41"/>
              <w:spacing w:before="210" w:line="219" w:lineRule="auto"/>
              <w:rPr>
                <w:rFonts w:hint="eastAsia"/>
                <w:color w:val="000000"/>
                <w:kern w:val="0"/>
                <w:sz w:val="24"/>
                <w:szCs w:val="24"/>
                <w:lang w:eastAsia="zh-CN"/>
              </w:rPr>
            </w:pPr>
            <w:r>
              <w:rPr>
                <w:rFonts w:hint="eastAsia"/>
                <w:color w:val="000000"/>
                <w:kern w:val="0"/>
                <w:sz w:val="24"/>
                <w:szCs w:val="24"/>
              </w:rPr>
              <w:t>▲</w:t>
            </w:r>
            <w:r>
              <w:rPr>
                <w:rFonts w:hint="eastAsia"/>
                <w:color w:val="000000"/>
                <w:kern w:val="0"/>
                <w:sz w:val="24"/>
                <w:szCs w:val="24"/>
                <w:lang w:eastAsia="zh-CN"/>
              </w:rPr>
              <w:t>4、</w:t>
            </w:r>
            <w:r>
              <w:rPr>
                <w:rFonts w:hint="eastAsia"/>
                <w:color w:val="000000"/>
                <w:kern w:val="0"/>
                <w:sz w:val="24"/>
                <w:szCs w:val="24"/>
              </w:rPr>
              <w:t>探测下限(DML)</w:t>
            </w:r>
            <w:r>
              <w:rPr>
                <w:rFonts w:hint="eastAsia"/>
                <w:color w:val="000000"/>
                <w:kern w:val="0"/>
                <w:sz w:val="24"/>
                <w:szCs w:val="24"/>
                <w:lang w:eastAsia="zh-CN"/>
              </w:rPr>
              <w:t>：</w:t>
            </w:r>
            <w:r>
              <w:rPr>
                <w:rFonts w:hint="eastAsia"/>
                <w:color w:val="000000"/>
                <w:kern w:val="0"/>
                <w:sz w:val="24"/>
                <w:szCs w:val="24"/>
              </w:rPr>
              <w:t>0.1μG</w:t>
            </w:r>
            <w:r>
              <w:rPr>
                <w:rFonts w:hint="eastAsia"/>
                <w:color w:val="000000"/>
                <w:kern w:val="0"/>
                <w:sz w:val="24"/>
                <w:szCs w:val="24"/>
                <w:lang w:eastAsia="zh-CN"/>
              </w:rPr>
              <w:t>y；</w:t>
            </w:r>
          </w:p>
          <w:p>
            <w:pPr>
              <w:pStyle w:val="41"/>
              <w:spacing w:before="210" w:line="219" w:lineRule="auto"/>
              <w:rPr>
                <w:rFonts w:hint="eastAsia"/>
                <w:color w:val="000000"/>
                <w:kern w:val="0"/>
                <w:sz w:val="24"/>
                <w:szCs w:val="24"/>
                <w:lang w:eastAsia="zh-CN"/>
              </w:rPr>
            </w:pPr>
            <w:r>
              <w:rPr>
                <w:rFonts w:hint="eastAsia"/>
                <w:color w:val="000000"/>
                <w:kern w:val="0"/>
                <w:sz w:val="24"/>
                <w:szCs w:val="24"/>
                <w:lang w:eastAsia="zh-CN"/>
              </w:rPr>
              <w:t>▲5、误差：&lt;30%；</w:t>
            </w:r>
          </w:p>
          <w:p>
            <w:pPr>
              <w:pStyle w:val="41"/>
              <w:spacing w:before="210" w:line="219" w:lineRule="auto"/>
              <w:rPr>
                <w:rFonts w:hint="eastAsia"/>
                <w:sz w:val="24"/>
                <w:szCs w:val="24"/>
                <w:lang w:eastAsia="zh-CN"/>
              </w:rPr>
            </w:pPr>
            <w:r>
              <w:rPr>
                <w:rFonts w:hint="eastAsia"/>
                <w:color w:val="000000"/>
                <w:kern w:val="0"/>
                <w:sz w:val="24"/>
                <w:szCs w:val="24"/>
                <w:lang w:eastAsia="zh-CN"/>
              </w:rPr>
              <w:t>6、3个月内累积计量损失：&lt;10% 重复性：≤2%；</w:t>
            </w:r>
          </w:p>
          <w:p>
            <w:pPr>
              <w:pStyle w:val="41"/>
              <w:spacing w:before="210" w:line="219" w:lineRule="auto"/>
              <w:rPr>
                <w:rFonts w:hint="eastAsia"/>
                <w:spacing w:val="-2"/>
                <w:sz w:val="24"/>
                <w:szCs w:val="24"/>
                <w:lang w:eastAsia="zh-CN"/>
              </w:rPr>
            </w:pPr>
            <w:r>
              <w:rPr>
                <w:rFonts w:hint="eastAsia"/>
                <w:spacing w:val="-2"/>
                <w:sz w:val="24"/>
                <w:szCs w:val="24"/>
                <w:lang w:eastAsia="zh-CN"/>
              </w:rPr>
              <w:t>7、剂量片形状：圆形；</w:t>
            </w:r>
          </w:p>
          <w:p>
            <w:pPr>
              <w:pStyle w:val="41"/>
              <w:spacing w:before="210" w:line="219" w:lineRule="auto"/>
              <w:rPr>
                <w:rFonts w:hint="eastAsia"/>
                <w:spacing w:val="-2"/>
                <w:sz w:val="24"/>
                <w:szCs w:val="24"/>
                <w:lang w:eastAsia="zh-CN"/>
              </w:rPr>
            </w:pPr>
            <w:r>
              <w:rPr>
                <w:rFonts w:hint="eastAsia"/>
                <w:sz w:val="24"/>
                <w:szCs w:val="24"/>
                <w:lang w:eastAsia="zh-CN"/>
              </w:rPr>
              <w:t>★8、</w:t>
            </w:r>
            <w:r>
              <w:rPr>
                <w:rFonts w:hint="eastAsia"/>
                <w:spacing w:val="24"/>
                <w:sz w:val="24"/>
                <w:szCs w:val="24"/>
                <w:lang w:eastAsia="zh-CN"/>
              </w:rPr>
              <w:t>规格：直径4.5</w:t>
            </w:r>
            <w:r>
              <w:rPr>
                <w:rFonts w:hint="eastAsia"/>
                <w:sz w:val="24"/>
                <w:szCs w:val="24"/>
                <w:lang w:eastAsia="zh-CN"/>
              </w:rPr>
              <w:t>mm</w:t>
            </w:r>
            <w:r>
              <w:rPr>
                <w:rFonts w:hint="eastAsia"/>
                <w:spacing w:val="85"/>
                <w:sz w:val="24"/>
                <w:szCs w:val="24"/>
                <w:lang w:eastAsia="zh-CN"/>
              </w:rPr>
              <w:t xml:space="preserve"> </w:t>
            </w:r>
            <w:r>
              <w:rPr>
                <w:rFonts w:hint="eastAsia"/>
                <w:spacing w:val="24"/>
                <w:sz w:val="24"/>
                <w:szCs w:val="24"/>
                <w:lang w:eastAsia="zh-CN"/>
              </w:rPr>
              <w:t>,厚0.8</w:t>
            </w:r>
            <w:r>
              <w:rPr>
                <w:rFonts w:hint="eastAsia"/>
                <w:sz w:val="24"/>
                <w:szCs w:val="24"/>
                <w:lang w:eastAsia="zh-CN"/>
              </w:rPr>
              <w:t>mm；</w:t>
            </w:r>
          </w:p>
          <w:p>
            <w:pPr>
              <w:pStyle w:val="41"/>
              <w:spacing w:before="210" w:line="219" w:lineRule="auto"/>
              <w:rPr>
                <w:rFonts w:hint="eastAsia"/>
                <w:spacing w:val="-2"/>
                <w:sz w:val="24"/>
                <w:szCs w:val="24"/>
                <w:lang w:eastAsia="zh-CN"/>
              </w:rPr>
            </w:pPr>
            <w:r>
              <w:rPr>
                <w:rFonts w:hint="eastAsia"/>
                <w:spacing w:val="-2"/>
                <w:sz w:val="24"/>
                <w:szCs w:val="24"/>
                <w:lang w:eastAsia="zh-CN"/>
              </w:rPr>
              <w:t>9、有效原子序数Z：</w:t>
            </w:r>
            <w:r>
              <w:rPr>
                <w:rFonts w:hint="eastAsia"/>
                <w:spacing w:val="-3"/>
                <w:sz w:val="24"/>
                <w:szCs w:val="24"/>
                <w:lang w:eastAsia="zh-CN"/>
              </w:rPr>
              <w:t>8.2；</w:t>
            </w:r>
          </w:p>
          <w:p>
            <w:pPr>
              <w:pStyle w:val="41"/>
              <w:spacing w:before="210" w:line="219" w:lineRule="auto"/>
              <w:rPr>
                <w:rFonts w:hint="eastAsia"/>
                <w:spacing w:val="-2"/>
                <w:sz w:val="24"/>
                <w:szCs w:val="24"/>
                <w:lang w:eastAsia="zh-CN"/>
              </w:rPr>
            </w:pPr>
            <w:r>
              <w:rPr>
                <w:rFonts w:hint="eastAsia"/>
                <w:spacing w:val="21"/>
                <w:sz w:val="24"/>
                <w:szCs w:val="24"/>
                <w:lang w:eastAsia="zh-CN"/>
              </w:rPr>
              <w:t>10、密度(g/</w:t>
            </w:r>
            <w:r>
              <w:rPr>
                <w:rFonts w:hint="eastAsia"/>
                <w:sz w:val="24"/>
                <w:szCs w:val="24"/>
                <w:lang w:eastAsia="zh-CN"/>
              </w:rPr>
              <w:t>cm</w:t>
            </w:r>
            <w:r>
              <w:rPr>
                <w:rFonts w:hint="eastAsia"/>
                <w:spacing w:val="21"/>
                <w:sz w:val="24"/>
                <w:szCs w:val="24"/>
                <w:lang w:eastAsia="zh-CN"/>
              </w:rPr>
              <w:t>³)：2.5；</w:t>
            </w:r>
          </w:p>
          <w:p>
            <w:pPr>
              <w:pStyle w:val="41"/>
              <w:spacing w:before="210" w:line="219" w:lineRule="auto"/>
              <w:rPr>
                <w:rFonts w:hint="eastAsia"/>
                <w:spacing w:val="-2"/>
                <w:sz w:val="24"/>
                <w:szCs w:val="24"/>
                <w:lang w:eastAsia="zh-CN"/>
              </w:rPr>
            </w:pPr>
            <w:r>
              <w:rPr>
                <w:rFonts w:hint="eastAsia"/>
                <w:spacing w:val="2"/>
                <w:sz w:val="24"/>
                <w:szCs w:val="24"/>
                <w:lang w:eastAsia="zh-CN"/>
              </w:rPr>
              <w:t>11、发光波长：385nm；</w:t>
            </w:r>
          </w:p>
          <w:p>
            <w:pPr>
              <w:pStyle w:val="41"/>
              <w:spacing w:before="210" w:line="219" w:lineRule="auto"/>
              <w:rPr>
                <w:rFonts w:hint="eastAsia"/>
                <w:spacing w:val="-2"/>
                <w:sz w:val="24"/>
                <w:szCs w:val="24"/>
                <w:lang w:eastAsia="zh-CN"/>
              </w:rPr>
            </w:pPr>
            <w:r>
              <w:rPr>
                <w:rFonts w:hint="eastAsia"/>
                <w:spacing w:val="-1"/>
                <w:sz w:val="24"/>
                <w:szCs w:val="24"/>
                <w:lang w:eastAsia="zh-CN"/>
              </w:rPr>
              <w:t>12、相对于TL-100灵敏度:65；</w:t>
            </w:r>
          </w:p>
          <w:p>
            <w:pPr>
              <w:pStyle w:val="41"/>
              <w:spacing w:before="210" w:line="219" w:lineRule="auto"/>
              <w:rPr>
                <w:rFonts w:hint="eastAsia"/>
                <w:spacing w:val="-2"/>
                <w:sz w:val="24"/>
                <w:szCs w:val="24"/>
                <w:lang w:eastAsia="zh-CN"/>
              </w:rPr>
            </w:pPr>
            <w:r>
              <w:rPr>
                <w:rFonts w:hint="eastAsia"/>
                <w:spacing w:val="4"/>
                <w:sz w:val="24"/>
                <w:szCs w:val="24"/>
                <w:lang w:eastAsia="zh-CN"/>
              </w:rPr>
              <w:t>13、峰值加热温度℃:210；</w:t>
            </w:r>
          </w:p>
          <w:p>
            <w:pPr>
              <w:pStyle w:val="41"/>
              <w:spacing w:before="210" w:line="219" w:lineRule="auto"/>
              <w:rPr>
                <w:rFonts w:hint="eastAsia"/>
                <w:spacing w:val="-2"/>
                <w:sz w:val="24"/>
                <w:szCs w:val="24"/>
                <w:lang w:eastAsia="zh-CN"/>
              </w:rPr>
            </w:pPr>
            <w:r>
              <w:rPr>
                <w:rFonts w:hint="eastAsia"/>
                <w:spacing w:val="5"/>
                <w:sz w:val="24"/>
                <w:szCs w:val="24"/>
                <w:lang w:eastAsia="zh-CN"/>
              </w:rPr>
              <w:t>14、零剂量读数(</w:t>
            </w:r>
            <w:r>
              <w:rPr>
                <w:rFonts w:hint="eastAsia"/>
                <w:spacing w:val="5"/>
                <w:sz w:val="24"/>
                <w:szCs w:val="24"/>
              </w:rPr>
              <w:t>μ</w:t>
            </w:r>
            <w:r>
              <w:rPr>
                <w:rFonts w:hint="eastAsia"/>
                <w:sz w:val="24"/>
                <w:szCs w:val="24"/>
                <w:lang w:eastAsia="zh-CN"/>
              </w:rPr>
              <w:t>Gy</w:t>
            </w:r>
            <w:r>
              <w:rPr>
                <w:rFonts w:hint="eastAsia"/>
                <w:spacing w:val="5"/>
                <w:sz w:val="24"/>
                <w:szCs w:val="24"/>
                <w:lang w:eastAsia="zh-CN"/>
              </w:rPr>
              <w:t>):1；</w:t>
            </w:r>
          </w:p>
          <w:p>
            <w:pPr>
              <w:pStyle w:val="41"/>
              <w:spacing w:before="210" w:line="219" w:lineRule="auto"/>
              <w:rPr>
                <w:rFonts w:hint="eastAsia"/>
                <w:spacing w:val="-2"/>
                <w:sz w:val="24"/>
                <w:szCs w:val="24"/>
                <w:lang w:eastAsia="zh-CN"/>
              </w:rPr>
            </w:pPr>
            <w:r>
              <w:rPr>
                <w:rFonts w:hint="eastAsia"/>
                <w:spacing w:val="-2"/>
                <w:sz w:val="24"/>
                <w:szCs w:val="24"/>
                <w:lang w:eastAsia="zh-CN"/>
              </w:rPr>
              <w:t>15、探测阈值</w:t>
            </w:r>
            <w:r>
              <w:rPr>
                <w:rFonts w:hint="eastAsia"/>
                <w:spacing w:val="5"/>
                <w:sz w:val="24"/>
                <w:szCs w:val="24"/>
                <w:lang w:eastAsia="zh-CN"/>
              </w:rPr>
              <w:t>(</w:t>
            </w:r>
            <w:r>
              <w:rPr>
                <w:rFonts w:hint="eastAsia"/>
                <w:spacing w:val="5"/>
                <w:sz w:val="24"/>
                <w:szCs w:val="24"/>
              </w:rPr>
              <w:t>μ</w:t>
            </w:r>
            <w:r>
              <w:rPr>
                <w:rFonts w:hint="eastAsia"/>
                <w:sz w:val="24"/>
                <w:szCs w:val="24"/>
                <w:lang w:eastAsia="zh-CN"/>
              </w:rPr>
              <w:t>Gy</w:t>
            </w:r>
            <w:r>
              <w:rPr>
                <w:rFonts w:hint="eastAsia"/>
                <w:spacing w:val="5"/>
                <w:sz w:val="24"/>
                <w:szCs w:val="24"/>
                <w:lang w:eastAsia="zh-CN"/>
              </w:rPr>
              <w:t>)</w:t>
            </w:r>
            <w:r>
              <w:rPr>
                <w:rFonts w:hint="eastAsia"/>
                <w:spacing w:val="-2"/>
                <w:sz w:val="24"/>
                <w:szCs w:val="24"/>
                <w:lang w:eastAsia="zh-CN"/>
              </w:rPr>
              <w:t>：1；</w:t>
            </w:r>
          </w:p>
          <w:p>
            <w:pPr>
              <w:pStyle w:val="41"/>
              <w:spacing w:before="210" w:line="219" w:lineRule="auto"/>
              <w:rPr>
                <w:rFonts w:hint="eastAsia"/>
                <w:spacing w:val="-2"/>
                <w:sz w:val="24"/>
                <w:szCs w:val="24"/>
                <w:lang w:eastAsia="zh-CN"/>
              </w:rPr>
            </w:pPr>
            <w:r>
              <w:rPr>
                <w:rFonts w:hint="eastAsia"/>
                <w:color w:val="000000"/>
                <w:kern w:val="0"/>
                <w:sz w:val="24"/>
                <w:szCs w:val="24"/>
                <w:lang w:eastAsia="zh-CN"/>
              </w:rPr>
              <w:t>▲</w:t>
            </w:r>
            <w:r>
              <w:rPr>
                <w:rFonts w:hint="eastAsia"/>
                <w:spacing w:val="-2"/>
                <w:sz w:val="24"/>
                <w:szCs w:val="24"/>
                <w:lang w:eastAsia="zh-CN"/>
              </w:rPr>
              <w:t>16、线性范围：0.1</w:t>
            </w:r>
            <w:r>
              <w:rPr>
                <w:rFonts w:hint="eastAsia"/>
                <w:spacing w:val="5"/>
                <w:sz w:val="24"/>
                <w:szCs w:val="24"/>
              </w:rPr>
              <w:t>μ</w:t>
            </w:r>
            <w:r>
              <w:rPr>
                <w:rFonts w:hint="eastAsia"/>
                <w:sz w:val="24"/>
                <w:szCs w:val="24"/>
                <w:lang w:eastAsia="zh-CN"/>
              </w:rPr>
              <w:t>Gy-12Gy；</w:t>
            </w:r>
          </w:p>
          <w:p>
            <w:pPr>
              <w:pStyle w:val="41"/>
              <w:spacing w:before="210" w:line="219" w:lineRule="auto"/>
              <w:rPr>
                <w:rFonts w:hint="eastAsia"/>
                <w:spacing w:val="-2"/>
                <w:sz w:val="24"/>
                <w:szCs w:val="24"/>
                <w:lang w:eastAsia="zh-CN"/>
              </w:rPr>
            </w:pPr>
            <w:r>
              <w:rPr>
                <w:rFonts w:hint="eastAsia"/>
                <w:spacing w:val="4"/>
                <w:sz w:val="24"/>
                <w:szCs w:val="24"/>
                <w:lang w:eastAsia="zh-CN"/>
              </w:rPr>
              <w:t>17、剂量计角响应：</w:t>
            </w:r>
            <w:r>
              <w:rPr>
                <w:rFonts w:hint="eastAsia"/>
                <w:spacing w:val="-22"/>
                <w:sz w:val="24"/>
                <w:szCs w:val="24"/>
                <w:lang w:eastAsia="zh-CN"/>
              </w:rPr>
              <w:t>射线入射角偏离正常方向0°</w:t>
            </w:r>
            <w:r>
              <w:rPr>
                <w:rFonts w:hint="eastAsia"/>
                <w:spacing w:val="-21"/>
                <w:sz w:val="24"/>
                <w:szCs w:val="24"/>
                <w:lang w:eastAsia="zh-CN"/>
              </w:rPr>
              <w:t>、20°、40°、60°时，剂量计的剂</w:t>
            </w:r>
            <w:r>
              <w:rPr>
                <w:rFonts w:hint="eastAsia"/>
                <w:spacing w:val="-8"/>
                <w:sz w:val="24"/>
                <w:szCs w:val="24"/>
                <w:lang w:eastAsia="zh-CN"/>
              </w:rPr>
              <w:t>量</w:t>
            </w:r>
            <w:r>
              <w:rPr>
                <w:rFonts w:hint="eastAsia"/>
                <w:spacing w:val="-2"/>
                <w:sz w:val="24"/>
                <w:szCs w:val="24"/>
                <w:lang w:eastAsia="zh-CN"/>
              </w:rPr>
              <w:t>响应最大变化≤11%；</w:t>
            </w:r>
          </w:p>
          <w:p>
            <w:pPr>
              <w:pStyle w:val="41"/>
              <w:spacing w:before="210" w:line="219" w:lineRule="auto"/>
              <w:rPr>
                <w:rFonts w:hint="eastAsia"/>
                <w:spacing w:val="-2"/>
                <w:sz w:val="24"/>
                <w:szCs w:val="24"/>
                <w:lang w:eastAsia="zh-CN"/>
              </w:rPr>
            </w:pPr>
            <w:r>
              <w:rPr>
                <w:rFonts w:hint="eastAsia"/>
                <w:spacing w:val="-3"/>
                <w:sz w:val="24"/>
                <w:szCs w:val="24"/>
                <w:lang w:eastAsia="zh-CN"/>
              </w:rPr>
              <w:t>18、重复性：＜2%；</w:t>
            </w:r>
          </w:p>
          <w:p>
            <w:pPr>
              <w:pStyle w:val="41"/>
              <w:spacing w:before="210" w:line="219" w:lineRule="auto"/>
              <w:rPr>
                <w:rFonts w:hint="eastAsia"/>
                <w:spacing w:val="-2"/>
                <w:sz w:val="24"/>
                <w:szCs w:val="24"/>
                <w:lang w:eastAsia="zh-CN"/>
              </w:rPr>
            </w:pPr>
            <w:r>
              <w:rPr>
                <w:rFonts w:hint="eastAsia"/>
                <w:spacing w:val="3"/>
                <w:sz w:val="24"/>
                <w:szCs w:val="24"/>
                <w:lang w:eastAsia="zh-CN"/>
              </w:rPr>
              <w:t>19、能量响应(30</w:t>
            </w:r>
            <w:r>
              <w:rPr>
                <w:rFonts w:hint="eastAsia"/>
                <w:sz w:val="24"/>
                <w:szCs w:val="24"/>
                <w:lang w:eastAsia="zh-CN"/>
              </w:rPr>
              <w:t>keV</w:t>
            </w:r>
            <w:r>
              <w:rPr>
                <w:rFonts w:hint="eastAsia"/>
                <w:spacing w:val="3"/>
                <w:sz w:val="24"/>
                <w:szCs w:val="24"/>
                <w:lang w:eastAsia="zh-CN"/>
              </w:rPr>
              <w:t>---1.3</w:t>
            </w:r>
            <w:r>
              <w:rPr>
                <w:rFonts w:hint="eastAsia"/>
                <w:sz w:val="24"/>
                <w:szCs w:val="24"/>
                <w:lang w:eastAsia="zh-CN"/>
              </w:rPr>
              <w:t>MeV</w:t>
            </w:r>
            <w:r>
              <w:rPr>
                <w:rFonts w:hint="eastAsia"/>
                <w:spacing w:val="3"/>
                <w:sz w:val="24"/>
                <w:szCs w:val="24"/>
                <w:lang w:eastAsia="zh-CN"/>
              </w:rPr>
              <w:t>)：＜</w:t>
            </w:r>
            <w:r>
              <w:rPr>
                <w:rFonts w:hint="eastAsia"/>
                <w:spacing w:val="-3"/>
                <w:sz w:val="24"/>
                <w:szCs w:val="24"/>
                <w:lang w:eastAsia="zh-CN"/>
              </w:rPr>
              <w:t>20%；</w:t>
            </w:r>
          </w:p>
          <w:p>
            <w:pPr>
              <w:pStyle w:val="41"/>
              <w:spacing w:before="210" w:line="219" w:lineRule="auto"/>
              <w:rPr>
                <w:rFonts w:hint="eastAsia"/>
                <w:spacing w:val="-2"/>
                <w:sz w:val="24"/>
                <w:szCs w:val="24"/>
                <w:lang w:eastAsia="zh-CN"/>
              </w:rPr>
            </w:pPr>
            <w:r>
              <w:rPr>
                <w:rFonts w:hint="eastAsia"/>
                <w:sz w:val="24"/>
                <w:szCs w:val="24"/>
                <w:lang w:eastAsia="zh-CN"/>
              </w:rPr>
              <w:t>★20、</w:t>
            </w:r>
            <w:r>
              <w:rPr>
                <w:rFonts w:hint="eastAsia"/>
                <w:spacing w:val="5"/>
                <w:sz w:val="24"/>
                <w:szCs w:val="24"/>
                <w:lang w:eastAsia="zh-CN"/>
              </w:rPr>
              <w:t>批次分散度：＜3%；</w:t>
            </w:r>
          </w:p>
          <w:p>
            <w:pPr>
              <w:pStyle w:val="41"/>
              <w:spacing w:before="210" w:line="219" w:lineRule="auto"/>
              <w:rPr>
                <w:rFonts w:hint="eastAsia"/>
                <w:spacing w:val="-2"/>
                <w:sz w:val="24"/>
                <w:szCs w:val="24"/>
                <w:lang w:eastAsia="zh-CN"/>
              </w:rPr>
            </w:pPr>
            <w:r>
              <w:rPr>
                <w:rFonts w:hint="eastAsia"/>
                <w:spacing w:val="7"/>
                <w:sz w:val="24"/>
                <w:szCs w:val="24"/>
                <w:lang w:eastAsia="zh-CN"/>
              </w:rPr>
              <w:t>21、衰退(室温)：＜5%/年；</w:t>
            </w:r>
          </w:p>
          <w:p>
            <w:pPr>
              <w:pStyle w:val="41"/>
              <w:spacing w:before="210" w:line="219" w:lineRule="auto"/>
              <w:rPr>
                <w:rFonts w:hint="eastAsia"/>
                <w:spacing w:val="-2"/>
                <w:sz w:val="24"/>
                <w:szCs w:val="24"/>
                <w:lang w:eastAsia="zh-CN"/>
              </w:rPr>
            </w:pPr>
            <w:r>
              <w:rPr>
                <w:rFonts w:hint="eastAsia"/>
                <w:spacing w:val="2"/>
                <w:sz w:val="24"/>
                <w:szCs w:val="24"/>
                <w:lang w:eastAsia="zh-CN"/>
              </w:rPr>
              <w:t>22、光照对衰退影响：</w:t>
            </w:r>
            <w:r>
              <w:rPr>
                <w:rFonts w:hint="eastAsia"/>
                <w:spacing w:val="1"/>
                <w:sz w:val="24"/>
                <w:szCs w:val="24"/>
                <w:lang w:eastAsia="zh-CN"/>
              </w:rPr>
              <w:t>灯照无影响；</w:t>
            </w:r>
          </w:p>
          <w:p>
            <w:pPr>
              <w:pStyle w:val="41"/>
              <w:spacing w:before="210" w:line="219" w:lineRule="auto"/>
              <w:rPr>
                <w:rFonts w:hint="eastAsia"/>
                <w:spacing w:val="-2"/>
                <w:sz w:val="24"/>
                <w:szCs w:val="24"/>
                <w:lang w:eastAsia="zh-CN"/>
              </w:rPr>
            </w:pPr>
            <w:r>
              <w:rPr>
                <w:rFonts w:hint="eastAsia"/>
                <w:spacing w:val="-2"/>
                <w:sz w:val="24"/>
                <w:szCs w:val="24"/>
                <w:lang w:eastAsia="zh-CN"/>
              </w:rPr>
              <w:t>23、重复使用次数：</w:t>
            </w:r>
            <w:r>
              <w:rPr>
                <w:rFonts w:hint="eastAsia"/>
                <w:sz w:val="24"/>
                <w:szCs w:val="24"/>
                <w:lang w:eastAsia="zh-CN"/>
              </w:rPr>
              <w:t>实际应用中大于20次</w:t>
            </w:r>
          </w:p>
          <w:p>
            <w:pPr>
              <w:pStyle w:val="30"/>
              <w:tabs>
                <w:tab w:val="left" w:pos="907"/>
              </w:tabs>
              <w:spacing w:line="360" w:lineRule="auto"/>
              <w:ind w:firstLine="0" w:firstLineChars="0"/>
              <w:rPr>
                <w:rFonts w:hint="eastAsia" w:asciiTheme="minorEastAsia" w:hAnsiTheme="minorEastAsia"/>
                <w:szCs w:val="21"/>
              </w:rPr>
            </w:pPr>
            <w:r>
              <w:rPr>
                <w:rFonts w:hint="eastAsia" w:ascii="宋体" w:hAnsi="宋体" w:cs="宋体"/>
                <w:spacing w:val="2"/>
                <w:sz w:val="24"/>
              </w:rPr>
              <w:t>24、剂量率变化</w:t>
            </w:r>
            <w:r>
              <w:rPr>
                <w:rFonts w:hint="eastAsia" w:cs="宋体"/>
                <w:spacing w:val="2"/>
                <w:sz w:val="24"/>
              </w:rPr>
              <w:t>无</w:t>
            </w:r>
            <w:r>
              <w:rPr>
                <w:rFonts w:hint="eastAsia" w:ascii="宋体" w:hAnsi="宋体" w:cs="宋体"/>
                <w:spacing w:val="2"/>
                <w:sz w:val="24"/>
              </w:rPr>
              <w:t>影响。</w:t>
            </w:r>
          </w:p>
        </w:tc>
        <w:tc>
          <w:tcPr>
            <w:tcW w:w="851" w:type="dxa"/>
          </w:tcPr>
          <w:p>
            <w:pPr>
              <w:pStyle w:val="30"/>
              <w:tabs>
                <w:tab w:val="left" w:pos="907"/>
              </w:tabs>
              <w:spacing w:line="360" w:lineRule="auto"/>
              <w:ind w:firstLine="0" w:firstLineChars="0"/>
              <w:rPr>
                <w:rFonts w:hint="eastAsia" w:asciiTheme="minorEastAsia" w:hAnsiTheme="minorEastAsia"/>
                <w:szCs w:val="21"/>
              </w:rPr>
            </w:pPr>
            <w:r>
              <w:rPr>
                <w:rFonts w:hint="eastAsia" w:asciiTheme="minorEastAsia" w:hAnsiTheme="minorEastAsia"/>
                <w:szCs w:val="21"/>
              </w:rPr>
              <w:t>允许进口</w:t>
            </w:r>
          </w:p>
        </w:tc>
      </w:tr>
    </w:tbl>
    <w:p>
      <w:pPr>
        <w:pStyle w:val="3"/>
      </w:pPr>
      <w:r>
        <w:rPr>
          <w:rFonts w:hint="eastAsia"/>
        </w:rPr>
        <w:t>二、商务要求：</w:t>
      </w:r>
    </w:p>
    <w:p>
      <w:pPr>
        <w:numPr>
          <w:ilvl w:val="0"/>
          <w:numId w:val="1"/>
        </w:numPr>
        <w:spacing w:line="360" w:lineRule="auto"/>
        <w:ind w:firstLine="480" w:firstLineChars="200"/>
        <w:jc w:val="left"/>
        <w:rPr>
          <w:rFonts w:hint="eastAsia" w:ascii="宋体" w:hAnsi="宋体"/>
          <w:sz w:val="24"/>
        </w:rPr>
      </w:pPr>
      <w:r>
        <w:rPr>
          <w:rFonts w:hint="eastAsia" w:ascii="宋体" w:hAnsi="宋体"/>
          <w:sz w:val="24"/>
        </w:rPr>
        <w:t>项目预算金额：肆万柒仟元整（¥47,</w:t>
      </w:r>
      <w:r>
        <w:rPr>
          <w:rFonts w:ascii="宋体" w:hAnsi="宋体"/>
          <w:sz w:val="24"/>
        </w:rPr>
        <w:t>000</w:t>
      </w:r>
      <w:r>
        <w:rPr>
          <w:rFonts w:hint="eastAsia" w:ascii="宋体" w:hAnsi="宋体"/>
          <w:sz w:val="24"/>
        </w:rPr>
        <w:t>.00）元。</w:t>
      </w:r>
    </w:p>
    <w:p>
      <w:pPr>
        <w:numPr>
          <w:ilvl w:val="0"/>
          <w:numId w:val="1"/>
        </w:numPr>
        <w:spacing w:line="360" w:lineRule="auto"/>
        <w:ind w:firstLine="480"/>
        <w:jc w:val="left"/>
        <w:rPr>
          <w:rFonts w:hint="eastAsia" w:ascii="宋体" w:hAnsi="宋体"/>
          <w:sz w:val="24"/>
        </w:rPr>
      </w:pPr>
      <w:r>
        <w:rPr>
          <w:rFonts w:hint="eastAsia" w:ascii="宋体" w:hAnsi="宋体"/>
          <w:sz w:val="24"/>
        </w:rPr>
        <w:t>报价要求：</w:t>
      </w:r>
    </w:p>
    <w:p>
      <w:pPr>
        <w:spacing w:line="360" w:lineRule="auto"/>
        <w:ind w:firstLine="480" w:firstLineChars="200"/>
        <w:jc w:val="left"/>
        <w:rPr>
          <w:rFonts w:hint="eastAsia" w:ascii="宋体" w:hAnsi="宋体"/>
          <w:sz w:val="24"/>
        </w:rPr>
      </w:pPr>
      <w:r>
        <w:rPr>
          <w:rFonts w:hint="eastAsia" w:ascii="宋体" w:hAnsi="宋体"/>
          <w:sz w:val="24"/>
        </w:rPr>
        <w:t>（1）本项目预算控制金额及最高投标限价为人民币47</w:t>
      </w:r>
      <w:r>
        <w:rPr>
          <w:rFonts w:ascii="宋体" w:hAnsi="宋体"/>
          <w:sz w:val="24"/>
        </w:rPr>
        <w:t>000.00</w:t>
      </w:r>
      <w:r>
        <w:rPr>
          <w:rFonts w:hint="eastAsia" w:ascii="宋体" w:hAnsi="宋体"/>
          <w:sz w:val="24"/>
        </w:rPr>
        <w:t>元。超出此预算控制金额或最高投标限价的作无效投标处理；</w:t>
      </w:r>
    </w:p>
    <w:p>
      <w:pPr>
        <w:spacing w:line="360" w:lineRule="auto"/>
        <w:ind w:firstLine="480" w:firstLineChars="200"/>
        <w:jc w:val="left"/>
        <w:rPr>
          <w:rFonts w:hint="eastAsia" w:ascii="宋体" w:hAnsi="宋体"/>
          <w:sz w:val="24"/>
        </w:rPr>
      </w:pPr>
      <w:r>
        <w:rPr>
          <w:rFonts w:hint="eastAsia" w:ascii="宋体" w:hAnsi="宋体"/>
          <w:sz w:val="24"/>
        </w:rPr>
        <w:t>（2）本次采购报价币种为人民币，单位为元；</w:t>
      </w:r>
    </w:p>
    <w:p>
      <w:pPr>
        <w:spacing w:line="360" w:lineRule="auto"/>
        <w:ind w:firstLine="480" w:firstLineChars="200"/>
        <w:jc w:val="left"/>
        <w:rPr>
          <w:rFonts w:hint="eastAsia"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pPr>
        <w:spacing w:line="360" w:lineRule="auto"/>
        <w:ind w:firstLine="480" w:firstLineChars="200"/>
        <w:jc w:val="left"/>
        <w:rPr>
          <w:rFonts w:hint="eastAsia"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pPr>
        <w:numPr>
          <w:ilvl w:val="0"/>
          <w:numId w:val="1"/>
        </w:numPr>
        <w:spacing w:line="360" w:lineRule="auto"/>
        <w:ind w:firstLine="480" w:firstLineChars="200"/>
        <w:jc w:val="left"/>
        <w:rPr>
          <w:rFonts w:hint="eastAsia" w:ascii="宋体" w:hAnsi="宋体"/>
          <w:sz w:val="24"/>
        </w:rPr>
      </w:pPr>
      <w:r>
        <w:rPr>
          <w:rFonts w:hint="eastAsia" w:ascii="宋体" w:hAnsi="宋体"/>
          <w:sz w:val="24"/>
        </w:rPr>
        <w:t>交货时间：自合同签订之日起10个工作日内完成供货及安装，具体以采购单位实际需求为准。。</w:t>
      </w:r>
    </w:p>
    <w:p>
      <w:pPr>
        <w:numPr>
          <w:ilvl w:val="0"/>
          <w:numId w:val="1"/>
        </w:numPr>
        <w:spacing w:line="360" w:lineRule="auto"/>
        <w:ind w:firstLine="480"/>
        <w:jc w:val="left"/>
        <w:rPr>
          <w:rFonts w:hint="eastAsia" w:ascii="宋体" w:hAnsi="宋体"/>
          <w:sz w:val="24"/>
        </w:rPr>
      </w:pPr>
      <w:r>
        <w:rPr>
          <w:rFonts w:hint="eastAsia" w:ascii="宋体" w:hAnsi="宋体"/>
          <w:sz w:val="24"/>
        </w:rPr>
        <w:t>付款方式：</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）项目完成后支付100%合同款。</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）中标人需向采购人提供相应金额的有效增值税发票，采购人在收到发票后15个工作日内支付；</w:t>
      </w:r>
    </w:p>
    <w:p>
      <w:pPr>
        <w:numPr>
          <w:ilvl w:val="0"/>
          <w:numId w:val="1"/>
        </w:numPr>
        <w:spacing w:line="360" w:lineRule="auto"/>
        <w:jc w:val="left"/>
        <w:rPr>
          <w:rFonts w:hint="eastAsia" w:ascii="宋体" w:hAnsi="宋体"/>
          <w:sz w:val="24"/>
        </w:rPr>
      </w:pPr>
      <w:r>
        <w:rPr>
          <w:rFonts w:hint="eastAsia" w:ascii="宋体" w:hAnsi="宋体"/>
          <w:sz w:val="24"/>
        </w:rPr>
        <w:t>验收方式：</w:t>
      </w:r>
    </w:p>
    <w:p>
      <w:pPr>
        <w:spacing w:line="360" w:lineRule="auto"/>
        <w:jc w:val="left"/>
        <w:rPr>
          <w:rFonts w:hint="eastAsia" w:ascii="宋体" w:hAnsi="宋体"/>
          <w:sz w:val="24"/>
        </w:rPr>
      </w:pPr>
      <w:r>
        <w:rPr>
          <w:rFonts w:hint="eastAsia" w:ascii="宋体" w:hAnsi="宋体"/>
          <w:sz w:val="24"/>
        </w:rPr>
        <w:t>（1）提供的货物必须为全新、经检验合格的产品。</w:t>
      </w:r>
    </w:p>
    <w:p>
      <w:pPr>
        <w:spacing w:line="360" w:lineRule="auto"/>
        <w:jc w:val="left"/>
        <w:rPr>
          <w:rFonts w:hint="eastAsia" w:ascii="宋体" w:hAnsi="宋体"/>
          <w:sz w:val="24"/>
        </w:rPr>
      </w:pPr>
      <w:r>
        <w:rPr>
          <w:rFonts w:hint="eastAsia" w:ascii="宋体" w:hAnsi="宋体"/>
          <w:sz w:val="24"/>
        </w:rPr>
        <w:t>（2）投标人负责将货物安全无损运抵采购人指定地点,并承担设备的包装、运输、保险、装卸、安装调试、商检及计量检测、增值税等费用。</w:t>
      </w:r>
    </w:p>
    <w:p>
      <w:pPr>
        <w:spacing w:line="360" w:lineRule="auto"/>
        <w:jc w:val="left"/>
        <w:rPr>
          <w:rFonts w:hint="eastAsia" w:ascii="宋体" w:hAnsi="宋体"/>
          <w:sz w:val="24"/>
        </w:rPr>
      </w:pPr>
      <w:r>
        <w:rPr>
          <w:rFonts w:hint="eastAsia" w:ascii="宋体" w:hAnsi="宋体"/>
          <w:sz w:val="24"/>
        </w:rPr>
        <w:t>（3）采购人有权检验或测试货物，以确认货物是否符合合同规格的要求，并且不承担额外的费用。如果发现所交货物与投标文件中所承诺的不符或存在质量、技术缺陷等,采购人可以拒绝接收该货物,投标人应在30日内采取补足、更换或退货等措施,以满足规格的要求，由此发生的一切损失和费用由投标人承担。</w:t>
      </w:r>
    </w:p>
    <w:p>
      <w:pPr>
        <w:spacing w:line="360" w:lineRule="auto"/>
        <w:jc w:val="left"/>
        <w:rPr>
          <w:rFonts w:hint="eastAsia" w:ascii="宋体" w:hAnsi="宋体"/>
          <w:sz w:val="24"/>
        </w:rPr>
      </w:pPr>
      <w:r>
        <w:rPr>
          <w:rFonts w:hint="eastAsia" w:ascii="宋体" w:hAnsi="宋体"/>
          <w:sz w:val="24"/>
        </w:rPr>
        <w:t>（4）当满足以下条件时，采购人才向中标人签发验收报告。</w:t>
      </w:r>
    </w:p>
    <w:p>
      <w:pPr>
        <w:spacing w:line="360" w:lineRule="auto"/>
        <w:jc w:val="left"/>
        <w:rPr>
          <w:rFonts w:hint="eastAsia" w:ascii="宋体" w:hAnsi="宋体"/>
          <w:sz w:val="24"/>
        </w:rPr>
      </w:pPr>
      <w:r>
        <w:rPr>
          <w:rFonts w:hint="eastAsia" w:ascii="宋体" w:hAnsi="宋体"/>
          <w:sz w:val="24"/>
        </w:rPr>
        <w:t>4.1货物符合招标文件技术规格书的要求，性能满足要求。</w:t>
      </w:r>
    </w:p>
    <w:p>
      <w:pPr>
        <w:spacing w:line="360" w:lineRule="auto"/>
        <w:jc w:val="left"/>
        <w:rPr>
          <w:rFonts w:hint="eastAsia" w:ascii="宋体" w:hAnsi="宋体"/>
          <w:sz w:val="24"/>
        </w:rPr>
      </w:pPr>
      <w:r>
        <w:rPr>
          <w:rFonts w:hint="eastAsia" w:ascii="宋体" w:hAnsi="宋体"/>
          <w:sz w:val="24"/>
        </w:rPr>
        <w:t>4.2货物具备产品合格证。</w:t>
      </w:r>
    </w:p>
    <w:p>
      <w:pPr>
        <w:pStyle w:val="30"/>
        <w:numPr>
          <w:ilvl w:val="0"/>
          <w:numId w:val="1"/>
        </w:numPr>
        <w:ind w:firstLineChars="0"/>
        <w:rPr>
          <w:rFonts w:hint="eastAsia" w:ascii="宋体" w:hAnsi="宋体"/>
          <w:sz w:val="24"/>
        </w:rPr>
      </w:pPr>
      <w:r>
        <w:rPr>
          <w:rFonts w:hint="eastAsia" w:ascii="宋体" w:hAnsi="宋体"/>
          <w:sz w:val="24"/>
        </w:rPr>
        <w:t>保修期：货物免费保修期1年，时间自最终验收合格并交付使用之日起计算。在保修期内，一旦发生质量问题，投标人保证在接到通知24小时内赶到现场进行修理或更换。保修期外，如产品发生故障，由供应商联系原厂家进行上门服务，维修或更换零配件费用由采购单位另行支付，费用标准以原厂家报价为准。</w:t>
      </w:r>
    </w:p>
    <w:p>
      <w:pPr>
        <w:numPr>
          <w:ilvl w:val="0"/>
          <w:numId w:val="1"/>
        </w:numPr>
        <w:spacing w:line="360" w:lineRule="auto"/>
        <w:ind w:firstLine="480" w:firstLineChars="200"/>
        <w:jc w:val="left"/>
        <w:rPr>
          <w:rFonts w:hint="eastAsia" w:ascii="宋体" w:hAnsi="宋体"/>
          <w:sz w:val="24"/>
        </w:rPr>
      </w:pPr>
      <w:r>
        <w:rPr>
          <w:rFonts w:hint="eastAsia" w:ascii="宋体" w:hAnsi="宋体"/>
          <w:sz w:val="24"/>
        </w:rPr>
        <w:t>违约要求：</w:t>
      </w:r>
    </w:p>
    <w:p>
      <w:pPr>
        <w:spacing w:line="360" w:lineRule="auto"/>
        <w:ind w:firstLine="480" w:firstLineChars="200"/>
        <w:jc w:val="left"/>
        <w:rPr>
          <w:rFonts w:hint="eastAsia"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pPr>
        <w:spacing w:line="360" w:lineRule="auto"/>
        <w:ind w:firstLine="480" w:firstLineChars="200"/>
        <w:jc w:val="left"/>
        <w:rPr>
          <w:rFonts w:hint="eastAsia" w:ascii="宋体" w:hAnsi="宋体"/>
          <w:sz w:val="24"/>
        </w:rPr>
      </w:pPr>
      <w:r>
        <w:rPr>
          <w:rFonts w:hint="eastAsia" w:ascii="宋体" w:hAnsi="宋体"/>
          <w:sz w:val="24"/>
        </w:rPr>
        <w:t>（2）投标人所交设备的品种、型号、规格、质量、功能、技术参数等方面不能实质性满足招标文件要约的，采购人有权拒绝收货，投标人向采购人偿付项目采购金额千分之十的违约金；造成严重后果的，根据《深圳经济特区政府采购条例》第五十七条第（二）款规定，由主管部门对中标人进行处罚；</w:t>
      </w:r>
    </w:p>
    <w:p>
      <w:pPr>
        <w:spacing w:line="360" w:lineRule="auto"/>
        <w:ind w:firstLine="480" w:firstLineChars="200"/>
        <w:jc w:val="left"/>
        <w:rPr>
          <w:rFonts w:hint="eastAsia" w:ascii="宋体" w:hAnsi="宋体"/>
          <w:sz w:val="24"/>
        </w:rPr>
      </w:pPr>
      <w:r>
        <w:rPr>
          <w:rFonts w:hint="eastAsia" w:ascii="宋体" w:hAnsi="宋体"/>
          <w:sz w:val="24"/>
        </w:rPr>
        <w:t>（3）投标人不能交付设备的，投标人向采购人偿付项目采购金额千分之十的违约金；造成严重后果的，根据《深圳经济特区政府采购条例》第五十七条第（二）款规定，由主管部门对中标人进行处罚；</w:t>
      </w:r>
    </w:p>
    <w:p>
      <w:pPr>
        <w:spacing w:line="360" w:lineRule="auto"/>
        <w:ind w:firstLine="480" w:firstLineChars="200"/>
        <w:jc w:val="left"/>
        <w:rPr>
          <w:rFonts w:hint="eastAsia" w:ascii="宋体" w:hAnsi="宋体"/>
          <w:sz w:val="24"/>
        </w:rPr>
      </w:pPr>
      <w:r>
        <w:rPr>
          <w:rFonts w:hint="eastAsia" w:ascii="宋体" w:hAnsi="宋体"/>
          <w:sz w:val="24"/>
        </w:rPr>
        <w:t>（4）投标人逾期未交设备的，投标人向采购人每日偿付设备款千分之十的违约金。投标人超过交货期限30日仍未交货，采购人有权解除合同。</w:t>
      </w:r>
    </w:p>
    <w:p>
      <w:pPr>
        <w:spacing w:line="360" w:lineRule="auto"/>
        <w:jc w:val="left"/>
        <w:rPr>
          <w:rFonts w:hint="eastAsia" w:ascii="宋体" w:hAnsi="宋体"/>
          <w:sz w:val="24"/>
        </w:rPr>
      </w:pPr>
    </w:p>
    <w:p>
      <w:pPr>
        <w:spacing w:line="360" w:lineRule="auto"/>
        <w:ind w:firstLine="480" w:firstLineChars="200"/>
        <w:jc w:val="left"/>
        <w:rPr>
          <w:rFonts w:hint="eastAsia" w:ascii="宋体" w:hAnsi="宋体"/>
          <w:sz w:val="24"/>
        </w:rPr>
        <w:sectPr>
          <w:pgSz w:w="11906" w:h="16838"/>
          <w:pgMar w:top="1418" w:right="1474" w:bottom="1418" w:left="1474" w:header="851" w:footer="992" w:gutter="0"/>
          <w:cols w:space="425" w:num="1"/>
          <w:docGrid w:type="lines" w:linePitch="312" w:charSpace="0"/>
        </w:sectPr>
      </w:pPr>
    </w:p>
    <w:p>
      <w:pPr>
        <w:pStyle w:val="2"/>
      </w:pPr>
      <w:r>
        <w:rPr>
          <w:rFonts w:hint="eastAsia"/>
        </w:rPr>
        <w:t>第三章  投标人须知</w:t>
      </w:r>
      <w:bookmarkEnd w:id="10"/>
      <w:bookmarkEnd w:id="11"/>
    </w:p>
    <w:p>
      <w:pPr>
        <w:pStyle w:val="5"/>
        <w:ind w:firstLine="482"/>
      </w:pPr>
      <w:bookmarkStart w:id="12" w:name="_Toc55548492"/>
      <w:r>
        <w:t>一、说明</w:t>
      </w:r>
      <w:bookmarkEnd w:id="12"/>
    </w:p>
    <w:p>
      <w:pPr>
        <w:pStyle w:val="4"/>
        <w:spacing w:line="360" w:lineRule="auto"/>
        <w:ind w:firstLine="482"/>
      </w:pPr>
      <w:bookmarkStart w:id="13" w:name="_Toc18091"/>
      <w:bookmarkStart w:id="14" w:name="_Toc55548493"/>
      <w:r>
        <w:t>招标人及资金来源</w:t>
      </w:r>
      <w:bookmarkEnd w:id="13"/>
      <w:bookmarkEnd w:id="14"/>
    </w:p>
    <w:p>
      <w:pPr>
        <w:spacing w:line="360" w:lineRule="auto"/>
        <w:ind w:firstLine="420" w:firstLineChars="200"/>
        <w:rPr>
          <w:rFonts w:hint="eastAsia" w:asciiTheme="minorEastAsia" w:hAnsiTheme="minorEastAsia"/>
          <w:szCs w:val="21"/>
        </w:rPr>
      </w:pPr>
      <w:bookmarkStart w:id="15"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5"/>
    </w:p>
    <w:p>
      <w:pPr>
        <w:pStyle w:val="4"/>
        <w:spacing w:line="360" w:lineRule="auto"/>
        <w:ind w:firstLine="482"/>
      </w:pPr>
      <w:bookmarkStart w:id="16" w:name="_Toc55548494"/>
      <w:bookmarkStart w:id="17" w:name="_Toc29370"/>
      <w:r>
        <w:t>合格的投标人</w:t>
      </w:r>
      <w:bookmarkEnd w:id="16"/>
      <w:bookmarkEnd w:id="17"/>
    </w:p>
    <w:p>
      <w:pPr>
        <w:spacing w:line="360" w:lineRule="auto"/>
        <w:ind w:firstLine="420" w:firstLineChars="200"/>
        <w:rPr>
          <w:rFonts w:hint="eastAsia" w:asciiTheme="minorEastAsia" w:hAnsiTheme="minorEastAsia"/>
          <w:szCs w:val="21"/>
        </w:rPr>
      </w:pPr>
      <w:bookmarkStart w:id="18" w:name="_Ref179620057"/>
      <w:r>
        <w:rPr>
          <w:rFonts w:asciiTheme="minorEastAsia" w:hAnsiTheme="minorEastAsia"/>
          <w:szCs w:val="21"/>
        </w:rPr>
        <w:t>合格的投标人</w:t>
      </w:r>
      <w:bookmarkEnd w:id="18"/>
    </w:p>
    <w:p>
      <w:pPr>
        <w:spacing w:line="360" w:lineRule="auto"/>
        <w:ind w:firstLine="420" w:firstLineChars="200"/>
        <w:rPr>
          <w:rFonts w:hint="eastAsia"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pPr>
        <w:spacing w:line="360" w:lineRule="auto"/>
        <w:ind w:firstLine="420" w:firstLineChars="200"/>
        <w:rPr>
          <w:rFonts w:hint="eastAsia" w:asciiTheme="minorEastAsia" w:hAnsiTheme="minorEastAsia"/>
          <w:szCs w:val="21"/>
        </w:rPr>
      </w:pPr>
      <w:r>
        <w:rPr>
          <w:rFonts w:asciiTheme="minorEastAsia" w:hAnsiTheme="minorEastAsia"/>
          <w:szCs w:val="21"/>
        </w:rPr>
        <w:t>只有在法律上和财务上独立、合法运作并独立于招标人的供货人才能参加投标。</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pPr>
        <w:pStyle w:val="4"/>
        <w:spacing w:line="360" w:lineRule="auto"/>
        <w:ind w:firstLine="482"/>
      </w:pPr>
      <w:bookmarkStart w:id="19" w:name="_Toc55548495"/>
      <w:bookmarkStart w:id="20" w:name="_Toc12412"/>
      <w:r>
        <w:t>合格的货物和服务</w:t>
      </w:r>
      <w:bookmarkEnd w:id="19"/>
      <w:bookmarkEnd w:id="20"/>
    </w:p>
    <w:p>
      <w:pPr>
        <w:spacing w:line="360" w:lineRule="auto"/>
        <w:ind w:firstLine="420" w:firstLineChars="200"/>
        <w:rPr>
          <w:rFonts w:hint="eastAsia" w:asciiTheme="minorEastAsia" w:hAnsiTheme="minorEastAsia"/>
          <w:szCs w:val="21"/>
        </w:rPr>
      </w:pPr>
      <w:r>
        <w:rPr>
          <w:rFonts w:asciiTheme="minorEastAsia" w:hAnsiTheme="minorEastAsia"/>
          <w:szCs w:val="21"/>
        </w:rPr>
        <w:t>必须是全新的货物，如安装或配置了软件的，须为正版软件。</w:t>
      </w:r>
    </w:p>
    <w:p>
      <w:pPr>
        <w:spacing w:line="360" w:lineRule="auto"/>
        <w:ind w:firstLine="420" w:firstLineChars="200"/>
        <w:rPr>
          <w:rFonts w:hint="eastAsia" w:asciiTheme="minorEastAsia" w:hAnsiTheme="minorEastAsia"/>
          <w:szCs w:val="21"/>
        </w:rPr>
      </w:pPr>
      <w:r>
        <w:rPr>
          <w:rFonts w:asciiTheme="minorEastAsia" w:hAnsiTheme="minorEastAsia"/>
          <w:szCs w:val="21"/>
        </w:rPr>
        <w:t>产品及相关的服务必须符合中华人民共和国的设计和制造生产或行业标准。</w:t>
      </w:r>
    </w:p>
    <w:p>
      <w:pPr>
        <w:spacing w:line="360" w:lineRule="auto"/>
        <w:ind w:firstLine="420" w:firstLineChars="200"/>
        <w:rPr>
          <w:rFonts w:hint="eastAsia"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pPr>
        <w:pStyle w:val="4"/>
        <w:spacing w:line="360" w:lineRule="auto"/>
        <w:ind w:firstLine="482"/>
      </w:pPr>
      <w:bookmarkStart w:id="21" w:name="_Toc25686"/>
      <w:bookmarkStart w:id="22" w:name="_Toc55548496"/>
      <w:r>
        <w:t>投标费用</w:t>
      </w:r>
      <w:bookmarkEnd w:id="21"/>
      <w:bookmarkEnd w:id="22"/>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pPr>
        <w:pStyle w:val="4"/>
        <w:spacing w:line="360" w:lineRule="auto"/>
        <w:ind w:firstLine="482"/>
      </w:pPr>
      <w:bookmarkStart w:id="23" w:name="_Toc10390"/>
      <w:bookmarkStart w:id="24" w:name="_Toc55548497"/>
      <w:r>
        <w:t>踏勘现场</w:t>
      </w:r>
      <w:bookmarkEnd w:id="23"/>
      <w:bookmarkEnd w:id="24"/>
    </w:p>
    <w:p>
      <w:pPr>
        <w:spacing w:line="360" w:lineRule="auto"/>
        <w:ind w:firstLine="420" w:firstLineChars="200"/>
        <w:rPr>
          <w:rFonts w:hint="eastAsia" w:asciiTheme="minorEastAsia" w:hAnsiTheme="minorEastAsia"/>
          <w:szCs w:val="21"/>
        </w:rPr>
      </w:pPr>
      <w:bookmarkStart w:id="25"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25"/>
    </w:p>
    <w:p>
      <w:pPr>
        <w:spacing w:line="360" w:lineRule="auto"/>
        <w:ind w:firstLine="420" w:firstLineChars="200"/>
        <w:rPr>
          <w:rFonts w:hint="eastAsia"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pPr>
        <w:spacing w:line="360" w:lineRule="auto"/>
        <w:ind w:firstLine="420" w:firstLineChars="200"/>
        <w:rPr>
          <w:rFonts w:hint="eastAsia" w:asciiTheme="minorEastAsia" w:hAnsiTheme="minorEastAsia"/>
          <w:szCs w:val="21"/>
        </w:rPr>
      </w:pPr>
      <w:r>
        <w:rPr>
          <w:rFonts w:asciiTheme="minorEastAsia" w:hAnsiTheme="minorEastAsia"/>
          <w:szCs w:val="21"/>
        </w:rPr>
        <w:t>如果投标人认为需要再次进行现场踏勘，招标人将予以支持，费用自理。</w:t>
      </w:r>
    </w:p>
    <w:p>
      <w:pPr>
        <w:pStyle w:val="5"/>
        <w:ind w:firstLine="482"/>
      </w:pPr>
      <w:bookmarkStart w:id="26" w:name="_Toc55548498"/>
      <w:bookmarkStart w:id="27" w:name="_Toc6043"/>
      <w:bookmarkStart w:id="28" w:name="_Toc1751"/>
      <w:r>
        <w:t>二、竞价文件</w:t>
      </w:r>
      <w:bookmarkEnd w:id="26"/>
      <w:bookmarkEnd w:id="27"/>
      <w:bookmarkEnd w:id="28"/>
    </w:p>
    <w:p>
      <w:pPr>
        <w:pStyle w:val="4"/>
        <w:spacing w:line="360" w:lineRule="auto"/>
        <w:ind w:firstLine="482"/>
      </w:pPr>
      <w:bookmarkStart w:id="29" w:name="_Toc19397"/>
      <w:bookmarkStart w:id="30" w:name="_Toc55548499"/>
      <w:r>
        <w:t>竞价文件的构成</w:t>
      </w:r>
      <w:bookmarkEnd w:id="29"/>
      <w:bookmarkEnd w:id="30"/>
    </w:p>
    <w:p>
      <w:pPr>
        <w:spacing w:line="360" w:lineRule="auto"/>
        <w:ind w:firstLine="420" w:firstLineChars="200"/>
        <w:rPr>
          <w:rFonts w:hint="eastAsia"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pPr>
        <w:spacing w:line="360" w:lineRule="auto"/>
        <w:ind w:firstLine="420" w:firstLineChars="200"/>
        <w:rPr>
          <w:rFonts w:hint="eastAsia"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第三章 投标人须知</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pPr>
        <w:pStyle w:val="4"/>
        <w:spacing w:line="360" w:lineRule="auto"/>
        <w:ind w:firstLine="482"/>
      </w:pPr>
      <w:bookmarkStart w:id="31" w:name="_Toc31711"/>
      <w:bookmarkStart w:id="32" w:name="_Toc55548500"/>
      <w:r>
        <w:t>竞价文件的澄清</w:t>
      </w:r>
      <w:bookmarkEnd w:id="31"/>
      <w:bookmarkEnd w:id="32"/>
    </w:p>
    <w:p>
      <w:pPr>
        <w:spacing w:line="360" w:lineRule="auto"/>
        <w:ind w:firstLine="420" w:firstLineChars="200"/>
        <w:rPr>
          <w:rFonts w:hint="eastAsia"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pPr>
        <w:pStyle w:val="4"/>
        <w:spacing w:line="360" w:lineRule="auto"/>
        <w:ind w:firstLine="482"/>
      </w:pPr>
      <w:bookmarkStart w:id="33" w:name="_Toc55548501"/>
      <w:bookmarkStart w:id="34" w:name="_Ref179619612"/>
      <w:bookmarkStart w:id="35" w:name="_Toc21781"/>
      <w:r>
        <w:t>竞价文件的修改</w:t>
      </w:r>
      <w:bookmarkEnd w:id="33"/>
      <w:bookmarkEnd w:id="34"/>
      <w:bookmarkEnd w:id="35"/>
    </w:p>
    <w:p>
      <w:pPr>
        <w:spacing w:line="360" w:lineRule="auto"/>
        <w:ind w:firstLine="420" w:firstLineChars="200"/>
        <w:rPr>
          <w:rFonts w:hint="eastAsia"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pPr>
        <w:spacing w:line="360" w:lineRule="auto"/>
        <w:ind w:firstLine="420" w:firstLineChars="200"/>
        <w:rPr>
          <w:rFonts w:hint="eastAsia" w:asciiTheme="minorEastAsia" w:hAnsiTheme="minorEastAsia"/>
          <w:szCs w:val="21"/>
        </w:rPr>
      </w:pPr>
      <w:bookmarkStart w:id="36"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6"/>
    </w:p>
    <w:p>
      <w:pPr>
        <w:spacing w:line="360" w:lineRule="auto"/>
        <w:ind w:firstLine="420" w:firstLineChars="200"/>
        <w:rPr>
          <w:rFonts w:hint="eastAsia"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pPr>
        <w:pStyle w:val="5"/>
        <w:ind w:firstLine="482"/>
      </w:pPr>
      <w:bookmarkStart w:id="37" w:name="_Toc55548502"/>
      <w:bookmarkStart w:id="38" w:name="_Toc20164"/>
      <w:bookmarkStart w:id="39" w:name="_Toc6740"/>
      <w:r>
        <w:t>三、响应文件的编制</w:t>
      </w:r>
      <w:bookmarkEnd w:id="37"/>
      <w:bookmarkEnd w:id="38"/>
      <w:bookmarkEnd w:id="39"/>
    </w:p>
    <w:p>
      <w:pPr>
        <w:pStyle w:val="4"/>
        <w:spacing w:line="360" w:lineRule="auto"/>
        <w:ind w:firstLine="482"/>
      </w:pPr>
      <w:bookmarkStart w:id="40" w:name="_Toc28578"/>
      <w:bookmarkStart w:id="41" w:name="_Toc55548503"/>
      <w:r>
        <w:t>投标的语言</w:t>
      </w:r>
      <w:bookmarkEnd w:id="40"/>
      <w:bookmarkEnd w:id="41"/>
    </w:p>
    <w:p>
      <w:pPr>
        <w:spacing w:line="360" w:lineRule="auto"/>
        <w:ind w:firstLine="420" w:firstLineChars="200"/>
        <w:rPr>
          <w:rFonts w:hint="eastAsia" w:asciiTheme="minorEastAsia" w:hAnsiTheme="minorEastAsia"/>
          <w:szCs w:val="21"/>
        </w:rPr>
      </w:pPr>
      <w:bookmarkStart w:id="42"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2"/>
    </w:p>
    <w:p>
      <w:pPr>
        <w:pStyle w:val="4"/>
        <w:spacing w:line="360" w:lineRule="auto"/>
        <w:ind w:firstLine="482"/>
      </w:pPr>
      <w:bookmarkStart w:id="43" w:name="_Toc31114"/>
      <w:bookmarkStart w:id="44" w:name="_Toc55548504"/>
      <w:r>
        <w:t>投标范围及响应文件中计量单位的使用</w:t>
      </w:r>
      <w:bookmarkEnd w:id="43"/>
      <w:bookmarkEnd w:id="44"/>
    </w:p>
    <w:p>
      <w:pPr>
        <w:spacing w:line="360" w:lineRule="auto"/>
        <w:ind w:firstLine="420" w:firstLineChars="200"/>
        <w:rPr>
          <w:rFonts w:hint="eastAsia"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pPr>
        <w:spacing w:line="360" w:lineRule="auto"/>
        <w:ind w:firstLine="420" w:firstLineChars="200"/>
        <w:rPr>
          <w:rFonts w:hint="eastAsia"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pPr>
        <w:spacing w:line="360" w:lineRule="auto"/>
        <w:ind w:firstLine="420" w:firstLineChars="200"/>
        <w:rPr>
          <w:rFonts w:hint="eastAsia"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pPr>
        <w:pStyle w:val="4"/>
        <w:spacing w:line="360" w:lineRule="auto"/>
        <w:ind w:firstLine="482"/>
      </w:pPr>
      <w:bookmarkStart w:id="45" w:name="_Toc55548505"/>
      <w:bookmarkStart w:id="46" w:name="_Toc4999"/>
      <w:r>
        <w:t>响应文件的构成</w:t>
      </w:r>
      <w:bookmarkEnd w:id="45"/>
      <w:bookmarkEnd w:id="46"/>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投标人应完整地按竞价文件提供的响应文件格式制作响应文件。</w:t>
      </w:r>
    </w:p>
    <w:p>
      <w:pPr>
        <w:pStyle w:val="4"/>
        <w:spacing w:line="360" w:lineRule="auto"/>
        <w:ind w:firstLine="482"/>
      </w:pPr>
      <w:bookmarkStart w:id="47" w:name="_Toc55548507"/>
      <w:bookmarkStart w:id="48" w:name="_Toc12177"/>
      <w:r>
        <w:t>响应文件的编写</w:t>
      </w:r>
      <w:bookmarkEnd w:id="47"/>
      <w:bookmarkEnd w:id="48"/>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pPr>
        <w:pStyle w:val="4"/>
        <w:spacing w:line="360" w:lineRule="auto"/>
        <w:ind w:firstLine="482"/>
      </w:pPr>
      <w:bookmarkStart w:id="49" w:name="_Toc55548508"/>
      <w:bookmarkStart w:id="50" w:name="_Toc26930"/>
      <w:r>
        <w:t>投标报价</w:t>
      </w:r>
      <w:bookmarkEnd w:id="49"/>
      <w:bookmarkEnd w:id="50"/>
    </w:p>
    <w:p>
      <w:pPr>
        <w:spacing w:line="360" w:lineRule="auto"/>
        <w:ind w:firstLine="420" w:firstLineChars="200"/>
        <w:rPr>
          <w:rFonts w:hint="eastAsia"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pPr>
        <w:spacing w:line="360" w:lineRule="auto"/>
        <w:ind w:firstLine="420" w:firstLineChars="200"/>
        <w:rPr>
          <w:rFonts w:hint="eastAsia" w:asciiTheme="minorEastAsia" w:hAnsiTheme="minorEastAsia"/>
          <w:szCs w:val="21"/>
        </w:rPr>
      </w:pPr>
      <w:bookmarkStart w:id="51"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1"/>
    </w:p>
    <w:p>
      <w:pPr>
        <w:spacing w:line="360" w:lineRule="auto"/>
        <w:ind w:firstLine="420" w:firstLineChars="200"/>
        <w:rPr>
          <w:rFonts w:hint="eastAsia" w:asciiTheme="minorEastAsia" w:hAnsiTheme="minorEastAsia"/>
          <w:szCs w:val="21"/>
        </w:rPr>
      </w:pPr>
      <w:bookmarkStart w:id="52"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2"/>
    </w:p>
    <w:p>
      <w:pPr>
        <w:spacing w:line="360" w:lineRule="auto"/>
        <w:ind w:firstLine="420" w:firstLineChars="200"/>
        <w:rPr>
          <w:rFonts w:hint="eastAsia" w:asciiTheme="minorEastAsia" w:hAnsiTheme="minorEastAsia"/>
          <w:szCs w:val="21"/>
        </w:rPr>
      </w:pPr>
      <w:r>
        <w:rPr>
          <w:rFonts w:asciiTheme="minorEastAsia" w:hAnsiTheme="minorEastAsia"/>
          <w:szCs w:val="21"/>
        </w:rPr>
        <w:t>投标分项报价上的价格应按下列方式填写：</w:t>
      </w:r>
    </w:p>
    <w:p>
      <w:pPr>
        <w:spacing w:line="360" w:lineRule="auto"/>
        <w:ind w:firstLine="420" w:firstLineChars="200"/>
        <w:rPr>
          <w:rFonts w:hint="eastAsia"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pPr>
        <w:spacing w:line="360" w:lineRule="auto"/>
        <w:ind w:firstLine="420" w:firstLineChars="200"/>
        <w:rPr>
          <w:rFonts w:hint="eastAsia"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pPr>
        <w:spacing w:line="360" w:lineRule="auto"/>
        <w:ind w:firstLine="420" w:firstLineChars="200"/>
        <w:rPr>
          <w:rFonts w:hint="eastAsia" w:asciiTheme="minorEastAsia" w:hAnsiTheme="minorEastAsia"/>
          <w:szCs w:val="21"/>
        </w:rPr>
      </w:pPr>
      <w:bookmarkStart w:id="53" w:name="_Ref179620755"/>
      <w:r>
        <w:rPr>
          <w:rFonts w:asciiTheme="minorEastAsia" w:hAnsiTheme="minorEastAsia"/>
          <w:szCs w:val="21"/>
        </w:rPr>
        <w:t>其他伴随服务的费用(如有)。</w:t>
      </w:r>
      <w:bookmarkEnd w:id="53"/>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pPr>
        <w:pStyle w:val="4"/>
        <w:spacing w:line="360" w:lineRule="auto"/>
        <w:ind w:firstLine="482"/>
      </w:pPr>
      <w:bookmarkStart w:id="54" w:name="_Toc11635"/>
      <w:bookmarkStart w:id="55" w:name="_Toc55548509"/>
      <w:r>
        <w:t>证明投标人合格和资格的文件</w:t>
      </w:r>
      <w:bookmarkEnd w:id="54"/>
      <w:bookmarkEnd w:id="55"/>
      <w:r>
        <w:t xml:space="preserve"> </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投标人应提交证明其有资格参加投标和中标后有能力履行合同的文件。</w:t>
      </w:r>
    </w:p>
    <w:p>
      <w:pPr>
        <w:spacing w:line="360" w:lineRule="auto"/>
        <w:ind w:firstLine="420" w:firstLineChars="200"/>
        <w:rPr>
          <w:rFonts w:hint="eastAsia"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pPr>
        <w:spacing w:line="360" w:lineRule="auto"/>
        <w:ind w:firstLine="420" w:firstLineChars="200"/>
        <w:rPr>
          <w:rFonts w:hint="eastAsia"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证明投标人已具备履行合同所需的财务、技术和生产能力的文件； </w:t>
      </w:r>
    </w:p>
    <w:p>
      <w:pPr>
        <w:spacing w:line="360" w:lineRule="auto"/>
        <w:ind w:firstLine="420" w:firstLineChars="200"/>
        <w:rPr>
          <w:rFonts w:hint="eastAsia" w:asciiTheme="minorEastAsia" w:hAnsiTheme="minorEastAsia"/>
          <w:szCs w:val="21"/>
        </w:rPr>
      </w:pPr>
      <w:r>
        <w:rPr>
          <w:rFonts w:asciiTheme="minorEastAsia" w:hAnsiTheme="minorEastAsia"/>
          <w:szCs w:val="21"/>
        </w:rPr>
        <w:t>证明投标人满足竞价文件业绩要求的文件；</w:t>
      </w:r>
    </w:p>
    <w:p>
      <w:pPr>
        <w:spacing w:line="360" w:lineRule="auto"/>
        <w:ind w:firstLine="420" w:firstLineChars="200"/>
        <w:rPr>
          <w:rFonts w:hint="eastAsia" w:asciiTheme="minorEastAsia" w:hAnsiTheme="minorEastAsia"/>
          <w:szCs w:val="21"/>
        </w:rPr>
      </w:pPr>
      <w:bookmarkStart w:id="56" w:name="_Ref179620846"/>
      <w:r>
        <w:rPr>
          <w:rFonts w:asciiTheme="minorEastAsia" w:hAnsiTheme="minorEastAsia"/>
          <w:szCs w:val="21"/>
        </w:rPr>
        <w:t>投标资料表要求的其它资格证明文件。</w:t>
      </w:r>
      <w:bookmarkEnd w:id="56"/>
    </w:p>
    <w:p>
      <w:pPr>
        <w:pStyle w:val="4"/>
        <w:spacing w:line="360" w:lineRule="auto"/>
        <w:ind w:firstLine="482"/>
      </w:pPr>
      <w:bookmarkStart w:id="57" w:name="_Toc55548510"/>
      <w:bookmarkStart w:id="58" w:name="_Toc28857"/>
      <w:r>
        <w:t>证明货物的合格性和符合竞价文件规定的文件</w:t>
      </w:r>
      <w:bookmarkEnd w:id="57"/>
      <w:bookmarkEnd w:id="58"/>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pPr>
        <w:spacing w:line="360" w:lineRule="auto"/>
        <w:ind w:firstLine="420" w:firstLineChars="200"/>
        <w:rPr>
          <w:rFonts w:hint="eastAsia" w:asciiTheme="minorEastAsia" w:hAnsiTheme="minorEastAsia"/>
          <w:szCs w:val="21"/>
        </w:rPr>
      </w:pPr>
      <w:r>
        <w:rPr>
          <w:rFonts w:asciiTheme="minorEastAsia" w:hAnsiTheme="minorEastAsia"/>
          <w:szCs w:val="21"/>
        </w:rPr>
        <w:t>上述所述的证明文件，可以是文字资料、图纸和数据，它包括：</w:t>
      </w:r>
    </w:p>
    <w:p>
      <w:pPr>
        <w:spacing w:line="360" w:lineRule="auto"/>
        <w:ind w:firstLine="420" w:firstLineChars="200"/>
        <w:rPr>
          <w:rFonts w:hint="eastAsia" w:asciiTheme="minorEastAsia" w:hAnsiTheme="minorEastAsia"/>
          <w:szCs w:val="21"/>
        </w:rPr>
      </w:pPr>
      <w:r>
        <w:rPr>
          <w:rFonts w:asciiTheme="minorEastAsia" w:hAnsiTheme="minorEastAsia"/>
          <w:szCs w:val="21"/>
        </w:rPr>
        <w:t>货物主要技术指标和性能的详细说明；</w:t>
      </w:r>
    </w:p>
    <w:p>
      <w:pPr>
        <w:spacing w:line="360" w:lineRule="auto"/>
        <w:ind w:firstLine="420" w:firstLineChars="200"/>
        <w:rPr>
          <w:rFonts w:hint="eastAsia"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pPr>
        <w:spacing w:line="360" w:lineRule="auto"/>
        <w:ind w:firstLine="420" w:firstLineChars="200"/>
        <w:rPr>
          <w:rFonts w:hint="eastAsia"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pPr>
        <w:pStyle w:val="4"/>
        <w:spacing w:line="360" w:lineRule="auto"/>
        <w:ind w:firstLine="482"/>
      </w:pPr>
      <w:bookmarkStart w:id="59" w:name="_Toc55548511"/>
      <w:bookmarkStart w:id="60" w:name="_Toc1901"/>
      <w:r>
        <w:t>投标有效期</w:t>
      </w:r>
      <w:bookmarkEnd w:id="59"/>
      <w:bookmarkEnd w:id="60"/>
    </w:p>
    <w:p>
      <w:pPr>
        <w:spacing w:line="360" w:lineRule="auto"/>
        <w:ind w:firstLine="420" w:firstLineChars="200"/>
        <w:rPr>
          <w:rFonts w:hint="eastAsia" w:asciiTheme="minorEastAsia" w:hAnsiTheme="minorEastAsia"/>
          <w:szCs w:val="21"/>
        </w:rPr>
      </w:pPr>
      <w:bookmarkStart w:id="61" w:name="_Ref179620893"/>
      <w:r>
        <w:rPr>
          <w:rFonts w:asciiTheme="minorEastAsia" w:hAnsiTheme="minorEastAsia"/>
          <w:szCs w:val="21"/>
        </w:rPr>
        <w:t>投标有效期不足的投标将被视为非实质性响应，并予以拒绝。</w:t>
      </w:r>
      <w:bookmarkEnd w:id="61"/>
    </w:p>
    <w:p>
      <w:pPr>
        <w:spacing w:line="360" w:lineRule="auto"/>
        <w:ind w:firstLine="420" w:firstLineChars="200"/>
        <w:rPr>
          <w:rFonts w:hint="eastAsia"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pStyle w:val="4"/>
        <w:spacing w:line="360" w:lineRule="auto"/>
        <w:ind w:firstLine="482"/>
      </w:pPr>
      <w:bookmarkStart w:id="62" w:name="_Toc55548512"/>
      <w:bookmarkStart w:id="63" w:name="_Toc28446"/>
      <w:r>
        <w:t>响应文件的式样和签署</w:t>
      </w:r>
      <w:bookmarkEnd w:id="62"/>
      <w:bookmarkEnd w:id="63"/>
    </w:p>
    <w:p>
      <w:pPr>
        <w:spacing w:line="360" w:lineRule="auto"/>
        <w:ind w:firstLine="420" w:firstLineChars="200"/>
        <w:rPr>
          <w:rFonts w:hint="eastAsia" w:asciiTheme="minorEastAsia" w:hAnsiTheme="minorEastAsia"/>
          <w:szCs w:val="21"/>
          <w:highlight w:val="yellow"/>
        </w:rPr>
      </w:pPr>
      <w:bookmarkStart w:id="64"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4"/>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pPr>
        <w:spacing w:line="360" w:lineRule="auto"/>
        <w:ind w:firstLine="420" w:firstLineChars="200"/>
        <w:rPr>
          <w:rFonts w:hint="eastAsia"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pPr>
        <w:pStyle w:val="4"/>
        <w:spacing w:line="360" w:lineRule="auto"/>
        <w:ind w:firstLine="482"/>
      </w:pPr>
      <w:bookmarkStart w:id="65" w:name="_Toc26845"/>
      <w:bookmarkStart w:id="66" w:name="_Toc9436"/>
      <w:bookmarkStart w:id="67" w:name="_Toc55548513"/>
      <w:r>
        <w:t>四、响应文件的递交</w:t>
      </w:r>
      <w:bookmarkEnd w:id="65"/>
      <w:bookmarkEnd w:id="66"/>
      <w:bookmarkEnd w:id="67"/>
    </w:p>
    <w:p>
      <w:pPr>
        <w:pStyle w:val="4"/>
        <w:spacing w:line="360" w:lineRule="auto"/>
        <w:ind w:firstLine="482"/>
      </w:pPr>
      <w:bookmarkStart w:id="68" w:name="_Toc55548514"/>
      <w:bookmarkStart w:id="69" w:name="_Toc6626"/>
      <w:r>
        <w:t>响应文件的密封和标记</w:t>
      </w:r>
      <w:bookmarkEnd w:id="68"/>
      <w:bookmarkEnd w:id="69"/>
    </w:p>
    <w:p>
      <w:pPr>
        <w:spacing w:line="360" w:lineRule="auto"/>
        <w:ind w:firstLine="420" w:firstLineChars="200"/>
        <w:rPr>
          <w:rFonts w:hint="eastAsia" w:asciiTheme="minorEastAsia" w:hAnsiTheme="minorEastAsia"/>
          <w:szCs w:val="21"/>
          <w:highlight w:val="yellow"/>
        </w:rPr>
      </w:pPr>
      <w:bookmarkStart w:id="70"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0"/>
      <w:r>
        <w:rPr>
          <w:rFonts w:asciiTheme="minorEastAsia" w:hAnsiTheme="minorEastAsia"/>
          <w:szCs w:val="21"/>
          <w:highlight w:val="yellow"/>
        </w:rPr>
        <w:t xml:space="preserve"> </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pPr>
        <w:spacing w:line="360" w:lineRule="auto"/>
        <w:ind w:firstLine="420" w:firstLineChars="200"/>
        <w:rPr>
          <w:rFonts w:hint="eastAsia"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pPr>
        <w:spacing w:line="360" w:lineRule="auto"/>
        <w:ind w:firstLine="420" w:firstLineChars="200"/>
        <w:rPr>
          <w:rFonts w:hint="eastAsia"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pPr>
        <w:pStyle w:val="4"/>
        <w:spacing w:line="360" w:lineRule="auto"/>
        <w:ind w:firstLine="482"/>
      </w:pPr>
      <w:bookmarkStart w:id="71" w:name="_Toc8701"/>
      <w:bookmarkStart w:id="72" w:name="_Toc55548515"/>
      <w:r>
        <w:t>投标样品</w:t>
      </w:r>
      <w:bookmarkEnd w:id="71"/>
      <w:bookmarkEnd w:id="72"/>
    </w:p>
    <w:p>
      <w:pPr>
        <w:spacing w:line="360" w:lineRule="auto"/>
        <w:ind w:firstLine="420" w:firstLineChars="200"/>
        <w:rPr>
          <w:rFonts w:hint="eastAsia"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pPr>
        <w:spacing w:line="360" w:lineRule="auto"/>
        <w:ind w:firstLine="420" w:firstLineChars="200"/>
        <w:rPr>
          <w:rFonts w:hint="eastAsia"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为方便评标，投标人在提供样品时，应使用透明的外包装或尽量少用外包装，但必须在所提供的样品表面显著位置标注投标人的名称、包号、样品名称、竞价文件规定的货物编号。</w:t>
      </w:r>
    </w:p>
    <w:p>
      <w:pPr>
        <w:spacing w:line="360" w:lineRule="auto"/>
        <w:ind w:firstLine="420" w:firstLineChars="200"/>
        <w:rPr>
          <w:rFonts w:hint="eastAsia" w:asciiTheme="minorEastAsia" w:hAnsiTheme="minorEastAsia"/>
          <w:szCs w:val="21"/>
        </w:rPr>
      </w:pPr>
      <w:r>
        <w:rPr>
          <w:rFonts w:asciiTheme="minorEastAsia" w:hAnsiTheme="minorEastAsia"/>
          <w:szCs w:val="21"/>
        </w:rPr>
        <w:t>样品作为响应文件的一部分，除非另有说明，中标单位的样品不再退还，未中标单位须在中标公告发布后五个工作日内，前往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pPr>
        <w:pStyle w:val="4"/>
        <w:spacing w:line="360" w:lineRule="auto"/>
        <w:ind w:firstLine="482"/>
      </w:pPr>
      <w:bookmarkStart w:id="73" w:name="_Toc5724"/>
      <w:bookmarkStart w:id="74" w:name="_Toc55548516"/>
      <w:bookmarkStart w:id="75" w:name="_Ref179619638"/>
      <w:r>
        <w:t>投标截止期</w:t>
      </w:r>
      <w:bookmarkEnd w:id="73"/>
      <w:bookmarkEnd w:id="74"/>
      <w:bookmarkEnd w:id="75"/>
    </w:p>
    <w:p>
      <w:pPr>
        <w:spacing w:line="360" w:lineRule="auto"/>
        <w:ind w:firstLine="420" w:firstLineChars="200"/>
        <w:rPr>
          <w:rFonts w:hint="eastAsia" w:asciiTheme="minorEastAsia" w:hAnsiTheme="minorEastAsia"/>
          <w:szCs w:val="21"/>
        </w:rPr>
      </w:pPr>
      <w:bookmarkStart w:id="76"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6"/>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pPr>
        <w:pStyle w:val="4"/>
        <w:spacing w:line="360" w:lineRule="auto"/>
        <w:ind w:firstLine="482"/>
      </w:pPr>
      <w:bookmarkStart w:id="77" w:name="_Ref179619679"/>
      <w:bookmarkStart w:id="78" w:name="_Toc3231"/>
      <w:bookmarkStart w:id="79" w:name="_Toc55548517"/>
      <w:r>
        <w:t>迟交的响应文件</w:t>
      </w:r>
      <w:bookmarkEnd w:id="77"/>
      <w:bookmarkEnd w:id="78"/>
      <w:bookmarkEnd w:id="79"/>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pPr>
        <w:pStyle w:val="4"/>
        <w:spacing w:line="360" w:lineRule="auto"/>
        <w:ind w:firstLine="482"/>
      </w:pPr>
      <w:bookmarkStart w:id="80" w:name="_Toc865"/>
      <w:bookmarkStart w:id="81" w:name="_Ref179619013"/>
      <w:bookmarkStart w:id="82" w:name="_Toc55548518"/>
      <w:r>
        <w:t>响应文件的修改与撤回</w:t>
      </w:r>
      <w:bookmarkEnd w:id="80"/>
      <w:bookmarkEnd w:id="81"/>
      <w:bookmarkEnd w:id="82"/>
    </w:p>
    <w:p>
      <w:pPr>
        <w:spacing w:line="360" w:lineRule="auto"/>
        <w:ind w:firstLine="420" w:firstLineChars="200"/>
        <w:rPr>
          <w:rFonts w:hint="eastAsia"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投标人的修改或撤回通知应按本须知规定编制、密封、标记和递交。</w:t>
      </w:r>
    </w:p>
    <w:p>
      <w:pPr>
        <w:spacing w:line="360" w:lineRule="auto"/>
        <w:ind w:firstLine="420" w:firstLineChars="200"/>
        <w:rPr>
          <w:rFonts w:hint="eastAsia" w:asciiTheme="minorEastAsia" w:hAnsiTheme="minorEastAsia"/>
          <w:szCs w:val="21"/>
        </w:rPr>
      </w:pPr>
      <w:r>
        <w:rPr>
          <w:rFonts w:asciiTheme="minorEastAsia" w:hAnsiTheme="minorEastAsia"/>
          <w:szCs w:val="21"/>
        </w:rPr>
        <w:t>在投标截止期之后，投标人不得对其投标做任何修改。</w:t>
      </w:r>
    </w:p>
    <w:p>
      <w:pPr>
        <w:spacing w:line="360" w:lineRule="auto"/>
        <w:ind w:firstLine="420" w:firstLineChars="200"/>
        <w:rPr>
          <w:rFonts w:hint="eastAsia"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pPr>
        <w:pStyle w:val="4"/>
        <w:spacing w:line="360" w:lineRule="auto"/>
        <w:ind w:firstLine="482"/>
      </w:pPr>
      <w:bookmarkStart w:id="83" w:name="_Toc55548519"/>
      <w:bookmarkStart w:id="84" w:name="_Toc22375"/>
      <w:r>
        <w:t>响应文件的退还</w:t>
      </w:r>
      <w:bookmarkEnd w:id="83"/>
      <w:bookmarkEnd w:id="84"/>
    </w:p>
    <w:p>
      <w:pPr>
        <w:spacing w:line="360" w:lineRule="auto"/>
        <w:ind w:firstLine="420" w:firstLineChars="200"/>
        <w:rPr>
          <w:rFonts w:hint="eastAsia" w:asciiTheme="minorEastAsia" w:hAnsiTheme="minorEastAsia"/>
          <w:szCs w:val="21"/>
        </w:rPr>
      </w:pPr>
      <w:r>
        <w:rPr>
          <w:rFonts w:asciiTheme="minorEastAsia" w:hAnsiTheme="minorEastAsia"/>
          <w:szCs w:val="21"/>
        </w:rPr>
        <w:t>除非竞价文件另有规定或说明，响应文件一律不予退还。</w:t>
      </w:r>
    </w:p>
    <w:p>
      <w:pPr>
        <w:pStyle w:val="5"/>
        <w:ind w:firstLine="482"/>
      </w:pPr>
      <w:bookmarkStart w:id="85" w:name="_Toc55548520"/>
      <w:bookmarkStart w:id="86" w:name="_Toc27271"/>
      <w:bookmarkStart w:id="87" w:name="_Toc9126"/>
      <w:r>
        <w:t>五、开标与评标</w:t>
      </w:r>
      <w:bookmarkEnd w:id="85"/>
      <w:bookmarkEnd w:id="86"/>
      <w:bookmarkEnd w:id="87"/>
    </w:p>
    <w:p>
      <w:pPr>
        <w:pStyle w:val="4"/>
        <w:spacing w:line="360" w:lineRule="auto"/>
        <w:ind w:firstLine="482"/>
      </w:pPr>
      <w:bookmarkStart w:id="88" w:name="_Toc55548521"/>
      <w:bookmarkStart w:id="89" w:name="_Toc21095"/>
      <w:r>
        <w:t>开标</w:t>
      </w:r>
      <w:bookmarkEnd w:id="88"/>
      <w:bookmarkEnd w:id="89"/>
    </w:p>
    <w:p>
      <w:pPr>
        <w:spacing w:line="360" w:lineRule="auto"/>
        <w:ind w:firstLine="420" w:firstLineChars="200"/>
        <w:rPr>
          <w:rFonts w:hint="eastAsia" w:asciiTheme="minorEastAsia" w:hAnsiTheme="minorEastAsia"/>
          <w:szCs w:val="21"/>
        </w:rPr>
      </w:pPr>
      <w:bookmarkStart w:id="90"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90"/>
    </w:p>
    <w:p>
      <w:pPr>
        <w:spacing w:line="360" w:lineRule="auto"/>
        <w:ind w:firstLine="420" w:firstLineChars="200"/>
        <w:rPr>
          <w:rFonts w:hint="eastAsia"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pPr>
        <w:pStyle w:val="4"/>
        <w:spacing w:line="360" w:lineRule="auto"/>
        <w:ind w:firstLine="482"/>
      </w:pPr>
      <w:bookmarkStart w:id="91" w:name="_Toc1622"/>
      <w:bookmarkStart w:id="92" w:name="_Toc55548522"/>
      <w:r>
        <w:t>资格核查</w:t>
      </w:r>
      <w:bookmarkEnd w:id="91"/>
      <w:bookmarkEnd w:id="92"/>
    </w:p>
    <w:p>
      <w:pPr>
        <w:spacing w:line="360" w:lineRule="auto"/>
        <w:ind w:firstLine="420" w:firstLineChars="200"/>
        <w:rPr>
          <w:rFonts w:hint="eastAsia"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pPr>
        <w:spacing w:line="360" w:lineRule="auto"/>
        <w:ind w:firstLine="422" w:firstLineChars="200"/>
        <w:rPr>
          <w:rFonts w:hint="eastAsia" w:asciiTheme="minorEastAsia" w:hAnsiTheme="minorEastAsia"/>
          <w:b/>
          <w:szCs w:val="21"/>
        </w:rPr>
      </w:pPr>
      <w:r>
        <w:rPr>
          <w:rFonts w:asciiTheme="minorEastAsia" w:hAnsiTheme="minorEastAsia"/>
          <w:b/>
          <w:szCs w:val="21"/>
        </w:rPr>
        <w:t>1) 资格瑕疵</w:t>
      </w:r>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pPr>
        <w:pStyle w:val="4"/>
        <w:spacing w:line="360" w:lineRule="auto"/>
        <w:ind w:firstLine="482"/>
      </w:pPr>
      <w:bookmarkStart w:id="93" w:name="_Toc55548523"/>
      <w:bookmarkStart w:id="94" w:name="_Toc31201"/>
      <w:r>
        <w:t>评标委员会和评标方法</w:t>
      </w:r>
      <w:bookmarkEnd w:id="93"/>
      <w:bookmarkEnd w:id="94"/>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pPr>
        <w:spacing w:line="360" w:lineRule="auto"/>
        <w:ind w:firstLine="420" w:firstLineChars="200"/>
        <w:rPr>
          <w:rFonts w:hint="eastAsia" w:asciiTheme="minorEastAsia" w:hAnsiTheme="minorEastAsia"/>
          <w:szCs w:val="21"/>
        </w:rPr>
      </w:pPr>
      <w:bookmarkStart w:id="95"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5"/>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pPr>
        <w:spacing w:line="360" w:lineRule="auto"/>
        <w:ind w:firstLine="420" w:firstLineChars="200"/>
        <w:rPr>
          <w:rFonts w:hint="eastAsia" w:asciiTheme="minorEastAsia" w:hAnsiTheme="minorEastAsia"/>
          <w:szCs w:val="21"/>
        </w:rPr>
      </w:pPr>
      <w:bookmarkStart w:id="96"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96"/>
    </w:p>
    <w:p>
      <w:pPr>
        <w:spacing w:line="360" w:lineRule="auto"/>
        <w:ind w:firstLine="420" w:firstLineChars="200"/>
        <w:rPr>
          <w:rFonts w:hint="eastAsia" w:asciiTheme="minorEastAsia" w:hAnsiTheme="minorEastAsia"/>
          <w:szCs w:val="21"/>
        </w:rPr>
      </w:pPr>
      <w:bookmarkStart w:id="97" w:name="_Toc10952"/>
      <w:bookmarkStart w:id="98" w:name="_Toc27507"/>
      <w:bookmarkStart w:id="99" w:name="_Toc3712"/>
      <w:bookmarkStart w:id="100" w:name="_Toc16749"/>
      <w:r>
        <w:rPr>
          <w:rFonts w:hint="eastAsia" w:asciiTheme="minorEastAsia" w:hAnsiTheme="minorEastAsia"/>
          <w:szCs w:val="21"/>
        </w:rPr>
        <w:t>不同投标人提供相同品牌产品</w:t>
      </w:r>
      <w:bookmarkEnd w:id="97"/>
      <w:bookmarkEnd w:id="98"/>
      <w:bookmarkEnd w:id="99"/>
      <w:bookmarkEnd w:id="100"/>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pPr>
        <w:pStyle w:val="4"/>
        <w:spacing w:line="360" w:lineRule="auto"/>
        <w:ind w:firstLine="482"/>
      </w:pPr>
      <w:bookmarkStart w:id="101" w:name="_Toc21426"/>
      <w:bookmarkStart w:id="102" w:name="_Toc55548524"/>
      <w:r>
        <w:rPr>
          <w:rFonts w:hint="eastAsia"/>
        </w:rPr>
        <w:t>响应文件的初审</w:t>
      </w:r>
      <w:bookmarkEnd w:id="101"/>
      <w:bookmarkEnd w:id="102"/>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评标委员会将审查响应文件是否完整、总体编排是否有序、文件签署是否合格等。</w:t>
      </w:r>
    </w:p>
    <w:p>
      <w:pPr>
        <w:spacing w:line="360" w:lineRule="auto"/>
        <w:ind w:firstLine="420" w:firstLineChars="200"/>
        <w:rPr>
          <w:rFonts w:hint="eastAsia"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pPr>
        <w:spacing w:line="360" w:lineRule="auto"/>
        <w:ind w:firstLine="420" w:firstLineChars="200"/>
        <w:rPr>
          <w:rFonts w:hint="eastAsia"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pPr>
        <w:spacing w:line="360" w:lineRule="auto"/>
        <w:ind w:firstLine="420" w:firstLineChars="200"/>
        <w:rPr>
          <w:rFonts w:hint="eastAsia" w:asciiTheme="minorEastAsia" w:hAnsiTheme="minorEastAsia"/>
          <w:szCs w:val="21"/>
        </w:rPr>
      </w:pPr>
      <w:bookmarkStart w:id="103"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3"/>
    </w:p>
    <w:p>
      <w:pPr>
        <w:spacing w:line="360" w:lineRule="auto"/>
        <w:ind w:firstLine="420" w:firstLineChars="200"/>
        <w:rPr>
          <w:rFonts w:hint="eastAsia" w:asciiTheme="minorEastAsia" w:hAnsiTheme="minorEastAsia"/>
          <w:szCs w:val="21"/>
        </w:rPr>
      </w:pPr>
      <w:bookmarkStart w:id="104" w:name="_Ref179621189"/>
      <w:r>
        <w:rPr>
          <w:rFonts w:asciiTheme="minorEastAsia" w:hAnsiTheme="minorEastAsia"/>
          <w:szCs w:val="21"/>
        </w:rPr>
        <w:t>符合性检查</w:t>
      </w:r>
      <w:bookmarkEnd w:id="104"/>
    </w:p>
    <w:p>
      <w:pPr>
        <w:spacing w:line="360" w:lineRule="auto"/>
        <w:ind w:firstLine="422" w:firstLineChars="200"/>
        <w:rPr>
          <w:rFonts w:hint="eastAsia" w:asciiTheme="minorEastAsia" w:hAnsiTheme="minorEastAsia"/>
          <w:b/>
          <w:szCs w:val="21"/>
        </w:rPr>
      </w:pPr>
      <w:bookmarkStart w:id="105" w:name="_Toc1347"/>
      <w:bookmarkStart w:id="106" w:name="_Toc5963"/>
      <w:bookmarkStart w:id="107" w:name="_Toc2459"/>
      <w:bookmarkStart w:id="108" w:name="_Toc13273"/>
      <w:bookmarkStart w:id="109" w:name="_Toc25993"/>
      <w:bookmarkStart w:id="110" w:name="_Toc32392"/>
      <w:bookmarkStart w:id="111" w:name="_Toc385"/>
      <w:r>
        <w:rPr>
          <w:rFonts w:asciiTheme="minorEastAsia" w:hAnsiTheme="minorEastAsia"/>
          <w:b/>
          <w:szCs w:val="21"/>
        </w:rPr>
        <w:t>1) 响应文件的有效性、完整性瑕疵</w:t>
      </w:r>
      <w:bookmarkEnd w:id="105"/>
      <w:bookmarkEnd w:id="106"/>
      <w:bookmarkEnd w:id="107"/>
      <w:bookmarkEnd w:id="108"/>
      <w:bookmarkEnd w:id="109"/>
      <w:bookmarkEnd w:id="110"/>
      <w:bookmarkEnd w:id="111"/>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pPr>
        <w:spacing w:line="360" w:lineRule="auto"/>
        <w:ind w:firstLine="422" w:firstLineChars="200"/>
        <w:rPr>
          <w:rFonts w:hint="eastAsia" w:asciiTheme="minorEastAsia" w:hAnsiTheme="minorEastAsia"/>
          <w:b/>
          <w:szCs w:val="21"/>
        </w:rPr>
      </w:pPr>
      <w:bookmarkStart w:id="112" w:name="_Toc17493"/>
      <w:bookmarkStart w:id="113" w:name="_Toc6513"/>
      <w:bookmarkStart w:id="114" w:name="_Toc24825"/>
      <w:bookmarkStart w:id="115" w:name="_Toc30904"/>
      <w:bookmarkStart w:id="116" w:name="_Toc31066"/>
      <w:bookmarkStart w:id="117" w:name="_Toc4787"/>
      <w:bookmarkStart w:id="118" w:name="_Toc29078"/>
      <w:r>
        <w:rPr>
          <w:rFonts w:asciiTheme="minorEastAsia" w:hAnsiTheme="minorEastAsia"/>
          <w:b/>
          <w:szCs w:val="21"/>
        </w:rPr>
        <w:t>2) 技术响应瑕疵</w:t>
      </w:r>
      <w:bookmarkEnd w:id="112"/>
      <w:bookmarkEnd w:id="113"/>
      <w:bookmarkEnd w:id="114"/>
      <w:bookmarkEnd w:id="115"/>
      <w:bookmarkEnd w:id="116"/>
      <w:bookmarkEnd w:id="117"/>
      <w:bookmarkEnd w:id="118"/>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pPr>
        <w:spacing w:line="360" w:lineRule="auto"/>
        <w:ind w:firstLine="422" w:firstLineChars="200"/>
        <w:rPr>
          <w:rFonts w:hint="eastAsia" w:asciiTheme="minorEastAsia" w:hAnsiTheme="minorEastAsia"/>
          <w:b/>
          <w:szCs w:val="21"/>
        </w:rPr>
      </w:pPr>
      <w:bookmarkStart w:id="119" w:name="_Toc27147"/>
      <w:bookmarkStart w:id="120" w:name="_Toc19531"/>
      <w:bookmarkStart w:id="121" w:name="_Toc6987"/>
      <w:bookmarkStart w:id="122" w:name="_Toc16856"/>
      <w:bookmarkStart w:id="123" w:name="_Toc32692"/>
      <w:bookmarkStart w:id="124" w:name="_Toc9317"/>
      <w:bookmarkStart w:id="125" w:name="_Toc13742"/>
      <w:r>
        <w:rPr>
          <w:rFonts w:asciiTheme="minorEastAsia" w:hAnsiTheme="minorEastAsia"/>
          <w:b/>
          <w:szCs w:val="21"/>
        </w:rPr>
        <w:t>3) 商务响应瑕疵</w:t>
      </w:r>
      <w:bookmarkEnd w:id="119"/>
      <w:bookmarkEnd w:id="120"/>
      <w:bookmarkEnd w:id="121"/>
      <w:bookmarkEnd w:id="122"/>
      <w:bookmarkEnd w:id="123"/>
      <w:bookmarkEnd w:id="124"/>
      <w:bookmarkEnd w:id="125"/>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pPr>
        <w:spacing w:line="360" w:lineRule="auto"/>
        <w:ind w:firstLine="422" w:firstLineChars="200"/>
        <w:rPr>
          <w:rFonts w:hint="eastAsia" w:asciiTheme="minorEastAsia" w:hAnsiTheme="minorEastAsia"/>
          <w:b/>
          <w:szCs w:val="21"/>
        </w:rPr>
      </w:pPr>
      <w:r>
        <w:rPr>
          <w:rFonts w:asciiTheme="minorEastAsia" w:hAnsiTheme="minorEastAsia"/>
          <w:b/>
          <w:szCs w:val="21"/>
        </w:rPr>
        <w:t>4）违规行为</w:t>
      </w:r>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pPr>
        <w:spacing w:line="360" w:lineRule="auto"/>
        <w:ind w:firstLine="422" w:firstLineChars="200"/>
        <w:rPr>
          <w:rFonts w:hint="eastAsia" w:asciiTheme="minorEastAsia" w:hAnsiTheme="minorEastAsia"/>
          <w:b/>
          <w:szCs w:val="21"/>
        </w:rPr>
      </w:pPr>
      <w:r>
        <w:rPr>
          <w:rFonts w:hint="eastAsia" w:asciiTheme="minorEastAsia" w:hAnsiTheme="minorEastAsia"/>
          <w:b/>
          <w:szCs w:val="21"/>
        </w:rPr>
        <w:t>投标报价</w:t>
      </w:r>
    </w:p>
    <w:p>
      <w:pPr>
        <w:spacing w:line="360" w:lineRule="auto"/>
        <w:ind w:firstLine="420" w:firstLineChars="200"/>
        <w:rPr>
          <w:rFonts w:hint="eastAsia"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pPr>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pPr>
        <w:spacing w:line="360" w:lineRule="auto"/>
        <w:ind w:firstLine="420" w:firstLineChars="200"/>
        <w:rPr>
          <w:rFonts w:hint="eastAsia"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pPr>
        <w:pStyle w:val="4"/>
        <w:spacing w:line="360" w:lineRule="auto"/>
        <w:ind w:firstLine="482"/>
      </w:pPr>
      <w:bookmarkStart w:id="126" w:name="_Toc7255"/>
      <w:bookmarkStart w:id="127" w:name="_Toc55548525"/>
      <w:r>
        <w:rPr>
          <w:rFonts w:hint="eastAsia"/>
        </w:rPr>
        <w:t>评标方法和定标原则</w:t>
      </w:r>
      <w:bookmarkEnd w:id="126"/>
      <w:bookmarkEnd w:id="127"/>
    </w:p>
    <w:p>
      <w:pPr>
        <w:spacing w:line="360" w:lineRule="auto"/>
        <w:ind w:firstLine="420" w:firstLineChars="200"/>
        <w:rPr>
          <w:rFonts w:hint="eastAsia" w:asciiTheme="minorEastAsia" w:hAnsiTheme="minorEastAsia"/>
          <w:szCs w:val="21"/>
        </w:rPr>
      </w:pPr>
      <w:r>
        <w:rPr>
          <w:rFonts w:asciiTheme="minorEastAsia" w:hAnsiTheme="minorEastAsia"/>
          <w:szCs w:val="21"/>
        </w:rPr>
        <w:t>最低评标价法</w:t>
      </w:r>
    </w:p>
    <w:p>
      <w:pPr>
        <w:spacing w:line="360" w:lineRule="auto"/>
        <w:ind w:firstLine="420" w:firstLineChars="200"/>
        <w:rPr>
          <w:rFonts w:hint="eastAsia"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pPr>
        <w:spacing w:line="360" w:lineRule="auto"/>
        <w:ind w:firstLine="420" w:firstLineChars="200"/>
        <w:rPr>
          <w:rFonts w:hint="eastAsia"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w:t>
      </w:r>
    </w:p>
    <w:p>
      <w:pPr>
        <w:spacing w:line="360" w:lineRule="auto"/>
        <w:ind w:firstLine="420" w:firstLineChars="200"/>
        <w:rPr>
          <w:rFonts w:hint="eastAsia"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pPr>
        <w:spacing w:line="360" w:lineRule="auto"/>
        <w:ind w:firstLine="420" w:firstLineChars="200"/>
        <w:rPr>
          <w:rFonts w:hint="eastAsia" w:asciiTheme="minorEastAsia" w:hAnsiTheme="minorEastAsia"/>
          <w:szCs w:val="21"/>
        </w:rPr>
      </w:pPr>
      <w:r>
        <w:rPr>
          <w:rFonts w:asciiTheme="minorEastAsia" w:hAnsiTheme="minorEastAsia"/>
          <w:szCs w:val="21"/>
        </w:rPr>
        <w:t>（一）满足竞价文件实质性要求；</w:t>
      </w:r>
    </w:p>
    <w:p>
      <w:pPr>
        <w:spacing w:line="360" w:lineRule="auto"/>
        <w:ind w:firstLine="420" w:firstLineChars="200"/>
        <w:rPr>
          <w:rFonts w:hint="eastAsia" w:asciiTheme="minorEastAsia" w:hAnsiTheme="minorEastAsia"/>
          <w:szCs w:val="21"/>
        </w:rPr>
      </w:pPr>
      <w:r>
        <w:rPr>
          <w:rFonts w:asciiTheme="minorEastAsia" w:hAnsiTheme="minorEastAsia"/>
          <w:szCs w:val="21"/>
        </w:rPr>
        <w:t>（二）投标的价格最低。</w:t>
      </w:r>
    </w:p>
    <w:p>
      <w:pPr>
        <w:spacing w:line="360" w:lineRule="auto"/>
        <w:ind w:firstLine="420" w:firstLineChars="200"/>
        <w:rPr>
          <w:rFonts w:hint="eastAsia"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pPr>
        <w:spacing w:line="360" w:lineRule="auto"/>
        <w:ind w:firstLine="420" w:firstLineChars="200"/>
        <w:rPr>
          <w:rFonts w:hint="eastAsia" w:asciiTheme="minorEastAsia" w:hAnsiTheme="minorEastAsia"/>
          <w:szCs w:val="21"/>
        </w:rPr>
      </w:pPr>
      <w:r>
        <w:rPr>
          <w:rFonts w:asciiTheme="minorEastAsia" w:hAnsiTheme="minorEastAsia"/>
          <w:szCs w:val="21"/>
        </w:rPr>
        <w:t>综合评分法</w:t>
      </w:r>
    </w:p>
    <w:p>
      <w:pPr>
        <w:spacing w:line="360" w:lineRule="auto"/>
        <w:ind w:firstLine="420" w:firstLineChars="200"/>
        <w:rPr>
          <w:rFonts w:hint="eastAsia"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hint="eastAsia" w:asciiTheme="minorEastAsia" w:hAnsiTheme="minorEastAsia"/>
          <w:szCs w:val="21"/>
        </w:rPr>
      </w:pPr>
      <w:bookmarkStart w:id="128"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28"/>
    </w:p>
    <w:p>
      <w:pPr>
        <w:spacing w:line="360" w:lineRule="auto"/>
        <w:ind w:firstLine="420" w:firstLineChars="200"/>
        <w:rPr>
          <w:rFonts w:hint="eastAsia" w:asciiTheme="minorEastAsia" w:hAnsiTheme="minorEastAsia"/>
          <w:szCs w:val="21"/>
        </w:rPr>
      </w:pPr>
      <w:r>
        <w:rPr>
          <w:rFonts w:asciiTheme="minorEastAsia" w:hAnsiTheme="minorEastAsia"/>
          <w:szCs w:val="21"/>
        </w:rPr>
        <w:t>评标总得分＝（A1×J+A2×S+…An×X）；</w:t>
      </w:r>
    </w:p>
    <w:p>
      <w:pPr>
        <w:spacing w:line="360" w:lineRule="auto"/>
        <w:ind w:firstLine="420" w:firstLineChars="200"/>
        <w:rPr>
          <w:rFonts w:hint="eastAsia" w:asciiTheme="minorEastAsia" w:hAnsiTheme="minorEastAsia"/>
          <w:szCs w:val="21"/>
        </w:rPr>
      </w:pPr>
      <w:r>
        <w:rPr>
          <w:rFonts w:asciiTheme="minorEastAsia" w:hAnsiTheme="minorEastAsia"/>
          <w:szCs w:val="21"/>
        </w:rPr>
        <w:t>J、S、……X分别为各项评分因素，各因素满分均为100分；</w:t>
      </w:r>
    </w:p>
    <w:p>
      <w:pPr>
        <w:spacing w:line="360" w:lineRule="auto"/>
        <w:ind w:firstLine="420" w:firstLineChars="200"/>
        <w:rPr>
          <w:rFonts w:hint="eastAsia"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hint="eastAsia"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pPr>
        <w:spacing w:line="360" w:lineRule="auto"/>
        <w:ind w:firstLine="420" w:firstLineChars="200"/>
        <w:rPr>
          <w:rFonts w:hint="eastAsia" w:asciiTheme="minorEastAsia" w:hAnsiTheme="minorEastAsia"/>
          <w:szCs w:val="21"/>
        </w:rPr>
      </w:pPr>
      <w:r>
        <w:rPr>
          <w:rFonts w:asciiTheme="minorEastAsia" w:hAnsiTheme="minorEastAsia"/>
          <w:szCs w:val="21"/>
        </w:rPr>
        <w:t>投标报价得分=(评标基准价／投标报价)×价格权重×100</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pPr>
        <w:spacing w:line="360" w:lineRule="auto"/>
        <w:ind w:firstLine="420" w:firstLineChars="200"/>
        <w:rPr>
          <w:rFonts w:hint="eastAsia" w:asciiTheme="minorEastAsia" w:hAnsiTheme="minorEastAsia"/>
          <w:szCs w:val="21"/>
        </w:rPr>
      </w:pPr>
      <w:r>
        <w:rPr>
          <w:rFonts w:asciiTheme="minorEastAsia" w:hAnsiTheme="minorEastAsia"/>
          <w:szCs w:val="21"/>
        </w:rPr>
        <w:t>性价比法</w:t>
      </w:r>
    </w:p>
    <w:p>
      <w:pPr>
        <w:spacing w:line="360" w:lineRule="auto"/>
        <w:ind w:firstLine="420" w:firstLineChars="200"/>
        <w:rPr>
          <w:rFonts w:hint="eastAsia"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pPr>
        <w:spacing w:line="360" w:lineRule="auto"/>
        <w:ind w:firstLine="420" w:firstLineChars="200"/>
        <w:rPr>
          <w:rFonts w:hint="eastAsia" w:asciiTheme="minorEastAsia" w:hAnsiTheme="minorEastAsia"/>
          <w:szCs w:val="21"/>
        </w:rPr>
      </w:pPr>
      <w:bookmarkStart w:id="129"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29"/>
    </w:p>
    <w:p>
      <w:pPr>
        <w:spacing w:line="360" w:lineRule="auto"/>
        <w:ind w:firstLine="420" w:firstLineChars="200"/>
        <w:rPr>
          <w:rFonts w:hint="eastAsia" w:asciiTheme="minorEastAsia" w:hAnsiTheme="minorEastAsia"/>
          <w:szCs w:val="21"/>
        </w:rPr>
      </w:pPr>
      <w:r>
        <w:rPr>
          <w:rFonts w:asciiTheme="minorEastAsia" w:hAnsiTheme="minorEastAsia"/>
          <w:szCs w:val="21"/>
        </w:rPr>
        <w:t>计算</w:t>
      </w:r>
    </w:p>
    <w:p>
      <w:pPr>
        <w:spacing w:line="360" w:lineRule="auto"/>
        <w:ind w:firstLine="420" w:firstLineChars="200"/>
        <w:rPr>
          <w:rFonts w:hint="eastAsia" w:asciiTheme="minorEastAsia" w:hAnsiTheme="minorEastAsia"/>
          <w:szCs w:val="21"/>
        </w:rPr>
      </w:pPr>
      <w:r>
        <w:rPr>
          <w:rFonts w:asciiTheme="minorEastAsia" w:hAnsiTheme="minorEastAsia"/>
          <w:szCs w:val="21"/>
        </w:rPr>
        <w:t>评标总得分=Bi/Ni</w:t>
      </w:r>
    </w:p>
    <w:p>
      <w:pPr>
        <w:spacing w:line="360" w:lineRule="auto"/>
        <w:ind w:firstLine="420" w:firstLineChars="200"/>
        <w:rPr>
          <w:rFonts w:hint="eastAsia" w:asciiTheme="minorEastAsia" w:hAnsiTheme="minorEastAsia"/>
          <w:szCs w:val="21"/>
        </w:rPr>
      </w:pPr>
      <w:r>
        <w:rPr>
          <w:rFonts w:asciiTheme="minorEastAsia" w:hAnsiTheme="minorEastAsia"/>
          <w:szCs w:val="21"/>
        </w:rPr>
        <w:t>Ni——为投标供应商的投标报价；</w:t>
      </w:r>
    </w:p>
    <w:p>
      <w:pPr>
        <w:spacing w:line="360" w:lineRule="auto"/>
        <w:ind w:firstLine="420" w:firstLineChars="200"/>
        <w:rPr>
          <w:rFonts w:hint="eastAsia" w:asciiTheme="minorEastAsia" w:hAnsiTheme="minorEastAsia"/>
          <w:szCs w:val="21"/>
        </w:rPr>
      </w:pPr>
      <w:r>
        <w:rPr>
          <w:rFonts w:asciiTheme="minorEastAsia" w:hAnsiTheme="minorEastAsia"/>
          <w:szCs w:val="21"/>
        </w:rPr>
        <w:t>Bi——为投标供应商的综合得分，其中Bi＝（A1×J+A2×C+…+An×F）；</w:t>
      </w:r>
    </w:p>
    <w:p>
      <w:pPr>
        <w:spacing w:line="360" w:lineRule="auto"/>
        <w:ind w:firstLine="420" w:firstLineChars="200"/>
        <w:rPr>
          <w:rFonts w:hint="eastAsia"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pPr>
        <w:spacing w:line="360" w:lineRule="auto"/>
        <w:ind w:firstLine="420" w:firstLineChars="200"/>
        <w:rPr>
          <w:rFonts w:hint="eastAsia"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w:t>
      </w:r>
    </w:p>
    <w:p>
      <w:pPr>
        <w:spacing w:line="360" w:lineRule="auto"/>
        <w:ind w:firstLine="420" w:firstLineChars="200"/>
        <w:rPr>
          <w:rFonts w:hint="eastAsia"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pPr>
        <w:pStyle w:val="5"/>
        <w:ind w:firstLine="482"/>
      </w:pPr>
      <w:bookmarkStart w:id="130" w:name="_Toc31060"/>
      <w:bookmarkStart w:id="131" w:name="_Toc55548528"/>
      <w:bookmarkStart w:id="132" w:name="_Toc12447"/>
      <w:r>
        <w:t>六、授予合同</w:t>
      </w:r>
      <w:bookmarkEnd w:id="130"/>
      <w:bookmarkEnd w:id="131"/>
      <w:bookmarkEnd w:id="132"/>
    </w:p>
    <w:p>
      <w:pPr>
        <w:pStyle w:val="4"/>
        <w:spacing w:line="360" w:lineRule="auto"/>
        <w:ind w:firstLine="482"/>
      </w:pPr>
      <w:bookmarkStart w:id="133" w:name="_Toc55548529"/>
      <w:bookmarkStart w:id="134" w:name="_Toc4551"/>
      <w:r>
        <w:rPr>
          <w:rFonts w:hint="eastAsia"/>
        </w:rPr>
        <w:t>最终审查</w:t>
      </w:r>
      <w:bookmarkEnd w:id="133"/>
      <w:bookmarkEnd w:id="134"/>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pPr>
        <w:spacing w:line="360" w:lineRule="auto"/>
        <w:ind w:firstLine="420" w:firstLineChars="200"/>
        <w:rPr>
          <w:rFonts w:hint="eastAsia"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pPr>
        <w:spacing w:line="360" w:lineRule="auto"/>
        <w:ind w:firstLine="420" w:firstLineChars="200"/>
        <w:rPr>
          <w:rFonts w:hint="eastAsia"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pPr>
        <w:pStyle w:val="4"/>
        <w:spacing w:line="360" w:lineRule="auto"/>
        <w:ind w:firstLine="482"/>
      </w:pPr>
      <w:bookmarkStart w:id="135" w:name="_Toc55548530"/>
      <w:bookmarkStart w:id="136" w:name="_Toc9998"/>
      <w:r>
        <w:rPr>
          <w:rFonts w:hint="eastAsia"/>
        </w:rPr>
        <w:t>合同授予标准</w:t>
      </w:r>
      <w:bookmarkEnd w:id="135"/>
      <w:bookmarkEnd w:id="136"/>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pPr>
        <w:pStyle w:val="4"/>
        <w:spacing w:line="360" w:lineRule="auto"/>
        <w:ind w:firstLine="482"/>
      </w:pPr>
      <w:bookmarkStart w:id="137" w:name="_Toc29853"/>
      <w:bookmarkStart w:id="138" w:name="_Toc55548532"/>
      <w:r>
        <w:rPr>
          <w:rFonts w:hint="eastAsia"/>
        </w:rPr>
        <w:t>中标结果公示</w:t>
      </w:r>
      <w:bookmarkEnd w:id="137"/>
      <w:bookmarkEnd w:id="138"/>
    </w:p>
    <w:p>
      <w:pPr>
        <w:spacing w:line="360" w:lineRule="auto"/>
        <w:ind w:firstLine="420" w:firstLineChars="200"/>
        <w:rPr>
          <w:rFonts w:hint="eastAsia"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pPr>
        <w:spacing w:line="360" w:lineRule="auto"/>
        <w:ind w:firstLine="420" w:firstLineChars="200"/>
        <w:rPr>
          <w:rFonts w:hint="eastAsia"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pStyle w:val="4"/>
        <w:spacing w:line="360" w:lineRule="auto"/>
        <w:ind w:firstLine="482"/>
      </w:pPr>
      <w:bookmarkStart w:id="139" w:name="_Toc55548533"/>
      <w:bookmarkStart w:id="140" w:name="_Ref179619923"/>
      <w:bookmarkStart w:id="141" w:name="_Toc5257"/>
      <w:r>
        <w:rPr>
          <w:rFonts w:hint="eastAsia"/>
        </w:rPr>
        <w:t>接受和拒绝任何或所有投标的权力</w:t>
      </w:r>
      <w:bookmarkEnd w:id="139"/>
      <w:bookmarkEnd w:id="140"/>
      <w:bookmarkEnd w:id="141"/>
    </w:p>
    <w:p>
      <w:pPr>
        <w:spacing w:line="360" w:lineRule="auto"/>
        <w:ind w:firstLine="420" w:firstLineChars="200"/>
        <w:rPr>
          <w:rFonts w:hint="eastAsia"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pPr>
        <w:pStyle w:val="4"/>
        <w:spacing w:line="360" w:lineRule="auto"/>
        <w:ind w:firstLine="482"/>
      </w:pPr>
      <w:bookmarkStart w:id="142" w:name="_Toc55548534"/>
      <w:bookmarkStart w:id="143" w:name="_Toc1842"/>
      <w:r>
        <w:rPr>
          <w:rFonts w:hint="eastAsia"/>
        </w:rPr>
        <w:t>中标通知书</w:t>
      </w:r>
      <w:bookmarkEnd w:id="142"/>
      <w:bookmarkEnd w:id="143"/>
    </w:p>
    <w:p>
      <w:pPr>
        <w:spacing w:line="360" w:lineRule="auto"/>
        <w:ind w:firstLine="420" w:firstLineChars="200"/>
        <w:rPr>
          <w:rFonts w:hint="eastAsia"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pPr>
        <w:spacing w:line="360" w:lineRule="auto"/>
        <w:ind w:firstLine="420" w:firstLineChars="200"/>
        <w:rPr>
          <w:rFonts w:hint="eastAsia" w:asciiTheme="minorEastAsia" w:hAnsiTheme="minorEastAsia"/>
          <w:szCs w:val="21"/>
        </w:rPr>
      </w:pPr>
      <w:r>
        <w:rPr>
          <w:rFonts w:asciiTheme="minorEastAsia" w:hAnsiTheme="minorEastAsia"/>
          <w:szCs w:val="21"/>
        </w:rPr>
        <w:t>《中标通知书》是合同的一个组成部分。</w:t>
      </w:r>
    </w:p>
    <w:p>
      <w:pPr>
        <w:pStyle w:val="4"/>
        <w:spacing w:line="360" w:lineRule="auto"/>
        <w:ind w:firstLine="482"/>
      </w:pPr>
      <w:bookmarkStart w:id="144" w:name="_Ref179619520"/>
      <w:bookmarkStart w:id="145" w:name="_Toc55548535"/>
      <w:bookmarkStart w:id="146" w:name="_Toc11931"/>
      <w:r>
        <w:rPr>
          <w:rFonts w:hint="eastAsia"/>
        </w:rPr>
        <w:t>签订合同</w:t>
      </w:r>
      <w:bookmarkEnd w:id="144"/>
      <w:bookmarkEnd w:id="145"/>
      <w:bookmarkEnd w:id="146"/>
    </w:p>
    <w:p>
      <w:pPr>
        <w:spacing w:line="360" w:lineRule="auto"/>
        <w:ind w:firstLine="420" w:firstLineChars="200"/>
        <w:rPr>
          <w:rFonts w:hint="eastAsia"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pPr>
        <w:spacing w:line="360" w:lineRule="auto"/>
        <w:ind w:firstLine="420" w:firstLineChars="200"/>
        <w:rPr>
          <w:rFonts w:hint="eastAsia" w:asciiTheme="minorEastAsia" w:hAnsiTheme="minorEastAsia"/>
          <w:szCs w:val="21"/>
        </w:rPr>
      </w:pPr>
      <w:r>
        <w:rPr>
          <w:rFonts w:asciiTheme="minorEastAsia" w:hAnsiTheme="minorEastAsia"/>
          <w:szCs w:val="21"/>
        </w:rPr>
        <w:t>竞价文件、中标人的响应文件及其澄清文件等，均为签订合同的依据。</w:t>
      </w:r>
    </w:p>
    <w:p>
      <w:pPr>
        <w:spacing w:line="360" w:lineRule="auto"/>
        <w:ind w:firstLine="420" w:firstLineChars="200"/>
        <w:rPr>
          <w:rFonts w:hint="eastAsia"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147" w:name="_Toc86939331"/>
      <w:bookmarkStart w:id="148" w:name="_Toc61539111"/>
      <w:bookmarkStart w:id="149" w:name="_Toc61880307"/>
      <w:r>
        <w:rPr>
          <w:rFonts w:hint="eastAsia"/>
        </w:rPr>
        <w:t>第四章  附件－响应文件格式</w:t>
      </w:r>
      <w:bookmarkEnd w:id="147"/>
      <w:bookmarkEnd w:id="148"/>
      <w:bookmarkEnd w:id="149"/>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附件1：投标函格式</w:t>
      </w:r>
    </w:p>
    <w:p>
      <w:pPr>
        <w:keepNext/>
        <w:keepLines/>
        <w:spacing w:before="160" w:after="170"/>
        <w:ind w:firstLine="602" w:firstLineChars="200"/>
        <w:jc w:val="center"/>
        <w:outlineLvl w:val="4"/>
        <w:rPr>
          <w:b/>
          <w:bCs/>
          <w:sz w:val="30"/>
          <w:szCs w:val="28"/>
        </w:rPr>
      </w:pPr>
      <w:bookmarkStart w:id="150" w:name="_Toc55548538"/>
      <w:r>
        <w:rPr>
          <w:rFonts w:hint="eastAsia"/>
          <w:b/>
          <w:bCs/>
          <w:sz w:val="30"/>
          <w:szCs w:val="28"/>
        </w:rPr>
        <w:t>投标函</w:t>
      </w:r>
      <w:bookmarkEnd w:id="150"/>
    </w:p>
    <w:p>
      <w:pPr>
        <w:spacing w:line="360" w:lineRule="auto"/>
        <w:ind w:firstLine="420" w:firstLineChars="200"/>
        <w:rPr>
          <w:rFonts w:hint="eastAsia"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pPr>
        <w:spacing w:line="360" w:lineRule="auto"/>
        <w:ind w:firstLine="420" w:firstLineChars="200"/>
        <w:rPr>
          <w:rFonts w:hint="eastAsia"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pPr>
        <w:spacing w:line="360" w:lineRule="auto"/>
        <w:ind w:firstLine="420" w:firstLineChars="200"/>
        <w:rPr>
          <w:rFonts w:hint="eastAsia" w:asciiTheme="minorEastAsia" w:hAnsiTheme="minorEastAsia"/>
          <w:color w:val="000000"/>
          <w:szCs w:val="21"/>
        </w:rPr>
      </w:pP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单    位： （盖章）</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授权代表或法人代表： （签字）</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 xml:space="preserve">地    址： </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 xml:space="preserve">电    话：     </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传    真：</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邮    编：</w:t>
      </w:r>
    </w:p>
    <w:p>
      <w:pPr>
        <w:spacing w:line="360" w:lineRule="auto"/>
        <w:ind w:firstLine="420" w:firstLineChars="200"/>
        <w:rPr>
          <w:rFonts w:hint="eastAsia"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pPr>
        <w:keepNext/>
        <w:keepLines/>
        <w:spacing w:before="160" w:after="170"/>
        <w:ind w:firstLine="602" w:firstLineChars="200"/>
        <w:jc w:val="center"/>
        <w:outlineLvl w:val="4"/>
        <w:rPr>
          <w:b/>
          <w:bCs/>
          <w:sz w:val="30"/>
          <w:szCs w:val="28"/>
        </w:rPr>
      </w:pPr>
      <w:bookmarkStart w:id="151" w:name="_Toc55548539"/>
      <w:bookmarkStart w:id="152" w:name="_Toc30545"/>
      <w:r>
        <w:rPr>
          <w:rFonts w:hint="eastAsia"/>
          <w:b/>
          <w:bCs/>
          <w:sz w:val="30"/>
          <w:szCs w:val="28"/>
        </w:rPr>
        <w:t>政府采购投标及履约承诺函</w:t>
      </w:r>
      <w:bookmarkEnd w:id="151"/>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致：深圳市宝安区疾病预防控制中心</w:t>
      </w:r>
    </w:p>
    <w:p>
      <w:pPr>
        <w:spacing w:line="276" w:lineRule="auto"/>
        <w:ind w:right="-815" w:firstLine="420" w:firstLineChars="200"/>
        <w:rPr>
          <w:rFonts w:hint="eastAsia" w:asciiTheme="minorEastAsia" w:hAnsiTheme="minorEastAsia"/>
          <w:szCs w:val="21"/>
        </w:rPr>
      </w:pPr>
      <w:r>
        <w:rPr>
          <w:rFonts w:hint="eastAsia" w:asciiTheme="minorEastAsia" w:hAnsiTheme="minorEastAsia"/>
          <w:szCs w:val="21"/>
        </w:rPr>
        <w:t>我公司承诺：</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1.我公司本招标项目所提供的货物或服务未侵犯知识产权。</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8.我公司如果中标，做到守信，不偷工减料，依照本项目竞价文件需求内容、签署的采购合同及本公司在投标中所作的一切承诺履约。项目验收达到全部指标合格，力争优良。</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11.我公司承诺本项目非联合体投标，不非法转包、分包。</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276" w:lineRule="auto"/>
        <w:ind w:firstLine="422" w:firstLineChars="200"/>
        <w:rPr>
          <w:rFonts w:hint="eastAsia" w:asciiTheme="minorEastAsia" w:hAnsiTheme="minorEastAsia"/>
          <w:b/>
          <w:snapToGrid w:val="0"/>
          <w:kern w:val="0"/>
          <w:szCs w:val="21"/>
        </w:rPr>
      </w:pPr>
    </w:p>
    <w:p>
      <w:pPr>
        <w:spacing w:line="276"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投标供应商：</w:t>
      </w:r>
    </w:p>
    <w:p>
      <w:pPr>
        <w:spacing w:line="276"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法人或授权代表：</w:t>
      </w:r>
    </w:p>
    <w:p>
      <w:pPr>
        <w:spacing w:line="276" w:lineRule="auto"/>
        <w:ind w:firstLine="420" w:firstLineChars="200"/>
        <w:rPr>
          <w:rFonts w:hint="eastAsia"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附件3：诚信承诺函格式</w:t>
      </w:r>
      <w:bookmarkEnd w:id="152"/>
    </w:p>
    <w:p>
      <w:pPr>
        <w:keepNext/>
        <w:keepLines/>
        <w:spacing w:before="160" w:after="170"/>
        <w:ind w:firstLine="602" w:firstLineChars="200"/>
        <w:jc w:val="center"/>
        <w:outlineLvl w:val="4"/>
        <w:rPr>
          <w:b/>
          <w:bCs/>
          <w:snapToGrid w:val="0"/>
          <w:sz w:val="30"/>
          <w:szCs w:val="28"/>
        </w:rPr>
      </w:pPr>
      <w:bookmarkStart w:id="153" w:name="_Toc55548540"/>
      <w:r>
        <w:rPr>
          <w:rFonts w:hint="eastAsia"/>
          <w:b/>
          <w:bCs/>
          <w:snapToGrid w:val="0"/>
          <w:sz w:val="30"/>
          <w:szCs w:val="28"/>
        </w:rPr>
        <w:t>诚信承诺函</w:t>
      </w:r>
      <w:bookmarkEnd w:id="153"/>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特此承诺。</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法人或授权代表：</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日期：</w:t>
      </w:r>
    </w:p>
    <w:p>
      <w:pPr>
        <w:spacing w:line="360" w:lineRule="auto"/>
        <w:ind w:firstLine="420" w:firstLineChars="200"/>
        <w:rPr>
          <w:rFonts w:hint="eastAsia" w:asciiTheme="minorEastAsia" w:hAnsiTheme="minorEastAsia"/>
          <w:szCs w:val="21"/>
        </w:rPr>
      </w:pPr>
    </w:p>
    <w:p>
      <w:pPr>
        <w:spacing w:line="360" w:lineRule="auto"/>
        <w:ind w:firstLine="422" w:firstLineChars="200"/>
        <w:rPr>
          <w:rFonts w:hint="eastAsia" w:asciiTheme="minorEastAsia" w:hAnsiTheme="minorEastAsia"/>
          <w:b/>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4" w:name="_Toc6706"/>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4"/>
    </w:p>
    <w:p>
      <w:pPr>
        <w:keepNext/>
        <w:keepLines/>
        <w:spacing w:before="160" w:after="170"/>
        <w:ind w:firstLine="602" w:firstLineChars="200"/>
        <w:jc w:val="center"/>
        <w:outlineLvl w:val="4"/>
        <w:rPr>
          <w:b/>
          <w:bCs/>
          <w:sz w:val="30"/>
          <w:szCs w:val="28"/>
        </w:rPr>
      </w:pPr>
      <w:bookmarkStart w:id="155" w:name="_Toc55548541"/>
      <w:r>
        <w:rPr>
          <w:rFonts w:hint="eastAsia"/>
          <w:b/>
          <w:bCs/>
          <w:sz w:val="30"/>
          <w:szCs w:val="28"/>
        </w:rPr>
        <w:t>开标一览表</w:t>
      </w:r>
      <w:bookmarkEnd w:id="155"/>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项目名称/包号</w:t>
            </w:r>
          </w:p>
        </w:tc>
        <w:tc>
          <w:tcPr>
            <w:tcW w:w="2562"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投标总价</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（人民币元）</w:t>
            </w:r>
          </w:p>
        </w:tc>
        <w:tc>
          <w:tcPr>
            <w:tcW w:w="2694"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交货期/服务期</w:t>
            </w:r>
          </w:p>
        </w:tc>
        <w:tc>
          <w:tcPr>
            <w:tcW w:w="1493"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pPr>
              <w:spacing w:line="360" w:lineRule="auto"/>
              <w:ind w:firstLine="420" w:firstLineChars="200"/>
              <w:rPr>
                <w:rFonts w:hint="eastAsia" w:asciiTheme="minorEastAsia" w:hAnsiTheme="minorEastAsia"/>
                <w:szCs w:val="21"/>
              </w:rPr>
            </w:pPr>
          </w:p>
        </w:tc>
        <w:tc>
          <w:tcPr>
            <w:tcW w:w="2562" w:type="dxa"/>
          </w:tcPr>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pPr>
              <w:spacing w:line="360" w:lineRule="auto"/>
              <w:ind w:firstLine="420" w:firstLineChars="200"/>
              <w:rPr>
                <w:rFonts w:hint="eastAsia" w:asciiTheme="minorEastAsia" w:hAnsiTheme="minorEastAsia"/>
                <w:szCs w:val="21"/>
              </w:rPr>
            </w:pPr>
          </w:p>
        </w:tc>
        <w:tc>
          <w:tcPr>
            <w:tcW w:w="1493" w:type="dxa"/>
          </w:tcPr>
          <w:p>
            <w:pPr>
              <w:spacing w:line="360" w:lineRule="auto"/>
              <w:ind w:firstLine="420" w:firstLineChars="200"/>
              <w:rPr>
                <w:rFonts w:hint="eastAsia" w:asciiTheme="minorEastAsia" w:hAnsiTheme="minorEastAsia"/>
                <w:szCs w:val="21"/>
              </w:rPr>
            </w:pPr>
          </w:p>
        </w:tc>
      </w:tr>
    </w:tbl>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投标供应商：</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注：</w:t>
      </w:r>
    </w:p>
    <w:p>
      <w:pPr>
        <w:spacing w:line="360" w:lineRule="auto"/>
        <w:ind w:firstLine="420" w:firstLineChars="200"/>
        <w:rPr>
          <w:rFonts w:hint="eastAsia" w:asciiTheme="minorEastAsia" w:hAnsiTheme="minorEastAsia"/>
          <w:szCs w:val="21"/>
        </w:rPr>
      </w:pPr>
      <w:r>
        <w:rPr>
          <w:rFonts w:asciiTheme="minorEastAsia" w:hAnsiTheme="minorEastAsia"/>
          <w:szCs w:val="21"/>
        </w:rPr>
        <w:t>1</w:t>
      </w:r>
      <w:r>
        <w:rPr>
          <w:rFonts w:hint="eastAsia" w:asciiTheme="minorEastAsia" w:hAnsiTheme="minorEastAsia"/>
          <w:szCs w:val="21"/>
        </w:rPr>
        <w:t>、本竞价文件中所称“交货期/服务期”指所有货物运抵现场安装调试完毕后交付用户验收和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、依据《评标委员会和评标方法暂行规定》第25条规定，“响应文件载明的招标项目完成期限超过竞价文件规定的期限”的（即交货期或完工期超过竞价文件要求期限），响应文件将作投标无效处理。</w:t>
      </w:r>
    </w:p>
    <w:p>
      <w:pPr>
        <w:spacing w:line="360" w:lineRule="auto"/>
        <w:ind w:firstLine="420" w:firstLineChars="200"/>
        <w:rPr>
          <w:rFonts w:hint="eastAsia" w:asciiTheme="minorEastAsia" w:hAnsiTheme="minorEastAsia"/>
          <w:szCs w:val="21"/>
        </w:rPr>
      </w:pPr>
      <w:r>
        <w:rPr>
          <w:rFonts w:asciiTheme="minorEastAsia" w:hAnsiTheme="minorEastAsia"/>
          <w:szCs w:val="21"/>
        </w:rPr>
        <w:br w:type="page"/>
      </w:r>
      <w:bookmarkStart w:id="156"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6"/>
    </w:p>
    <w:p>
      <w:pPr>
        <w:keepNext/>
        <w:keepLines/>
        <w:spacing w:before="160" w:after="170"/>
        <w:ind w:firstLine="602" w:firstLineChars="200"/>
        <w:jc w:val="center"/>
        <w:outlineLvl w:val="4"/>
        <w:rPr>
          <w:b/>
          <w:bCs/>
          <w:sz w:val="30"/>
          <w:szCs w:val="28"/>
        </w:rPr>
      </w:pPr>
      <w:bookmarkStart w:id="157" w:name="_Toc55548542"/>
      <w:r>
        <w:rPr>
          <w:rFonts w:hint="eastAsia"/>
          <w:b/>
          <w:bCs/>
          <w:sz w:val="30"/>
          <w:szCs w:val="28"/>
        </w:rPr>
        <w:t>分项报价清单</w:t>
      </w:r>
      <w:bookmarkEnd w:id="157"/>
    </w:p>
    <w:tbl>
      <w:tblPr>
        <w:tblStyle w:val="16"/>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pPr>
              <w:spacing w:line="360" w:lineRule="auto"/>
              <w:ind w:firstLine="420" w:firstLineChars="200"/>
              <w:rPr>
                <w:rFonts w:hint="eastAsia" w:asciiTheme="minorEastAsia" w:hAnsiTheme="minorEastAsia"/>
                <w:color w:val="000000"/>
                <w:szCs w:val="21"/>
              </w:rPr>
            </w:pPr>
          </w:p>
        </w:tc>
      </w:tr>
    </w:tbl>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1、所有价格应按“采购文件”中规定的货币单位填写；</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6、开标一览表的投标总价必须与项目报价表的投标总价一致。</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7、“原产地”是指该产品的实际生产加工地，而非品牌总公司所在地。</w:t>
      </w:r>
    </w:p>
    <w:p>
      <w:pPr>
        <w:spacing w:line="360" w:lineRule="auto"/>
        <w:ind w:firstLine="420" w:firstLineChars="200"/>
      </w:pPr>
    </w:p>
    <w:p>
      <w:pPr>
        <w:spacing w:line="360" w:lineRule="auto"/>
      </w:pPr>
    </w:p>
    <w:p>
      <w:pPr>
        <w:spacing w:line="360" w:lineRule="auto"/>
        <w:ind w:firstLine="420" w:firstLineChars="200"/>
      </w:pPr>
    </w:p>
    <w:p>
      <w:pPr>
        <w:spacing w:line="360" w:lineRule="auto"/>
        <w:ind w:firstLine="420" w:firstLineChars="200"/>
        <w:rPr>
          <w:rFonts w:hint="eastAsia" w:asciiTheme="minorEastAsia" w:hAnsiTheme="minorEastAsia"/>
          <w:szCs w:val="21"/>
        </w:rPr>
      </w:pPr>
      <w:bookmarkStart w:id="158" w:name="_Toc32280"/>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58"/>
    </w:p>
    <w:p>
      <w:pPr>
        <w:keepNext/>
        <w:keepLines/>
        <w:spacing w:before="160" w:after="170"/>
        <w:ind w:firstLine="602" w:firstLineChars="200"/>
        <w:jc w:val="center"/>
        <w:outlineLvl w:val="4"/>
        <w:rPr>
          <w:b/>
          <w:bCs/>
          <w:sz w:val="30"/>
          <w:szCs w:val="28"/>
        </w:rPr>
      </w:pPr>
      <w:bookmarkStart w:id="159" w:name="_Toc55548545"/>
      <w:bookmarkStart w:id="160" w:name="_Toc2383"/>
      <w:r>
        <w:rPr>
          <w:rFonts w:hint="eastAsia"/>
          <w:b/>
          <w:bCs/>
          <w:sz w:val="30"/>
          <w:szCs w:val="28"/>
        </w:rPr>
        <w:t>法定代表人证明书</w:t>
      </w:r>
      <w:bookmarkEnd w:id="159"/>
    </w:p>
    <w:p>
      <w:pPr>
        <w:tabs>
          <w:tab w:val="left" w:pos="900"/>
        </w:tabs>
        <w:spacing w:line="360" w:lineRule="auto"/>
        <w:ind w:firstLine="420" w:firstLineChars="200"/>
        <w:rPr>
          <w:rFonts w:hint="eastAsia"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 xml:space="preserve">营业执照（注册号）：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经济性质：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主营（产）：</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兼营（产）：</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v:textbox>
              </v:rect>
            </w:pict>
          </mc:Fallback>
        </mc:AlternateContent>
      </w: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 xml:space="preserve">                         </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pPr>
        <w:ind w:firstLine="420" w:firstLineChars="200"/>
      </w:pPr>
    </w:p>
    <w:p>
      <w:pPr>
        <w:adjustRightInd w:val="0"/>
        <w:snapToGrid w:val="0"/>
        <w:spacing w:line="360" w:lineRule="auto"/>
        <w:ind w:firstLine="422" w:firstLineChars="200"/>
        <w:rPr>
          <w:rFonts w:hint="eastAsia" w:asciiTheme="minorEastAsia" w:hAnsiTheme="minorEastAsia"/>
          <w:b/>
          <w:snapToGrid w:val="0"/>
          <w:kern w:val="0"/>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0"/>
      <w:r>
        <w:rPr>
          <w:rFonts w:hint="eastAsia" w:asciiTheme="minorEastAsia" w:hAnsiTheme="minorEastAsia"/>
          <w:szCs w:val="21"/>
        </w:rPr>
        <w:t>法定代表人授权委托证明书</w:t>
      </w:r>
    </w:p>
    <w:p>
      <w:pPr>
        <w:keepNext/>
        <w:keepLines/>
        <w:spacing w:before="160" w:after="170"/>
        <w:ind w:firstLine="602" w:firstLineChars="200"/>
        <w:jc w:val="center"/>
        <w:outlineLvl w:val="4"/>
        <w:rPr>
          <w:b/>
          <w:bCs/>
          <w:sz w:val="30"/>
          <w:szCs w:val="28"/>
        </w:rPr>
      </w:pPr>
      <w:bookmarkStart w:id="161" w:name="_Toc55548546"/>
      <w:bookmarkStart w:id="162" w:name="_Toc437"/>
      <w:r>
        <w:rPr>
          <w:rFonts w:hint="eastAsia"/>
          <w:b/>
          <w:bCs/>
          <w:sz w:val="30"/>
          <w:szCs w:val="28"/>
        </w:rPr>
        <w:t>法定代表人授权委托书</w:t>
      </w:r>
      <w:bookmarkEnd w:id="161"/>
    </w:p>
    <w:p>
      <w:pPr>
        <w:spacing w:line="360" w:lineRule="auto"/>
        <w:ind w:firstLine="420" w:firstLineChars="200"/>
        <w:rPr>
          <w:rFonts w:hint="eastAsia"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b/>
          <w:bCs/>
          <w:szCs w:val="21"/>
        </w:rPr>
        <w:t>：</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pPr>
        <w:spacing w:line="360" w:lineRule="auto"/>
        <w:ind w:firstLine="420" w:firstLineChars="200"/>
        <w:rPr>
          <w:rFonts w:hint="eastAsia" w:asciiTheme="minorEastAsia" w:hAnsiTheme="minorEastAsia"/>
          <w:szCs w:val="21"/>
        </w:rPr>
      </w:pPr>
    </w:p>
    <w:p>
      <w:pPr>
        <w:adjustRightInd w:val="0"/>
        <w:snapToGrid w:val="0"/>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附授权代表情况：</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职务：</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身份证号码：</w:t>
      </w:r>
    </w:p>
    <w:p>
      <w:pPr>
        <w:adjustRightInd w:val="0"/>
        <w:snapToGrid w:val="0"/>
        <w:spacing w:line="360" w:lineRule="auto"/>
        <w:ind w:firstLine="420" w:firstLineChars="200"/>
        <w:rPr>
          <w:rFonts w:hint="eastAsia"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 xml:space="preserve">电话：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单位名称：（公章）</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法人代表：（签章）</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pPr>
        <w:spacing w:line="360" w:lineRule="auto"/>
        <w:ind w:firstLine="420" w:firstLineChars="200"/>
        <w:rPr>
          <w:rFonts w:hint="eastAsia" w:asciiTheme="minorEastAsia" w:hAnsiTheme="minorEastAsia"/>
          <w:szCs w:val="21"/>
        </w:rPr>
      </w:pPr>
      <w:bookmarkStart w:id="163"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v:textbox>
              </v:rect>
            </w:pict>
          </mc:Fallback>
        </mc:AlternateContent>
      </w:r>
      <w:bookmarkEnd w:id="163"/>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tabs>
          <w:tab w:val="left" w:pos="5115"/>
        </w:tabs>
        <w:spacing w:line="360" w:lineRule="auto"/>
        <w:ind w:firstLine="420" w:firstLineChars="200"/>
        <w:rPr>
          <w:rFonts w:hint="eastAsia" w:asciiTheme="minorEastAsia" w:hAnsiTheme="minorEastAsia"/>
          <w:szCs w:val="21"/>
        </w:rPr>
      </w:pPr>
      <w:r>
        <w:rPr>
          <w:rFonts w:asciiTheme="minorEastAsia" w:hAnsiTheme="minorEastAsia"/>
          <w:szCs w:val="21"/>
        </w:rPr>
        <w:tab/>
      </w:r>
    </w:p>
    <w:p>
      <w:pPr>
        <w:spacing w:line="360" w:lineRule="auto"/>
        <w:ind w:firstLine="420" w:firstLineChars="200"/>
        <w:rPr>
          <w:rFonts w:hint="eastAsia" w:asciiTheme="minorEastAsia" w:hAnsiTheme="minorEastAsia"/>
          <w:szCs w:val="21"/>
        </w:rPr>
      </w:pPr>
    </w:p>
    <w:p>
      <w:pPr>
        <w:adjustRightInd w:val="0"/>
        <w:snapToGrid w:val="0"/>
        <w:spacing w:line="360" w:lineRule="auto"/>
        <w:ind w:firstLine="422" w:firstLineChars="200"/>
        <w:rPr>
          <w:rFonts w:hint="eastAsia" w:asciiTheme="minorEastAsia" w:hAnsiTheme="minorEastAsia"/>
          <w:b/>
          <w:snapToGrid w:val="0"/>
          <w:kern w:val="0"/>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2"/>
      <w:r>
        <w:rPr>
          <w:rFonts w:hint="eastAsia" w:asciiTheme="minorEastAsia" w:hAnsiTheme="minorEastAsia"/>
          <w:szCs w:val="21"/>
        </w:rPr>
        <w:t>（如有）</w:t>
      </w:r>
    </w:p>
    <w:p>
      <w:pPr>
        <w:keepNext/>
        <w:keepLines/>
        <w:spacing w:before="160" w:after="170"/>
        <w:ind w:firstLine="602" w:firstLineChars="200"/>
        <w:jc w:val="center"/>
        <w:outlineLvl w:val="4"/>
        <w:rPr>
          <w:b/>
          <w:bCs/>
          <w:sz w:val="30"/>
          <w:szCs w:val="28"/>
        </w:rPr>
      </w:pPr>
      <w:bookmarkStart w:id="164" w:name="_Toc55548547"/>
      <w:r>
        <w:rPr>
          <w:rFonts w:hint="eastAsia"/>
          <w:b/>
          <w:bCs/>
          <w:sz w:val="30"/>
          <w:szCs w:val="28"/>
        </w:rPr>
        <w:t>项目实施方案</w:t>
      </w:r>
      <w:bookmarkEnd w:id="164"/>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1、项目实施方案、实施进度表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2、相关配套措施</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（备注：该部分须与“技术保障措施”、“商务需求”等部分承诺的内容相呼应，不得前后矛盾。）</w:t>
      </w:r>
    </w:p>
    <w:p>
      <w:pPr>
        <w:spacing w:line="360" w:lineRule="auto"/>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bookmarkStart w:id="165" w:name="_Toc3861"/>
      <w:bookmarkStart w:id="166" w:name="_Hlk109050114"/>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5"/>
      <w:r>
        <w:rPr>
          <w:rFonts w:hint="eastAsia" w:asciiTheme="minorEastAsia" w:hAnsiTheme="minorEastAsia"/>
          <w:szCs w:val="21"/>
        </w:rPr>
        <w:t>（如有）</w:t>
      </w:r>
      <w:bookmarkEnd w:id="166"/>
    </w:p>
    <w:p>
      <w:pPr>
        <w:keepNext/>
        <w:keepLines/>
        <w:spacing w:before="160" w:after="170"/>
        <w:ind w:firstLine="602" w:firstLineChars="200"/>
        <w:jc w:val="center"/>
        <w:outlineLvl w:val="4"/>
        <w:rPr>
          <w:b/>
          <w:bCs/>
          <w:sz w:val="30"/>
          <w:szCs w:val="28"/>
        </w:rPr>
      </w:pPr>
      <w:bookmarkStart w:id="167" w:name="_Toc55548548"/>
      <w:r>
        <w:rPr>
          <w:rFonts w:hint="eastAsia"/>
          <w:b/>
          <w:bCs/>
          <w:sz w:val="30"/>
          <w:szCs w:val="28"/>
        </w:rPr>
        <w:t>售后服务方案</w:t>
      </w:r>
      <w:bookmarkEnd w:id="167"/>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hint="eastAsia"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pPr>
        <w:spacing w:line="360" w:lineRule="auto"/>
        <w:ind w:firstLine="420" w:firstLineChars="200"/>
        <w:rPr>
          <w:rFonts w:hint="eastAsia"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pPr>
        <w:spacing w:line="360" w:lineRule="auto"/>
        <w:ind w:firstLine="420" w:firstLineChars="200"/>
        <w:rPr>
          <w:rFonts w:hint="eastAsia"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（备注：该部分须与“商务需求”承诺的内容相呼应，不得前后矛盾。）</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：技术规格偏离表（如有）</w:t>
      </w:r>
    </w:p>
    <w:p>
      <w:pPr>
        <w:snapToGrid w:val="0"/>
        <w:spacing w:line="360" w:lineRule="auto"/>
        <w:jc w:val="center"/>
        <w:rPr>
          <w:b/>
        </w:rPr>
      </w:pPr>
      <w:bookmarkStart w:id="168" w:name="_Hlk109050125"/>
      <w:r>
        <w:rPr>
          <w:rFonts w:hint="eastAsia"/>
          <w:b/>
        </w:rPr>
        <w:t>技术规格偏离表</w:t>
      </w:r>
    </w:p>
    <w:bookmarkEnd w:id="168"/>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r>
              <w:rPr>
                <w:rFonts w:hint="eastAsia" w:ascii="宋体" w:hAnsi="宋体"/>
                <w:szCs w:val="21"/>
              </w:rPr>
              <w:t>序号</w:t>
            </w:r>
          </w:p>
        </w:tc>
        <w:tc>
          <w:tcPr>
            <w:tcW w:w="1418" w:type="dxa"/>
            <w:vAlign w:val="center"/>
          </w:tcPr>
          <w:p>
            <w:pPr>
              <w:spacing w:line="360" w:lineRule="auto"/>
              <w:jc w:val="center"/>
              <w:rPr>
                <w:rFonts w:hint="eastAsia" w:ascii="宋体" w:hAnsi="宋体"/>
                <w:szCs w:val="21"/>
              </w:rPr>
            </w:pPr>
            <w:r>
              <w:rPr>
                <w:rFonts w:hint="eastAsia" w:ascii="宋体" w:hAnsi="宋体"/>
                <w:szCs w:val="21"/>
              </w:rPr>
              <w:t>货物名称</w:t>
            </w:r>
          </w:p>
        </w:tc>
        <w:tc>
          <w:tcPr>
            <w:tcW w:w="2482" w:type="dxa"/>
            <w:vAlign w:val="center"/>
          </w:tcPr>
          <w:p>
            <w:pPr>
              <w:spacing w:line="360" w:lineRule="auto"/>
              <w:jc w:val="center"/>
              <w:rPr>
                <w:rFonts w:hint="eastAsia"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hint="eastAsia"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hint="eastAsia" w:ascii="宋体" w:hAnsi="宋体"/>
                <w:szCs w:val="21"/>
              </w:rPr>
            </w:pPr>
            <w:r>
              <w:rPr>
                <w:rFonts w:hint="eastAsia" w:ascii="宋体" w:hAnsi="宋体"/>
                <w:szCs w:val="21"/>
              </w:rPr>
              <w:t>偏离情况</w:t>
            </w:r>
          </w:p>
        </w:tc>
        <w:tc>
          <w:tcPr>
            <w:tcW w:w="2304" w:type="dxa"/>
            <w:vAlign w:val="center"/>
          </w:tcPr>
          <w:p>
            <w:pPr>
              <w:spacing w:line="360" w:lineRule="auto"/>
              <w:jc w:val="center"/>
              <w:rPr>
                <w:rFonts w:hint="eastAsia"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jc w:val="center"/>
              <w:rPr>
                <w:rFonts w:hint="eastAsia"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bl>
    <w:p>
      <w:pPr>
        <w:spacing w:line="360" w:lineRule="auto"/>
        <w:ind w:firstLine="420" w:firstLineChars="200"/>
        <w:rPr>
          <w:rFonts w:hint="eastAsia"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jc w:val="right"/>
      <w:rPr>
        <w:sz w:val="21"/>
        <w:szCs w:val="21"/>
      </w:rPr>
    </w:pPr>
    <w:bookmarkStart w:id="169" w:name="_Hlk69568634"/>
    <w:bookmarkStart w:id="170" w:name="_Hlk69568635"/>
    <w:r>
      <w:rPr>
        <w:rFonts w:hint="eastAsia"/>
        <w:sz w:val="21"/>
        <w:szCs w:val="21"/>
      </w:rPr>
      <w:t>深圳市宝安区疾病预防控制中心采购文件</w:t>
    </w:r>
    <w:bookmarkEnd w:id="169"/>
    <w:bookmarkEnd w:id="17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pStyle w:val="40"/>
      <w:lvlText w:val="%1."/>
      <w:lvlJc w:val="left"/>
      <w:pPr>
        <w:tabs>
          <w:tab w:val="left" w:pos="312"/>
        </w:tabs>
      </w:pPr>
    </w:lvl>
  </w:abstractNum>
  <w:abstractNum w:abstractNumId="1">
    <w:nsid w:val="5F673315"/>
    <w:multiLevelType w:val="multilevel"/>
    <w:tmpl w:val="5F673315"/>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 w:name="KSO_WPS_MARK_KEY" w:val="db16ec3b-6cc4-4574-829d-6686c8dec960"/>
  </w:docVars>
  <w:rsids>
    <w:rsidRoot w:val="00B27035"/>
    <w:rsid w:val="0000394F"/>
    <w:rsid w:val="00007A13"/>
    <w:rsid w:val="0001637F"/>
    <w:rsid w:val="00016C99"/>
    <w:rsid w:val="00016D41"/>
    <w:rsid w:val="00016DCD"/>
    <w:rsid w:val="00020F66"/>
    <w:rsid w:val="000236B7"/>
    <w:rsid w:val="00026541"/>
    <w:rsid w:val="000272A3"/>
    <w:rsid w:val="0003138A"/>
    <w:rsid w:val="0004025C"/>
    <w:rsid w:val="00042723"/>
    <w:rsid w:val="00046F21"/>
    <w:rsid w:val="00050084"/>
    <w:rsid w:val="000530FF"/>
    <w:rsid w:val="00053E10"/>
    <w:rsid w:val="000620DD"/>
    <w:rsid w:val="000627B7"/>
    <w:rsid w:val="00063FB1"/>
    <w:rsid w:val="000642AA"/>
    <w:rsid w:val="0006774B"/>
    <w:rsid w:val="00073E9D"/>
    <w:rsid w:val="0007537F"/>
    <w:rsid w:val="00081A9E"/>
    <w:rsid w:val="00081D87"/>
    <w:rsid w:val="00084CCE"/>
    <w:rsid w:val="0008691A"/>
    <w:rsid w:val="00086C55"/>
    <w:rsid w:val="00086E51"/>
    <w:rsid w:val="00090FD5"/>
    <w:rsid w:val="00092A23"/>
    <w:rsid w:val="0009642E"/>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D08A9"/>
    <w:rsid w:val="000D2EB8"/>
    <w:rsid w:val="000D2FD9"/>
    <w:rsid w:val="000D476C"/>
    <w:rsid w:val="000D6859"/>
    <w:rsid w:val="000D68FB"/>
    <w:rsid w:val="000E5888"/>
    <w:rsid w:val="000F0F3D"/>
    <w:rsid w:val="000F101F"/>
    <w:rsid w:val="000F22EF"/>
    <w:rsid w:val="000F2D0A"/>
    <w:rsid w:val="000F6C66"/>
    <w:rsid w:val="000F708B"/>
    <w:rsid w:val="0010066B"/>
    <w:rsid w:val="00100950"/>
    <w:rsid w:val="001043DC"/>
    <w:rsid w:val="00105F6E"/>
    <w:rsid w:val="00111B38"/>
    <w:rsid w:val="00112A97"/>
    <w:rsid w:val="00113156"/>
    <w:rsid w:val="00115CD5"/>
    <w:rsid w:val="0011797C"/>
    <w:rsid w:val="00125726"/>
    <w:rsid w:val="00125ACF"/>
    <w:rsid w:val="00125C6A"/>
    <w:rsid w:val="001271A8"/>
    <w:rsid w:val="0012743D"/>
    <w:rsid w:val="00127C7B"/>
    <w:rsid w:val="00130814"/>
    <w:rsid w:val="001329BA"/>
    <w:rsid w:val="00132BE3"/>
    <w:rsid w:val="0013335C"/>
    <w:rsid w:val="00136300"/>
    <w:rsid w:val="00136387"/>
    <w:rsid w:val="00137876"/>
    <w:rsid w:val="001465AC"/>
    <w:rsid w:val="0014672D"/>
    <w:rsid w:val="00146F48"/>
    <w:rsid w:val="0015271F"/>
    <w:rsid w:val="001530A4"/>
    <w:rsid w:val="00154141"/>
    <w:rsid w:val="00161418"/>
    <w:rsid w:val="001624BB"/>
    <w:rsid w:val="00162B15"/>
    <w:rsid w:val="00163FBC"/>
    <w:rsid w:val="00165B6A"/>
    <w:rsid w:val="001678F7"/>
    <w:rsid w:val="00170E6B"/>
    <w:rsid w:val="00174304"/>
    <w:rsid w:val="00174DAC"/>
    <w:rsid w:val="001750E4"/>
    <w:rsid w:val="00180C24"/>
    <w:rsid w:val="001810ED"/>
    <w:rsid w:val="001813DD"/>
    <w:rsid w:val="00183CCF"/>
    <w:rsid w:val="00184BFC"/>
    <w:rsid w:val="00186E97"/>
    <w:rsid w:val="00187BC0"/>
    <w:rsid w:val="001905F7"/>
    <w:rsid w:val="00192254"/>
    <w:rsid w:val="001930C9"/>
    <w:rsid w:val="001938DE"/>
    <w:rsid w:val="0019395A"/>
    <w:rsid w:val="00195A48"/>
    <w:rsid w:val="00196D20"/>
    <w:rsid w:val="001A36D0"/>
    <w:rsid w:val="001A4CC2"/>
    <w:rsid w:val="001A5C2B"/>
    <w:rsid w:val="001A7960"/>
    <w:rsid w:val="001B12BF"/>
    <w:rsid w:val="001B287A"/>
    <w:rsid w:val="001B54B5"/>
    <w:rsid w:val="001C3456"/>
    <w:rsid w:val="001C421C"/>
    <w:rsid w:val="001C42E8"/>
    <w:rsid w:val="001C7175"/>
    <w:rsid w:val="001C7613"/>
    <w:rsid w:val="001D1242"/>
    <w:rsid w:val="001D1989"/>
    <w:rsid w:val="001D283D"/>
    <w:rsid w:val="001D5451"/>
    <w:rsid w:val="001D7F0D"/>
    <w:rsid w:val="001E5120"/>
    <w:rsid w:val="001E6147"/>
    <w:rsid w:val="001F5585"/>
    <w:rsid w:val="00202216"/>
    <w:rsid w:val="002023D7"/>
    <w:rsid w:val="00204EC0"/>
    <w:rsid w:val="00205563"/>
    <w:rsid w:val="00205A0F"/>
    <w:rsid w:val="00207D31"/>
    <w:rsid w:val="002137BD"/>
    <w:rsid w:val="00216C6D"/>
    <w:rsid w:val="00217F05"/>
    <w:rsid w:val="002219B9"/>
    <w:rsid w:val="002243E9"/>
    <w:rsid w:val="0022497B"/>
    <w:rsid w:val="00226F6C"/>
    <w:rsid w:val="00227BE1"/>
    <w:rsid w:val="00227CFD"/>
    <w:rsid w:val="0023071D"/>
    <w:rsid w:val="00232ED4"/>
    <w:rsid w:val="00234ACA"/>
    <w:rsid w:val="002350B3"/>
    <w:rsid w:val="00235B08"/>
    <w:rsid w:val="002429FB"/>
    <w:rsid w:val="00245BA9"/>
    <w:rsid w:val="002514E8"/>
    <w:rsid w:val="00253FCC"/>
    <w:rsid w:val="0025405F"/>
    <w:rsid w:val="002549AE"/>
    <w:rsid w:val="00255705"/>
    <w:rsid w:val="002570EC"/>
    <w:rsid w:val="002577FC"/>
    <w:rsid w:val="002607D8"/>
    <w:rsid w:val="00262959"/>
    <w:rsid w:val="00262E3B"/>
    <w:rsid w:val="00264146"/>
    <w:rsid w:val="00265E01"/>
    <w:rsid w:val="00265ED8"/>
    <w:rsid w:val="00267B16"/>
    <w:rsid w:val="00270DED"/>
    <w:rsid w:val="00270EE6"/>
    <w:rsid w:val="002732D3"/>
    <w:rsid w:val="00273963"/>
    <w:rsid w:val="002739A8"/>
    <w:rsid w:val="00273DD4"/>
    <w:rsid w:val="00274ADF"/>
    <w:rsid w:val="00274F47"/>
    <w:rsid w:val="00275639"/>
    <w:rsid w:val="002830A3"/>
    <w:rsid w:val="00283FB4"/>
    <w:rsid w:val="002844D3"/>
    <w:rsid w:val="002849C2"/>
    <w:rsid w:val="00285211"/>
    <w:rsid w:val="00287092"/>
    <w:rsid w:val="0028748D"/>
    <w:rsid w:val="002905B6"/>
    <w:rsid w:val="0029095D"/>
    <w:rsid w:val="00291628"/>
    <w:rsid w:val="00291C54"/>
    <w:rsid w:val="002969AC"/>
    <w:rsid w:val="00297795"/>
    <w:rsid w:val="002A4499"/>
    <w:rsid w:val="002A5BFA"/>
    <w:rsid w:val="002B7314"/>
    <w:rsid w:val="002C089E"/>
    <w:rsid w:val="002C0C26"/>
    <w:rsid w:val="002C12DB"/>
    <w:rsid w:val="002C4251"/>
    <w:rsid w:val="002D063D"/>
    <w:rsid w:val="002D3543"/>
    <w:rsid w:val="002D5E47"/>
    <w:rsid w:val="002D70BB"/>
    <w:rsid w:val="002E00B6"/>
    <w:rsid w:val="002E0D63"/>
    <w:rsid w:val="002E202E"/>
    <w:rsid w:val="002E3D64"/>
    <w:rsid w:val="002E5E70"/>
    <w:rsid w:val="002F46DB"/>
    <w:rsid w:val="002F4C12"/>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39BF"/>
    <w:rsid w:val="00335D20"/>
    <w:rsid w:val="00336B2B"/>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339D"/>
    <w:rsid w:val="003765D8"/>
    <w:rsid w:val="00376712"/>
    <w:rsid w:val="00386497"/>
    <w:rsid w:val="00387FB4"/>
    <w:rsid w:val="003904C8"/>
    <w:rsid w:val="00391518"/>
    <w:rsid w:val="0039298C"/>
    <w:rsid w:val="003948C4"/>
    <w:rsid w:val="00395BD5"/>
    <w:rsid w:val="003A1AAA"/>
    <w:rsid w:val="003A2EF2"/>
    <w:rsid w:val="003A71E2"/>
    <w:rsid w:val="003B2B54"/>
    <w:rsid w:val="003B4C25"/>
    <w:rsid w:val="003B533D"/>
    <w:rsid w:val="003B5F69"/>
    <w:rsid w:val="003B664A"/>
    <w:rsid w:val="003C2BD3"/>
    <w:rsid w:val="003D0F25"/>
    <w:rsid w:val="003D1BFD"/>
    <w:rsid w:val="003D1C8B"/>
    <w:rsid w:val="003D3A10"/>
    <w:rsid w:val="003D3BF6"/>
    <w:rsid w:val="003D3E40"/>
    <w:rsid w:val="003D56EF"/>
    <w:rsid w:val="003E2496"/>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260C9"/>
    <w:rsid w:val="00426ED1"/>
    <w:rsid w:val="00430C33"/>
    <w:rsid w:val="00431B05"/>
    <w:rsid w:val="00432BF0"/>
    <w:rsid w:val="004434FC"/>
    <w:rsid w:val="00444B83"/>
    <w:rsid w:val="004478C6"/>
    <w:rsid w:val="004503FE"/>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1DD3"/>
    <w:rsid w:val="00483481"/>
    <w:rsid w:val="0048440E"/>
    <w:rsid w:val="00484718"/>
    <w:rsid w:val="004865A3"/>
    <w:rsid w:val="00486C6A"/>
    <w:rsid w:val="00486D13"/>
    <w:rsid w:val="00487BC8"/>
    <w:rsid w:val="00491DD6"/>
    <w:rsid w:val="00492556"/>
    <w:rsid w:val="00492D8F"/>
    <w:rsid w:val="00494048"/>
    <w:rsid w:val="004970F8"/>
    <w:rsid w:val="00497DBD"/>
    <w:rsid w:val="004A0DAF"/>
    <w:rsid w:val="004A34CF"/>
    <w:rsid w:val="004A44DC"/>
    <w:rsid w:val="004A46F4"/>
    <w:rsid w:val="004A4795"/>
    <w:rsid w:val="004A4B94"/>
    <w:rsid w:val="004B08D4"/>
    <w:rsid w:val="004B0DCA"/>
    <w:rsid w:val="004B2A93"/>
    <w:rsid w:val="004B4E87"/>
    <w:rsid w:val="004B539D"/>
    <w:rsid w:val="004B6E5B"/>
    <w:rsid w:val="004C08AC"/>
    <w:rsid w:val="004C0B66"/>
    <w:rsid w:val="004C1071"/>
    <w:rsid w:val="004C3F49"/>
    <w:rsid w:val="004D1B14"/>
    <w:rsid w:val="004D4DA5"/>
    <w:rsid w:val="004D6847"/>
    <w:rsid w:val="004E07C0"/>
    <w:rsid w:val="004E1528"/>
    <w:rsid w:val="004E308C"/>
    <w:rsid w:val="004E46CB"/>
    <w:rsid w:val="004E725F"/>
    <w:rsid w:val="004F0148"/>
    <w:rsid w:val="004F2B76"/>
    <w:rsid w:val="004F3645"/>
    <w:rsid w:val="004F570E"/>
    <w:rsid w:val="00500D01"/>
    <w:rsid w:val="00504CFF"/>
    <w:rsid w:val="00505176"/>
    <w:rsid w:val="00506D14"/>
    <w:rsid w:val="0051196C"/>
    <w:rsid w:val="0051279C"/>
    <w:rsid w:val="005137DA"/>
    <w:rsid w:val="00513BF2"/>
    <w:rsid w:val="005173A6"/>
    <w:rsid w:val="005214AC"/>
    <w:rsid w:val="00521779"/>
    <w:rsid w:val="00521E40"/>
    <w:rsid w:val="00521EBF"/>
    <w:rsid w:val="00526344"/>
    <w:rsid w:val="00527EDC"/>
    <w:rsid w:val="00531911"/>
    <w:rsid w:val="00532B33"/>
    <w:rsid w:val="00535144"/>
    <w:rsid w:val="005352E1"/>
    <w:rsid w:val="00535430"/>
    <w:rsid w:val="00536246"/>
    <w:rsid w:val="005446C7"/>
    <w:rsid w:val="005472BC"/>
    <w:rsid w:val="0054740D"/>
    <w:rsid w:val="00552059"/>
    <w:rsid w:val="00552C93"/>
    <w:rsid w:val="005561D7"/>
    <w:rsid w:val="00561C21"/>
    <w:rsid w:val="00561D31"/>
    <w:rsid w:val="00563895"/>
    <w:rsid w:val="005645E6"/>
    <w:rsid w:val="0056787E"/>
    <w:rsid w:val="00567D46"/>
    <w:rsid w:val="00575615"/>
    <w:rsid w:val="0057769D"/>
    <w:rsid w:val="0058113E"/>
    <w:rsid w:val="0058285B"/>
    <w:rsid w:val="00583310"/>
    <w:rsid w:val="005846F2"/>
    <w:rsid w:val="005849A9"/>
    <w:rsid w:val="00584F0C"/>
    <w:rsid w:val="005854FB"/>
    <w:rsid w:val="00585A02"/>
    <w:rsid w:val="00586966"/>
    <w:rsid w:val="00591CA5"/>
    <w:rsid w:val="00591D1A"/>
    <w:rsid w:val="00592F00"/>
    <w:rsid w:val="0059488B"/>
    <w:rsid w:val="00594D83"/>
    <w:rsid w:val="005A14F3"/>
    <w:rsid w:val="005A1CC5"/>
    <w:rsid w:val="005A5612"/>
    <w:rsid w:val="005B22A4"/>
    <w:rsid w:val="005B2452"/>
    <w:rsid w:val="005B4C1F"/>
    <w:rsid w:val="005B7C95"/>
    <w:rsid w:val="005C0612"/>
    <w:rsid w:val="005C0DB9"/>
    <w:rsid w:val="005C0FF6"/>
    <w:rsid w:val="005C18B9"/>
    <w:rsid w:val="005C21EE"/>
    <w:rsid w:val="005C376C"/>
    <w:rsid w:val="005C39EA"/>
    <w:rsid w:val="005C79BB"/>
    <w:rsid w:val="005D2961"/>
    <w:rsid w:val="005D2B9C"/>
    <w:rsid w:val="005D2D8F"/>
    <w:rsid w:val="005D6EF3"/>
    <w:rsid w:val="005D7164"/>
    <w:rsid w:val="005D7190"/>
    <w:rsid w:val="005E0466"/>
    <w:rsid w:val="005E11F0"/>
    <w:rsid w:val="005E12D5"/>
    <w:rsid w:val="005F3217"/>
    <w:rsid w:val="005F34BB"/>
    <w:rsid w:val="005F72F4"/>
    <w:rsid w:val="005F73F0"/>
    <w:rsid w:val="006058BB"/>
    <w:rsid w:val="00606500"/>
    <w:rsid w:val="00606715"/>
    <w:rsid w:val="00611947"/>
    <w:rsid w:val="00617363"/>
    <w:rsid w:val="00621F05"/>
    <w:rsid w:val="006224E7"/>
    <w:rsid w:val="00623981"/>
    <w:rsid w:val="00624FEC"/>
    <w:rsid w:val="0062754D"/>
    <w:rsid w:val="006345F3"/>
    <w:rsid w:val="00635A1A"/>
    <w:rsid w:val="006407B7"/>
    <w:rsid w:val="0064183A"/>
    <w:rsid w:val="0065138F"/>
    <w:rsid w:val="00651FD0"/>
    <w:rsid w:val="00653282"/>
    <w:rsid w:val="00655479"/>
    <w:rsid w:val="006555F7"/>
    <w:rsid w:val="0065567F"/>
    <w:rsid w:val="006557EE"/>
    <w:rsid w:val="00655894"/>
    <w:rsid w:val="006568AF"/>
    <w:rsid w:val="00660AF8"/>
    <w:rsid w:val="00660BB2"/>
    <w:rsid w:val="006617BD"/>
    <w:rsid w:val="00663633"/>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A3665"/>
    <w:rsid w:val="006B10AC"/>
    <w:rsid w:val="006B15B6"/>
    <w:rsid w:val="006B1DB6"/>
    <w:rsid w:val="006B2D41"/>
    <w:rsid w:val="006B2FC4"/>
    <w:rsid w:val="006B302C"/>
    <w:rsid w:val="006B39F9"/>
    <w:rsid w:val="006B5CA7"/>
    <w:rsid w:val="006C2747"/>
    <w:rsid w:val="006C5653"/>
    <w:rsid w:val="006C60D3"/>
    <w:rsid w:val="006D0495"/>
    <w:rsid w:val="006D0AA6"/>
    <w:rsid w:val="006D1068"/>
    <w:rsid w:val="006D36F6"/>
    <w:rsid w:val="006D52B6"/>
    <w:rsid w:val="006D63F9"/>
    <w:rsid w:val="006D67E5"/>
    <w:rsid w:val="006D74CC"/>
    <w:rsid w:val="006E3571"/>
    <w:rsid w:val="006F230A"/>
    <w:rsid w:val="006F34C6"/>
    <w:rsid w:val="006F41DA"/>
    <w:rsid w:val="00705BD8"/>
    <w:rsid w:val="007067D3"/>
    <w:rsid w:val="0071157C"/>
    <w:rsid w:val="00712BD7"/>
    <w:rsid w:val="00715E57"/>
    <w:rsid w:val="00721170"/>
    <w:rsid w:val="007231EE"/>
    <w:rsid w:val="0072335A"/>
    <w:rsid w:val="00724B87"/>
    <w:rsid w:val="0072569C"/>
    <w:rsid w:val="0073452B"/>
    <w:rsid w:val="007459E7"/>
    <w:rsid w:val="007506FD"/>
    <w:rsid w:val="00751A67"/>
    <w:rsid w:val="007549C8"/>
    <w:rsid w:val="007554E3"/>
    <w:rsid w:val="0075689D"/>
    <w:rsid w:val="00762137"/>
    <w:rsid w:val="00766224"/>
    <w:rsid w:val="00766F64"/>
    <w:rsid w:val="00767104"/>
    <w:rsid w:val="00767478"/>
    <w:rsid w:val="007674F3"/>
    <w:rsid w:val="0077138C"/>
    <w:rsid w:val="00773E51"/>
    <w:rsid w:val="007754EA"/>
    <w:rsid w:val="007911A0"/>
    <w:rsid w:val="00792052"/>
    <w:rsid w:val="0079207E"/>
    <w:rsid w:val="00793A6A"/>
    <w:rsid w:val="00793E70"/>
    <w:rsid w:val="00795EEA"/>
    <w:rsid w:val="007A2875"/>
    <w:rsid w:val="007A31B9"/>
    <w:rsid w:val="007A351F"/>
    <w:rsid w:val="007A5E09"/>
    <w:rsid w:val="007A6077"/>
    <w:rsid w:val="007A7D9F"/>
    <w:rsid w:val="007B0B0E"/>
    <w:rsid w:val="007B1962"/>
    <w:rsid w:val="007B2CF3"/>
    <w:rsid w:val="007B4661"/>
    <w:rsid w:val="007B4C65"/>
    <w:rsid w:val="007B71E6"/>
    <w:rsid w:val="007C65B3"/>
    <w:rsid w:val="007C6D54"/>
    <w:rsid w:val="007D2242"/>
    <w:rsid w:val="007D60DA"/>
    <w:rsid w:val="007E14DB"/>
    <w:rsid w:val="007E1EFD"/>
    <w:rsid w:val="007E21BE"/>
    <w:rsid w:val="007E2F5A"/>
    <w:rsid w:val="007E3C03"/>
    <w:rsid w:val="007E4868"/>
    <w:rsid w:val="007E5008"/>
    <w:rsid w:val="007E639A"/>
    <w:rsid w:val="007E6A9D"/>
    <w:rsid w:val="007F11C6"/>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55C7"/>
    <w:rsid w:val="00850054"/>
    <w:rsid w:val="0085171D"/>
    <w:rsid w:val="00854F19"/>
    <w:rsid w:val="008565A0"/>
    <w:rsid w:val="00857094"/>
    <w:rsid w:val="00861A84"/>
    <w:rsid w:val="00865720"/>
    <w:rsid w:val="00870650"/>
    <w:rsid w:val="00871AB4"/>
    <w:rsid w:val="00871E49"/>
    <w:rsid w:val="008737E6"/>
    <w:rsid w:val="008747B2"/>
    <w:rsid w:val="00875B2C"/>
    <w:rsid w:val="0087626E"/>
    <w:rsid w:val="00877379"/>
    <w:rsid w:val="008807FE"/>
    <w:rsid w:val="00881C68"/>
    <w:rsid w:val="0088252F"/>
    <w:rsid w:val="00885641"/>
    <w:rsid w:val="008861D0"/>
    <w:rsid w:val="00886513"/>
    <w:rsid w:val="00887EC0"/>
    <w:rsid w:val="00893352"/>
    <w:rsid w:val="00893BD2"/>
    <w:rsid w:val="008A25D3"/>
    <w:rsid w:val="008A45A9"/>
    <w:rsid w:val="008A4861"/>
    <w:rsid w:val="008A4CB4"/>
    <w:rsid w:val="008A5E40"/>
    <w:rsid w:val="008A65A3"/>
    <w:rsid w:val="008A6A3B"/>
    <w:rsid w:val="008B1F31"/>
    <w:rsid w:val="008B2E71"/>
    <w:rsid w:val="008B64EF"/>
    <w:rsid w:val="008B7729"/>
    <w:rsid w:val="008C2C7E"/>
    <w:rsid w:val="008C3446"/>
    <w:rsid w:val="008C43EE"/>
    <w:rsid w:val="008C480B"/>
    <w:rsid w:val="008C7B89"/>
    <w:rsid w:val="008C7C25"/>
    <w:rsid w:val="008D187D"/>
    <w:rsid w:val="008D19C5"/>
    <w:rsid w:val="008D1E8F"/>
    <w:rsid w:val="008D26F9"/>
    <w:rsid w:val="008D3CDF"/>
    <w:rsid w:val="008D5116"/>
    <w:rsid w:val="008E0FFC"/>
    <w:rsid w:val="008E2F0D"/>
    <w:rsid w:val="008E4F01"/>
    <w:rsid w:val="008E53DE"/>
    <w:rsid w:val="008E756B"/>
    <w:rsid w:val="008F4FC5"/>
    <w:rsid w:val="008F55F8"/>
    <w:rsid w:val="008F59A9"/>
    <w:rsid w:val="008F7F64"/>
    <w:rsid w:val="009016ED"/>
    <w:rsid w:val="009023CA"/>
    <w:rsid w:val="009063D1"/>
    <w:rsid w:val="00911F33"/>
    <w:rsid w:val="0091227D"/>
    <w:rsid w:val="00912EFF"/>
    <w:rsid w:val="00913747"/>
    <w:rsid w:val="00913757"/>
    <w:rsid w:val="00916D2F"/>
    <w:rsid w:val="0092132F"/>
    <w:rsid w:val="009240C5"/>
    <w:rsid w:val="00930AE6"/>
    <w:rsid w:val="009316D6"/>
    <w:rsid w:val="0093453E"/>
    <w:rsid w:val="009419C6"/>
    <w:rsid w:val="00945543"/>
    <w:rsid w:val="00945D1E"/>
    <w:rsid w:val="009462F5"/>
    <w:rsid w:val="00947380"/>
    <w:rsid w:val="009509C6"/>
    <w:rsid w:val="00953BDB"/>
    <w:rsid w:val="009550B7"/>
    <w:rsid w:val="009551C2"/>
    <w:rsid w:val="00955F27"/>
    <w:rsid w:val="009577F3"/>
    <w:rsid w:val="00957AAC"/>
    <w:rsid w:val="00963C1D"/>
    <w:rsid w:val="00966013"/>
    <w:rsid w:val="009763C1"/>
    <w:rsid w:val="00977FBA"/>
    <w:rsid w:val="009817D5"/>
    <w:rsid w:val="009828B2"/>
    <w:rsid w:val="00983F17"/>
    <w:rsid w:val="00986C27"/>
    <w:rsid w:val="009940DA"/>
    <w:rsid w:val="009A14F1"/>
    <w:rsid w:val="009A14FC"/>
    <w:rsid w:val="009A2C14"/>
    <w:rsid w:val="009A2D94"/>
    <w:rsid w:val="009A312F"/>
    <w:rsid w:val="009A677E"/>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5340"/>
    <w:rsid w:val="009D69AC"/>
    <w:rsid w:val="009E2191"/>
    <w:rsid w:val="009E2DF6"/>
    <w:rsid w:val="009E33AD"/>
    <w:rsid w:val="009E489A"/>
    <w:rsid w:val="009E5198"/>
    <w:rsid w:val="009E7909"/>
    <w:rsid w:val="009E7AED"/>
    <w:rsid w:val="009F1980"/>
    <w:rsid w:val="009F3DD5"/>
    <w:rsid w:val="009F44F1"/>
    <w:rsid w:val="009F51D2"/>
    <w:rsid w:val="009F55D5"/>
    <w:rsid w:val="009F6601"/>
    <w:rsid w:val="009F718C"/>
    <w:rsid w:val="00A027F7"/>
    <w:rsid w:val="00A02C9B"/>
    <w:rsid w:val="00A02E18"/>
    <w:rsid w:val="00A032CD"/>
    <w:rsid w:val="00A069B6"/>
    <w:rsid w:val="00A06EA2"/>
    <w:rsid w:val="00A074EF"/>
    <w:rsid w:val="00A10E96"/>
    <w:rsid w:val="00A142B0"/>
    <w:rsid w:val="00A14D8B"/>
    <w:rsid w:val="00A162F6"/>
    <w:rsid w:val="00A1645C"/>
    <w:rsid w:val="00A1664A"/>
    <w:rsid w:val="00A169C0"/>
    <w:rsid w:val="00A201D9"/>
    <w:rsid w:val="00A239ED"/>
    <w:rsid w:val="00A24AE0"/>
    <w:rsid w:val="00A310B6"/>
    <w:rsid w:val="00A31944"/>
    <w:rsid w:val="00A374C0"/>
    <w:rsid w:val="00A45F09"/>
    <w:rsid w:val="00A46D3B"/>
    <w:rsid w:val="00A502C8"/>
    <w:rsid w:val="00A5098C"/>
    <w:rsid w:val="00A51C85"/>
    <w:rsid w:val="00A55D91"/>
    <w:rsid w:val="00A56485"/>
    <w:rsid w:val="00A57EBB"/>
    <w:rsid w:val="00A60952"/>
    <w:rsid w:val="00A60D7F"/>
    <w:rsid w:val="00A60D89"/>
    <w:rsid w:val="00A60EC4"/>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B5CB3"/>
    <w:rsid w:val="00AB5D1D"/>
    <w:rsid w:val="00AC07BC"/>
    <w:rsid w:val="00AC0D8B"/>
    <w:rsid w:val="00AC3837"/>
    <w:rsid w:val="00AC44F0"/>
    <w:rsid w:val="00AC5EF8"/>
    <w:rsid w:val="00AD2111"/>
    <w:rsid w:val="00AD21D5"/>
    <w:rsid w:val="00AD42B4"/>
    <w:rsid w:val="00AD50B7"/>
    <w:rsid w:val="00AD7E8D"/>
    <w:rsid w:val="00AE032D"/>
    <w:rsid w:val="00AE449B"/>
    <w:rsid w:val="00AE72AB"/>
    <w:rsid w:val="00AE76C7"/>
    <w:rsid w:val="00AE78B1"/>
    <w:rsid w:val="00AF2E0D"/>
    <w:rsid w:val="00AF3EA3"/>
    <w:rsid w:val="00AF4405"/>
    <w:rsid w:val="00AF740C"/>
    <w:rsid w:val="00B00ACC"/>
    <w:rsid w:val="00B00C44"/>
    <w:rsid w:val="00B00ED0"/>
    <w:rsid w:val="00B02508"/>
    <w:rsid w:val="00B02C9B"/>
    <w:rsid w:val="00B0526C"/>
    <w:rsid w:val="00B13AB1"/>
    <w:rsid w:val="00B15B96"/>
    <w:rsid w:val="00B17A94"/>
    <w:rsid w:val="00B21FB4"/>
    <w:rsid w:val="00B27035"/>
    <w:rsid w:val="00B276CC"/>
    <w:rsid w:val="00B30B35"/>
    <w:rsid w:val="00B32F32"/>
    <w:rsid w:val="00B331DF"/>
    <w:rsid w:val="00B35B9D"/>
    <w:rsid w:val="00B4196D"/>
    <w:rsid w:val="00B42A58"/>
    <w:rsid w:val="00B4633F"/>
    <w:rsid w:val="00B50DB2"/>
    <w:rsid w:val="00B524CE"/>
    <w:rsid w:val="00B5284E"/>
    <w:rsid w:val="00B52968"/>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4DF"/>
    <w:rsid w:val="00B77508"/>
    <w:rsid w:val="00B775C9"/>
    <w:rsid w:val="00B77E1B"/>
    <w:rsid w:val="00B80124"/>
    <w:rsid w:val="00B90217"/>
    <w:rsid w:val="00B90430"/>
    <w:rsid w:val="00B938C7"/>
    <w:rsid w:val="00B96CC4"/>
    <w:rsid w:val="00BA1DAD"/>
    <w:rsid w:val="00BA25AD"/>
    <w:rsid w:val="00BA28BD"/>
    <w:rsid w:val="00BA5D8C"/>
    <w:rsid w:val="00BB53C8"/>
    <w:rsid w:val="00BC0516"/>
    <w:rsid w:val="00BC13E7"/>
    <w:rsid w:val="00BC2FED"/>
    <w:rsid w:val="00BC3264"/>
    <w:rsid w:val="00BC3A3D"/>
    <w:rsid w:val="00BC4182"/>
    <w:rsid w:val="00BC4AA0"/>
    <w:rsid w:val="00BC71EC"/>
    <w:rsid w:val="00BD0B8A"/>
    <w:rsid w:val="00BD351E"/>
    <w:rsid w:val="00BD46C4"/>
    <w:rsid w:val="00BD5917"/>
    <w:rsid w:val="00BD5C35"/>
    <w:rsid w:val="00BD7DAB"/>
    <w:rsid w:val="00BE1D99"/>
    <w:rsid w:val="00BE23B9"/>
    <w:rsid w:val="00BE4657"/>
    <w:rsid w:val="00BE5986"/>
    <w:rsid w:val="00BF1223"/>
    <w:rsid w:val="00BF3ADD"/>
    <w:rsid w:val="00BF51A1"/>
    <w:rsid w:val="00BF6E77"/>
    <w:rsid w:val="00C00565"/>
    <w:rsid w:val="00C0683B"/>
    <w:rsid w:val="00C11BAF"/>
    <w:rsid w:val="00C17C22"/>
    <w:rsid w:val="00C20EEA"/>
    <w:rsid w:val="00C21F05"/>
    <w:rsid w:val="00C24421"/>
    <w:rsid w:val="00C25B04"/>
    <w:rsid w:val="00C30332"/>
    <w:rsid w:val="00C33FC8"/>
    <w:rsid w:val="00C349AB"/>
    <w:rsid w:val="00C37BAB"/>
    <w:rsid w:val="00C4123C"/>
    <w:rsid w:val="00C4135E"/>
    <w:rsid w:val="00C42C4C"/>
    <w:rsid w:val="00C435EF"/>
    <w:rsid w:val="00C436B7"/>
    <w:rsid w:val="00C43A9E"/>
    <w:rsid w:val="00C445BC"/>
    <w:rsid w:val="00C452E0"/>
    <w:rsid w:val="00C45A07"/>
    <w:rsid w:val="00C461C0"/>
    <w:rsid w:val="00C51038"/>
    <w:rsid w:val="00C53685"/>
    <w:rsid w:val="00C53B8C"/>
    <w:rsid w:val="00C54590"/>
    <w:rsid w:val="00C54C0A"/>
    <w:rsid w:val="00C55B4E"/>
    <w:rsid w:val="00C60169"/>
    <w:rsid w:val="00C609F7"/>
    <w:rsid w:val="00C60C70"/>
    <w:rsid w:val="00C63322"/>
    <w:rsid w:val="00C63DBA"/>
    <w:rsid w:val="00C66F8B"/>
    <w:rsid w:val="00C6752C"/>
    <w:rsid w:val="00C77418"/>
    <w:rsid w:val="00C87668"/>
    <w:rsid w:val="00C9059A"/>
    <w:rsid w:val="00C912A5"/>
    <w:rsid w:val="00C92E18"/>
    <w:rsid w:val="00C93E17"/>
    <w:rsid w:val="00C96F99"/>
    <w:rsid w:val="00C97ECB"/>
    <w:rsid w:val="00CA03D2"/>
    <w:rsid w:val="00CA17E0"/>
    <w:rsid w:val="00CA3542"/>
    <w:rsid w:val="00CA64A0"/>
    <w:rsid w:val="00CA6E11"/>
    <w:rsid w:val="00CB53A1"/>
    <w:rsid w:val="00CB682E"/>
    <w:rsid w:val="00CB6C22"/>
    <w:rsid w:val="00CB6EF7"/>
    <w:rsid w:val="00CC0B91"/>
    <w:rsid w:val="00CC2104"/>
    <w:rsid w:val="00CC2DFF"/>
    <w:rsid w:val="00CC3BAE"/>
    <w:rsid w:val="00CC5694"/>
    <w:rsid w:val="00CC6334"/>
    <w:rsid w:val="00CC7092"/>
    <w:rsid w:val="00CC7F32"/>
    <w:rsid w:val="00CD44F8"/>
    <w:rsid w:val="00CD584F"/>
    <w:rsid w:val="00CD7ED6"/>
    <w:rsid w:val="00CE03C2"/>
    <w:rsid w:val="00CE1C0B"/>
    <w:rsid w:val="00CE4007"/>
    <w:rsid w:val="00CF0718"/>
    <w:rsid w:val="00CF4205"/>
    <w:rsid w:val="00CF442C"/>
    <w:rsid w:val="00D00895"/>
    <w:rsid w:val="00D00C1D"/>
    <w:rsid w:val="00D019D3"/>
    <w:rsid w:val="00D04EFB"/>
    <w:rsid w:val="00D05C96"/>
    <w:rsid w:val="00D07F61"/>
    <w:rsid w:val="00D121F2"/>
    <w:rsid w:val="00D128DB"/>
    <w:rsid w:val="00D16D64"/>
    <w:rsid w:val="00D21978"/>
    <w:rsid w:val="00D21E3F"/>
    <w:rsid w:val="00D242C4"/>
    <w:rsid w:val="00D246A8"/>
    <w:rsid w:val="00D24885"/>
    <w:rsid w:val="00D26440"/>
    <w:rsid w:val="00D27C91"/>
    <w:rsid w:val="00D319C3"/>
    <w:rsid w:val="00D407CB"/>
    <w:rsid w:val="00D428A8"/>
    <w:rsid w:val="00D4292D"/>
    <w:rsid w:val="00D42B1C"/>
    <w:rsid w:val="00D454CB"/>
    <w:rsid w:val="00D46AB3"/>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0D99"/>
    <w:rsid w:val="00D80DA6"/>
    <w:rsid w:val="00D841FD"/>
    <w:rsid w:val="00D846D8"/>
    <w:rsid w:val="00D914B0"/>
    <w:rsid w:val="00D93093"/>
    <w:rsid w:val="00D942FA"/>
    <w:rsid w:val="00D964CA"/>
    <w:rsid w:val="00D9655A"/>
    <w:rsid w:val="00DA0306"/>
    <w:rsid w:val="00DA0A15"/>
    <w:rsid w:val="00DA0C45"/>
    <w:rsid w:val="00DA3107"/>
    <w:rsid w:val="00DA38D7"/>
    <w:rsid w:val="00DB11B3"/>
    <w:rsid w:val="00DB4C26"/>
    <w:rsid w:val="00DB4DB4"/>
    <w:rsid w:val="00DB4F3C"/>
    <w:rsid w:val="00DB7859"/>
    <w:rsid w:val="00DC161B"/>
    <w:rsid w:val="00DC1AD7"/>
    <w:rsid w:val="00DC21E6"/>
    <w:rsid w:val="00DC664D"/>
    <w:rsid w:val="00DD0AA7"/>
    <w:rsid w:val="00DD2650"/>
    <w:rsid w:val="00DD2DB5"/>
    <w:rsid w:val="00DD3270"/>
    <w:rsid w:val="00DD4C84"/>
    <w:rsid w:val="00DD51A0"/>
    <w:rsid w:val="00DD5591"/>
    <w:rsid w:val="00DD5D15"/>
    <w:rsid w:val="00DD7C57"/>
    <w:rsid w:val="00DE39A2"/>
    <w:rsid w:val="00DE6373"/>
    <w:rsid w:val="00DE63AC"/>
    <w:rsid w:val="00DF0796"/>
    <w:rsid w:val="00DF127E"/>
    <w:rsid w:val="00DF2ECA"/>
    <w:rsid w:val="00DF446C"/>
    <w:rsid w:val="00DF52FB"/>
    <w:rsid w:val="00DF768B"/>
    <w:rsid w:val="00DF77E7"/>
    <w:rsid w:val="00E045A1"/>
    <w:rsid w:val="00E05A31"/>
    <w:rsid w:val="00E07FA0"/>
    <w:rsid w:val="00E17025"/>
    <w:rsid w:val="00E17EA3"/>
    <w:rsid w:val="00E20A7B"/>
    <w:rsid w:val="00E24406"/>
    <w:rsid w:val="00E24B4A"/>
    <w:rsid w:val="00E31592"/>
    <w:rsid w:val="00E32D31"/>
    <w:rsid w:val="00E4039F"/>
    <w:rsid w:val="00E419E0"/>
    <w:rsid w:val="00E452D2"/>
    <w:rsid w:val="00E45C42"/>
    <w:rsid w:val="00E477F2"/>
    <w:rsid w:val="00E47A8D"/>
    <w:rsid w:val="00E5125C"/>
    <w:rsid w:val="00E55EFA"/>
    <w:rsid w:val="00E56E41"/>
    <w:rsid w:val="00E60DCF"/>
    <w:rsid w:val="00E62194"/>
    <w:rsid w:val="00E66D09"/>
    <w:rsid w:val="00E71544"/>
    <w:rsid w:val="00E727EB"/>
    <w:rsid w:val="00E747E7"/>
    <w:rsid w:val="00E7494D"/>
    <w:rsid w:val="00E76D2D"/>
    <w:rsid w:val="00E774D0"/>
    <w:rsid w:val="00E810BD"/>
    <w:rsid w:val="00E81975"/>
    <w:rsid w:val="00E81F69"/>
    <w:rsid w:val="00E83D09"/>
    <w:rsid w:val="00E85D49"/>
    <w:rsid w:val="00E8649E"/>
    <w:rsid w:val="00E91443"/>
    <w:rsid w:val="00E91CF0"/>
    <w:rsid w:val="00E92A2D"/>
    <w:rsid w:val="00EA0149"/>
    <w:rsid w:val="00EA0AA3"/>
    <w:rsid w:val="00EA4E6D"/>
    <w:rsid w:val="00EB3315"/>
    <w:rsid w:val="00EB3BCA"/>
    <w:rsid w:val="00EB508D"/>
    <w:rsid w:val="00EC38B0"/>
    <w:rsid w:val="00EC43D8"/>
    <w:rsid w:val="00ED433A"/>
    <w:rsid w:val="00EE06C8"/>
    <w:rsid w:val="00EE0AD9"/>
    <w:rsid w:val="00EE12E6"/>
    <w:rsid w:val="00EE15A4"/>
    <w:rsid w:val="00EE2F50"/>
    <w:rsid w:val="00EF3E9B"/>
    <w:rsid w:val="00EF41F0"/>
    <w:rsid w:val="00EF6855"/>
    <w:rsid w:val="00EF77FA"/>
    <w:rsid w:val="00F02352"/>
    <w:rsid w:val="00F03DAF"/>
    <w:rsid w:val="00F04551"/>
    <w:rsid w:val="00F05A6D"/>
    <w:rsid w:val="00F07DFD"/>
    <w:rsid w:val="00F10924"/>
    <w:rsid w:val="00F109D0"/>
    <w:rsid w:val="00F15312"/>
    <w:rsid w:val="00F153E2"/>
    <w:rsid w:val="00F16D96"/>
    <w:rsid w:val="00F172AE"/>
    <w:rsid w:val="00F216C4"/>
    <w:rsid w:val="00F21C53"/>
    <w:rsid w:val="00F22DC0"/>
    <w:rsid w:val="00F24299"/>
    <w:rsid w:val="00F277EB"/>
    <w:rsid w:val="00F27C48"/>
    <w:rsid w:val="00F3076C"/>
    <w:rsid w:val="00F32963"/>
    <w:rsid w:val="00F403B2"/>
    <w:rsid w:val="00F414BC"/>
    <w:rsid w:val="00F447B7"/>
    <w:rsid w:val="00F4480E"/>
    <w:rsid w:val="00F51931"/>
    <w:rsid w:val="00F53078"/>
    <w:rsid w:val="00F55E6A"/>
    <w:rsid w:val="00F56248"/>
    <w:rsid w:val="00F56A6E"/>
    <w:rsid w:val="00F57194"/>
    <w:rsid w:val="00F63359"/>
    <w:rsid w:val="00F633E3"/>
    <w:rsid w:val="00F66168"/>
    <w:rsid w:val="00F67E07"/>
    <w:rsid w:val="00F67F01"/>
    <w:rsid w:val="00F703EE"/>
    <w:rsid w:val="00F71631"/>
    <w:rsid w:val="00F71E09"/>
    <w:rsid w:val="00F728FD"/>
    <w:rsid w:val="00F7399A"/>
    <w:rsid w:val="00F74A11"/>
    <w:rsid w:val="00F75976"/>
    <w:rsid w:val="00F77BE9"/>
    <w:rsid w:val="00F80E67"/>
    <w:rsid w:val="00F8219C"/>
    <w:rsid w:val="00F835A4"/>
    <w:rsid w:val="00F842A9"/>
    <w:rsid w:val="00F84912"/>
    <w:rsid w:val="00F86D11"/>
    <w:rsid w:val="00F906CB"/>
    <w:rsid w:val="00F90FC8"/>
    <w:rsid w:val="00F914A2"/>
    <w:rsid w:val="00F91577"/>
    <w:rsid w:val="00F944AB"/>
    <w:rsid w:val="00F96976"/>
    <w:rsid w:val="00F96D60"/>
    <w:rsid w:val="00FA22E9"/>
    <w:rsid w:val="00FA4902"/>
    <w:rsid w:val="00FB11DA"/>
    <w:rsid w:val="00FB1917"/>
    <w:rsid w:val="00FB6E20"/>
    <w:rsid w:val="00FC097B"/>
    <w:rsid w:val="00FC4A47"/>
    <w:rsid w:val="00FC5177"/>
    <w:rsid w:val="00FD2559"/>
    <w:rsid w:val="00FD2E15"/>
    <w:rsid w:val="00FD3F8A"/>
    <w:rsid w:val="00FD484A"/>
    <w:rsid w:val="00FE305B"/>
    <w:rsid w:val="00FE3355"/>
    <w:rsid w:val="00FE3D27"/>
    <w:rsid w:val="00FE4F9C"/>
    <w:rsid w:val="00FF21D8"/>
    <w:rsid w:val="00FF48FD"/>
    <w:rsid w:val="00FF5757"/>
    <w:rsid w:val="00FF6133"/>
    <w:rsid w:val="00FF7D0D"/>
    <w:rsid w:val="04B95D27"/>
    <w:rsid w:val="05A86160"/>
    <w:rsid w:val="0D2F096C"/>
    <w:rsid w:val="0D3A1F53"/>
    <w:rsid w:val="120A5960"/>
    <w:rsid w:val="24930B4D"/>
    <w:rsid w:val="2F292845"/>
    <w:rsid w:val="3ECF5007"/>
    <w:rsid w:val="408D55B4"/>
    <w:rsid w:val="437763C1"/>
    <w:rsid w:val="4A0E6F0B"/>
    <w:rsid w:val="4A912D42"/>
    <w:rsid w:val="4B7D49B2"/>
    <w:rsid w:val="523A55E8"/>
    <w:rsid w:val="5E9A3D53"/>
    <w:rsid w:val="64B9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100" w:after="90"/>
      <w:jc w:val="center"/>
      <w:outlineLvl w:val="0"/>
    </w:pPr>
    <w:rPr>
      <w:b/>
      <w:bCs/>
      <w:kern w:val="44"/>
      <w:sz w:val="36"/>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7"/>
    <w:unhideWhenUsed/>
    <w:qFormat/>
    <w:uiPriority w:val="9"/>
    <w:pPr>
      <w:keepNext/>
      <w:keepLines/>
      <w:spacing w:before="160" w:after="170"/>
      <w:ind w:firstLine="200" w:firstLineChars="200"/>
      <w:outlineLvl w:val="4"/>
    </w:pPr>
    <w:rPr>
      <w:b/>
      <w:bCs/>
      <w:sz w:val="24"/>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Normal Indent"/>
    <w:basedOn w:val="1"/>
    <w:link w:val="23"/>
    <w:qFormat/>
    <w:uiPriority w:val="0"/>
    <w:pPr>
      <w:ind w:firstLine="420" w:firstLineChars="200"/>
    </w:pPr>
    <w:rPr>
      <w:rFonts w:ascii="Times New Roman" w:hAnsi="Times New Roman" w:eastAsia="宋体" w:cs="Times New Roman"/>
      <w:szCs w:val="24"/>
    </w:rPr>
  </w:style>
  <w:style w:type="paragraph" w:styleId="7">
    <w:name w:val="annotation text"/>
    <w:basedOn w:val="1"/>
    <w:link w:val="36"/>
    <w:semiHidden/>
    <w:unhideWhenUsed/>
    <w:qFormat/>
    <w:uiPriority w:val="99"/>
    <w:pPr>
      <w:jc w:val="left"/>
    </w:pPr>
  </w:style>
  <w:style w:type="paragraph" w:styleId="8">
    <w:name w:val="Plain Text"/>
    <w:basedOn w:val="1"/>
    <w:link w:val="33"/>
    <w:qFormat/>
    <w:uiPriority w:val="99"/>
    <w:rPr>
      <w:rFonts w:ascii="宋体" w:hAnsi="Courier New" w:eastAsia="宋体" w:cs="Times New Roman"/>
      <w:kern w:val="10"/>
      <w:szCs w:val="21"/>
    </w:rPr>
  </w:style>
  <w:style w:type="paragraph" w:styleId="9">
    <w:name w:val="Date"/>
    <w:basedOn w:val="1"/>
    <w:next w:val="1"/>
    <w:link w:val="3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spacing w:beforeAutospacing="1" w:afterAutospacing="1"/>
      <w:jc w:val="left"/>
    </w:pPr>
    <w:rPr>
      <w:rFonts w:cs="Times New Roman"/>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正文缩进 字符"/>
    <w:link w:val="6"/>
    <w:qFormat/>
    <w:uiPriority w:val="0"/>
    <w:rPr>
      <w:rFonts w:ascii="Times New Roman" w:hAnsi="Times New Roman" w:eastAsia="宋体" w:cs="Times New Roman"/>
      <w:szCs w:val="24"/>
    </w:rPr>
  </w:style>
  <w:style w:type="table" w:customStyle="1" w:styleId="2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4 字符"/>
    <w:basedOn w:val="18"/>
    <w:link w:val="4"/>
    <w:qFormat/>
    <w:uiPriority w:val="0"/>
    <w:rPr>
      <w:rFonts w:ascii="Cambria" w:hAnsi="Cambria" w:eastAsia="宋体" w:cs="Times New Roman"/>
      <w:b/>
      <w:bCs/>
      <w:sz w:val="24"/>
      <w:szCs w:val="28"/>
    </w:rPr>
  </w:style>
  <w:style w:type="character" w:customStyle="1" w:styleId="26">
    <w:name w:val="标题 1 字符"/>
    <w:basedOn w:val="18"/>
    <w:link w:val="2"/>
    <w:qFormat/>
    <w:uiPriority w:val="9"/>
    <w:rPr>
      <w:b/>
      <w:bCs/>
      <w:kern w:val="44"/>
      <w:sz w:val="36"/>
      <w:szCs w:val="44"/>
    </w:rPr>
  </w:style>
  <w:style w:type="character" w:customStyle="1" w:styleId="27">
    <w:name w:val="标题 5 字符"/>
    <w:basedOn w:val="18"/>
    <w:link w:val="5"/>
    <w:qFormat/>
    <w:uiPriority w:val="9"/>
    <w:rPr>
      <w:b/>
      <w:bCs/>
      <w:sz w:val="24"/>
      <w:szCs w:val="28"/>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9">
    <w:name w:val="批注框文本 字符"/>
    <w:basedOn w:val="18"/>
    <w:link w:val="10"/>
    <w:semiHidden/>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table" w:customStyle="1" w:styleId="31">
    <w:name w:val="网格型2"/>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纯文本 字符"/>
    <w:basedOn w:val="18"/>
    <w:qFormat/>
    <w:uiPriority w:val="99"/>
    <w:rPr>
      <w:rFonts w:hAnsi="Courier New" w:cs="Courier New" w:asciiTheme="minorEastAsia" w:eastAsiaTheme="minorEastAsia"/>
      <w:kern w:val="2"/>
      <w:sz w:val="21"/>
      <w:szCs w:val="22"/>
    </w:rPr>
  </w:style>
  <w:style w:type="character" w:customStyle="1" w:styleId="33">
    <w:name w:val="纯文本 字符1"/>
    <w:link w:val="8"/>
    <w:qFormat/>
    <w:uiPriority w:val="0"/>
    <w:rPr>
      <w:rFonts w:ascii="宋体" w:hAnsi="Courier New"/>
      <w:kern w:val="10"/>
      <w:sz w:val="21"/>
      <w:szCs w:val="21"/>
    </w:rPr>
  </w:style>
  <w:style w:type="character" w:customStyle="1" w:styleId="34">
    <w:name w:val="标题 2 字符"/>
    <w:basedOn w:val="18"/>
    <w:link w:val="3"/>
    <w:qFormat/>
    <w:uiPriority w:val="9"/>
    <w:rPr>
      <w:rFonts w:asciiTheme="majorHAnsi" w:hAnsiTheme="majorHAnsi" w:eastAsiaTheme="majorEastAsia" w:cstheme="majorBidi"/>
      <w:b/>
      <w:bCs/>
      <w:kern w:val="2"/>
      <w:sz w:val="32"/>
      <w:szCs w:val="32"/>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文字 字符"/>
    <w:basedOn w:val="18"/>
    <w:link w:val="7"/>
    <w:semiHidden/>
    <w:qFormat/>
    <w:uiPriority w:val="99"/>
    <w:rPr>
      <w:rFonts w:asciiTheme="minorHAnsi" w:hAnsiTheme="minorHAnsi" w:eastAsiaTheme="minorEastAsia" w:cstheme="minorBidi"/>
      <w:kern w:val="2"/>
      <w:sz w:val="21"/>
      <w:szCs w:val="22"/>
    </w:rPr>
  </w:style>
  <w:style w:type="paragraph" w:customStyle="1" w:styleId="37">
    <w:name w:val="_Style 35"/>
    <w:basedOn w:val="1"/>
    <w:next w:val="30"/>
    <w:qFormat/>
    <w:uiPriority w:val="34"/>
    <w:pPr>
      <w:ind w:firstLine="420" w:firstLineChars="200"/>
    </w:pPr>
    <w:rPr>
      <w:rFonts w:ascii="Calibri" w:hAnsi="Calibri" w:eastAsia="宋体" w:cs="Times New Roman"/>
      <w:szCs w:val="21"/>
    </w:rPr>
  </w:style>
  <w:style w:type="character" w:customStyle="1" w:styleId="38">
    <w:name w:val="日期 字符"/>
    <w:basedOn w:val="18"/>
    <w:link w:val="9"/>
    <w:semiHidden/>
    <w:qFormat/>
    <w:uiPriority w:val="99"/>
    <w:rPr>
      <w:kern w:val="2"/>
      <w:sz w:val="21"/>
      <w:szCs w:val="22"/>
    </w:rPr>
  </w:style>
  <w:style w:type="character" w:customStyle="1" w:styleId="39">
    <w:name w:val="标题 1 Char"/>
    <w:link w:val="40"/>
    <w:qFormat/>
    <w:uiPriority w:val="9"/>
    <w:rPr>
      <w:rFonts w:ascii="宋体" w:hAnsi="宋体" w:eastAsia="黑体"/>
      <w:b/>
      <w:bCs/>
      <w:kern w:val="44"/>
      <w:sz w:val="28"/>
      <w:szCs w:val="44"/>
    </w:rPr>
  </w:style>
  <w:style w:type="paragraph" w:customStyle="1" w:styleId="40">
    <w:name w:val="标题 1_0"/>
    <w:basedOn w:val="1"/>
    <w:next w:val="1"/>
    <w:link w:val="39"/>
    <w:qFormat/>
    <w:uiPriority w:val="9"/>
    <w:pPr>
      <w:keepNext/>
      <w:keepLines/>
      <w:pageBreakBefore/>
      <w:widowControl/>
      <w:numPr>
        <w:ilvl w:val="0"/>
        <w:numId w:val="1"/>
      </w:numPr>
      <w:tabs>
        <w:tab w:val="clear" w:pos="312"/>
      </w:tabs>
      <w:spacing w:beforeLines="100" w:afterLines="200"/>
      <w:ind w:left="420"/>
      <w:jc w:val="left"/>
      <w:outlineLvl w:val="0"/>
    </w:pPr>
    <w:rPr>
      <w:rFonts w:ascii="宋体" w:hAnsi="宋体" w:eastAsia="黑体" w:cs="Times New Roman"/>
      <w:b/>
      <w:bCs/>
      <w:kern w:val="44"/>
      <w:sz w:val="28"/>
      <w:szCs w:val="44"/>
    </w:rPr>
  </w:style>
  <w:style w:type="paragraph" w:customStyle="1" w:styleId="41">
    <w:name w:val="Table Text"/>
    <w:basedOn w:val="1"/>
    <w:semiHidden/>
    <w:qFormat/>
    <w:uiPriority w:val="0"/>
    <w:rPr>
      <w:rFonts w:ascii="宋体" w:hAnsi="宋体" w:eastAsia="宋体" w:cs="宋体"/>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29</Pages>
  <Words>15198</Words>
  <Characters>15935</Characters>
  <Lines>120</Lines>
  <Paragraphs>33</Paragraphs>
  <TotalTime>65</TotalTime>
  <ScaleCrop>false</ScaleCrop>
  <LinksUpToDate>false</LinksUpToDate>
  <CharactersWithSpaces>16251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郑培燊</cp:lastModifiedBy>
  <cp:lastPrinted>2022-06-01T10:41:00Z</cp:lastPrinted>
  <dcterms:modified xsi:type="dcterms:W3CDTF">2024-08-22T03:37:42Z</dcterms:modified>
  <cp:revision>584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87E4F6850FA746669D49792A9B30668F_13</vt:lpwstr>
  </property>
</Properties>
</file>