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1"/>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1"/>
        <w:jc w:val="center"/>
        <w:rPr>
          <w:rFonts w:hint="eastAsia" w:ascii="宋体" w:hAnsi="宋体"/>
          <w:b/>
          <w:bCs/>
          <w:szCs w:val="21"/>
        </w:rPr>
      </w:pPr>
    </w:p>
    <w:p w14:paraId="2971CD1E">
      <w:pPr>
        <w:pStyle w:val="11"/>
        <w:jc w:val="center"/>
        <w:rPr>
          <w:rFonts w:hint="eastAsia" w:ascii="宋体" w:hAnsi="宋体"/>
          <w:b/>
          <w:bCs/>
          <w:szCs w:val="21"/>
        </w:rPr>
      </w:pPr>
    </w:p>
    <w:p w14:paraId="44124856">
      <w:pPr>
        <w:pStyle w:val="11"/>
        <w:jc w:val="center"/>
        <w:rPr>
          <w:rFonts w:hint="eastAsia" w:ascii="宋体" w:hAnsi="宋体"/>
          <w:b/>
          <w:bCs/>
          <w:szCs w:val="21"/>
        </w:rPr>
      </w:pPr>
    </w:p>
    <w:p w14:paraId="08AA2683">
      <w:pPr>
        <w:pStyle w:val="11"/>
        <w:jc w:val="center"/>
        <w:rPr>
          <w:rFonts w:hint="eastAsia" w:ascii="宋体" w:hAnsi="宋体"/>
          <w:b/>
          <w:bCs/>
          <w:szCs w:val="21"/>
        </w:rPr>
      </w:pPr>
    </w:p>
    <w:p w14:paraId="2F161ADF">
      <w:pPr>
        <w:pStyle w:val="11"/>
        <w:jc w:val="center"/>
        <w:rPr>
          <w:rFonts w:hint="eastAsia" w:ascii="宋体" w:hAnsi="宋体"/>
          <w:b/>
          <w:bCs/>
          <w:szCs w:val="21"/>
        </w:rPr>
      </w:pPr>
    </w:p>
    <w:p w14:paraId="0B63A0AE">
      <w:pPr>
        <w:pStyle w:val="11"/>
        <w:jc w:val="center"/>
        <w:rPr>
          <w:rFonts w:hint="eastAsia" w:ascii="宋体" w:hAnsi="宋体"/>
          <w:b/>
          <w:bCs/>
          <w:szCs w:val="21"/>
        </w:rPr>
      </w:pPr>
    </w:p>
    <w:p w14:paraId="21390DA8">
      <w:pPr>
        <w:pStyle w:val="11"/>
        <w:jc w:val="center"/>
        <w:rPr>
          <w:rFonts w:hint="eastAsia" w:ascii="宋体" w:hAnsi="宋体"/>
          <w:b/>
          <w:bCs/>
          <w:szCs w:val="21"/>
        </w:rPr>
      </w:pPr>
    </w:p>
    <w:p w14:paraId="6EDBB49F">
      <w:pPr>
        <w:pStyle w:val="11"/>
        <w:jc w:val="center"/>
        <w:rPr>
          <w:rFonts w:hint="eastAsia" w:ascii="宋体" w:hAnsi="宋体"/>
          <w:b/>
          <w:bCs/>
          <w:szCs w:val="21"/>
        </w:rPr>
      </w:pPr>
    </w:p>
    <w:p w14:paraId="1432072E">
      <w:pPr>
        <w:pStyle w:val="11"/>
        <w:jc w:val="center"/>
        <w:rPr>
          <w:rFonts w:hint="eastAsia" w:ascii="宋体" w:hAnsi="宋体"/>
          <w:b/>
          <w:bCs/>
          <w:szCs w:val="21"/>
        </w:rPr>
      </w:pPr>
    </w:p>
    <w:p w14:paraId="738F9BB8">
      <w:pPr>
        <w:pStyle w:val="11"/>
        <w:jc w:val="center"/>
        <w:rPr>
          <w:rFonts w:hint="eastAsia" w:ascii="宋体" w:hAnsi="宋体"/>
          <w:b/>
          <w:bCs/>
          <w:szCs w:val="21"/>
        </w:rPr>
      </w:pPr>
    </w:p>
    <w:p w14:paraId="2BA73101">
      <w:pPr>
        <w:pStyle w:val="11"/>
        <w:jc w:val="center"/>
        <w:rPr>
          <w:rFonts w:hint="eastAsia" w:ascii="宋体" w:hAnsi="宋体"/>
          <w:b/>
          <w:bCs/>
          <w:szCs w:val="21"/>
        </w:rPr>
      </w:pPr>
    </w:p>
    <w:p w14:paraId="631484CB">
      <w:pPr>
        <w:pStyle w:val="11"/>
        <w:jc w:val="center"/>
        <w:rPr>
          <w:rFonts w:hint="eastAsia" w:ascii="宋体" w:hAnsi="宋体"/>
          <w:b/>
          <w:bCs/>
          <w:szCs w:val="21"/>
        </w:rPr>
      </w:pPr>
    </w:p>
    <w:p w14:paraId="3DB033DB">
      <w:pPr>
        <w:pStyle w:val="11"/>
        <w:jc w:val="center"/>
        <w:rPr>
          <w:rFonts w:hint="eastAsia" w:ascii="宋体" w:hAnsi="宋体"/>
          <w:b/>
          <w:bCs/>
          <w:szCs w:val="21"/>
        </w:rPr>
      </w:pPr>
    </w:p>
    <w:p w14:paraId="20D42745">
      <w:pPr>
        <w:pStyle w:val="11"/>
        <w:jc w:val="center"/>
        <w:rPr>
          <w:rFonts w:hint="eastAsia" w:ascii="宋体" w:hAnsi="宋体"/>
          <w:b/>
          <w:bCs/>
          <w:szCs w:val="21"/>
        </w:rPr>
      </w:pPr>
    </w:p>
    <w:p w14:paraId="1AA65312">
      <w:pPr>
        <w:pStyle w:val="11"/>
        <w:jc w:val="center"/>
        <w:rPr>
          <w:rFonts w:hint="eastAsia" w:ascii="宋体" w:hAnsi="宋体"/>
          <w:b/>
          <w:bCs/>
          <w:szCs w:val="21"/>
        </w:rPr>
      </w:pPr>
    </w:p>
    <w:p w14:paraId="70224C5F">
      <w:pPr>
        <w:pStyle w:val="11"/>
        <w:jc w:val="center"/>
        <w:rPr>
          <w:rFonts w:hint="eastAsia" w:ascii="宋体" w:hAnsi="宋体"/>
          <w:b/>
          <w:bCs/>
          <w:szCs w:val="21"/>
        </w:rPr>
      </w:pPr>
    </w:p>
    <w:p w14:paraId="772B0D78">
      <w:pPr>
        <w:pStyle w:val="11"/>
        <w:jc w:val="center"/>
        <w:rPr>
          <w:rFonts w:hint="eastAsia" w:ascii="宋体" w:hAnsi="宋体"/>
          <w:b/>
          <w:bCs/>
          <w:szCs w:val="21"/>
        </w:rPr>
      </w:pPr>
    </w:p>
    <w:p w14:paraId="60817AD1">
      <w:pPr>
        <w:pStyle w:val="11"/>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1"/>
        <w:rPr>
          <w:rStyle w:val="17"/>
          <w:rFonts w:hint="default"/>
          <w:color w:val="000000"/>
          <w:szCs w:val="28"/>
          <w:lang w:val="en-US" w:eastAsia="zh-CN"/>
        </w:rPr>
      </w:pPr>
    </w:p>
    <w:p w14:paraId="47AEEB51">
      <w:pPr>
        <w:pStyle w:val="11"/>
        <w:rPr>
          <w:rStyle w:val="17"/>
          <w:color w:val="000000"/>
          <w:szCs w:val="28"/>
        </w:rPr>
      </w:pPr>
    </w:p>
    <w:p w14:paraId="65A0EA51">
      <w:pPr>
        <w:pStyle w:val="11"/>
        <w:rPr>
          <w:rStyle w:val="17"/>
          <w:color w:val="000000"/>
          <w:szCs w:val="28"/>
        </w:rPr>
      </w:pPr>
    </w:p>
    <w:p w14:paraId="4B2F013C">
      <w:pPr>
        <w:pStyle w:val="11"/>
        <w:rPr>
          <w:rStyle w:val="17"/>
          <w:color w:val="000000"/>
          <w:szCs w:val="28"/>
        </w:rPr>
      </w:pPr>
    </w:p>
    <w:p w14:paraId="481E1B8E">
      <w:pPr>
        <w:pStyle w:val="11"/>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1"/>
        <w:jc w:val="center"/>
        <w:rPr>
          <w:rFonts w:hint="eastAsia" w:ascii="宋体" w:hAnsi="宋体"/>
          <w:b/>
          <w:bCs/>
          <w:szCs w:val="21"/>
        </w:rPr>
      </w:pPr>
    </w:p>
    <w:p w14:paraId="173FE59F">
      <w:pPr>
        <w:pStyle w:val="11"/>
        <w:jc w:val="center"/>
        <w:rPr>
          <w:rFonts w:hint="eastAsia" w:ascii="宋体" w:hAnsi="宋体"/>
          <w:b/>
          <w:bCs/>
          <w:szCs w:val="21"/>
        </w:rPr>
      </w:pPr>
    </w:p>
    <w:p w14:paraId="2C555EDF">
      <w:pPr>
        <w:pStyle w:val="11"/>
        <w:jc w:val="center"/>
        <w:rPr>
          <w:rFonts w:hint="eastAsia" w:ascii="宋体" w:hAnsi="宋体"/>
          <w:b/>
          <w:bCs/>
          <w:szCs w:val="21"/>
        </w:rPr>
      </w:pPr>
    </w:p>
    <w:p w14:paraId="21C50F1C">
      <w:pPr>
        <w:pStyle w:val="11"/>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1"/>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2"/>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69718488">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2BDC9F63">
      <w:pPr>
        <w:widowControl/>
        <w:wordWrap w:val="0"/>
        <w:snapToGrid w:val="0"/>
        <w:jc w:val="left"/>
        <w:rPr>
          <w:color w:val="auto"/>
        </w:rPr>
      </w:pPr>
      <w:r>
        <w:rPr>
          <w:rFonts w:hint="eastAsia" w:ascii="宋体" w:hAnsi="宋体"/>
          <w:b/>
          <w:bCs/>
          <w:color w:val="auto"/>
          <w:szCs w:val="21"/>
          <w:lang w:eastAsia="zh-CN"/>
        </w:rPr>
        <w:t>一、技术规格要求</w:t>
      </w:r>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内容</w:t>
            </w:r>
          </w:p>
        </w:tc>
        <w:tc>
          <w:tcPr>
            <w:tcW w:w="8683" w:type="dxa"/>
            <w:vAlign w:val="center"/>
          </w:tcPr>
          <w:p w14:paraId="1C85351F">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 xml:space="preserve">配置清单 </w:t>
            </w:r>
          </w:p>
        </w:tc>
        <w:tc>
          <w:tcPr>
            <w:tcW w:w="8683" w:type="dxa"/>
            <w:vAlign w:val="center"/>
          </w:tcPr>
          <w:tbl>
            <w:tblPr>
              <w:tblStyle w:val="12"/>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357F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3B25BADE">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3061" w:type="dxa"/>
                  <w:vAlign w:val="center"/>
                </w:tcPr>
                <w:p w14:paraId="3E0905EA">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配置</w:t>
                  </w:r>
                  <w:r>
                    <w:rPr>
                      <w:rFonts w:hint="eastAsia"/>
                      <w:color w:val="000000" w:themeColor="text1"/>
                      <w:sz w:val="21"/>
                      <w:szCs w:val="21"/>
                      <w14:textFill>
                        <w14:solidFill>
                          <w14:schemeClr w14:val="tx1"/>
                        </w14:solidFill>
                      </w14:textFill>
                    </w:rPr>
                    <w:t>名称</w:t>
                  </w:r>
                </w:p>
              </w:tc>
              <w:tc>
                <w:tcPr>
                  <w:tcW w:w="1300" w:type="dxa"/>
                  <w:vAlign w:val="center"/>
                </w:tcPr>
                <w:p w14:paraId="455A901F">
                  <w:pPr>
                    <w:spacing w:line="288"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数量</w:t>
                  </w:r>
                </w:p>
              </w:tc>
              <w:tc>
                <w:tcPr>
                  <w:tcW w:w="1316" w:type="dxa"/>
                  <w:vAlign w:val="center"/>
                </w:tcPr>
                <w:p w14:paraId="00E9A9A4">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单位</w:t>
                  </w:r>
                </w:p>
              </w:tc>
            </w:tr>
            <w:tr w14:paraId="33B3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5A571F5">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3061" w:type="dxa"/>
                  <w:vAlign w:val="top"/>
                </w:tcPr>
                <w:p w14:paraId="02BF3E5D">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支气管内窥镜</w:t>
                  </w:r>
                </w:p>
              </w:tc>
              <w:tc>
                <w:tcPr>
                  <w:tcW w:w="1300" w:type="dxa"/>
                  <w:vAlign w:val="top"/>
                </w:tcPr>
                <w:p w14:paraId="7490C32C">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316" w:type="dxa"/>
                  <w:vAlign w:val="top"/>
                </w:tcPr>
                <w:p w14:paraId="32AE1A7A">
                  <w:pPr>
                    <w:spacing w:line="288"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支</w:t>
                  </w:r>
                </w:p>
              </w:tc>
            </w:tr>
            <w:tr w14:paraId="0800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7713D0DD">
                  <w:pPr>
                    <w:spacing w:line="288"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061" w:type="dxa"/>
                  <w:vAlign w:val="top"/>
                </w:tcPr>
                <w:p w14:paraId="3BDE557C">
                  <w:pPr>
                    <w:spacing w:line="312"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内窥镜固定器</w:t>
                  </w:r>
                </w:p>
              </w:tc>
              <w:tc>
                <w:tcPr>
                  <w:tcW w:w="1300" w:type="dxa"/>
                  <w:vAlign w:val="top"/>
                </w:tcPr>
                <w:p w14:paraId="04FDD016">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316" w:type="dxa"/>
                  <w:vAlign w:val="top"/>
                </w:tcPr>
                <w:p w14:paraId="51F8E0B4">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套</w:t>
                  </w:r>
                </w:p>
              </w:tc>
            </w:tr>
            <w:tr w14:paraId="291D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51F3C3DF">
                  <w:pPr>
                    <w:spacing w:line="288"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3061" w:type="dxa"/>
                  <w:vAlign w:val="top"/>
                </w:tcPr>
                <w:p w14:paraId="7F744FB7">
                  <w:pPr>
                    <w:spacing w:line="312"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加长内窥镜固定器</w:t>
                  </w:r>
                </w:p>
              </w:tc>
              <w:tc>
                <w:tcPr>
                  <w:tcW w:w="1300" w:type="dxa"/>
                  <w:vAlign w:val="top"/>
                </w:tcPr>
                <w:p w14:paraId="54827D17">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316" w:type="dxa"/>
                  <w:vAlign w:val="top"/>
                </w:tcPr>
                <w:p w14:paraId="7F73CA0F">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套</w:t>
                  </w:r>
                </w:p>
              </w:tc>
            </w:tr>
            <w:tr w14:paraId="36FB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E7A8252">
                  <w:pPr>
                    <w:spacing w:line="288"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061" w:type="dxa"/>
                  <w:vAlign w:val="top"/>
                </w:tcPr>
                <w:p w14:paraId="3D114B3A">
                  <w:pPr>
                    <w:spacing w:line="312"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气管镜管鞘</w:t>
                  </w:r>
                </w:p>
              </w:tc>
              <w:tc>
                <w:tcPr>
                  <w:tcW w:w="1300" w:type="dxa"/>
                  <w:vAlign w:val="top"/>
                </w:tcPr>
                <w:p w14:paraId="2F71B5C7">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c>
              <w:tc>
                <w:tcPr>
                  <w:tcW w:w="1316" w:type="dxa"/>
                  <w:vAlign w:val="top"/>
                </w:tcPr>
                <w:p w14:paraId="78146AB9">
                  <w:pPr>
                    <w:spacing w:line="288"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根</w:t>
                  </w:r>
                </w:p>
              </w:tc>
            </w:tr>
            <w:tr w14:paraId="758E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76432400">
                  <w:pPr>
                    <w:spacing w:line="288"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3061" w:type="dxa"/>
                  <w:vAlign w:val="top"/>
                </w:tcPr>
                <w:p w14:paraId="55BE5E05">
                  <w:pPr>
                    <w:spacing w:line="312"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光学钳</w:t>
                  </w:r>
                </w:p>
              </w:tc>
              <w:tc>
                <w:tcPr>
                  <w:tcW w:w="1300" w:type="dxa"/>
                  <w:vAlign w:val="top"/>
                </w:tcPr>
                <w:p w14:paraId="5584ABB6">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316" w:type="dxa"/>
                  <w:vAlign w:val="top"/>
                </w:tcPr>
                <w:p w14:paraId="51DEDF01">
                  <w:pPr>
                    <w:spacing w:line="288"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把</w:t>
                  </w:r>
                </w:p>
              </w:tc>
            </w:tr>
            <w:tr w14:paraId="6805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4A1F02F">
                  <w:pPr>
                    <w:spacing w:line="288"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3061" w:type="dxa"/>
                  <w:vAlign w:val="top"/>
                </w:tcPr>
                <w:p w14:paraId="5DEB3A75">
                  <w:pPr>
                    <w:spacing w:line="312"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异物钳</w:t>
                  </w:r>
                </w:p>
              </w:tc>
              <w:tc>
                <w:tcPr>
                  <w:tcW w:w="1300" w:type="dxa"/>
                  <w:vAlign w:val="top"/>
                </w:tcPr>
                <w:p w14:paraId="625B1395">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316" w:type="dxa"/>
                  <w:vAlign w:val="top"/>
                </w:tcPr>
                <w:p w14:paraId="1603FA48">
                  <w:pPr>
                    <w:spacing w:line="288"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把</w:t>
                  </w:r>
                </w:p>
              </w:tc>
            </w:tr>
            <w:tr w14:paraId="2A59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0854326">
                  <w:pPr>
                    <w:spacing w:line="288"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3061" w:type="dxa"/>
                  <w:vAlign w:val="top"/>
                </w:tcPr>
                <w:p w14:paraId="5F8D0BC6">
                  <w:pPr>
                    <w:spacing w:line="312"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吸引管</w:t>
                  </w:r>
                </w:p>
              </w:tc>
              <w:tc>
                <w:tcPr>
                  <w:tcW w:w="1300" w:type="dxa"/>
                  <w:vAlign w:val="top"/>
                </w:tcPr>
                <w:p w14:paraId="400F041F">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316" w:type="dxa"/>
                  <w:vAlign w:val="top"/>
                </w:tcPr>
                <w:p w14:paraId="59903599">
                  <w:pPr>
                    <w:widowControl w:val="0"/>
                    <w:numPr>
                      <w:ilvl w:val="0"/>
                      <w:numId w:val="0"/>
                    </w:num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把</w:t>
                  </w:r>
                </w:p>
              </w:tc>
            </w:tr>
            <w:tr w14:paraId="381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B0DD3F6">
                  <w:pPr>
                    <w:spacing w:line="288"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3061" w:type="dxa"/>
                  <w:vAlign w:val="top"/>
                </w:tcPr>
                <w:p w14:paraId="31152B03">
                  <w:pPr>
                    <w:spacing w:line="312"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消毒盒</w:t>
                  </w:r>
                </w:p>
              </w:tc>
              <w:tc>
                <w:tcPr>
                  <w:tcW w:w="1300" w:type="dxa"/>
                  <w:vAlign w:val="top"/>
                </w:tcPr>
                <w:p w14:paraId="792385DC">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316" w:type="dxa"/>
                  <w:vAlign w:val="top"/>
                </w:tcPr>
                <w:p w14:paraId="780404B2">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r>
            <w:tr w14:paraId="0742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07A4FA8">
                  <w:pPr>
                    <w:spacing w:line="288"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3061" w:type="dxa"/>
                  <w:vAlign w:val="top"/>
                </w:tcPr>
                <w:p w14:paraId="73DB7513">
                  <w:pPr>
                    <w:spacing w:line="312"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清洗刷</w:t>
                  </w:r>
                </w:p>
              </w:tc>
              <w:tc>
                <w:tcPr>
                  <w:tcW w:w="1300" w:type="dxa"/>
                  <w:vAlign w:val="top"/>
                </w:tcPr>
                <w:p w14:paraId="40B047CF">
                  <w:pPr>
                    <w:spacing w:line="288"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316" w:type="dxa"/>
                  <w:vAlign w:val="top"/>
                </w:tcPr>
                <w:p w14:paraId="767766C7">
                  <w:pPr>
                    <w:spacing w:line="288"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套</w:t>
                  </w:r>
                </w:p>
              </w:tc>
            </w:tr>
            <w:tr w14:paraId="4C44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4CDC842">
                  <w:pPr>
                    <w:spacing w:line="288"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3061" w:type="dxa"/>
                  <w:vAlign w:val="top"/>
                </w:tcPr>
                <w:p w14:paraId="007D5B5D">
                  <w:pPr>
                    <w:spacing w:line="312"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密封套件</w:t>
                  </w:r>
                </w:p>
              </w:tc>
              <w:tc>
                <w:tcPr>
                  <w:tcW w:w="1300" w:type="dxa"/>
                  <w:vAlign w:val="top"/>
                </w:tcPr>
                <w:p w14:paraId="1410EC18">
                  <w:pPr>
                    <w:spacing w:line="288"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316" w:type="dxa"/>
                  <w:vAlign w:val="top"/>
                </w:tcPr>
                <w:p w14:paraId="552987A1">
                  <w:pPr>
                    <w:spacing w:line="288"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套</w:t>
                  </w:r>
                </w:p>
              </w:tc>
            </w:tr>
          </w:tbl>
          <w:p w14:paraId="5E0EFCDB">
            <w:pPr>
              <w:pStyle w:val="3"/>
              <w:spacing w:line="240" w:lineRule="auto"/>
              <w:rPr>
                <w:color w:val="000000" w:themeColor="text1"/>
                <w14:textFill>
                  <w14:solidFill>
                    <w14:schemeClr w14:val="tx1"/>
                  </w14:solidFill>
                </w14:textFill>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000000" w:themeColor="text1"/>
                <w:kern w:val="0"/>
                <w:szCs w:val="21"/>
                <w:lang w:eastAsia="zh-CN"/>
                <w14:textFill>
                  <w14:solidFill>
                    <w14:schemeClr w14:val="tx1"/>
                  </w14:solidFill>
                </w14:textFill>
              </w:rPr>
            </w:pPr>
            <w:r>
              <w:rPr>
                <w:rFonts w:hint="eastAsia" w:ascii="宋体" w:hAnsi="宋体" w:cs="宋体"/>
                <w:b/>
                <w:color w:val="000000" w:themeColor="text1"/>
                <w:kern w:val="0"/>
                <w:szCs w:val="21"/>
                <w:lang w:eastAsia="zh-CN"/>
                <w14:textFill>
                  <w14:solidFill>
                    <w14:schemeClr w14:val="tx1"/>
                  </w14:solidFill>
                </w14:textFill>
              </w:rPr>
              <w:t>功能要求</w:t>
            </w:r>
          </w:p>
        </w:tc>
        <w:tc>
          <w:tcPr>
            <w:tcW w:w="8683" w:type="dxa"/>
          </w:tcPr>
          <w:p w14:paraId="32A74DB8">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在气道内建立操作通道及通气通道，内窥镜可视下进行手术操作。</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技术参数</w:t>
            </w:r>
          </w:p>
        </w:tc>
        <w:tc>
          <w:tcPr>
            <w:tcW w:w="8683" w:type="dxa"/>
          </w:tcPr>
          <w:p w14:paraId="0D9E26F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一、硬质支气管</w:t>
            </w:r>
            <w:r>
              <w:rPr>
                <w:rFonts w:hint="eastAsia" w:ascii="宋体" w:hAnsi="宋体"/>
                <w:color w:val="000000" w:themeColor="text1"/>
                <w:sz w:val="21"/>
                <w:szCs w:val="21"/>
                <w:highlight w:val="none"/>
                <w:lang w:val="en-US" w:eastAsia="zh-CN"/>
                <w14:textFill>
                  <w14:solidFill>
                    <w14:schemeClr w14:val="tx1"/>
                  </w14:solidFill>
                </w14:textFill>
              </w:rPr>
              <w:t>内窥镜</w:t>
            </w:r>
          </w:p>
          <w:p w14:paraId="69117C9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(1)、直径</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4.5毫米，长度</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550mm;</w:t>
            </w:r>
          </w:p>
          <w:p w14:paraId="17F953E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(2)、视野角度</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0度；</w:t>
            </w:r>
          </w:p>
          <w:p w14:paraId="1CF602F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(3)、实现高清成像；</w:t>
            </w:r>
          </w:p>
          <w:p w14:paraId="1424300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(4)、蓝宝石玻璃镜面；</w:t>
            </w:r>
          </w:p>
          <w:p w14:paraId="2598E4B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 气管镜</w:t>
            </w:r>
            <w:r>
              <w:rPr>
                <w:rFonts w:hint="eastAsia" w:ascii="宋体" w:hAnsi="宋体"/>
                <w:color w:val="000000" w:themeColor="text1"/>
                <w:sz w:val="21"/>
                <w:szCs w:val="21"/>
                <w:highlight w:val="none"/>
                <w:lang w:val="en-US" w:eastAsia="zh-CN"/>
                <w14:textFill>
                  <w14:solidFill>
                    <w14:schemeClr w14:val="tx1"/>
                  </w14:solidFill>
                </w14:textFill>
              </w:rPr>
              <w:t>镜鞘</w:t>
            </w:r>
            <w:r>
              <w:rPr>
                <w:rFonts w:hint="eastAsia" w:ascii="宋体" w:hAnsi="宋体"/>
                <w:color w:val="000000" w:themeColor="text1"/>
                <w:sz w:val="21"/>
                <w:szCs w:val="21"/>
                <w:highlight w:val="none"/>
                <w14:textFill>
                  <w14:solidFill>
                    <w14:schemeClr w14:val="tx1"/>
                  </w14:solidFill>
                </w14:textFill>
              </w:rPr>
              <w:t>及异物钳：</w:t>
            </w:r>
          </w:p>
          <w:p w14:paraId="3D60B70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(1)配备操作固定保护鞘管，减少光学镜损耗，提高手术效率；</w:t>
            </w:r>
          </w:p>
          <w:p w14:paraId="2AFF2AD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)配备工作长度为385mm和283</w:t>
            </w:r>
            <w:r>
              <w:rPr>
                <w:rFonts w:hint="eastAsia" w:ascii="宋体" w:hAnsi="宋体"/>
                <w:color w:val="000000" w:themeColor="text1"/>
                <w:sz w:val="21"/>
                <w:szCs w:val="21"/>
                <w:highlight w:val="none"/>
                <w:lang w:val="en-US" w:eastAsia="zh-CN"/>
                <w14:textFill>
                  <w14:solidFill>
                    <w14:schemeClr w14:val="tx1"/>
                  </w14:solidFill>
                </w14:textFill>
              </w:rPr>
              <w:t>mm</w:t>
            </w:r>
            <w:r>
              <w:rPr>
                <w:rFonts w:hint="eastAsia" w:ascii="宋体" w:hAnsi="宋体"/>
                <w:color w:val="000000" w:themeColor="text1"/>
                <w:sz w:val="21"/>
                <w:szCs w:val="21"/>
                <w:highlight w:val="none"/>
                <w14:textFill>
                  <w14:solidFill>
                    <w14:schemeClr w14:val="tx1"/>
                  </w14:solidFill>
                </w14:textFill>
              </w:rPr>
              <w:t>的外管鞘；</w:t>
            </w:r>
          </w:p>
          <w:p w14:paraId="287F85F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)外管鞘直径分别有9.2mm、9.7mm、10.2mm、10.7mm、11.2mm、11.7mm、12.2mm、12.8mm、13.5mm、14mm多种规格，可适应多种病人使用；</w:t>
            </w:r>
          </w:p>
          <w:p w14:paraId="6FA4F5F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)配备光学钳，直径</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5.5mm；</w:t>
            </w:r>
          </w:p>
          <w:p w14:paraId="142842C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)配备异物钳；</w:t>
            </w:r>
          </w:p>
          <w:p w14:paraId="70D9551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)配备麦口、鳄口、花生钳多种异物钳；</w:t>
            </w:r>
          </w:p>
          <w:p w14:paraId="747A6EC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(7)麦口钳可进行组织活检及肿物钳取；</w:t>
            </w:r>
          </w:p>
          <w:p w14:paraId="4F5CD40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(8)鳄口钳可进行异物的钳取及金属支架的调整；</w:t>
            </w:r>
          </w:p>
          <w:p w14:paraId="25FDDF4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)异物钳直径规格为3.0mm-4.5mm;</w:t>
            </w:r>
          </w:p>
          <w:p w14:paraId="6ED946E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10</w:t>
            </w:r>
            <w:r>
              <w:rPr>
                <w:rFonts w:hint="eastAsia" w:ascii="宋体" w:hAnsi="宋体"/>
                <w:color w:val="000000" w:themeColor="text1"/>
                <w:sz w:val="21"/>
                <w:szCs w:val="21"/>
                <w:highlight w:val="none"/>
                <w14:textFill>
                  <w14:solidFill>
                    <w14:schemeClr w14:val="tx1"/>
                  </w14:solidFill>
                </w14:textFill>
              </w:rPr>
              <w:t>)配备长度≥500mm的手术器械；</w:t>
            </w:r>
          </w:p>
          <w:p w14:paraId="5FEB6A1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)配备吸引管</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进行吸引操作；</w:t>
            </w:r>
          </w:p>
          <w:p w14:paraId="618FA3A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12</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镜鞘</w:t>
            </w:r>
            <w:r>
              <w:rPr>
                <w:rFonts w:hint="eastAsia" w:ascii="宋体" w:hAnsi="宋体"/>
                <w:color w:val="000000" w:themeColor="text1"/>
                <w:sz w:val="21"/>
                <w:szCs w:val="21"/>
                <w:highlight w:val="none"/>
                <w14:textFill>
                  <w14:solidFill>
                    <w14:schemeClr w14:val="tx1"/>
                  </w14:solidFill>
                </w14:textFill>
              </w:rPr>
              <w:t>分为可拆卸设计/一体设计，更有效地对管鞘进行消毒，并可以术中自由更换不同直径的管鞘来满足手术的使用；</w:t>
            </w:r>
          </w:p>
          <w:p w14:paraId="277E833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)配备整套密封套装；</w:t>
            </w:r>
          </w:p>
          <w:p w14:paraId="73653E0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)配备高频通气专用接口；</w:t>
            </w:r>
          </w:p>
          <w:p w14:paraId="247E9835">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)配备专用消毒盒；</w:t>
            </w:r>
          </w:p>
        </w:tc>
      </w:tr>
    </w:tbl>
    <w:p w14:paraId="3E734C8F">
      <w:pPr>
        <w:widowControl/>
        <w:snapToGrid w:val="0"/>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Cs w:val="21"/>
          <w:highlight w:val="none"/>
          <w:lang w:eastAsia="zh-CN"/>
          <w14:textFill>
            <w14:solidFill>
              <w14:schemeClr w14:val="tx1"/>
            </w14:solidFill>
          </w14:textFill>
        </w:rPr>
        <w:t>二</w:t>
      </w:r>
      <w:bookmarkStart w:id="2" w:name="_GoBack"/>
      <w:bookmarkEnd w:id="2"/>
      <w:r>
        <w:rPr>
          <w:rFonts w:hint="eastAsia" w:ascii="宋体" w:hAnsi="宋体"/>
          <w:b/>
          <w:bCs/>
          <w:color w:val="000000" w:themeColor="text1"/>
          <w:szCs w:val="21"/>
          <w:highlight w:val="none"/>
          <w14:textFill>
            <w14:solidFill>
              <w14:schemeClr w14:val="tx1"/>
            </w14:solidFill>
          </w14:textFill>
        </w:rPr>
        <w:t>、商务条款</w:t>
      </w:r>
    </w:p>
    <w:tbl>
      <w:tblPr>
        <w:tblStyle w:val="12"/>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内容</w:t>
            </w:r>
          </w:p>
        </w:tc>
        <w:tc>
          <w:tcPr>
            <w:tcW w:w="8632" w:type="dxa"/>
            <w:tcBorders>
              <w:left w:val="single" w:color="auto" w:sz="4" w:space="0"/>
            </w:tcBorders>
          </w:tcPr>
          <w:p w14:paraId="2F339C80">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★报价要求</w:t>
            </w:r>
          </w:p>
        </w:tc>
        <w:tc>
          <w:tcPr>
            <w:tcW w:w="8632" w:type="dxa"/>
            <w:vAlign w:val="center"/>
          </w:tcPr>
          <w:p w14:paraId="414C6D98">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交货期</w:t>
            </w:r>
          </w:p>
        </w:tc>
        <w:tc>
          <w:tcPr>
            <w:tcW w:w="8632" w:type="dxa"/>
            <w:vAlign w:val="center"/>
          </w:tcPr>
          <w:p w14:paraId="50CA5694">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1、合同签订生效后</w:t>
            </w:r>
            <w:r>
              <w:rPr>
                <w:rFonts w:hint="eastAsia" w:ascii="宋体" w:hAnsi="宋体" w:eastAsia="宋体" w:cs="宋体"/>
                <w:bCs/>
                <w:color w:val="000000" w:themeColor="text1"/>
                <w:kern w:val="0"/>
                <w:sz w:val="21"/>
                <w:szCs w:val="21"/>
                <w:highlight w:val="yellow"/>
                <w:lang w:val="en-US" w:eastAsia="zh-CN" w:bidi="ar-SA"/>
                <w14:textFill>
                  <w14:solidFill>
                    <w14:schemeClr w14:val="tx1"/>
                  </w14:solidFill>
                </w14:textFill>
              </w:rPr>
              <w:t>60日</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历日内完成安装、调试及验收，货送至采购方指定地点。</w:t>
            </w:r>
          </w:p>
          <w:p w14:paraId="5F92199F">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售后服务</w:t>
            </w:r>
          </w:p>
          <w:p w14:paraId="7643B0EB">
            <w:pPr>
              <w:spacing w:line="24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要求</w:t>
            </w:r>
          </w:p>
        </w:tc>
        <w:tc>
          <w:tcPr>
            <w:tcW w:w="8632" w:type="dxa"/>
            <w:vAlign w:val="center"/>
          </w:tcPr>
          <w:p w14:paraId="15CAE09E">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★1、设备安装调试验收合格后原厂质保</w:t>
            </w:r>
            <w:r>
              <w:rPr>
                <w:rFonts w:hint="eastAsia" w:ascii="宋体" w:hAnsi="宋体" w:cs="宋体"/>
                <w:bCs/>
                <w:color w:val="000000" w:themeColor="text1"/>
                <w:kern w:val="0"/>
                <w:sz w:val="21"/>
                <w:szCs w:val="21"/>
                <w:highlight w:val="yellow"/>
                <w:lang w:val="en-US" w:eastAsia="zh-CN" w:bidi="ar-SA"/>
                <w14:textFill>
                  <w14:solidFill>
                    <w14:schemeClr w14:val="tx1"/>
                  </w14:solidFill>
                </w14:textFill>
              </w:rPr>
              <w:t>5</w:t>
            </w:r>
            <w:r>
              <w:rPr>
                <w:rFonts w:hint="eastAsia" w:ascii="宋体" w:hAnsi="宋体" w:eastAsia="宋体" w:cs="宋体"/>
                <w:bCs/>
                <w:color w:val="000000" w:themeColor="text1"/>
                <w:kern w:val="0"/>
                <w:sz w:val="21"/>
                <w:szCs w:val="21"/>
                <w:highlight w:val="yellow"/>
                <w:lang w:val="en-US" w:eastAsia="zh-CN" w:bidi="ar-SA"/>
                <w14:textFill>
                  <w14:solidFill>
                    <w14:schemeClr w14:val="tx1"/>
                  </w14:solidFill>
                </w14:textFill>
              </w:rPr>
              <w:t>年</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。投标方中标后需提供与设备生产厂家签订的该设备</w:t>
            </w:r>
            <w:r>
              <w:rPr>
                <w:rFonts w:hint="eastAsia" w:ascii="宋体" w:hAnsi="宋体" w:cs="宋体"/>
                <w:bCs/>
                <w:color w:val="000000" w:themeColor="text1"/>
                <w:kern w:val="0"/>
                <w:sz w:val="21"/>
                <w:szCs w:val="21"/>
                <w:highlight w:val="yellow"/>
                <w:lang w:val="en-US" w:eastAsia="zh-CN" w:bidi="ar-SA"/>
                <w14:textFill>
                  <w14:solidFill>
                    <w14:schemeClr w14:val="tx1"/>
                  </w14:solidFill>
                </w14:textFill>
              </w:rPr>
              <w:t>5</w:t>
            </w:r>
            <w:r>
              <w:rPr>
                <w:rFonts w:hint="eastAsia" w:ascii="宋体" w:hAnsi="宋体" w:eastAsia="宋体" w:cs="宋体"/>
                <w:bCs/>
                <w:color w:val="000000" w:themeColor="text1"/>
                <w:kern w:val="0"/>
                <w:sz w:val="21"/>
                <w:szCs w:val="21"/>
                <w:highlight w:val="yellow"/>
                <w:lang w:val="en-US" w:eastAsia="zh-CN" w:bidi="ar-SA"/>
                <w14:textFill>
                  <w14:solidFill>
                    <w14:schemeClr w14:val="tx1"/>
                  </w14:solidFill>
                </w14:textFill>
              </w:rPr>
              <w:t>年</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质保协议原件。在质保期内，设备零配件及其维修的有关费用及软件终身升级皆不得额外收取费用，并保证终身负责维修。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5、质保期结束前</w:t>
            </w:r>
            <w:r>
              <w:rPr>
                <w:rFonts w:hint="default" w:ascii="宋体" w:hAnsi="宋体" w:eastAsia="宋体" w:cs="宋体"/>
                <w:bCs/>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验收方式</w:t>
            </w:r>
          </w:p>
        </w:tc>
        <w:tc>
          <w:tcPr>
            <w:tcW w:w="8632" w:type="dxa"/>
            <w:vAlign w:val="center"/>
          </w:tcPr>
          <w:p w14:paraId="1636C957">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3、当满足以下条件时，采购方才向中标方签发货物验收报告：</w:t>
            </w:r>
          </w:p>
          <w:p w14:paraId="2E1CE404">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a、中标方已按照合同规定提供了全部产品及完整的技术资料。</w:t>
            </w:r>
          </w:p>
          <w:p w14:paraId="7D0B2D6E">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b、货物符合招标文件技术规格书的要求，性能满足要求。</w:t>
            </w:r>
          </w:p>
          <w:p w14:paraId="6295B3BB">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c、货物具备产品合格证。</w:t>
            </w:r>
          </w:p>
          <w:p w14:paraId="1A5B58B9">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 xml:space="preserve">签订合同后， </w:t>
            </w:r>
            <w:r>
              <w:rPr>
                <w:rFonts w:hint="eastAsia" w:ascii="宋体" w:hAnsi="宋体" w:cs="宋体"/>
                <w:bCs/>
                <w:color w:val="000000" w:themeColor="text1"/>
                <w:kern w:val="0"/>
                <w:sz w:val="21"/>
                <w:szCs w:val="21"/>
                <w:lang w:val="en-US" w:eastAsia="zh-CN" w:bidi="ar-SA"/>
                <w14:textFill>
                  <w14:solidFill>
                    <w14:schemeClr w14:val="tx1"/>
                  </w14:solidFill>
                </w14:textFill>
              </w:rPr>
              <w:t>中标方</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提供全额发票，经验收合格，办理入库后，</w:t>
            </w:r>
            <w:r>
              <w:rPr>
                <w:rFonts w:hint="eastAsia" w:ascii="宋体" w:hAnsi="宋体" w:cs="宋体"/>
                <w:bCs/>
                <w:color w:val="000000" w:themeColor="text1"/>
                <w:kern w:val="0"/>
                <w:sz w:val="21"/>
                <w:szCs w:val="21"/>
                <w:lang w:val="en-US" w:eastAsia="zh-CN" w:bidi="ar-SA"/>
                <w14:textFill>
                  <w14:solidFill>
                    <w14:schemeClr w14:val="tx1"/>
                  </w14:solidFill>
                </w14:textFill>
              </w:rPr>
              <w:t>采购方</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向</w:t>
            </w:r>
            <w:r>
              <w:rPr>
                <w:rFonts w:hint="eastAsia" w:ascii="宋体" w:hAnsi="宋体" w:cs="宋体"/>
                <w:bCs/>
                <w:color w:val="000000" w:themeColor="text1"/>
                <w:kern w:val="0"/>
                <w:sz w:val="21"/>
                <w:szCs w:val="21"/>
                <w:lang w:val="en-US" w:eastAsia="zh-CN" w:bidi="ar-SA"/>
                <w14:textFill>
                  <w14:solidFill>
                    <w14:schemeClr w14:val="tx1"/>
                  </w14:solidFill>
                </w14:textFill>
              </w:rPr>
              <w:t>中标方</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b/>
                <w:color w:val="000000" w:themeColor="text1"/>
                <w:kern w:val="0"/>
                <w:szCs w:val="21"/>
                <w:highlight w:val="none"/>
                <w:lang w:val="en-US" w:eastAsia="zh-CN"/>
                <w14:textFill>
                  <w14:solidFill>
                    <w14:schemeClr w14:val="tx1"/>
                  </w14:solidFill>
                </w14:textFill>
              </w:rPr>
              <w:t>★其他要求</w:t>
            </w:r>
          </w:p>
        </w:tc>
        <w:tc>
          <w:tcPr>
            <w:tcW w:w="8632" w:type="dxa"/>
            <w:vAlign w:val="center"/>
          </w:tcPr>
          <w:p w14:paraId="678CC542">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18D6DEB5">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E4C5F8A"/>
    <w:rsid w:val="201670C7"/>
    <w:rsid w:val="21B048A7"/>
    <w:rsid w:val="22AC6DA8"/>
    <w:rsid w:val="22D12C54"/>
    <w:rsid w:val="24917E72"/>
    <w:rsid w:val="2DFA155F"/>
    <w:rsid w:val="32140609"/>
    <w:rsid w:val="36B53415"/>
    <w:rsid w:val="3730523D"/>
    <w:rsid w:val="38DE5455"/>
    <w:rsid w:val="3B734D5F"/>
    <w:rsid w:val="3BBE0491"/>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7">
    <w:name w:val="Normal Indent"/>
    <w:basedOn w:val="1"/>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Plain Text"/>
    <w:basedOn w:val="1"/>
    <w:qFormat/>
    <w:uiPriority w:val="0"/>
    <w:rPr>
      <w:rFonts w:ascii="宋体" w:hAnsi="Courier New" w:cs="宋体"/>
      <w:szCs w:val="21"/>
    </w:rPr>
  </w:style>
  <w:style w:type="paragraph" w:styleId="11">
    <w:name w:val="Body Text 2"/>
    <w:basedOn w:val="1"/>
    <w:autoRedefine/>
    <w:qFormat/>
    <w:uiPriority w:val="0"/>
    <w:pPr>
      <w:spacing w:after="120" w:line="480" w:lineRule="auto"/>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3553</Words>
  <Characters>3680</Characters>
  <Lines>0</Lines>
  <Paragraphs>0</Paragraphs>
  <TotalTime>0</TotalTime>
  <ScaleCrop>false</ScaleCrop>
  <LinksUpToDate>false</LinksUpToDate>
  <CharactersWithSpaces>4387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2024-08-19T08:56:00Z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39D450BF6A9F4995B9A31FEBF48FCC15_13</vt:lpwstr>
  </property>
</Properties>
</file>