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bookmarkStart w:id="0" w:name="_Hlk169872363"/>
      <w:r>
        <w:rPr>
          <w:rFonts w:hint="eastAsia"/>
          <w:b/>
          <w:sz w:val="44"/>
          <w:szCs w:val="44"/>
        </w:rPr>
        <w:t>宝安区重点传染病监测预警项目数据采集服务项目采购</w:t>
      </w:r>
    </w:p>
    <w:bookmarkEnd w:id="0"/>
    <w:p>
      <w:pPr>
        <w:jc w:val="center"/>
        <w:rPr>
          <w:b/>
          <w:sz w:val="44"/>
          <w:szCs w:val="44"/>
        </w:rPr>
      </w:pPr>
    </w:p>
    <w:p>
      <w:pPr>
        <w:jc w:val="center"/>
        <w:rPr>
          <w:rFonts w:hint="eastAsia"/>
          <w:b/>
          <w:sz w:val="30"/>
          <w:szCs w:val="30"/>
        </w:rPr>
      </w:pPr>
      <w:r>
        <w:rPr>
          <w:rFonts w:hint="eastAsia"/>
          <w:b/>
          <w:sz w:val="30"/>
          <w:szCs w:val="30"/>
        </w:rPr>
        <w:t>项目编号：</w:t>
      </w:r>
      <w:r>
        <w:rPr>
          <w:b/>
          <w:sz w:val="30"/>
          <w:szCs w:val="30"/>
        </w:rPr>
        <w:t>BACDCCG202401</w:t>
      </w:r>
      <w:r>
        <w:rPr>
          <w:rFonts w:hint="eastAsia"/>
          <w:b/>
          <w:sz w:val="30"/>
          <w:szCs w:val="30"/>
        </w:rPr>
        <w:t>3</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二〇二四年八月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就宝安区重点传染病监测预警项目数据采集服务项目采购</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目名称：宝安区重点传染病监测预警项目数据采集服务项目采购</w:t>
      </w:r>
    </w:p>
    <w:p>
      <w:pPr>
        <w:spacing w:line="360" w:lineRule="auto"/>
        <w:ind w:firstLine="420" w:firstLineChars="200"/>
        <w:rPr>
          <w:rFonts w:hint="eastAsia"/>
        </w:rPr>
      </w:pPr>
      <w:r>
        <w:rPr>
          <w:rFonts w:hint="eastAsia"/>
        </w:rPr>
        <w:t>2、</w:t>
      </w:r>
      <w:r>
        <w:t>项目编号：BACDCCG202401</w:t>
      </w:r>
      <w:r>
        <w:rPr>
          <w:rFonts w:hint="eastAsia"/>
        </w:rPr>
        <w:t>3</w:t>
      </w:r>
    </w:p>
    <w:p>
      <w:pPr>
        <w:spacing w:line="360" w:lineRule="auto"/>
        <w:ind w:firstLine="420" w:firstLineChars="200"/>
      </w:pPr>
      <w:r>
        <w:rPr>
          <w:rFonts w:hint="eastAsia"/>
        </w:rPr>
        <w:t>3、项目类别：服务类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、采购方式：公开招标</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本项目采购预算金额为95000.00元整。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1、投标人必须是在中华人民共和国境内注册的独立法人或其他组织（提供营业执照复印件）；</w:t>
      </w:r>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w:t>
      </w:r>
      <w:r>
        <w:t>24</w:t>
      </w:r>
      <w:r>
        <w:rPr>
          <w:rFonts w:hint="eastAsia"/>
        </w:rPr>
        <w:t>年</w:t>
      </w:r>
      <w:r>
        <w:rPr>
          <w:rFonts w:hint="eastAsia"/>
          <w:lang w:val="en-US" w:eastAsia="zh-CN"/>
        </w:rPr>
        <w:t>8</w:t>
      </w:r>
      <w:r>
        <w:rPr>
          <w:rFonts w:hint="eastAsia"/>
        </w:rPr>
        <w:t>月</w:t>
      </w:r>
      <w:r>
        <w:rPr>
          <w:rFonts w:hint="eastAsia"/>
          <w:lang w:val="en-US" w:eastAsia="zh-CN"/>
        </w:rPr>
        <w:t>9</w:t>
      </w:r>
      <w:r>
        <w:rPr>
          <w:rFonts w:hint="eastAsia"/>
        </w:rPr>
        <w:t>日起至20</w:t>
      </w:r>
      <w:r>
        <w:t>2</w:t>
      </w:r>
      <w:r>
        <w:rPr>
          <w:rFonts w:hint="eastAsia"/>
        </w:rPr>
        <w:t>4年</w:t>
      </w:r>
      <w:r>
        <w:rPr>
          <w:rFonts w:hint="eastAsia"/>
          <w:lang w:val="en-US" w:eastAsia="zh-CN"/>
        </w:rPr>
        <w:t>8</w:t>
      </w:r>
      <w:r>
        <w:rPr>
          <w:rFonts w:hint="eastAsia"/>
        </w:rPr>
        <w:t>月</w:t>
      </w:r>
      <w:r>
        <w:rPr>
          <w:rFonts w:hint="eastAsia"/>
          <w:lang w:val="en-US" w:eastAsia="zh-CN"/>
        </w:rPr>
        <w:t>16</w:t>
      </w:r>
      <w:r>
        <w:rPr>
          <w:rFonts w:hint="eastAsia"/>
        </w:rPr>
        <w:t>日（节假日除外），上午9：00～11：30，下午14：00～17：00（北京时间）。</w:t>
      </w:r>
    </w:p>
    <w:p>
      <w:pPr>
        <w:spacing w:line="360" w:lineRule="auto"/>
        <w:ind w:firstLine="420" w:firstLineChars="200"/>
      </w:pPr>
      <w:r>
        <w:rPr>
          <w:rFonts w:hint="eastAsia"/>
        </w:rPr>
        <w:t>2、获取采购文件地点：深圳市宝安区海秀路3号（深圳市宝安区疾病预防控制中心）51</w:t>
      </w:r>
      <w:r>
        <w:t>6</w:t>
      </w:r>
      <w:r>
        <w:rPr>
          <w:rFonts w:hint="eastAsia"/>
        </w:rPr>
        <w:t>。</w:t>
      </w:r>
    </w:p>
    <w:p>
      <w:pPr>
        <w:spacing w:line="360" w:lineRule="auto"/>
        <w:ind w:firstLine="420" w:firstLineChars="200"/>
      </w:pPr>
      <w:r>
        <w:rPr>
          <w:rFonts w:hint="eastAsia"/>
        </w:rPr>
        <w:t>3、获取采购文件方式：线上自行下载。</w:t>
      </w:r>
    </w:p>
    <w:p>
      <w:pPr>
        <w:spacing w:line="360" w:lineRule="auto"/>
        <w:ind w:firstLine="420" w:firstLineChars="200"/>
      </w:pPr>
      <w:bookmarkStart w:id="173" w:name="_GoBack"/>
      <w:bookmarkEnd w:id="173"/>
      <w:r>
        <w:rPr>
          <w:rFonts w:hint="eastAsia"/>
        </w:rPr>
        <w:t>4、联系人：郑工</w:t>
      </w:r>
    </w:p>
    <w:p>
      <w:pPr>
        <w:spacing w:line="360" w:lineRule="auto"/>
        <w:ind w:firstLine="420" w:firstLineChars="200"/>
      </w:pPr>
      <w:r>
        <w:rPr>
          <w:rFonts w:hint="eastAsia"/>
        </w:rPr>
        <w:t>5、联系电话：</w:t>
      </w:r>
      <w:r>
        <w:t>0755-23703075</w:t>
      </w:r>
    </w:p>
    <w:p>
      <w:pPr>
        <w:pStyle w:val="5"/>
        <w:ind w:firstLine="482"/>
      </w:pPr>
      <w:r>
        <w:rPr>
          <w:rFonts w:hint="eastAsia"/>
        </w:rPr>
        <w:t>六、投标截止时间</w:t>
      </w:r>
    </w:p>
    <w:p>
      <w:pPr>
        <w:spacing w:line="360" w:lineRule="auto"/>
        <w:ind w:firstLine="420" w:firstLineChars="200"/>
      </w:pPr>
      <w:r>
        <w:rPr>
          <w:rFonts w:hint="eastAsia"/>
        </w:rPr>
        <w:t>1、递交响应文件时间：202</w:t>
      </w:r>
      <w:r>
        <w:t>4</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日上午</w:t>
      </w:r>
      <w:r>
        <w:t>12</w:t>
      </w:r>
      <w:r>
        <w:rPr>
          <w:rFonts w:hint="eastAsia"/>
        </w:rPr>
        <w:t>：</w:t>
      </w:r>
      <w:r>
        <w:t>0</w:t>
      </w:r>
      <w:r>
        <w:rPr>
          <w:rFonts w:hint="eastAsia"/>
        </w:rPr>
        <w:t>0前。</w:t>
      </w:r>
    </w:p>
    <w:p>
      <w:pPr>
        <w:spacing w:line="360" w:lineRule="auto"/>
        <w:ind w:firstLine="420" w:firstLineChars="200"/>
      </w:pPr>
      <w:r>
        <w:t>2</w:t>
      </w:r>
      <w:r>
        <w:rPr>
          <w:rFonts w:hint="eastAsia"/>
        </w:rPr>
        <w:t>、递交响应文件地点：深圳市宝安区海秀路3号（深圳市宝安区疾病预防控制中心）5</w:t>
      </w:r>
      <w:r>
        <w:t>16</w:t>
      </w:r>
      <w:r>
        <w:rPr>
          <w:rFonts w:hint="eastAsia"/>
        </w:rPr>
        <w:t>，如无法进入大楼可放置保安室。</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w:t>
      </w:r>
      <w:r>
        <w:rPr>
          <w:rFonts w:hint="eastAsia"/>
          <w:lang w:val="en-US" w:eastAsia="zh-CN"/>
        </w:rPr>
        <w:t>8</w:t>
      </w:r>
      <w:r>
        <w:rPr>
          <w:rFonts w:hint="eastAsia"/>
        </w:rPr>
        <w:t>月</w:t>
      </w:r>
      <w:r>
        <w:rPr>
          <w:rFonts w:hint="eastAsia"/>
          <w:lang w:val="en-US" w:eastAsia="zh-CN"/>
        </w:rPr>
        <w:t>9</w:t>
      </w:r>
      <w:r>
        <w:rPr>
          <w:rFonts w:hint="eastAsia"/>
        </w:rPr>
        <w:t>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6" w:name="_Toc61539109"/>
      <w:bookmarkStart w:id="7" w:name="_Toc86939329"/>
      <w:r>
        <w:rPr>
          <w:rFonts w:hint="eastAsia"/>
        </w:rPr>
        <w:t>第二章  用户需求书</w:t>
      </w:r>
      <w:bookmarkEnd w:id="6"/>
      <w:bookmarkEnd w:id="7"/>
    </w:p>
    <w:p>
      <w:pPr>
        <w:pStyle w:val="3"/>
      </w:pPr>
      <w:bookmarkStart w:id="8" w:name="_Toc86939330"/>
      <w:bookmarkStart w:id="9" w:name="_Toc86741961"/>
      <w:r>
        <w:rPr>
          <w:rFonts w:hint="eastAsia"/>
        </w:rPr>
        <w:t>一、具体服务需求</w:t>
      </w:r>
    </w:p>
    <w:p>
      <w:pPr>
        <w:spacing w:line="360" w:lineRule="auto"/>
        <w:ind w:firstLine="482" w:firstLineChars="200"/>
        <w:jc w:val="left"/>
        <w:rPr>
          <w:rFonts w:hint="eastAsia" w:ascii="宋体" w:hAnsi="宋体"/>
          <w:sz w:val="24"/>
        </w:rPr>
      </w:pPr>
      <w:r>
        <w:rPr>
          <w:rFonts w:hint="eastAsia" w:ascii="宋体" w:hAnsi="宋体"/>
          <w:b/>
          <w:sz w:val="24"/>
        </w:rPr>
        <w:t>（一）</w:t>
      </w:r>
      <w:r>
        <w:rPr>
          <w:rFonts w:hint="eastAsia" w:ascii="宋体" w:hAnsi="宋体"/>
          <w:b/>
          <w:bCs/>
          <w:sz w:val="24"/>
        </w:rPr>
        <w:t>采购项目概况</w:t>
      </w:r>
      <w:r>
        <w:rPr>
          <w:rFonts w:hint="eastAsia" w:ascii="宋体" w:hAnsi="宋体"/>
          <w:sz w:val="24"/>
        </w:rPr>
        <w:t>（根据项目情况自行填写）：</w:t>
      </w:r>
    </w:p>
    <w:p>
      <w:pPr>
        <w:numPr>
          <w:ilvl w:val="0"/>
          <w:numId w:val="1"/>
        </w:numPr>
        <w:spacing w:line="360" w:lineRule="auto"/>
        <w:ind w:firstLine="480" w:firstLineChars="200"/>
        <w:jc w:val="left"/>
        <w:rPr>
          <w:rFonts w:ascii="宋体" w:hAnsi="宋体"/>
          <w:sz w:val="24"/>
        </w:rPr>
      </w:pPr>
      <w:r>
        <w:rPr>
          <w:rFonts w:hint="eastAsia" w:ascii="宋体" w:hAnsi="宋体"/>
          <w:sz w:val="24"/>
        </w:rPr>
        <w:t>项目预算金额或预算金额之下的最高限额：玖万伍仟元整（¥95000.00）元</w:t>
      </w:r>
    </w:p>
    <w:p>
      <w:pPr>
        <w:spacing w:line="360" w:lineRule="auto"/>
        <w:ind w:left="562"/>
        <w:jc w:val="left"/>
        <w:rPr>
          <w:rFonts w:hint="eastAsia" w:ascii="宋体" w:hAnsi="宋体"/>
          <w:sz w:val="24"/>
        </w:rPr>
      </w:pPr>
      <w:r>
        <w:rPr>
          <w:rFonts w:hint="eastAsia" w:ascii="宋体" w:hAnsi="宋体"/>
          <w:b/>
          <w:bCs/>
          <w:sz w:val="24"/>
        </w:rPr>
        <w:t>（二）项目管理和服务要求</w:t>
      </w:r>
      <w:r>
        <w:rPr>
          <w:rFonts w:hint="eastAsia" w:ascii="宋体" w:hAnsi="宋体"/>
          <w:sz w:val="24"/>
        </w:rPr>
        <w:t>（根据项目情况自行填写）：</w:t>
      </w:r>
    </w:p>
    <w:p>
      <w:pPr>
        <w:spacing w:line="360" w:lineRule="auto"/>
        <w:ind w:firstLine="480" w:firstLineChars="200"/>
        <w:jc w:val="left"/>
        <w:rPr>
          <w:rFonts w:hint="eastAsia" w:ascii="宋体" w:hAnsi="宋体"/>
          <w:sz w:val="24"/>
          <w:szCs w:val="21"/>
        </w:rPr>
      </w:pPr>
      <w:r>
        <w:rPr>
          <w:rFonts w:ascii="宋体" w:hAnsi="宋体"/>
          <w:sz w:val="24"/>
        </w:rPr>
        <w:t>1.</w:t>
      </w:r>
      <w:r>
        <w:rPr>
          <w:rFonts w:hint="eastAsia" w:ascii="宋体" w:hAnsi="宋体"/>
          <w:sz w:val="24"/>
        </w:rPr>
        <w:t>服务范围；</w:t>
      </w:r>
      <w:r>
        <w:rPr>
          <w:rFonts w:hint="eastAsia" w:ascii="宋体" w:hAnsi="宋体"/>
          <w:sz w:val="24"/>
          <w:szCs w:val="21"/>
        </w:rPr>
        <w:t>为宝安区重点传染病监测预警项目的重点场所哨点监测工作提供数据采集和管理服务。</w:t>
      </w:r>
    </w:p>
    <w:p>
      <w:pPr>
        <w:spacing w:line="360" w:lineRule="auto"/>
        <w:ind w:firstLine="480" w:firstLineChars="200"/>
        <w:jc w:val="left"/>
        <w:rPr>
          <w:rFonts w:hint="eastAsia" w:ascii="宋体" w:hAnsi="宋体"/>
          <w:sz w:val="24"/>
          <w:szCs w:val="21"/>
        </w:rPr>
      </w:pPr>
      <w:r>
        <w:rPr>
          <w:rFonts w:hint="eastAsia" w:ascii="宋体" w:hAnsi="宋体"/>
          <w:sz w:val="24"/>
        </w:rPr>
        <w:t>2.服务期限；</w:t>
      </w:r>
      <w:r>
        <w:rPr>
          <w:rFonts w:hint="eastAsia" w:ascii="宋体" w:hAnsi="宋体"/>
          <w:sz w:val="24"/>
          <w:szCs w:val="21"/>
        </w:rPr>
        <w:t>中标人在合同签订后1个月内提供相应服务，并在验收通过后提供1年的运维服务保障。</w:t>
      </w:r>
    </w:p>
    <w:p>
      <w:pPr>
        <w:spacing w:line="360" w:lineRule="auto"/>
        <w:ind w:firstLine="480"/>
        <w:jc w:val="left"/>
        <w:rPr>
          <w:rFonts w:hint="eastAsia" w:ascii="宋体" w:hAnsi="宋体"/>
          <w:sz w:val="24"/>
        </w:rPr>
      </w:pPr>
      <w:r>
        <w:rPr>
          <w:rFonts w:ascii="宋体" w:hAnsi="宋体"/>
          <w:sz w:val="24"/>
        </w:rPr>
        <w:t>3.</w:t>
      </w:r>
      <w:r>
        <w:rPr>
          <w:rFonts w:hint="eastAsia" w:ascii="宋体" w:hAnsi="宋体"/>
          <w:sz w:val="24"/>
        </w:rPr>
        <w:t>服务内容、技术标准、工作质量要求；</w:t>
      </w:r>
      <w:bookmarkStart w:id="10" w:name="_Toc146043469"/>
    </w:p>
    <w:p>
      <w:pPr>
        <w:spacing w:line="360" w:lineRule="auto"/>
        <w:ind w:firstLine="482" w:firstLineChars="200"/>
        <w:rPr>
          <w:rFonts w:ascii="宋体" w:hAnsi="宋体"/>
          <w:b/>
          <w:sz w:val="24"/>
        </w:rPr>
      </w:pPr>
      <w:r>
        <w:rPr>
          <w:rFonts w:hint="eastAsia" w:ascii="宋体" w:hAnsi="宋体"/>
          <w:b/>
          <w:sz w:val="24"/>
        </w:rPr>
        <w:t>（1）数据管理服务</w:t>
      </w:r>
      <w:bookmarkEnd w:id="10"/>
    </w:p>
    <w:p>
      <w:pPr>
        <w:pStyle w:val="29"/>
        <w:spacing w:line="360" w:lineRule="auto"/>
        <w:ind w:firstLine="480"/>
        <w:rPr>
          <w:rFonts w:ascii="宋体" w:hAnsi="宋体"/>
          <w:sz w:val="24"/>
        </w:rPr>
      </w:pPr>
      <w:r>
        <w:rPr>
          <w:rFonts w:hint="eastAsia" w:ascii="宋体" w:hAnsi="宋体"/>
          <w:sz w:val="24"/>
        </w:rPr>
        <w:t>① 提供调查任务管理服务，包括</w:t>
      </w:r>
      <w:r>
        <w:rPr>
          <w:rFonts w:ascii="宋体" w:hAnsi="宋体"/>
          <w:sz w:val="24"/>
        </w:rPr>
        <w:t>调查任务数据管理、基线调查情况管理、随访调查情况管理等</w:t>
      </w:r>
      <w:r>
        <w:rPr>
          <w:rFonts w:hint="eastAsia" w:ascii="宋体" w:hAnsi="宋体"/>
          <w:sz w:val="24"/>
        </w:rPr>
        <w:t>。具体服务内容如下：</w:t>
      </w:r>
    </w:p>
    <w:p>
      <w:pPr>
        <w:pStyle w:val="29"/>
        <w:spacing w:line="360" w:lineRule="auto"/>
        <w:ind w:firstLine="480"/>
        <w:rPr>
          <w:rFonts w:hint="eastAsia" w:ascii="宋体" w:hAnsi="宋体"/>
          <w:sz w:val="24"/>
          <w:szCs w:val="24"/>
        </w:rPr>
      </w:pPr>
      <w:r>
        <w:rPr>
          <w:rFonts w:hint="eastAsia" w:ascii="宋体" w:hAnsi="宋体"/>
          <w:sz w:val="24"/>
          <w:szCs w:val="24"/>
        </w:rPr>
        <w:t>协助完成调查任务信息的维护、管理。</w:t>
      </w:r>
    </w:p>
    <w:p>
      <w:pPr>
        <w:pStyle w:val="29"/>
        <w:spacing w:line="360" w:lineRule="auto"/>
        <w:ind w:firstLine="480"/>
        <w:rPr>
          <w:rFonts w:hint="eastAsia" w:ascii="宋体" w:hAnsi="宋体"/>
          <w:sz w:val="24"/>
          <w:szCs w:val="24"/>
        </w:rPr>
      </w:pPr>
      <w:r>
        <w:rPr>
          <w:rFonts w:hint="eastAsia" w:ascii="宋体" w:hAnsi="宋体"/>
          <w:sz w:val="24"/>
          <w:szCs w:val="24"/>
        </w:rPr>
        <w:t>协助完成基线调查信息（基线调查问卷信息、核酸样本信息、血清样本信息）和</w:t>
      </w:r>
      <w:r>
        <w:rPr>
          <w:rFonts w:hint="eastAsia" w:ascii="宋体" w:hAnsi="宋体"/>
          <w:sz w:val="24"/>
        </w:rPr>
        <w:t>随访调查信息（随访调查问卷信息、核酸样本信息</w:t>
      </w:r>
      <w:r>
        <w:rPr>
          <w:rFonts w:hint="eastAsia" w:ascii="宋体" w:hAnsi="宋体"/>
          <w:sz w:val="24"/>
          <w:szCs w:val="24"/>
        </w:rPr>
        <w:t>、血清样本信息</w:t>
      </w:r>
      <w:r>
        <w:rPr>
          <w:rFonts w:hint="eastAsia" w:ascii="宋体" w:hAnsi="宋体"/>
          <w:sz w:val="24"/>
        </w:rPr>
        <w:t>）</w:t>
      </w:r>
      <w:r>
        <w:rPr>
          <w:rFonts w:hint="eastAsia" w:ascii="宋体" w:hAnsi="宋体"/>
          <w:sz w:val="24"/>
          <w:szCs w:val="24"/>
        </w:rPr>
        <w:t>的维护、管理，并按照要求整理相应数据。</w:t>
      </w:r>
    </w:p>
    <w:p>
      <w:pPr>
        <w:spacing w:line="360" w:lineRule="auto"/>
        <w:ind w:firstLine="480" w:firstLineChars="200"/>
        <w:rPr>
          <w:rFonts w:ascii="宋体" w:hAnsi="宋体"/>
          <w:sz w:val="24"/>
        </w:rPr>
      </w:pPr>
      <w:r>
        <w:rPr>
          <w:rFonts w:hint="eastAsia" w:ascii="宋体" w:hAnsi="宋体"/>
          <w:sz w:val="24"/>
        </w:rPr>
        <w:t>② 提供</w:t>
      </w:r>
      <w:r>
        <w:rPr>
          <w:rFonts w:ascii="宋体" w:hAnsi="宋体"/>
          <w:sz w:val="24"/>
        </w:rPr>
        <w:t>调查问卷数据管理服务</w:t>
      </w:r>
      <w:r>
        <w:rPr>
          <w:rFonts w:hint="eastAsia" w:ascii="宋体" w:hAnsi="宋体"/>
          <w:sz w:val="24"/>
        </w:rPr>
        <w:t>，包括</w:t>
      </w:r>
      <w:r>
        <w:rPr>
          <w:rFonts w:ascii="宋体" w:hAnsi="宋体"/>
          <w:sz w:val="24"/>
        </w:rPr>
        <w:t>基线调查数据管理、随访调查数据管理等</w:t>
      </w:r>
      <w:r>
        <w:rPr>
          <w:rFonts w:hint="eastAsia" w:ascii="宋体" w:hAnsi="宋体"/>
          <w:sz w:val="24"/>
        </w:rPr>
        <w:t>。具体服务内容如下：</w:t>
      </w:r>
    </w:p>
    <w:p>
      <w:pPr>
        <w:spacing w:line="360" w:lineRule="auto"/>
        <w:ind w:firstLine="480" w:firstLineChars="200"/>
        <w:rPr>
          <w:rFonts w:hint="eastAsia" w:ascii="宋体" w:hAnsi="宋体"/>
          <w:sz w:val="24"/>
        </w:rPr>
      </w:pPr>
      <w:r>
        <w:rPr>
          <w:rFonts w:hint="eastAsia" w:ascii="宋体" w:hAnsi="宋体"/>
          <w:sz w:val="24"/>
        </w:rPr>
        <w:t>协助完成被调查人员基线调查信息、随访调查信息的维护、管理，并按照要求整理基线调查人员数据、知情同意书图片文件、随访调查问卷数据。</w:t>
      </w:r>
    </w:p>
    <w:p>
      <w:pPr>
        <w:spacing w:line="360" w:lineRule="auto"/>
        <w:ind w:firstLine="480" w:firstLineChars="200"/>
        <w:rPr>
          <w:rFonts w:ascii="宋体" w:hAnsi="宋体"/>
          <w:sz w:val="24"/>
        </w:rPr>
      </w:pPr>
      <w:r>
        <w:rPr>
          <w:rFonts w:hint="eastAsia" w:ascii="宋体" w:hAnsi="宋体"/>
          <w:sz w:val="24"/>
        </w:rPr>
        <w:t xml:space="preserve">③ </w:t>
      </w:r>
      <w:r>
        <w:rPr>
          <w:rFonts w:ascii="宋体" w:hAnsi="宋体"/>
          <w:sz w:val="24"/>
        </w:rPr>
        <w:t>提供样品数据管理服务</w:t>
      </w:r>
      <w:r>
        <w:rPr>
          <w:rFonts w:hint="eastAsia" w:ascii="宋体" w:hAnsi="宋体"/>
          <w:sz w:val="24"/>
        </w:rPr>
        <w:t>，包括</w:t>
      </w:r>
      <w:r>
        <w:rPr>
          <w:rFonts w:ascii="宋体" w:hAnsi="宋体"/>
          <w:sz w:val="24"/>
        </w:rPr>
        <w:t>血清样本信息管理、核酸样品数据管理</w:t>
      </w:r>
      <w:r>
        <w:rPr>
          <w:rFonts w:hint="eastAsia" w:ascii="宋体" w:hAnsi="宋体"/>
          <w:sz w:val="24"/>
        </w:rPr>
        <w:t>。具体服务内容如下：</w:t>
      </w:r>
    </w:p>
    <w:p>
      <w:pPr>
        <w:pStyle w:val="29"/>
        <w:spacing w:line="360" w:lineRule="auto"/>
        <w:ind w:firstLine="480"/>
        <w:rPr>
          <w:rFonts w:ascii="宋体" w:hAnsi="宋体"/>
          <w:sz w:val="24"/>
          <w:szCs w:val="24"/>
        </w:rPr>
      </w:pPr>
      <w:r>
        <w:rPr>
          <w:rFonts w:hint="eastAsia" w:ascii="宋体" w:hAnsi="宋体"/>
          <w:sz w:val="24"/>
          <w:szCs w:val="24"/>
        </w:rPr>
        <w:t>按照要求整理血清样本信息、核酸样本信息，</w:t>
      </w:r>
      <w:r>
        <w:rPr>
          <w:rFonts w:ascii="宋体" w:hAnsi="宋体"/>
          <w:sz w:val="24"/>
          <w:szCs w:val="24"/>
        </w:rPr>
        <w:t>并</w:t>
      </w:r>
      <w:r>
        <w:rPr>
          <w:rFonts w:hint="eastAsia" w:ascii="宋体" w:hAnsi="宋体"/>
          <w:sz w:val="24"/>
          <w:szCs w:val="24"/>
        </w:rPr>
        <w:t>提供自动生成送检单、结果上传等服务。</w:t>
      </w:r>
    </w:p>
    <w:p>
      <w:pPr>
        <w:spacing w:line="360" w:lineRule="auto"/>
        <w:rPr>
          <w:rFonts w:ascii="宋体" w:hAnsi="宋体"/>
          <w:b/>
          <w:sz w:val="28"/>
        </w:rPr>
      </w:pPr>
      <w:bookmarkStart w:id="11" w:name="_Toc146043484"/>
      <w:r>
        <w:rPr>
          <w:rFonts w:hint="eastAsia" w:ascii="宋体" w:hAnsi="宋体"/>
          <w:b/>
          <w:sz w:val="24"/>
        </w:rPr>
        <w:t>（2）移动应用服务</w:t>
      </w:r>
      <w:bookmarkEnd w:id="11"/>
    </w:p>
    <w:p>
      <w:pPr>
        <w:spacing w:line="360" w:lineRule="auto"/>
        <w:ind w:firstLine="480" w:firstLineChars="200"/>
        <w:rPr>
          <w:rFonts w:ascii="宋体" w:hAnsi="宋体"/>
          <w:sz w:val="24"/>
        </w:rPr>
      </w:pPr>
      <w:r>
        <w:rPr>
          <w:rFonts w:hint="eastAsia" w:ascii="宋体" w:hAnsi="宋体"/>
          <w:sz w:val="24"/>
        </w:rPr>
        <w:t xml:space="preserve">① </w:t>
      </w:r>
      <w:r>
        <w:rPr>
          <w:rFonts w:ascii="宋体" w:hAnsi="宋体"/>
          <w:sz w:val="24"/>
        </w:rPr>
        <w:t>提供登录认证服务</w:t>
      </w:r>
      <w:r>
        <w:rPr>
          <w:rFonts w:hint="eastAsia" w:ascii="宋体" w:hAnsi="宋体"/>
          <w:sz w:val="24"/>
        </w:rPr>
        <w:t>，需要</w:t>
      </w:r>
      <w:r>
        <w:rPr>
          <w:rFonts w:ascii="宋体" w:hAnsi="宋体"/>
          <w:sz w:val="24"/>
        </w:rPr>
        <w:t>同时支持手机验证码登录及账号密码登录两种方式</w:t>
      </w:r>
      <w:r>
        <w:rPr>
          <w:rFonts w:hint="eastAsia" w:ascii="宋体" w:hAnsi="宋体"/>
          <w:sz w:val="24"/>
        </w:rPr>
        <w:t>。</w:t>
      </w:r>
    </w:p>
    <w:p>
      <w:pPr>
        <w:pStyle w:val="29"/>
        <w:spacing w:line="360" w:lineRule="auto"/>
        <w:ind w:firstLine="480"/>
        <w:rPr>
          <w:rFonts w:ascii="宋体" w:hAnsi="宋体"/>
          <w:sz w:val="24"/>
          <w:szCs w:val="24"/>
        </w:rPr>
      </w:pPr>
      <w:r>
        <w:rPr>
          <w:rFonts w:hint="eastAsia" w:ascii="宋体" w:hAnsi="宋体"/>
          <w:sz w:val="24"/>
          <w:szCs w:val="24"/>
        </w:rPr>
        <w:t>支持使用手机号进行注册，通过手机号、数字验证码进行登录。</w:t>
      </w:r>
    </w:p>
    <w:p>
      <w:pPr>
        <w:spacing w:line="360" w:lineRule="auto"/>
        <w:ind w:firstLine="480" w:firstLineChars="200"/>
        <w:rPr>
          <w:rFonts w:hint="eastAsia" w:ascii="宋体" w:hAnsi="宋体"/>
          <w:sz w:val="24"/>
        </w:rPr>
      </w:pPr>
      <w:r>
        <w:rPr>
          <w:rFonts w:hint="eastAsia" w:ascii="宋体" w:hAnsi="宋体"/>
          <w:sz w:val="24"/>
        </w:rPr>
        <w:t>按照要求提供所需的账号、密码，支持通过账号、密码、数字验证码进行登录。</w:t>
      </w:r>
    </w:p>
    <w:p>
      <w:pPr>
        <w:spacing w:line="360" w:lineRule="auto"/>
        <w:ind w:firstLine="480" w:firstLineChars="200"/>
        <w:rPr>
          <w:rFonts w:ascii="宋体" w:hAnsi="宋体"/>
          <w:sz w:val="24"/>
        </w:rPr>
      </w:pPr>
      <w:r>
        <w:rPr>
          <w:rFonts w:hint="eastAsia" w:ascii="宋体" w:hAnsi="宋体"/>
          <w:sz w:val="24"/>
        </w:rPr>
        <w:t>② 提供调查对象</w:t>
      </w:r>
      <w:r>
        <w:rPr>
          <w:rFonts w:ascii="宋体" w:hAnsi="宋体"/>
          <w:sz w:val="24"/>
        </w:rPr>
        <w:t>端应用服务</w:t>
      </w:r>
      <w:r>
        <w:rPr>
          <w:rFonts w:hint="eastAsia" w:ascii="宋体" w:hAnsi="宋体"/>
          <w:sz w:val="24"/>
        </w:rPr>
        <w:t>，具体服务内容如下：</w:t>
      </w:r>
    </w:p>
    <w:p>
      <w:pPr>
        <w:pStyle w:val="29"/>
        <w:spacing w:line="360" w:lineRule="auto"/>
        <w:ind w:firstLine="480"/>
        <w:rPr>
          <w:rFonts w:ascii="宋体" w:hAnsi="宋体"/>
          <w:sz w:val="24"/>
          <w:szCs w:val="24"/>
        </w:rPr>
      </w:pPr>
      <w:r>
        <w:rPr>
          <w:rFonts w:hint="eastAsia" w:ascii="宋体" w:hAnsi="宋体"/>
          <w:sz w:val="24"/>
          <w:szCs w:val="24"/>
        </w:rPr>
        <w:t>支持</w:t>
      </w:r>
      <w:r>
        <w:rPr>
          <w:rFonts w:hint="eastAsia" w:ascii="宋体" w:hAnsi="宋体"/>
          <w:sz w:val="24"/>
        </w:rPr>
        <w:t>调查对象</w:t>
      </w:r>
      <w:r>
        <w:rPr>
          <w:rFonts w:hint="eastAsia" w:ascii="宋体" w:hAnsi="宋体"/>
          <w:sz w:val="24"/>
          <w:szCs w:val="24"/>
        </w:rPr>
        <w:t>查看相关的血清样品检测结果或核酸样品检测结果。</w:t>
      </w:r>
    </w:p>
    <w:p>
      <w:pPr>
        <w:pStyle w:val="29"/>
        <w:spacing w:line="360" w:lineRule="auto"/>
        <w:ind w:firstLine="480"/>
        <w:rPr>
          <w:rFonts w:ascii="宋体" w:hAnsi="宋体"/>
          <w:sz w:val="24"/>
          <w:szCs w:val="24"/>
        </w:rPr>
      </w:pPr>
      <w:r>
        <w:rPr>
          <w:rFonts w:hint="eastAsia" w:ascii="宋体" w:hAnsi="宋体"/>
          <w:sz w:val="24"/>
          <w:szCs w:val="24"/>
        </w:rPr>
        <w:t>支持</w:t>
      </w:r>
      <w:r>
        <w:rPr>
          <w:rFonts w:hint="eastAsia" w:ascii="宋体" w:hAnsi="宋体"/>
          <w:sz w:val="24"/>
        </w:rPr>
        <w:t>调查对象</w:t>
      </w:r>
      <w:r>
        <w:rPr>
          <w:rFonts w:hint="eastAsia" w:ascii="宋体" w:hAnsi="宋体"/>
          <w:sz w:val="24"/>
          <w:szCs w:val="24"/>
        </w:rPr>
        <w:t>查看关联的任务列表，自行完成随访调查问卷的填写。</w:t>
      </w:r>
    </w:p>
    <w:p>
      <w:pPr>
        <w:pStyle w:val="29"/>
        <w:spacing w:line="360" w:lineRule="auto"/>
        <w:ind w:firstLine="480"/>
        <w:rPr>
          <w:rFonts w:ascii="宋体" w:hAnsi="宋体"/>
          <w:sz w:val="24"/>
          <w:szCs w:val="24"/>
        </w:rPr>
      </w:pPr>
      <w:r>
        <w:rPr>
          <w:rFonts w:hint="eastAsia" w:ascii="宋体" w:hAnsi="宋体"/>
          <w:sz w:val="24"/>
          <w:szCs w:val="24"/>
        </w:rPr>
        <w:t>支持</w:t>
      </w:r>
      <w:r>
        <w:rPr>
          <w:rFonts w:hint="eastAsia" w:ascii="宋体" w:hAnsi="宋体"/>
          <w:sz w:val="24"/>
        </w:rPr>
        <w:t>调查对象</w:t>
      </w:r>
      <w:r>
        <w:rPr>
          <w:rFonts w:hint="eastAsia" w:ascii="宋体" w:hAnsi="宋体"/>
          <w:sz w:val="24"/>
          <w:szCs w:val="24"/>
        </w:rPr>
        <w:t>自行扫描核酸采样管，协助完成核酸采样信息的收集。</w:t>
      </w:r>
    </w:p>
    <w:p>
      <w:pPr>
        <w:spacing w:line="360" w:lineRule="auto"/>
        <w:ind w:firstLine="480" w:firstLineChars="200"/>
        <w:rPr>
          <w:rFonts w:ascii="宋体" w:hAnsi="宋体"/>
          <w:sz w:val="24"/>
        </w:rPr>
      </w:pPr>
      <w:r>
        <w:rPr>
          <w:rFonts w:hint="eastAsia" w:ascii="宋体" w:hAnsi="宋体"/>
          <w:sz w:val="24"/>
        </w:rPr>
        <w:t>③ 提供</w:t>
      </w:r>
      <w:r>
        <w:rPr>
          <w:rFonts w:ascii="宋体" w:hAnsi="宋体"/>
          <w:sz w:val="24"/>
        </w:rPr>
        <w:t>业务员端应用服务</w:t>
      </w:r>
      <w:r>
        <w:rPr>
          <w:rFonts w:hint="eastAsia" w:ascii="宋体" w:hAnsi="宋体"/>
          <w:sz w:val="24"/>
        </w:rPr>
        <w:t>，包括</w:t>
      </w:r>
      <w:r>
        <w:rPr>
          <w:rFonts w:ascii="宋体" w:hAnsi="宋体"/>
          <w:sz w:val="24"/>
        </w:rPr>
        <w:t>调查任务列表</w:t>
      </w:r>
      <w:r>
        <w:rPr>
          <w:rFonts w:hint="eastAsia" w:ascii="宋体" w:hAnsi="宋体"/>
          <w:sz w:val="24"/>
        </w:rPr>
        <w:t>检索</w:t>
      </w:r>
      <w:r>
        <w:rPr>
          <w:rFonts w:ascii="宋体" w:hAnsi="宋体"/>
          <w:sz w:val="24"/>
        </w:rPr>
        <w:t>、基线调查问卷信息管理、随访调查问卷信息管理、血清/核酸采样扫码识别等</w:t>
      </w:r>
      <w:r>
        <w:rPr>
          <w:rFonts w:hint="eastAsia" w:ascii="宋体" w:hAnsi="宋体"/>
          <w:sz w:val="24"/>
        </w:rPr>
        <w:t>。具体服务内容如下：</w:t>
      </w:r>
    </w:p>
    <w:p>
      <w:pPr>
        <w:pStyle w:val="29"/>
        <w:spacing w:line="360" w:lineRule="auto"/>
        <w:ind w:firstLine="480"/>
        <w:rPr>
          <w:rFonts w:ascii="宋体" w:hAnsi="宋体"/>
          <w:sz w:val="24"/>
          <w:szCs w:val="24"/>
        </w:rPr>
      </w:pPr>
      <w:r>
        <w:rPr>
          <w:rFonts w:hint="eastAsia" w:ascii="宋体" w:hAnsi="宋体"/>
          <w:sz w:val="24"/>
          <w:szCs w:val="24"/>
        </w:rPr>
        <w:t>支持</w:t>
      </w:r>
      <w:r>
        <w:rPr>
          <w:rFonts w:ascii="宋体" w:hAnsi="宋体"/>
          <w:sz w:val="24"/>
        </w:rPr>
        <w:t>业务员</w:t>
      </w:r>
      <w:r>
        <w:rPr>
          <w:rFonts w:hint="eastAsia" w:ascii="宋体" w:hAnsi="宋体"/>
          <w:sz w:val="24"/>
          <w:szCs w:val="24"/>
        </w:rPr>
        <w:t>查看相关随访调查任务，自动关联调查任务与被调查人员信息。</w:t>
      </w:r>
    </w:p>
    <w:p>
      <w:pPr>
        <w:pStyle w:val="29"/>
        <w:spacing w:line="360" w:lineRule="auto"/>
        <w:ind w:firstLine="480"/>
        <w:rPr>
          <w:rFonts w:hint="eastAsia" w:ascii="宋体" w:hAnsi="宋体"/>
          <w:sz w:val="24"/>
          <w:szCs w:val="24"/>
        </w:rPr>
      </w:pPr>
      <w:r>
        <w:rPr>
          <w:rFonts w:hint="eastAsia" w:ascii="宋体" w:hAnsi="宋体"/>
          <w:sz w:val="24"/>
          <w:szCs w:val="24"/>
        </w:rPr>
        <w:t>支持</w:t>
      </w:r>
      <w:r>
        <w:rPr>
          <w:rFonts w:ascii="宋体" w:hAnsi="宋体"/>
          <w:sz w:val="24"/>
        </w:rPr>
        <w:t>业务员</w:t>
      </w:r>
      <w:r>
        <w:rPr>
          <w:rFonts w:hint="eastAsia" w:ascii="宋体" w:hAnsi="宋体"/>
          <w:sz w:val="24"/>
          <w:szCs w:val="24"/>
        </w:rPr>
        <w:t>完成基线调查问卷、随访调查问卷的收集。</w:t>
      </w:r>
    </w:p>
    <w:p>
      <w:pPr>
        <w:spacing w:line="360" w:lineRule="auto"/>
        <w:ind w:firstLine="480" w:firstLineChars="200"/>
        <w:rPr>
          <w:rFonts w:hint="eastAsia" w:ascii="宋体" w:hAnsi="宋体"/>
          <w:sz w:val="24"/>
        </w:rPr>
      </w:pPr>
      <w:r>
        <w:rPr>
          <w:rFonts w:hint="eastAsia" w:ascii="宋体" w:hAnsi="宋体"/>
          <w:sz w:val="24"/>
        </w:rPr>
        <w:t xml:space="preserve">支持业务员使用手机扫描血清/核酸采样管条形码或手工录入管号。 </w:t>
      </w:r>
    </w:p>
    <w:p>
      <w:pPr>
        <w:spacing w:line="360" w:lineRule="auto"/>
        <w:ind w:firstLine="480" w:firstLineChars="200"/>
        <w:rPr>
          <w:rFonts w:ascii="宋体" w:hAnsi="宋体"/>
          <w:sz w:val="24"/>
        </w:rPr>
      </w:pPr>
      <w:r>
        <w:rPr>
          <w:rFonts w:hint="eastAsia" w:ascii="宋体" w:hAnsi="宋体"/>
          <w:sz w:val="24"/>
        </w:rPr>
        <w:t>支持业务员查找定位被调查人员的调查记录。</w:t>
      </w:r>
    </w:p>
    <w:p>
      <w:pPr>
        <w:spacing w:line="360" w:lineRule="auto"/>
        <w:ind w:firstLine="480" w:firstLineChars="200"/>
        <w:rPr>
          <w:rFonts w:ascii="宋体" w:hAnsi="宋体"/>
          <w:sz w:val="24"/>
        </w:rPr>
      </w:pPr>
      <w:r>
        <w:rPr>
          <w:rFonts w:hint="eastAsia" w:ascii="宋体" w:hAnsi="宋体"/>
          <w:sz w:val="24"/>
        </w:rPr>
        <w:t>支持业务员统计查询问卷调查和采样的完成情况。</w:t>
      </w:r>
    </w:p>
    <w:p>
      <w:pPr>
        <w:spacing w:line="360" w:lineRule="auto"/>
        <w:rPr>
          <w:rFonts w:ascii="宋体" w:hAnsi="宋体"/>
          <w:b/>
          <w:sz w:val="24"/>
        </w:rPr>
      </w:pPr>
      <w:bookmarkStart w:id="12" w:name="_Toc146043507"/>
      <w:r>
        <w:rPr>
          <w:rFonts w:hint="eastAsia" w:ascii="宋体" w:hAnsi="宋体"/>
          <w:b/>
          <w:sz w:val="24"/>
        </w:rPr>
        <w:t>（3）数据统计服务</w:t>
      </w:r>
      <w:bookmarkEnd w:id="12"/>
    </w:p>
    <w:p>
      <w:pPr>
        <w:spacing w:line="360" w:lineRule="auto"/>
        <w:ind w:firstLine="480" w:firstLineChars="200"/>
        <w:jc w:val="left"/>
        <w:rPr>
          <w:rFonts w:hint="eastAsia" w:ascii="宋体" w:hAnsi="宋体"/>
          <w:sz w:val="24"/>
        </w:rPr>
      </w:pPr>
      <w:bookmarkStart w:id="13" w:name="RANGE!E60"/>
      <w:r>
        <w:rPr>
          <w:rFonts w:hint="eastAsia" w:ascii="宋体" w:hAnsi="宋体"/>
          <w:sz w:val="24"/>
        </w:rPr>
        <w:t>提供基线与随访调查统计分析服务</w:t>
      </w:r>
      <w:bookmarkEnd w:id="13"/>
      <w:r>
        <w:rPr>
          <w:rFonts w:hint="eastAsia" w:ascii="宋体" w:hAnsi="宋体"/>
          <w:sz w:val="24"/>
        </w:rPr>
        <w:t>，对基线与随访调查的人数、问卷情况和采样情况进行统计，按照要求提供相关统计结果数据。</w:t>
      </w:r>
    </w:p>
    <w:p>
      <w:pPr>
        <w:spacing w:line="360" w:lineRule="auto"/>
        <w:ind w:firstLine="480" w:firstLineChars="200"/>
        <w:jc w:val="left"/>
        <w:rPr>
          <w:rFonts w:hint="eastAsia" w:ascii="宋体" w:hAnsi="宋体"/>
          <w:sz w:val="24"/>
        </w:rPr>
      </w:pPr>
      <w:r>
        <w:rPr>
          <w:rFonts w:hint="eastAsia" w:ascii="宋体" w:hAnsi="宋体"/>
          <w:sz w:val="24"/>
        </w:rPr>
        <w:t>4.人员要求（岗位要求、数量）：在服务期内保证有不少于2人的现场服务支撑，并提供7×24 小时支持维护服务，包括邮件、电话、远程支持、现场服务等方式，保证1小时内响应，2小时内解决问题。</w:t>
      </w:r>
    </w:p>
    <w:p>
      <w:pPr>
        <w:spacing w:line="360" w:lineRule="auto"/>
        <w:ind w:firstLine="480" w:firstLineChars="200"/>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考核办法/验收方式：</w:t>
      </w:r>
    </w:p>
    <w:p>
      <w:pPr>
        <w:spacing w:line="360" w:lineRule="auto"/>
        <w:ind w:firstLine="480" w:firstLineChars="200"/>
        <w:jc w:val="left"/>
        <w:rPr>
          <w:rFonts w:hint="eastAsia" w:ascii="宋体" w:hAnsi="宋体"/>
          <w:sz w:val="24"/>
        </w:rPr>
      </w:pPr>
      <w:r>
        <w:rPr>
          <w:rFonts w:hint="eastAsia" w:ascii="宋体" w:hAnsi="宋体"/>
          <w:sz w:val="24"/>
        </w:rPr>
        <w:t>（1）服务经过双方检验认可后，采购人指定专人签署验收报告。</w:t>
      </w:r>
    </w:p>
    <w:p>
      <w:pPr>
        <w:spacing w:line="360" w:lineRule="auto"/>
        <w:ind w:firstLine="480" w:firstLineChars="200"/>
        <w:jc w:val="left"/>
        <w:rPr>
          <w:rFonts w:hint="eastAsia" w:ascii="宋体" w:hAnsi="宋体"/>
          <w:sz w:val="24"/>
        </w:rPr>
      </w:pPr>
      <w:r>
        <w:rPr>
          <w:rFonts w:hint="eastAsia" w:ascii="宋体" w:hAnsi="宋体"/>
          <w:sz w:val="24"/>
        </w:rPr>
        <w:t>（2）当满足以下条件时，采购人才向中标人签发验收报告：</w:t>
      </w:r>
    </w:p>
    <w:p>
      <w:pPr>
        <w:spacing w:line="360" w:lineRule="auto"/>
        <w:ind w:firstLine="480" w:firstLineChars="200"/>
        <w:jc w:val="left"/>
        <w:rPr>
          <w:rFonts w:hint="eastAsia" w:ascii="宋体" w:hAnsi="宋体"/>
          <w:sz w:val="24"/>
        </w:rPr>
      </w:pPr>
      <w:r>
        <w:rPr>
          <w:rFonts w:hint="eastAsia" w:ascii="宋体" w:hAnsi="宋体"/>
          <w:sz w:val="24"/>
        </w:rPr>
        <w:t>a、中标人已按照合同规定提供了全部技术资料。</w:t>
      </w:r>
    </w:p>
    <w:p>
      <w:pPr>
        <w:spacing w:line="360" w:lineRule="auto"/>
        <w:ind w:firstLine="480" w:firstLineChars="200"/>
        <w:jc w:val="left"/>
        <w:rPr>
          <w:rFonts w:ascii="宋体" w:hAnsi="宋体"/>
          <w:sz w:val="24"/>
        </w:rPr>
      </w:pPr>
      <w:r>
        <w:rPr>
          <w:rFonts w:hint="eastAsia" w:ascii="宋体" w:hAnsi="宋体"/>
          <w:sz w:val="24"/>
        </w:rPr>
        <w:t>b、服务项目符合招标文件的服务要求</w:t>
      </w:r>
    </w:p>
    <w:p>
      <w:pPr>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报价要求：</w:t>
      </w:r>
    </w:p>
    <w:p>
      <w:pPr>
        <w:spacing w:line="360" w:lineRule="auto"/>
        <w:ind w:firstLine="480" w:firstLineChars="200"/>
        <w:jc w:val="left"/>
        <w:rPr>
          <w:rFonts w:hint="eastAsia" w:ascii="宋体" w:hAnsi="宋体"/>
          <w:sz w:val="24"/>
        </w:rPr>
      </w:pPr>
      <w:r>
        <w:rPr>
          <w:rFonts w:hint="eastAsia" w:ascii="宋体" w:hAnsi="宋体"/>
          <w:sz w:val="24"/>
        </w:rPr>
        <w:t>（1）本项目预算控制金额及最高投标限价为人民币95000</w:t>
      </w:r>
      <w:r>
        <w:rPr>
          <w:rFonts w:ascii="宋体" w:hAnsi="宋体"/>
          <w:sz w:val="24"/>
        </w:rPr>
        <w:t>.00</w:t>
      </w:r>
      <w:r>
        <w:rPr>
          <w:rFonts w:hint="eastAsia" w:ascii="宋体" w:hAnsi="宋体"/>
          <w:sz w:val="24"/>
        </w:rPr>
        <w:t>元。超出此预算控制金额或最高投标限价的作无效投标处理。</w:t>
      </w:r>
    </w:p>
    <w:p>
      <w:pPr>
        <w:spacing w:line="360" w:lineRule="auto"/>
        <w:ind w:firstLine="480" w:firstLineChars="200"/>
        <w:jc w:val="left"/>
        <w:rPr>
          <w:rFonts w:hint="eastAsia" w:ascii="宋体" w:hAnsi="宋体"/>
          <w:sz w:val="24"/>
        </w:rPr>
      </w:pPr>
      <w:r>
        <w:rPr>
          <w:rFonts w:hint="eastAsia" w:ascii="宋体" w:hAnsi="宋体"/>
          <w:sz w:val="24"/>
        </w:rPr>
        <w:t>（2）本项目服务费采用包干制，应包括服务成本、法定税费和企业的利润。由投标人根据采购文件所提供的资料自行测算投标报价；一经中标，报价总价作为中标人与采购人签定的合同金额，合同期限内不做调整。</w:t>
      </w:r>
    </w:p>
    <w:p>
      <w:pPr>
        <w:spacing w:line="360" w:lineRule="auto"/>
        <w:jc w:val="left"/>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付款方式：</w:t>
      </w:r>
    </w:p>
    <w:p>
      <w:pPr>
        <w:spacing w:line="360" w:lineRule="auto"/>
        <w:ind w:firstLine="480" w:firstLineChars="200"/>
        <w:jc w:val="left"/>
        <w:rPr>
          <w:rFonts w:hint="eastAsia" w:ascii="宋体" w:hAnsi="宋体"/>
          <w:sz w:val="24"/>
        </w:rPr>
      </w:pPr>
      <w:r>
        <w:rPr>
          <w:rFonts w:hint="eastAsia" w:ascii="宋体" w:hAnsi="宋体"/>
          <w:sz w:val="24"/>
        </w:rPr>
        <w:t>（1）合同签订后，采购人向中标人支付合同总价</w:t>
      </w:r>
      <w:r>
        <w:rPr>
          <w:rFonts w:ascii="宋体" w:hAnsi="宋体"/>
          <w:sz w:val="24"/>
        </w:rPr>
        <w:t>50</w:t>
      </w:r>
      <w:r>
        <w:rPr>
          <w:rFonts w:hint="eastAsia" w:ascii="宋体" w:hAnsi="宋体"/>
          <w:sz w:val="24"/>
        </w:rPr>
        <w:t>%的款项。</w:t>
      </w:r>
    </w:p>
    <w:p>
      <w:pPr>
        <w:spacing w:line="360" w:lineRule="auto"/>
        <w:ind w:firstLine="480" w:firstLineChars="200"/>
        <w:jc w:val="left"/>
        <w:rPr>
          <w:rFonts w:hint="eastAsia" w:ascii="宋体" w:hAnsi="宋体"/>
          <w:sz w:val="24"/>
        </w:rPr>
      </w:pPr>
      <w:r>
        <w:rPr>
          <w:rFonts w:hint="eastAsia" w:ascii="宋体" w:hAnsi="宋体"/>
          <w:sz w:val="24"/>
        </w:rPr>
        <w:t>（2）项目运行3个月后，采购人向中标人支付合同总价</w:t>
      </w:r>
      <w:r>
        <w:rPr>
          <w:rFonts w:ascii="宋体" w:hAnsi="宋体"/>
          <w:sz w:val="24"/>
        </w:rPr>
        <w:t>50</w:t>
      </w:r>
      <w:r>
        <w:rPr>
          <w:rFonts w:hint="eastAsia" w:ascii="宋体" w:hAnsi="宋体"/>
          <w:sz w:val="24"/>
        </w:rPr>
        <w:t>%的款项。</w:t>
      </w:r>
    </w:p>
    <w:p>
      <w:pPr>
        <w:spacing w:line="360" w:lineRule="auto"/>
        <w:ind w:firstLine="480" w:firstLineChars="200"/>
        <w:jc w:val="left"/>
        <w:rPr>
          <w:rFonts w:hint="eastAsia" w:ascii="宋体" w:hAnsi="宋体"/>
          <w:sz w:val="24"/>
        </w:rPr>
      </w:pPr>
      <w:r>
        <w:rPr>
          <w:rFonts w:hint="eastAsia" w:ascii="宋体" w:hAnsi="宋体"/>
          <w:sz w:val="24"/>
        </w:rPr>
        <w:t>（3）中标人需向采购人提供相应金额的有效增值税发票，采购人在收到发票后1</w:t>
      </w:r>
      <w:r>
        <w:rPr>
          <w:rFonts w:ascii="宋体" w:hAnsi="宋体"/>
          <w:sz w:val="24"/>
        </w:rPr>
        <w:t>5</w:t>
      </w:r>
      <w:r>
        <w:rPr>
          <w:rFonts w:hint="eastAsia" w:ascii="宋体" w:hAnsi="宋体"/>
          <w:sz w:val="24"/>
        </w:rPr>
        <w:t>个工作日内支付。</w:t>
      </w:r>
    </w:p>
    <w:p>
      <w:pPr>
        <w:spacing w:line="360" w:lineRule="auto"/>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违约要求：</w:t>
      </w:r>
    </w:p>
    <w:p>
      <w:pPr>
        <w:spacing w:line="360" w:lineRule="auto"/>
        <w:ind w:firstLine="480" w:firstLineChars="200"/>
        <w:jc w:val="left"/>
        <w:rPr>
          <w:rFonts w:hint="eastAsia"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hint="eastAsia" w:ascii="宋体" w:hAnsi="宋体"/>
          <w:sz w:val="24"/>
        </w:rPr>
      </w:pPr>
      <w:r>
        <w:rPr>
          <w:rFonts w:hint="eastAsia" w:ascii="宋体" w:hAnsi="宋体"/>
          <w:sz w:val="24"/>
        </w:rPr>
        <w:t>（2）投标人不能交付服务的，投标人向采购人偿付项目采购金额百分之十的违约金；造成严重后果的，根据《深圳经济特区政府采购条例》第五十七条第（二）款规定，由主管部门对中标人进行处罚。</w:t>
      </w:r>
    </w:p>
    <w:p>
      <w:pPr>
        <w:pStyle w:val="3"/>
      </w:pPr>
      <w:r>
        <w:rPr>
          <w:rFonts w:hint="eastAsia"/>
        </w:rPr>
        <w:t>三、评审因素和评审标准</w:t>
      </w:r>
    </w:p>
    <w:p>
      <w:pPr>
        <w:spacing w:line="360" w:lineRule="auto"/>
        <w:jc w:val="left"/>
        <w:rPr>
          <w:rFonts w:hint="eastAsia" w:ascii="宋体" w:hAnsi="宋体"/>
          <w:bCs/>
          <w:sz w:val="24"/>
        </w:rPr>
      </w:pPr>
      <w:r>
        <w:rPr>
          <w:rFonts w:hint="eastAsia" w:ascii="宋体" w:hAnsi="宋体"/>
          <w:bCs/>
          <w:sz w:val="24"/>
        </w:rPr>
        <w:t>评标方法：综合评分法（新价格分算法）</w:t>
      </w:r>
    </w:p>
    <w:tbl>
      <w:tblPr>
        <w:tblStyle w:val="1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276" w:lineRule="auto"/>
              <w:jc w:val="center"/>
              <w:rPr>
                <w:rFonts w:ascii="宋体" w:hAnsi="宋体" w:cs="仿宋"/>
                <w:b/>
                <w:sz w:val="24"/>
                <w:lang w:val="zh-CN"/>
              </w:rPr>
            </w:pPr>
            <w:r>
              <w:rPr>
                <w:rFonts w:hint="eastAsia" w:ascii="宋体" w:hAnsi="宋体" w:cs="仿宋"/>
                <w:b/>
                <w:sz w:val="24"/>
                <w:lang w:val="zh-CN"/>
              </w:rPr>
              <w:t>评分项及评分规则</w:t>
            </w:r>
          </w:p>
        </w:tc>
        <w:tc>
          <w:tcPr>
            <w:tcW w:w="1187" w:type="dxa"/>
            <w:vAlign w:val="center"/>
          </w:tcPr>
          <w:p>
            <w:pPr>
              <w:autoSpaceDE w:val="0"/>
              <w:autoSpaceDN w:val="0"/>
              <w:adjustRightInd w:val="0"/>
              <w:spacing w:line="276" w:lineRule="auto"/>
              <w:jc w:val="center"/>
              <w:rPr>
                <w:rFonts w:ascii="宋体" w:hAnsi="宋体" w:cs="仿宋"/>
                <w:b/>
                <w:sz w:val="24"/>
                <w:lang w:val="zh-CN"/>
              </w:rPr>
            </w:pPr>
            <w:r>
              <w:rPr>
                <w:rFonts w:hint="eastAsia" w:ascii="宋体" w:hAnsi="宋体" w:cs="仿宋"/>
                <w:b/>
                <w:sz w:val="24"/>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276" w:lineRule="auto"/>
              <w:jc w:val="center"/>
              <w:rPr>
                <w:rFonts w:ascii="宋体" w:hAnsi="宋体" w:cs="仿宋"/>
                <w:b/>
                <w:sz w:val="24"/>
                <w:lang w:val="zh-CN"/>
              </w:rPr>
            </w:pPr>
            <w:r>
              <w:rPr>
                <w:rFonts w:hint="eastAsia" w:ascii="宋体" w:hAnsi="宋体" w:cs="仿宋"/>
                <w:b/>
                <w:sz w:val="24"/>
                <w:lang w:val="zh-CN"/>
              </w:rPr>
              <w:t>一、价格部分</w:t>
            </w:r>
          </w:p>
        </w:tc>
        <w:tc>
          <w:tcPr>
            <w:tcW w:w="1187" w:type="dxa"/>
            <w:vAlign w:val="center"/>
          </w:tcPr>
          <w:p>
            <w:pPr>
              <w:autoSpaceDE w:val="0"/>
              <w:autoSpaceDN w:val="0"/>
              <w:adjustRightInd w:val="0"/>
              <w:spacing w:line="276" w:lineRule="auto"/>
              <w:jc w:val="center"/>
              <w:rPr>
                <w:rFonts w:ascii="宋体" w:hAnsi="宋体" w:cs="仿宋"/>
                <w:b/>
                <w:sz w:val="24"/>
              </w:rPr>
            </w:pPr>
            <w:r>
              <w:rPr>
                <w:rFonts w:hint="eastAsia" w:ascii="宋体" w:hAnsi="宋体" w:cs="仿宋"/>
                <w:b/>
                <w:sz w:val="24"/>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276" w:lineRule="auto"/>
              <w:ind w:left="420" w:hanging="420"/>
              <w:jc w:val="left"/>
              <w:rPr>
                <w:rFonts w:ascii="宋体" w:hAnsi="宋体" w:cs="仿宋"/>
                <w:b/>
                <w:bCs/>
                <w:kern w:val="0"/>
                <w:sz w:val="24"/>
              </w:rPr>
            </w:pPr>
            <w:r>
              <w:rPr>
                <w:rFonts w:hint="eastAsia" w:ascii="宋体" w:hAnsi="宋体" w:cs="仿宋"/>
                <w:sz w:val="24"/>
              </w:rPr>
              <w:t>价格分采用低价优先法计算，计算公式如下：</w:t>
            </w:r>
          </w:p>
          <w:p>
            <w:pPr>
              <w:widowControl/>
              <w:spacing w:line="276" w:lineRule="auto"/>
              <w:jc w:val="left"/>
              <w:rPr>
                <w:rFonts w:ascii="宋体" w:hAnsi="宋体" w:cs="仿宋"/>
                <w:sz w:val="24"/>
              </w:rPr>
            </w:pPr>
            <w:r>
              <w:rPr>
                <w:rFonts w:hint="eastAsia" w:ascii="宋体" w:hAnsi="宋体" w:cs="仿宋"/>
                <w:sz w:val="24"/>
              </w:rPr>
              <w:t>投标报价得分 = Z/Sn ×10</w:t>
            </w:r>
          </w:p>
          <w:p>
            <w:pPr>
              <w:widowControl/>
              <w:spacing w:line="276" w:lineRule="auto"/>
              <w:jc w:val="left"/>
              <w:rPr>
                <w:rFonts w:ascii="宋体" w:hAnsi="宋体" w:cs="仿宋"/>
                <w:sz w:val="24"/>
              </w:rPr>
            </w:pPr>
            <w:r>
              <w:rPr>
                <w:rFonts w:hint="eastAsia" w:ascii="宋体" w:hAnsi="宋体" w:cs="仿宋"/>
                <w:sz w:val="24"/>
              </w:rPr>
              <w:t xml:space="preserve">当价格分＜0时，取0。 </w:t>
            </w:r>
          </w:p>
          <w:p>
            <w:pPr>
              <w:widowControl/>
              <w:spacing w:line="276" w:lineRule="auto"/>
              <w:jc w:val="left"/>
              <w:rPr>
                <w:rFonts w:ascii="宋体" w:hAnsi="宋体" w:cs="仿宋"/>
                <w:sz w:val="24"/>
              </w:rPr>
            </w:pPr>
            <w:r>
              <w:rPr>
                <w:rFonts w:hint="eastAsia" w:ascii="宋体" w:hAnsi="宋体" w:cs="仿宋"/>
                <w:sz w:val="24"/>
              </w:rPr>
              <w:t>其中：</w:t>
            </w:r>
          </w:p>
          <w:p>
            <w:pPr>
              <w:widowControl/>
              <w:spacing w:line="276" w:lineRule="auto"/>
              <w:jc w:val="left"/>
              <w:rPr>
                <w:rFonts w:ascii="宋体" w:hAnsi="宋体" w:cs="仿宋"/>
                <w:sz w:val="24"/>
              </w:rPr>
            </w:pPr>
            <w:r>
              <w:rPr>
                <w:rFonts w:hint="eastAsia" w:ascii="宋体" w:hAnsi="宋体" w:cs="仿宋"/>
                <w:sz w:val="24"/>
              </w:rPr>
              <w:t xml:space="preserve">Z </w:t>
            </w:r>
            <w:r>
              <w:rPr>
                <w:rFonts w:hint="eastAsia" w:ascii="宋体" w:hAnsi="宋体" w:cs="仿宋"/>
                <w:kern w:val="0"/>
                <w:sz w:val="24"/>
              </w:rPr>
              <w:t>----</w:t>
            </w:r>
            <w:r>
              <w:rPr>
                <w:rFonts w:hint="eastAsia" w:ascii="宋体" w:hAnsi="宋体" w:cs="仿宋"/>
                <w:sz w:val="24"/>
              </w:rPr>
              <w:t>评标基准价，即通过资格性审查和符合性审查且投标价格最低的投标报价。</w:t>
            </w:r>
          </w:p>
          <w:p>
            <w:pPr>
              <w:autoSpaceDE w:val="0"/>
              <w:autoSpaceDN w:val="0"/>
              <w:adjustRightInd w:val="0"/>
              <w:spacing w:line="276" w:lineRule="auto"/>
              <w:jc w:val="left"/>
              <w:rPr>
                <w:rFonts w:ascii="宋体" w:hAnsi="宋体" w:cs="仿宋"/>
                <w:sz w:val="24"/>
              </w:rPr>
            </w:pPr>
            <w:r>
              <w:rPr>
                <w:rFonts w:hint="eastAsia" w:ascii="宋体" w:hAnsi="宋体" w:cs="仿宋"/>
                <w:sz w:val="24"/>
              </w:rPr>
              <w:t>Sn ---投标报价，即通过资格性审查和符合性审查的投标报价。</w:t>
            </w:r>
          </w:p>
          <w:p>
            <w:pPr>
              <w:autoSpaceDE w:val="0"/>
              <w:autoSpaceDN w:val="0"/>
              <w:adjustRightInd w:val="0"/>
              <w:spacing w:line="276" w:lineRule="auto"/>
              <w:jc w:val="left"/>
              <w:rPr>
                <w:rFonts w:ascii="宋体" w:hAnsi="宋体"/>
                <w:b/>
                <w:bCs/>
                <w:snapToGrid w:val="0"/>
                <w:kern w:val="0"/>
                <w:sz w:val="24"/>
              </w:rPr>
            </w:pPr>
            <w:r>
              <w:rPr>
                <w:rFonts w:hint="eastAsia" w:ascii="宋体" w:hAnsi="宋体"/>
                <w:b/>
                <w:snapToGrid w:val="0"/>
                <w:kern w:val="0"/>
                <w:sz w:val="24"/>
              </w:rPr>
              <w:t>注：对于符合 “政府采购优惠政策</w:t>
            </w:r>
            <w:r>
              <w:rPr>
                <w:rFonts w:hint="eastAsia" w:ascii="宋体" w:hAnsi="宋体"/>
                <w:b/>
                <w:bCs/>
                <w:snapToGrid w:val="0"/>
                <w:kern w:val="0"/>
                <w:sz w:val="24"/>
              </w:rPr>
              <w:t>”的小微企业、监狱企业和残疾人福利性单位，以调整后的价格计算评标基准价和投标报价。</w:t>
            </w:r>
          </w:p>
        </w:tc>
        <w:tc>
          <w:tcPr>
            <w:tcW w:w="1187"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276" w:lineRule="auto"/>
              <w:jc w:val="center"/>
              <w:rPr>
                <w:rFonts w:ascii="宋体" w:hAnsi="宋体" w:cs="仿宋"/>
                <w:b/>
                <w:sz w:val="24"/>
              </w:rPr>
            </w:pPr>
            <w:r>
              <w:rPr>
                <w:rFonts w:hint="eastAsia" w:ascii="宋体" w:hAnsi="宋体" w:cs="仿宋"/>
                <w:b/>
                <w:sz w:val="24"/>
              </w:rPr>
              <w:t>二、技术部分</w:t>
            </w:r>
          </w:p>
        </w:tc>
        <w:tc>
          <w:tcPr>
            <w:tcW w:w="1187" w:type="dxa"/>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序号</w:t>
            </w:r>
          </w:p>
        </w:tc>
        <w:tc>
          <w:tcPr>
            <w:tcW w:w="1143"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内容</w:t>
            </w:r>
          </w:p>
        </w:tc>
        <w:tc>
          <w:tcPr>
            <w:tcW w:w="709"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权重</w:t>
            </w:r>
          </w:p>
        </w:tc>
        <w:tc>
          <w:tcPr>
            <w:tcW w:w="5953"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评分规则</w:t>
            </w:r>
          </w:p>
        </w:tc>
        <w:tc>
          <w:tcPr>
            <w:tcW w:w="1187"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0" w:hRule="atLeast"/>
          <w:jc w:val="center"/>
        </w:trPr>
        <w:tc>
          <w:tcPr>
            <w:tcW w:w="754"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1</w:t>
            </w:r>
          </w:p>
        </w:tc>
        <w:tc>
          <w:tcPr>
            <w:tcW w:w="1143" w:type="dxa"/>
            <w:vAlign w:val="center"/>
          </w:tcPr>
          <w:p>
            <w:pPr>
              <w:widowControl/>
              <w:spacing w:line="276" w:lineRule="auto"/>
              <w:jc w:val="center"/>
              <w:rPr>
                <w:rFonts w:ascii="宋体" w:hAnsi="宋体"/>
                <w:kern w:val="0"/>
                <w:sz w:val="24"/>
              </w:rPr>
            </w:pPr>
            <w:r>
              <w:rPr>
                <w:rFonts w:ascii="宋体" w:hAnsi="宋体"/>
                <w:kern w:val="0"/>
                <w:sz w:val="24"/>
              </w:rPr>
              <w:t>需求分析</w:t>
            </w:r>
          </w:p>
        </w:tc>
        <w:tc>
          <w:tcPr>
            <w:tcW w:w="709" w:type="dxa"/>
            <w:vAlign w:val="center"/>
          </w:tcPr>
          <w:p>
            <w:pPr>
              <w:widowControl/>
              <w:spacing w:line="276" w:lineRule="auto"/>
              <w:jc w:val="center"/>
              <w:rPr>
                <w:rFonts w:ascii="宋体" w:hAnsi="宋体"/>
                <w:kern w:val="0"/>
                <w:sz w:val="24"/>
              </w:rPr>
            </w:pPr>
            <w:r>
              <w:rPr>
                <w:rFonts w:ascii="宋体" w:hAnsi="宋体"/>
                <w:kern w:val="0"/>
                <w:sz w:val="24"/>
              </w:rPr>
              <w:t>10</w:t>
            </w:r>
          </w:p>
        </w:tc>
        <w:tc>
          <w:tcPr>
            <w:tcW w:w="5953" w:type="dxa"/>
            <w:vAlign w:val="center"/>
          </w:tcPr>
          <w:p>
            <w:pPr>
              <w:autoSpaceDE w:val="0"/>
              <w:autoSpaceDN w:val="0"/>
              <w:adjustRightInd w:val="0"/>
              <w:spacing w:line="276" w:lineRule="auto"/>
              <w:jc w:val="left"/>
              <w:rPr>
                <w:rFonts w:ascii="宋体" w:hAnsi="宋体"/>
                <w:kern w:val="0"/>
                <w:sz w:val="24"/>
              </w:rPr>
            </w:pPr>
            <w:r>
              <w:rPr>
                <w:rFonts w:hint="eastAsia" w:ascii="宋体" w:hAnsi="宋体"/>
                <w:kern w:val="0"/>
                <w:sz w:val="24"/>
              </w:rPr>
              <w:t>根据供应商提供的项目技术方案进行综合评价：</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能够充分理解宝安区重点传染病监测预警项目的重点场所哨点监测工作要求，阐述清晰此项目的需求内容并符合用户要求，▲包括本项目与市级社区人群随访调查信息系统的关系分析。</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（1）</w:t>
            </w:r>
            <w:r>
              <w:rPr>
                <w:rFonts w:ascii="宋体" w:hAnsi="宋体"/>
                <w:kern w:val="0"/>
                <w:sz w:val="24"/>
              </w:rPr>
              <w:t>对服务需求理解全面、深入，分析透彻、详尽，优于招标的技术要求</w:t>
            </w:r>
            <w:r>
              <w:rPr>
                <w:rFonts w:hint="eastAsia" w:ascii="宋体" w:hAnsi="宋体"/>
                <w:kern w:val="0"/>
                <w:sz w:val="24"/>
              </w:rPr>
              <w:t>，得</w:t>
            </w:r>
            <w:r>
              <w:rPr>
                <w:rFonts w:ascii="宋体" w:hAnsi="宋体"/>
                <w:kern w:val="0"/>
                <w:sz w:val="24"/>
              </w:rPr>
              <w:t>10</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（2）</w:t>
            </w:r>
            <w:r>
              <w:rPr>
                <w:rFonts w:ascii="宋体" w:hAnsi="宋体"/>
                <w:kern w:val="0"/>
                <w:sz w:val="24"/>
              </w:rPr>
              <w:t>对服务需求理解准确、分析具体，完全响应招标的技术要求</w:t>
            </w:r>
            <w:r>
              <w:rPr>
                <w:rFonts w:hint="eastAsia" w:ascii="宋体" w:hAnsi="宋体"/>
                <w:kern w:val="0"/>
                <w:sz w:val="24"/>
              </w:rPr>
              <w:t>，得</w:t>
            </w:r>
            <w:r>
              <w:rPr>
                <w:rFonts w:ascii="宋体" w:hAnsi="宋体"/>
                <w:kern w:val="0"/>
                <w:sz w:val="24"/>
              </w:rPr>
              <w:t>6</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（3）</w:t>
            </w:r>
            <w:r>
              <w:rPr>
                <w:rFonts w:ascii="宋体" w:hAnsi="宋体"/>
                <w:kern w:val="0"/>
                <w:sz w:val="24"/>
              </w:rPr>
              <w:t>对服务需求有基本的理解和分析，</w:t>
            </w:r>
            <w:r>
              <w:rPr>
                <w:rFonts w:hint="eastAsia" w:ascii="宋体" w:hAnsi="宋体"/>
                <w:kern w:val="0"/>
                <w:sz w:val="24"/>
              </w:rPr>
              <w:t>基本</w:t>
            </w:r>
            <w:r>
              <w:rPr>
                <w:rFonts w:ascii="宋体" w:hAnsi="宋体"/>
                <w:kern w:val="0"/>
                <w:sz w:val="24"/>
              </w:rPr>
              <w:t>响应招标的技术要求</w:t>
            </w:r>
            <w:r>
              <w:rPr>
                <w:rFonts w:hint="eastAsia" w:ascii="宋体" w:hAnsi="宋体"/>
                <w:kern w:val="0"/>
                <w:sz w:val="24"/>
              </w:rPr>
              <w:t>，得</w:t>
            </w:r>
            <w:r>
              <w:rPr>
                <w:rFonts w:ascii="宋体" w:hAnsi="宋体"/>
                <w:kern w:val="0"/>
                <w:sz w:val="24"/>
              </w:rPr>
              <w:t>3</w:t>
            </w:r>
            <w:r>
              <w:rPr>
                <w:rFonts w:hint="eastAsia" w:ascii="宋体" w:hAnsi="宋体"/>
                <w:kern w:val="0"/>
                <w:sz w:val="24"/>
              </w:rPr>
              <w:t>分；</w:t>
            </w:r>
          </w:p>
          <w:p>
            <w:pPr>
              <w:autoSpaceDE w:val="0"/>
              <w:autoSpaceDN w:val="0"/>
              <w:adjustRightInd w:val="0"/>
              <w:spacing w:line="276" w:lineRule="auto"/>
              <w:rPr>
                <w:rFonts w:ascii="宋体" w:hAnsi="宋体"/>
                <w:kern w:val="0"/>
                <w:sz w:val="24"/>
              </w:rPr>
            </w:pPr>
            <w:r>
              <w:rPr>
                <w:rFonts w:hint="eastAsia" w:ascii="宋体" w:hAnsi="宋体"/>
                <w:kern w:val="0"/>
                <w:sz w:val="24"/>
              </w:rPr>
              <w:t>（4）</w:t>
            </w:r>
            <w:r>
              <w:rPr>
                <w:rFonts w:ascii="宋体" w:hAnsi="宋体"/>
                <w:kern w:val="0"/>
                <w:sz w:val="24"/>
              </w:rPr>
              <w:t>服务需求理解和分析存在错误或缺漏，未完全响应招标的技术要求</w:t>
            </w:r>
            <w:r>
              <w:rPr>
                <w:rFonts w:hint="eastAsia" w:ascii="宋体" w:hAnsi="宋体"/>
                <w:kern w:val="0"/>
                <w:sz w:val="24"/>
              </w:rPr>
              <w:t>，不得分。</w:t>
            </w:r>
          </w:p>
        </w:tc>
        <w:tc>
          <w:tcPr>
            <w:tcW w:w="1187"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0" w:hRule="atLeast"/>
          <w:jc w:val="center"/>
        </w:trPr>
        <w:tc>
          <w:tcPr>
            <w:tcW w:w="754" w:type="dxa"/>
            <w:vAlign w:val="center"/>
          </w:tcPr>
          <w:p>
            <w:pPr>
              <w:autoSpaceDE w:val="0"/>
              <w:autoSpaceDN w:val="0"/>
              <w:adjustRightInd w:val="0"/>
              <w:spacing w:line="276" w:lineRule="auto"/>
              <w:jc w:val="center"/>
              <w:rPr>
                <w:rFonts w:hint="eastAsia" w:ascii="宋体" w:hAnsi="宋体" w:cs="仿宋"/>
                <w:sz w:val="24"/>
              </w:rPr>
            </w:pPr>
            <w:r>
              <w:rPr>
                <w:rFonts w:hint="eastAsia" w:ascii="宋体" w:hAnsi="宋体" w:cs="仿宋"/>
                <w:sz w:val="24"/>
              </w:rPr>
              <w:t>2</w:t>
            </w:r>
          </w:p>
        </w:tc>
        <w:tc>
          <w:tcPr>
            <w:tcW w:w="1143" w:type="dxa"/>
            <w:vAlign w:val="center"/>
          </w:tcPr>
          <w:p>
            <w:pPr>
              <w:widowControl/>
              <w:spacing w:line="276" w:lineRule="auto"/>
              <w:jc w:val="center"/>
              <w:rPr>
                <w:rFonts w:ascii="宋体" w:hAnsi="宋体"/>
                <w:kern w:val="0"/>
                <w:sz w:val="24"/>
              </w:rPr>
            </w:pPr>
            <w:r>
              <w:rPr>
                <w:rFonts w:hint="eastAsia" w:ascii="宋体" w:hAnsi="宋体" w:cs="宋体"/>
                <w:color w:val="000000"/>
                <w:szCs w:val="21"/>
              </w:rPr>
              <w:t>项目</w:t>
            </w:r>
            <w:r>
              <w:rPr>
                <w:rFonts w:hint="eastAsia" w:ascii="宋体" w:hAnsi="宋体" w:cs="宋体"/>
                <w:szCs w:val="21"/>
              </w:rPr>
              <w:t>技术</w:t>
            </w:r>
            <w:r>
              <w:rPr>
                <w:rFonts w:hint="eastAsia" w:ascii="宋体" w:hAnsi="宋体" w:cs="宋体"/>
                <w:color w:val="000000"/>
                <w:szCs w:val="21"/>
              </w:rPr>
              <w:t>方案</w:t>
            </w:r>
          </w:p>
        </w:tc>
        <w:tc>
          <w:tcPr>
            <w:tcW w:w="709" w:type="dxa"/>
            <w:vAlign w:val="center"/>
          </w:tcPr>
          <w:p>
            <w:pPr>
              <w:widowControl/>
              <w:spacing w:line="276" w:lineRule="auto"/>
              <w:jc w:val="center"/>
              <w:rPr>
                <w:rFonts w:ascii="宋体" w:hAnsi="宋体"/>
                <w:kern w:val="0"/>
                <w:sz w:val="24"/>
              </w:rPr>
            </w:pPr>
            <w:r>
              <w:rPr>
                <w:rFonts w:ascii="宋体" w:hAnsi="宋体"/>
                <w:kern w:val="0"/>
                <w:sz w:val="24"/>
              </w:rPr>
              <w:t>10</w:t>
            </w:r>
          </w:p>
        </w:tc>
        <w:tc>
          <w:tcPr>
            <w:tcW w:w="5953" w:type="dxa"/>
            <w:vAlign w:val="center"/>
          </w:tcPr>
          <w:p>
            <w:pPr>
              <w:autoSpaceDE w:val="0"/>
              <w:autoSpaceDN w:val="0"/>
              <w:adjustRightInd w:val="0"/>
              <w:spacing w:line="276" w:lineRule="auto"/>
              <w:jc w:val="left"/>
              <w:rPr>
                <w:rFonts w:ascii="宋体" w:hAnsi="宋体"/>
                <w:kern w:val="0"/>
                <w:sz w:val="24"/>
              </w:rPr>
            </w:pPr>
            <w:r>
              <w:rPr>
                <w:rFonts w:hint="eastAsia" w:ascii="宋体" w:hAnsi="宋体"/>
                <w:kern w:val="0"/>
                <w:sz w:val="24"/>
              </w:rPr>
              <w:t>根据供应商提供的项目技术方案进行综合评价：</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整体设计方案满足项目建设要求，数据管理服务体系结构设计合理、实用，针对管理服务的重要功能提供合理、详细的设计方案，▲对本项目的所有服务有详细的方案设计，并提供对应功能截图。</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（1）方案合理、条理清晰、可操作强的，评审为优，得</w:t>
            </w:r>
            <w:r>
              <w:rPr>
                <w:rFonts w:ascii="宋体" w:hAnsi="宋体"/>
                <w:kern w:val="0"/>
                <w:sz w:val="24"/>
              </w:rPr>
              <w:t>10</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（2）方案较合理、条理较清晰、可操作较强的，评审为良，得</w:t>
            </w:r>
            <w:r>
              <w:rPr>
                <w:rFonts w:ascii="宋体" w:hAnsi="宋体"/>
                <w:kern w:val="0"/>
                <w:sz w:val="24"/>
              </w:rPr>
              <w:t>6</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（3）方案一般合理、条理一般清晰、可操作一般的，评审为中，得</w:t>
            </w:r>
            <w:r>
              <w:rPr>
                <w:rFonts w:ascii="宋体" w:hAnsi="宋体"/>
                <w:kern w:val="0"/>
                <w:sz w:val="24"/>
              </w:rPr>
              <w:t>3</w:t>
            </w:r>
            <w:r>
              <w:rPr>
                <w:rFonts w:hint="eastAsia" w:ascii="宋体" w:hAnsi="宋体"/>
                <w:kern w:val="0"/>
                <w:sz w:val="24"/>
              </w:rPr>
              <w:t>分；</w:t>
            </w:r>
          </w:p>
          <w:p>
            <w:pPr>
              <w:autoSpaceDE w:val="0"/>
              <w:autoSpaceDN w:val="0"/>
              <w:adjustRightInd w:val="0"/>
              <w:spacing w:line="276" w:lineRule="auto"/>
              <w:jc w:val="left"/>
              <w:rPr>
                <w:rFonts w:hint="eastAsia" w:ascii="宋体" w:hAnsi="宋体"/>
                <w:color w:val="FF0000"/>
                <w:kern w:val="0"/>
                <w:sz w:val="24"/>
              </w:rPr>
            </w:pPr>
            <w:r>
              <w:rPr>
                <w:rFonts w:hint="eastAsia" w:ascii="宋体" w:hAnsi="宋体"/>
                <w:kern w:val="0"/>
                <w:sz w:val="24"/>
              </w:rPr>
              <w:t>（4）方案不合理、条理不清晰、无可操作性的，评审为差，不得分。如果评审为差，要求专家书面说明理由，并记录在档。</w:t>
            </w:r>
          </w:p>
        </w:tc>
        <w:tc>
          <w:tcPr>
            <w:tcW w:w="1187"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1" w:hRule="atLeast"/>
          <w:jc w:val="center"/>
        </w:trPr>
        <w:tc>
          <w:tcPr>
            <w:tcW w:w="754" w:type="dxa"/>
            <w:vAlign w:val="center"/>
          </w:tcPr>
          <w:p>
            <w:pPr>
              <w:autoSpaceDE w:val="0"/>
              <w:autoSpaceDN w:val="0"/>
              <w:adjustRightInd w:val="0"/>
              <w:spacing w:line="276" w:lineRule="auto"/>
              <w:jc w:val="center"/>
              <w:rPr>
                <w:rFonts w:ascii="宋体" w:hAnsi="宋体" w:cs="仿宋"/>
                <w:sz w:val="24"/>
                <w:lang w:val="zh-CN"/>
              </w:rPr>
            </w:pPr>
            <w:r>
              <w:rPr>
                <w:rFonts w:hint="eastAsia" w:ascii="宋体" w:hAnsi="宋体" w:cs="仿宋"/>
                <w:sz w:val="24"/>
              </w:rPr>
              <w:t>3</w:t>
            </w:r>
          </w:p>
        </w:tc>
        <w:tc>
          <w:tcPr>
            <w:tcW w:w="1143" w:type="dxa"/>
            <w:vAlign w:val="center"/>
          </w:tcPr>
          <w:p>
            <w:pPr>
              <w:widowControl/>
              <w:spacing w:line="276" w:lineRule="auto"/>
              <w:jc w:val="center"/>
              <w:rPr>
                <w:rFonts w:ascii="宋体" w:hAnsi="宋体"/>
                <w:kern w:val="0"/>
                <w:sz w:val="24"/>
              </w:rPr>
            </w:pPr>
            <w:r>
              <w:rPr>
                <w:rFonts w:hint="eastAsia" w:ascii="宋体" w:hAnsi="宋体"/>
                <w:kern w:val="0"/>
                <w:sz w:val="24"/>
              </w:rPr>
              <w:t>项目管理方案</w:t>
            </w:r>
          </w:p>
        </w:tc>
        <w:tc>
          <w:tcPr>
            <w:tcW w:w="709" w:type="dxa"/>
            <w:vAlign w:val="center"/>
          </w:tcPr>
          <w:p>
            <w:pPr>
              <w:widowControl/>
              <w:spacing w:line="276" w:lineRule="auto"/>
              <w:jc w:val="center"/>
              <w:rPr>
                <w:rFonts w:ascii="宋体" w:hAnsi="宋体"/>
                <w:kern w:val="0"/>
                <w:sz w:val="24"/>
              </w:rPr>
            </w:pPr>
            <w:r>
              <w:rPr>
                <w:rFonts w:ascii="宋体" w:hAnsi="宋体"/>
                <w:kern w:val="0"/>
                <w:sz w:val="24"/>
              </w:rPr>
              <w:t>8</w:t>
            </w:r>
          </w:p>
        </w:tc>
        <w:tc>
          <w:tcPr>
            <w:tcW w:w="5953" w:type="dxa"/>
            <w:vAlign w:val="center"/>
          </w:tcPr>
          <w:p>
            <w:pPr>
              <w:autoSpaceDE w:val="0"/>
              <w:autoSpaceDN w:val="0"/>
              <w:adjustRightInd w:val="0"/>
              <w:spacing w:line="276" w:lineRule="auto"/>
              <w:jc w:val="left"/>
              <w:rPr>
                <w:rFonts w:ascii="宋体" w:hAnsi="宋体"/>
                <w:kern w:val="0"/>
                <w:sz w:val="24"/>
              </w:rPr>
            </w:pPr>
            <w:r>
              <w:rPr>
                <w:rFonts w:hint="eastAsia" w:ascii="宋体" w:hAnsi="宋体"/>
                <w:kern w:val="0"/>
                <w:sz w:val="24"/>
              </w:rPr>
              <w:t>根据供应商提供的项目管理方案进行综合评价：</w:t>
            </w:r>
          </w:p>
          <w:p>
            <w:pPr>
              <w:autoSpaceDE w:val="0"/>
              <w:autoSpaceDN w:val="0"/>
              <w:adjustRightInd w:val="0"/>
              <w:spacing w:line="276" w:lineRule="auto"/>
              <w:jc w:val="left"/>
              <w:rPr>
                <w:rFonts w:ascii="宋体" w:hAnsi="宋体"/>
                <w:kern w:val="0"/>
                <w:sz w:val="24"/>
              </w:rPr>
            </w:pPr>
            <w:r>
              <w:rPr>
                <w:rFonts w:ascii="宋体" w:hAnsi="宋体"/>
                <w:kern w:val="0"/>
                <w:sz w:val="24"/>
              </w:rPr>
              <w:t>项目管理方案应至少包括项目进度控制、质量保证、范围控制、配置管理、文档管理、风险控制、人员控制</w:t>
            </w:r>
            <w:r>
              <w:rPr>
                <w:rFonts w:hint="eastAsia" w:ascii="宋体" w:hAnsi="宋体"/>
                <w:kern w:val="0"/>
                <w:sz w:val="24"/>
              </w:rPr>
              <w:t>。</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（1）方案合理、条理清晰、可操作强的，评审为优，得</w:t>
            </w:r>
            <w:r>
              <w:rPr>
                <w:rFonts w:ascii="宋体" w:hAnsi="宋体"/>
                <w:kern w:val="0"/>
                <w:sz w:val="24"/>
              </w:rPr>
              <w:t>8</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（2）方案较合理、条理较清晰、可操作较强的，评审为良，得</w:t>
            </w:r>
            <w:r>
              <w:rPr>
                <w:rFonts w:ascii="宋体" w:hAnsi="宋体"/>
                <w:kern w:val="0"/>
                <w:sz w:val="24"/>
              </w:rPr>
              <w:t>5</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（3）方案一般合理、条理一般清晰、可操作一般的，评审为中，得</w:t>
            </w:r>
            <w:r>
              <w:rPr>
                <w:rFonts w:ascii="宋体" w:hAnsi="宋体"/>
                <w:kern w:val="0"/>
                <w:sz w:val="24"/>
              </w:rPr>
              <w:t>2</w:t>
            </w:r>
            <w:r>
              <w:rPr>
                <w:rFonts w:hint="eastAsia" w:ascii="宋体" w:hAnsi="宋体"/>
                <w:kern w:val="0"/>
                <w:sz w:val="24"/>
              </w:rPr>
              <w:t>分；</w:t>
            </w:r>
          </w:p>
          <w:p>
            <w:pPr>
              <w:autoSpaceDE w:val="0"/>
              <w:autoSpaceDN w:val="0"/>
              <w:adjustRightInd w:val="0"/>
              <w:spacing w:line="276" w:lineRule="auto"/>
              <w:jc w:val="left"/>
              <w:rPr>
                <w:rFonts w:hint="eastAsia" w:ascii="宋体" w:hAnsi="宋体" w:cs="宋体"/>
                <w:sz w:val="24"/>
              </w:rPr>
            </w:pPr>
            <w:r>
              <w:rPr>
                <w:rFonts w:hint="eastAsia" w:ascii="宋体" w:hAnsi="宋体"/>
                <w:kern w:val="0"/>
                <w:sz w:val="24"/>
              </w:rPr>
              <w:t>（4）方案不合理、条理不清晰、无可操作性的，评审为差，不得分。如果评审为差，要求专家书面说明理由，并记录在档。</w:t>
            </w:r>
          </w:p>
        </w:tc>
        <w:tc>
          <w:tcPr>
            <w:tcW w:w="1187" w:type="dxa"/>
            <w:vAlign w:val="center"/>
          </w:tcPr>
          <w:p>
            <w:pPr>
              <w:spacing w:line="276" w:lineRule="auto"/>
              <w:jc w:val="center"/>
              <w:rPr>
                <w:rFonts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54"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4</w:t>
            </w:r>
          </w:p>
        </w:tc>
        <w:tc>
          <w:tcPr>
            <w:tcW w:w="1143" w:type="dxa"/>
            <w:vAlign w:val="center"/>
          </w:tcPr>
          <w:p>
            <w:pPr>
              <w:widowControl/>
              <w:spacing w:line="276" w:lineRule="auto"/>
              <w:jc w:val="center"/>
              <w:rPr>
                <w:rFonts w:ascii="宋体" w:hAnsi="宋体"/>
                <w:kern w:val="0"/>
                <w:sz w:val="24"/>
              </w:rPr>
            </w:pPr>
            <w:r>
              <w:rPr>
                <w:rFonts w:hint="eastAsia" w:ascii="宋体" w:hAnsi="宋体"/>
                <w:kern w:val="0"/>
                <w:sz w:val="24"/>
              </w:rPr>
              <w:t>质量保障方案</w:t>
            </w:r>
          </w:p>
        </w:tc>
        <w:tc>
          <w:tcPr>
            <w:tcW w:w="709" w:type="dxa"/>
            <w:vAlign w:val="center"/>
          </w:tcPr>
          <w:p>
            <w:pPr>
              <w:widowControl/>
              <w:spacing w:line="276" w:lineRule="auto"/>
              <w:jc w:val="center"/>
              <w:rPr>
                <w:rFonts w:ascii="宋体" w:hAnsi="宋体"/>
                <w:kern w:val="0"/>
                <w:sz w:val="24"/>
              </w:rPr>
            </w:pPr>
            <w:r>
              <w:rPr>
                <w:rFonts w:ascii="宋体" w:hAnsi="宋体"/>
                <w:kern w:val="0"/>
                <w:sz w:val="24"/>
              </w:rPr>
              <w:t>8</w:t>
            </w:r>
          </w:p>
        </w:tc>
        <w:tc>
          <w:tcPr>
            <w:tcW w:w="5953" w:type="dxa"/>
            <w:vAlign w:val="center"/>
          </w:tcPr>
          <w:p>
            <w:pPr>
              <w:autoSpaceDE w:val="0"/>
              <w:autoSpaceDN w:val="0"/>
              <w:adjustRightInd w:val="0"/>
              <w:spacing w:line="276" w:lineRule="auto"/>
              <w:jc w:val="left"/>
              <w:rPr>
                <w:rFonts w:ascii="宋体" w:hAnsi="宋体"/>
                <w:kern w:val="0"/>
                <w:sz w:val="24"/>
              </w:rPr>
            </w:pPr>
            <w:r>
              <w:rPr>
                <w:rFonts w:hint="eastAsia" w:ascii="宋体" w:hAnsi="宋体"/>
                <w:kern w:val="0"/>
                <w:sz w:val="24"/>
              </w:rPr>
              <w:t>根据供应商提供的质量保障方案进行综合评价：</w:t>
            </w:r>
          </w:p>
          <w:p>
            <w:pPr>
              <w:autoSpaceDE w:val="0"/>
              <w:autoSpaceDN w:val="0"/>
              <w:adjustRightInd w:val="0"/>
              <w:spacing w:line="276" w:lineRule="auto"/>
              <w:jc w:val="left"/>
              <w:rPr>
                <w:rFonts w:ascii="宋体" w:hAnsi="宋体"/>
                <w:kern w:val="0"/>
                <w:sz w:val="24"/>
              </w:rPr>
            </w:pPr>
            <w:r>
              <w:rPr>
                <w:rFonts w:ascii="宋体" w:hAnsi="宋体"/>
                <w:kern w:val="0"/>
                <w:sz w:val="24"/>
              </w:rPr>
              <w:t>质量保障方案应至少包括完善的质量保障体系，可行的质量保障措施，和项目质量内容（包括质量目标、质量计划、进度计划、质量管理组织、质量管理办法）</w:t>
            </w:r>
            <w:r>
              <w:rPr>
                <w:rFonts w:hint="eastAsia" w:ascii="宋体" w:hAnsi="宋体"/>
                <w:kern w:val="0"/>
                <w:sz w:val="24"/>
              </w:rPr>
              <w:t>。</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（1）方案合理、条理清晰、可操作强的，评审为优，得</w:t>
            </w:r>
            <w:r>
              <w:rPr>
                <w:rFonts w:ascii="宋体" w:hAnsi="宋体"/>
                <w:kern w:val="0"/>
                <w:sz w:val="24"/>
              </w:rPr>
              <w:t>8</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（2）方案较合理、条理较清晰、可操作较强的，评审为良，得</w:t>
            </w:r>
            <w:r>
              <w:rPr>
                <w:rFonts w:ascii="宋体" w:hAnsi="宋体"/>
                <w:kern w:val="0"/>
                <w:sz w:val="24"/>
              </w:rPr>
              <w:t>5</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（3）方案一般合理、条理一般清晰、可操作一般的，评审为中，得</w:t>
            </w:r>
            <w:r>
              <w:rPr>
                <w:rFonts w:ascii="宋体" w:hAnsi="宋体"/>
                <w:kern w:val="0"/>
                <w:sz w:val="24"/>
              </w:rPr>
              <w:t>2</w:t>
            </w:r>
            <w:r>
              <w:rPr>
                <w:rFonts w:hint="eastAsia" w:ascii="宋体" w:hAnsi="宋体"/>
                <w:kern w:val="0"/>
                <w:sz w:val="24"/>
              </w:rPr>
              <w:t>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（4）方案不合理、条理不清晰、无可操作性的，评审为差，不得分。如果评审为差，要求专家书面说明理由，并记录在档。</w:t>
            </w:r>
          </w:p>
        </w:tc>
        <w:tc>
          <w:tcPr>
            <w:tcW w:w="1187"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54" w:type="dxa"/>
            <w:vAlign w:val="center"/>
          </w:tcPr>
          <w:p>
            <w:pPr>
              <w:widowControl/>
              <w:snapToGrid w:val="0"/>
              <w:spacing w:line="276" w:lineRule="auto"/>
              <w:jc w:val="center"/>
              <w:rPr>
                <w:rFonts w:hint="eastAsia" w:ascii="宋体" w:hAnsi="宋体" w:cs="宋体"/>
                <w:kern w:val="0"/>
                <w:sz w:val="24"/>
              </w:rPr>
            </w:pPr>
            <w:r>
              <w:rPr>
                <w:rFonts w:hint="eastAsia" w:ascii="宋体" w:hAnsi="宋体"/>
                <w:kern w:val="0"/>
                <w:sz w:val="24"/>
              </w:rPr>
              <w:t>5</w:t>
            </w:r>
          </w:p>
        </w:tc>
        <w:tc>
          <w:tcPr>
            <w:tcW w:w="1143" w:type="dxa"/>
            <w:vAlign w:val="center"/>
          </w:tcPr>
          <w:p>
            <w:pPr>
              <w:autoSpaceDE w:val="0"/>
              <w:autoSpaceDN w:val="0"/>
              <w:adjustRightInd w:val="0"/>
              <w:spacing w:line="276" w:lineRule="auto"/>
              <w:jc w:val="left"/>
              <w:rPr>
                <w:rFonts w:ascii="宋体" w:hAnsi="宋体" w:cs="宋体"/>
                <w:sz w:val="24"/>
              </w:rPr>
            </w:pPr>
            <w:r>
              <w:rPr>
                <w:rFonts w:hint="eastAsia" w:ascii="宋体" w:hAnsi="宋体"/>
                <w:kern w:val="0"/>
                <w:sz w:val="24"/>
              </w:rPr>
              <w:t>安全</w:t>
            </w:r>
            <w:r>
              <w:rPr>
                <w:rFonts w:ascii="宋体" w:hAnsi="宋体"/>
                <w:kern w:val="0"/>
                <w:sz w:val="24"/>
              </w:rPr>
              <w:t>设计</w:t>
            </w:r>
            <w:r>
              <w:rPr>
                <w:rFonts w:hint="eastAsia" w:ascii="宋体" w:hAnsi="宋体"/>
                <w:kern w:val="0"/>
                <w:sz w:val="24"/>
              </w:rPr>
              <w:t>方案</w:t>
            </w:r>
          </w:p>
        </w:tc>
        <w:tc>
          <w:tcPr>
            <w:tcW w:w="709" w:type="dxa"/>
            <w:vAlign w:val="center"/>
          </w:tcPr>
          <w:p>
            <w:pPr>
              <w:widowControl/>
              <w:spacing w:line="276" w:lineRule="auto"/>
              <w:jc w:val="center"/>
              <w:rPr>
                <w:rFonts w:ascii="宋体" w:hAnsi="宋体" w:cs="宋体"/>
                <w:kern w:val="0"/>
                <w:sz w:val="24"/>
              </w:rPr>
            </w:pPr>
            <w:r>
              <w:rPr>
                <w:rFonts w:ascii="宋体" w:hAnsi="宋体" w:cs="宋体"/>
                <w:kern w:val="0"/>
                <w:sz w:val="24"/>
              </w:rPr>
              <w:t>8</w:t>
            </w:r>
          </w:p>
        </w:tc>
        <w:tc>
          <w:tcPr>
            <w:tcW w:w="5953" w:type="dxa"/>
            <w:vAlign w:val="center"/>
          </w:tcPr>
          <w:p>
            <w:pPr>
              <w:autoSpaceDE w:val="0"/>
              <w:autoSpaceDN w:val="0"/>
              <w:adjustRightInd w:val="0"/>
              <w:spacing w:line="276" w:lineRule="auto"/>
              <w:jc w:val="left"/>
              <w:rPr>
                <w:rFonts w:ascii="宋体" w:hAnsi="宋体"/>
                <w:kern w:val="0"/>
                <w:sz w:val="24"/>
              </w:rPr>
            </w:pPr>
            <w:r>
              <w:rPr>
                <w:rFonts w:hint="eastAsia" w:ascii="宋体" w:hAnsi="宋体"/>
                <w:kern w:val="0"/>
                <w:sz w:val="24"/>
              </w:rPr>
              <w:t>根据供应商提供的安全</w:t>
            </w:r>
            <w:r>
              <w:rPr>
                <w:rFonts w:ascii="宋体" w:hAnsi="宋体"/>
                <w:kern w:val="0"/>
                <w:sz w:val="24"/>
              </w:rPr>
              <w:t>设计</w:t>
            </w:r>
            <w:r>
              <w:rPr>
                <w:rFonts w:hint="eastAsia" w:ascii="宋体" w:hAnsi="宋体"/>
                <w:kern w:val="0"/>
                <w:sz w:val="24"/>
              </w:rPr>
              <w:t>方案进行综合评价：</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安全</w:t>
            </w:r>
            <w:r>
              <w:rPr>
                <w:rFonts w:ascii="宋体" w:hAnsi="宋体"/>
                <w:kern w:val="0"/>
                <w:sz w:val="24"/>
              </w:rPr>
              <w:t>设计</w:t>
            </w:r>
            <w:r>
              <w:rPr>
                <w:rFonts w:hint="eastAsia" w:ascii="宋体" w:hAnsi="宋体"/>
                <w:kern w:val="0"/>
                <w:sz w:val="24"/>
              </w:rPr>
              <w:t>方案应包括应用安全、移动端安全、密码应用安全、安全管理制度等。</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（1）方案合理、条理清晰、可操作强的，评审为优，得</w:t>
            </w:r>
            <w:r>
              <w:rPr>
                <w:rFonts w:ascii="宋体" w:hAnsi="宋体"/>
                <w:kern w:val="0"/>
                <w:sz w:val="24"/>
              </w:rPr>
              <w:t>8</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（2）方案较合理、条理较清晰、可操作较强的，评审为良，得</w:t>
            </w:r>
            <w:r>
              <w:rPr>
                <w:rFonts w:ascii="宋体" w:hAnsi="宋体"/>
                <w:kern w:val="0"/>
                <w:sz w:val="24"/>
              </w:rPr>
              <w:t>5</w:t>
            </w:r>
            <w:r>
              <w:rPr>
                <w:rFonts w:hint="eastAsia" w:ascii="宋体" w:hAnsi="宋体"/>
                <w:kern w:val="0"/>
                <w:sz w:val="24"/>
              </w:rPr>
              <w:t>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（3）方案一般合理、条理一般清晰、可操作一般的，评审为中，得</w:t>
            </w:r>
            <w:r>
              <w:rPr>
                <w:rFonts w:ascii="宋体" w:hAnsi="宋体"/>
                <w:kern w:val="0"/>
                <w:sz w:val="24"/>
              </w:rPr>
              <w:t>2</w:t>
            </w:r>
            <w:r>
              <w:rPr>
                <w:rFonts w:hint="eastAsia" w:ascii="宋体" w:hAnsi="宋体"/>
                <w:kern w:val="0"/>
                <w:sz w:val="24"/>
              </w:rPr>
              <w:t>分；</w:t>
            </w:r>
          </w:p>
          <w:p>
            <w:pPr>
              <w:autoSpaceDE w:val="0"/>
              <w:autoSpaceDN w:val="0"/>
              <w:adjustRightInd w:val="0"/>
              <w:spacing w:line="276" w:lineRule="auto"/>
              <w:jc w:val="left"/>
              <w:rPr>
                <w:rFonts w:ascii="宋体" w:hAnsi="宋体" w:cs="宋体"/>
                <w:sz w:val="24"/>
              </w:rPr>
            </w:pPr>
            <w:r>
              <w:rPr>
                <w:rFonts w:hint="eastAsia" w:ascii="宋体" w:hAnsi="宋体"/>
                <w:kern w:val="0"/>
                <w:sz w:val="24"/>
              </w:rPr>
              <w:t>（4）方案不合理、条理不清晰、无可操作性的，评审为差，不得分。如果评审为差，要求专家书面说明理由，并记录在档。</w:t>
            </w:r>
          </w:p>
        </w:tc>
        <w:tc>
          <w:tcPr>
            <w:tcW w:w="1187"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276" w:lineRule="auto"/>
              <w:jc w:val="center"/>
              <w:rPr>
                <w:rFonts w:ascii="宋体" w:hAnsi="宋体" w:cs="宋体"/>
                <w:kern w:val="0"/>
                <w:sz w:val="24"/>
              </w:rPr>
            </w:pPr>
            <w:r>
              <w:rPr>
                <w:rFonts w:hint="eastAsia" w:ascii="宋体" w:hAnsi="宋体"/>
                <w:kern w:val="0"/>
                <w:sz w:val="24"/>
              </w:rPr>
              <w:t>6</w:t>
            </w:r>
          </w:p>
        </w:tc>
        <w:tc>
          <w:tcPr>
            <w:tcW w:w="1143" w:type="dxa"/>
            <w:vAlign w:val="center"/>
          </w:tcPr>
          <w:p>
            <w:pPr>
              <w:autoSpaceDE w:val="0"/>
              <w:autoSpaceDN w:val="0"/>
              <w:adjustRightInd w:val="0"/>
              <w:spacing w:line="276" w:lineRule="auto"/>
              <w:jc w:val="left"/>
              <w:rPr>
                <w:rFonts w:ascii="宋体" w:hAnsi="宋体" w:cs="宋体"/>
                <w:sz w:val="24"/>
              </w:rPr>
            </w:pPr>
            <w:r>
              <w:rPr>
                <w:rFonts w:hint="eastAsia" w:ascii="宋体" w:hAnsi="宋体"/>
                <w:kern w:val="0"/>
                <w:sz w:val="24"/>
              </w:rPr>
              <w:t>售后服务方案</w:t>
            </w:r>
          </w:p>
        </w:tc>
        <w:tc>
          <w:tcPr>
            <w:tcW w:w="709" w:type="dxa"/>
            <w:vAlign w:val="center"/>
          </w:tcPr>
          <w:p>
            <w:pPr>
              <w:widowControl/>
              <w:spacing w:line="276" w:lineRule="auto"/>
              <w:jc w:val="center"/>
              <w:rPr>
                <w:rFonts w:ascii="宋体" w:hAnsi="宋体" w:cs="宋体"/>
                <w:kern w:val="0"/>
                <w:sz w:val="24"/>
              </w:rPr>
            </w:pPr>
            <w:r>
              <w:rPr>
                <w:rFonts w:ascii="宋体" w:hAnsi="宋体" w:cs="宋体"/>
                <w:kern w:val="0"/>
                <w:sz w:val="24"/>
              </w:rPr>
              <w:t>8</w:t>
            </w:r>
          </w:p>
        </w:tc>
        <w:tc>
          <w:tcPr>
            <w:tcW w:w="5953" w:type="dxa"/>
            <w:vAlign w:val="center"/>
          </w:tcPr>
          <w:p>
            <w:pPr>
              <w:autoSpaceDE w:val="0"/>
              <w:autoSpaceDN w:val="0"/>
              <w:adjustRightInd w:val="0"/>
              <w:spacing w:line="276" w:lineRule="auto"/>
              <w:jc w:val="left"/>
              <w:rPr>
                <w:rFonts w:ascii="宋体" w:hAnsi="宋体"/>
                <w:kern w:val="0"/>
                <w:sz w:val="24"/>
              </w:rPr>
            </w:pPr>
            <w:r>
              <w:rPr>
                <w:rFonts w:hint="eastAsia" w:ascii="宋体" w:hAnsi="宋体"/>
                <w:kern w:val="0"/>
                <w:sz w:val="24"/>
              </w:rPr>
              <w:t>根据供应商提供的售后服务方案进行综合评价：</w:t>
            </w:r>
          </w:p>
          <w:p>
            <w:pPr>
              <w:autoSpaceDE w:val="0"/>
              <w:autoSpaceDN w:val="0"/>
              <w:adjustRightInd w:val="0"/>
              <w:spacing w:line="276" w:lineRule="auto"/>
              <w:jc w:val="left"/>
              <w:rPr>
                <w:rFonts w:hint="eastAsia" w:ascii="宋体" w:hAnsi="宋体"/>
                <w:kern w:val="0"/>
                <w:sz w:val="24"/>
              </w:rPr>
            </w:pPr>
            <w:r>
              <w:rPr>
                <w:rFonts w:ascii="宋体" w:hAnsi="宋体"/>
                <w:kern w:val="0"/>
                <w:sz w:val="24"/>
              </w:rPr>
              <w:t>售后服务方案应至少包括服务标准、服务流程、服务内容、响应时间等内容。</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（1）售后服务方案详尽，运维服务管理体系的情况、信息化系统售后运维保障经验丰富，及有完善的售后服务团队，得</w:t>
            </w:r>
            <w:r>
              <w:rPr>
                <w:rFonts w:ascii="宋体" w:hAnsi="宋体"/>
                <w:kern w:val="0"/>
                <w:sz w:val="24"/>
              </w:rPr>
              <w:t>8</w:t>
            </w:r>
            <w:r>
              <w:rPr>
                <w:rFonts w:hint="eastAsia" w:ascii="宋体" w:hAnsi="宋体"/>
                <w:kern w:val="0"/>
                <w:sz w:val="24"/>
              </w:rPr>
              <w:t>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）售后服务方案详尽，有一定运维服务管理体系、信息化系统售后运维保障经验，及有售后服务团队，得</w:t>
            </w:r>
            <w:r>
              <w:rPr>
                <w:rFonts w:ascii="宋体" w:hAnsi="宋体"/>
                <w:kern w:val="0"/>
                <w:sz w:val="24"/>
              </w:rPr>
              <w:t>5</w:t>
            </w:r>
            <w:r>
              <w:rPr>
                <w:rFonts w:hint="eastAsia" w:ascii="宋体" w:hAnsi="宋体"/>
                <w:kern w:val="0"/>
                <w:sz w:val="24"/>
              </w:rPr>
              <w:t>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）售后服务方案基本完整，售后运维保障经验不足，有售后服务团队但无相应的保障措施，得</w:t>
            </w:r>
            <w:r>
              <w:rPr>
                <w:rFonts w:ascii="宋体" w:hAnsi="宋体"/>
                <w:kern w:val="0"/>
                <w:sz w:val="24"/>
              </w:rPr>
              <w:t>2</w:t>
            </w:r>
            <w:r>
              <w:rPr>
                <w:rFonts w:hint="eastAsia" w:ascii="宋体" w:hAnsi="宋体"/>
                <w:kern w:val="0"/>
                <w:sz w:val="24"/>
              </w:rPr>
              <w:t>分；</w:t>
            </w:r>
          </w:p>
          <w:p>
            <w:pPr>
              <w:autoSpaceDE w:val="0"/>
              <w:autoSpaceDN w:val="0"/>
              <w:adjustRightInd w:val="0"/>
              <w:spacing w:line="276" w:lineRule="auto"/>
              <w:jc w:val="left"/>
              <w:rPr>
                <w:rFonts w:ascii="宋体" w:hAnsi="宋体" w:cs="宋体"/>
                <w:sz w:val="24"/>
              </w:rPr>
            </w:pPr>
            <w:r>
              <w:rPr>
                <w:rFonts w:hint="eastAsia" w:ascii="宋体" w:hAnsi="宋体"/>
                <w:kern w:val="0"/>
                <w:sz w:val="24"/>
              </w:rPr>
              <w:t>（</w:t>
            </w:r>
            <w:r>
              <w:rPr>
                <w:rFonts w:ascii="宋体" w:hAnsi="宋体"/>
                <w:kern w:val="0"/>
                <w:sz w:val="24"/>
              </w:rPr>
              <w:t>4</w:t>
            </w:r>
            <w:r>
              <w:rPr>
                <w:rFonts w:hint="eastAsia" w:ascii="宋体" w:hAnsi="宋体"/>
                <w:kern w:val="0"/>
                <w:sz w:val="24"/>
              </w:rPr>
              <w:t>）售后服务方案不完整，无售后经验、无售后服务团队，不得分。</w:t>
            </w:r>
          </w:p>
        </w:tc>
        <w:tc>
          <w:tcPr>
            <w:tcW w:w="1187"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pPr>
              <w:widowControl/>
              <w:snapToGrid w:val="0"/>
              <w:spacing w:line="276" w:lineRule="auto"/>
              <w:jc w:val="center"/>
              <w:rPr>
                <w:rFonts w:ascii="宋体" w:hAnsi="宋体"/>
                <w:kern w:val="0"/>
                <w:sz w:val="24"/>
              </w:rPr>
            </w:pPr>
            <w:r>
              <w:rPr>
                <w:rFonts w:hint="eastAsia" w:ascii="宋体" w:hAnsi="宋体"/>
                <w:kern w:val="0"/>
                <w:sz w:val="24"/>
              </w:rPr>
              <w:t>7</w:t>
            </w:r>
          </w:p>
        </w:tc>
        <w:tc>
          <w:tcPr>
            <w:tcW w:w="1143" w:type="dxa"/>
            <w:vAlign w:val="center"/>
          </w:tcPr>
          <w:p>
            <w:pPr>
              <w:autoSpaceDE w:val="0"/>
              <w:autoSpaceDN w:val="0"/>
              <w:adjustRightInd w:val="0"/>
              <w:spacing w:line="276" w:lineRule="auto"/>
              <w:jc w:val="left"/>
              <w:rPr>
                <w:rFonts w:ascii="宋体" w:hAnsi="宋体" w:cs="宋体"/>
                <w:sz w:val="24"/>
              </w:rPr>
            </w:pPr>
            <w:r>
              <w:rPr>
                <w:rFonts w:hint="eastAsia" w:ascii="宋体" w:hAnsi="宋体"/>
                <w:kern w:val="0"/>
                <w:sz w:val="24"/>
              </w:rPr>
              <w:t>技术培训方案</w:t>
            </w:r>
          </w:p>
        </w:tc>
        <w:tc>
          <w:tcPr>
            <w:tcW w:w="709" w:type="dxa"/>
            <w:vAlign w:val="center"/>
          </w:tcPr>
          <w:p>
            <w:pPr>
              <w:widowControl/>
              <w:spacing w:line="276" w:lineRule="auto"/>
              <w:jc w:val="center"/>
              <w:rPr>
                <w:rFonts w:ascii="宋体" w:hAnsi="宋体" w:cs="宋体"/>
                <w:kern w:val="0"/>
                <w:sz w:val="24"/>
              </w:rPr>
            </w:pPr>
            <w:r>
              <w:rPr>
                <w:rFonts w:ascii="宋体" w:hAnsi="宋体" w:cs="宋体"/>
                <w:kern w:val="0"/>
                <w:sz w:val="24"/>
              </w:rPr>
              <w:t>8</w:t>
            </w:r>
          </w:p>
        </w:tc>
        <w:tc>
          <w:tcPr>
            <w:tcW w:w="5953" w:type="dxa"/>
            <w:vAlign w:val="center"/>
          </w:tcPr>
          <w:p>
            <w:pPr>
              <w:autoSpaceDE w:val="0"/>
              <w:autoSpaceDN w:val="0"/>
              <w:adjustRightInd w:val="0"/>
              <w:spacing w:line="276" w:lineRule="auto"/>
              <w:jc w:val="left"/>
              <w:rPr>
                <w:rFonts w:ascii="宋体" w:hAnsi="宋体"/>
                <w:kern w:val="0"/>
                <w:sz w:val="24"/>
              </w:rPr>
            </w:pPr>
            <w:r>
              <w:rPr>
                <w:rFonts w:hint="eastAsia" w:ascii="宋体" w:hAnsi="宋体"/>
                <w:kern w:val="0"/>
                <w:sz w:val="24"/>
              </w:rPr>
              <w:t>根据供应商提供的技术培训方案进行综合评价：</w:t>
            </w:r>
            <w:r>
              <w:rPr>
                <w:rFonts w:ascii="宋体" w:hAnsi="宋体"/>
                <w:kern w:val="0"/>
                <w:sz w:val="24"/>
              </w:rPr>
              <w:t xml:space="preserve"> </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技术培训方案应培训次数、培训方式、培训内容、培训课程计划等四个方面进行综合评价。</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（1）方案具有针对性、合理、详细和完整，得</w:t>
            </w:r>
            <w:r>
              <w:rPr>
                <w:rFonts w:ascii="宋体" w:hAnsi="宋体"/>
                <w:kern w:val="0"/>
                <w:sz w:val="24"/>
              </w:rPr>
              <w:t>8</w:t>
            </w:r>
            <w:r>
              <w:rPr>
                <w:rFonts w:hint="eastAsia" w:ascii="宋体" w:hAnsi="宋体"/>
                <w:kern w:val="0"/>
                <w:sz w:val="24"/>
              </w:rPr>
              <w:t>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）方案不够详尽，针对性不够强，基本满足项目需要，得5分；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）方案简单，部分满足项目需要，得</w:t>
            </w:r>
            <w:r>
              <w:rPr>
                <w:rFonts w:ascii="宋体" w:hAnsi="宋体"/>
                <w:kern w:val="0"/>
                <w:sz w:val="24"/>
              </w:rPr>
              <w:t>2</w:t>
            </w:r>
            <w:r>
              <w:rPr>
                <w:rFonts w:hint="eastAsia" w:ascii="宋体" w:hAnsi="宋体"/>
                <w:kern w:val="0"/>
                <w:sz w:val="24"/>
              </w:rPr>
              <w:t>分；</w:t>
            </w:r>
          </w:p>
          <w:p>
            <w:pPr>
              <w:autoSpaceDE w:val="0"/>
              <w:autoSpaceDN w:val="0"/>
              <w:adjustRightInd w:val="0"/>
              <w:spacing w:line="276" w:lineRule="auto"/>
              <w:jc w:val="left"/>
              <w:rPr>
                <w:rFonts w:ascii="宋体" w:hAnsi="宋体"/>
                <w:sz w:val="24"/>
              </w:rPr>
            </w:pPr>
            <w:r>
              <w:rPr>
                <w:rFonts w:hint="eastAsia" w:ascii="宋体" w:hAnsi="宋体"/>
                <w:kern w:val="0"/>
                <w:sz w:val="24"/>
              </w:rPr>
              <w:t>（</w:t>
            </w:r>
            <w:r>
              <w:rPr>
                <w:rFonts w:ascii="宋体" w:hAnsi="宋体"/>
                <w:kern w:val="0"/>
                <w:sz w:val="24"/>
              </w:rPr>
              <w:t>4</w:t>
            </w:r>
            <w:r>
              <w:rPr>
                <w:rFonts w:hint="eastAsia" w:ascii="宋体" w:hAnsi="宋体"/>
                <w:kern w:val="0"/>
                <w:sz w:val="24"/>
              </w:rPr>
              <w:t>）未提供方案，不得分。</w:t>
            </w:r>
          </w:p>
        </w:tc>
        <w:tc>
          <w:tcPr>
            <w:tcW w:w="1187" w:type="dxa"/>
            <w:vAlign w:val="center"/>
          </w:tcPr>
          <w:p>
            <w:pPr>
              <w:spacing w:line="276" w:lineRule="auto"/>
              <w:jc w:val="center"/>
              <w:rPr>
                <w:rFonts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276" w:lineRule="auto"/>
              <w:jc w:val="center"/>
              <w:rPr>
                <w:rFonts w:ascii="宋体" w:hAnsi="宋体" w:cs="仿宋"/>
                <w:b/>
                <w:sz w:val="24"/>
              </w:rPr>
            </w:pPr>
            <w:r>
              <w:rPr>
                <w:rFonts w:hint="eastAsia" w:ascii="宋体" w:hAnsi="宋体" w:cs="仿宋"/>
                <w:b/>
                <w:sz w:val="24"/>
                <w:lang w:val="zh-CN"/>
              </w:rPr>
              <w:t>三、商务部分</w:t>
            </w:r>
          </w:p>
        </w:tc>
        <w:tc>
          <w:tcPr>
            <w:tcW w:w="1187" w:type="dxa"/>
            <w:vAlign w:val="center"/>
          </w:tcPr>
          <w:p>
            <w:pPr>
              <w:autoSpaceDE w:val="0"/>
              <w:autoSpaceDN w:val="0"/>
              <w:adjustRightInd w:val="0"/>
              <w:spacing w:line="276" w:lineRule="auto"/>
              <w:jc w:val="center"/>
              <w:rPr>
                <w:rFonts w:hint="eastAsia" w:ascii="宋体" w:hAnsi="宋体" w:cs="仿宋"/>
                <w:b/>
                <w:sz w:val="24"/>
              </w:rPr>
            </w:pPr>
            <w:r>
              <w:rPr>
                <w:rFonts w:hint="eastAsia" w:ascii="宋体" w:hAnsi="宋体" w:cs="仿宋"/>
                <w:b/>
                <w:sz w:val="24"/>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lang w:val="zh-CN"/>
              </w:rPr>
              <w:t>序号</w:t>
            </w:r>
          </w:p>
        </w:tc>
        <w:tc>
          <w:tcPr>
            <w:tcW w:w="1143"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lang w:val="zh-CN"/>
              </w:rPr>
              <w:t>内容</w:t>
            </w:r>
          </w:p>
        </w:tc>
        <w:tc>
          <w:tcPr>
            <w:tcW w:w="709"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lang w:val="zh-CN"/>
              </w:rPr>
              <w:t>权重</w:t>
            </w:r>
          </w:p>
        </w:tc>
        <w:tc>
          <w:tcPr>
            <w:tcW w:w="5953"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lang w:val="zh-CN"/>
              </w:rPr>
              <w:t>评分规则</w:t>
            </w:r>
          </w:p>
        </w:tc>
        <w:tc>
          <w:tcPr>
            <w:tcW w:w="1187" w:type="dxa"/>
            <w:vAlign w:val="center"/>
          </w:tcPr>
          <w:p>
            <w:pPr>
              <w:autoSpaceDE w:val="0"/>
              <w:autoSpaceDN w:val="0"/>
              <w:adjustRightInd w:val="0"/>
              <w:spacing w:line="276" w:lineRule="auto"/>
              <w:jc w:val="center"/>
              <w:rPr>
                <w:rFonts w:ascii="宋体" w:hAnsi="宋体" w:cs="仿宋"/>
                <w:sz w:val="24"/>
              </w:rPr>
            </w:pPr>
            <w:r>
              <w:rPr>
                <w:rFonts w:hint="eastAsia" w:ascii="宋体" w:hAnsi="宋体" w:cs="仿宋"/>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276" w:lineRule="auto"/>
              <w:jc w:val="center"/>
              <w:rPr>
                <w:rFonts w:ascii="宋体" w:hAnsi="宋体" w:cs="仿宋"/>
                <w:sz w:val="24"/>
                <w:lang w:val="zh-CN"/>
              </w:rPr>
            </w:pPr>
            <w:r>
              <w:rPr>
                <w:rFonts w:hint="eastAsia" w:ascii="宋体" w:hAnsi="宋体" w:cs="仿宋"/>
                <w:sz w:val="24"/>
                <w:lang w:val="zh-CN"/>
              </w:rPr>
              <w:t>1</w:t>
            </w:r>
          </w:p>
        </w:tc>
        <w:tc>
          <w:tcPr>
            <w:tcW w:w="1143" w:type="dxa"/>
            <w:vAlign w:val="center"/>
          </w:tcPr>
          <w:p>
            <w:pPr>
              <w:spacing w:line="276" w:lineRule="auto"/>
              <w:jc w:val="center"/>
              <w:rPr>
                <w:rFonts w:ascii="宋体" w:hAnsi="宋体"/>
                <w:kern w:val="0"/>
                <w:sz w:val="24"/>
              </w:rPr>
            </w:pPr>
            <w:r>
              <w:rPr>
                <w:rFonts w:hint="eastAsia" w:ascii="宋体" w:hAnsi="宋体" w:cs="宋体"/>
                <w:color w:val="000000"/>
                <w:kern w:val="0"/>
                <w:sz w:val="24"/>
              </w:rPr>
              <w:t>投标人体系认证情况</w:t>
            </w:r>
          </w:p>
        </w:tc>
        <w:tc>
          <w:tcPr>
            <w:tcW w:w="709" w:type="dxa"/>
            <w:vAlign w:val="center"/>
          </w:tcPr>
          <w:p>
            <w:pPr>
              <w:spacing w:line="276" w:lineRule="auto"/>
              <w:jc w:val="center"/>
              <w:rPr>
                <w:rFonts w:ascii="宋体" w:hAnsi="宋体"/>
                <w:kern w:val="0"/>
                <w:sz w:val="24"/>
              </w:rPr>
            </w:pPr>
            <w:r>
              <w:rPr>
                <w:rFonts w:ascii="宋体" w:hAnsi="宋体" w:cs="宋体"/>
                <w:sz w:val="24"/>
              </w:rPr>
              <w:t>5</w:t>
            </w:r>
          </w:p>
        </w:tc>
        <w:tc>
          <w:tcPr>
            <w:tcW w:w="5953" w:type="dxa"/>
            <w:vAlign w:val="center"/>
          </w:tcPr>
          <w:p>
            <w:pPr>
              <w:spacing w:line="276" w:lineRule="auto"/>
              <w:rPr>
                <w:rFonts w:ascii="宋体" w:hAnsi="宋体"/>
                <w:sz w:val="24"/>
              </w:rPr>
            </w:pPr>
            <w:r>
              <w:rPr>
                <w:rFonts w:hint="eastAsia" w:ascii="宋体" w:hAnsi="宋体"/>
                <w:sz w:val="24"/>
              </w:rPr>
              <w:t>（一）评分内容：</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1.投标人具备IS09001质量管理体系认证证书。</w:t>
            </w:r>
          </w:p>
          <w:p>
            <w:pPr>
              <w:autoSpaceDE w:val="0"/>
              <w:autoSpaceDN w:val="0"/>
              <w:adjustRightInd w:val="0"/>
              <w:spacing w:line="276" w:lineRule="auto"/>
              <w:jc w:val="left"/>
              <w:rPr>
                <w:rFonts w:ascii="宋体" w:hAnsi="宋体"/>
                <w:kern w:val="0"/>
                <w:sz w:val="24"/>
              </w:rPr>
            </w:pPr>
            <w:r>
              <w:rPr>
                <w:rFonts w:ascii="宋体" w:hAnsi="宋体"/>
                <w:kern w:val="0"/>
                <w:sz w:val="24"/>
              </w:rPr>
              <w:t>2</w:t>
            </w:r>
            <w:r>
              <w:rPr>
                <w:rFonts w:hint="eastAsia" w:ascii="宋体" w:hAnsi="宋体"/>
                <w:kern w:val="0"/>
                <w:sz w:val="24"/>
              </w:rPr>
              <w:t>.投标人具备IS027001信息安全管理体系认证证书。</w:t>
            </w:r>
          </w:p>
          <w:p>
            <w:pPr>
              <w:autoSpaceDE w:val="0"/>
              <w:autoSpaceDN w:val="0"/>
              <w:adjustRightInd w:val="0"/>
              <w:spacing w:line="276" w:lineRule="auto"/>
              <w:jc w:val="left"/>
              <w:rPr>
                <w:rFonts w:ascii="宋体" w:hAnsi="宋体"/>
                <w:kern w:val="0"/>
                <w:sz w:val="24"/>
              </w:rPr>
            </w:pPr>
            <w:r>
              <w:rPr>
                <w:rFonts w:ascii="宋体" w:hAnsi="宋体"/>
                <w:kern w:val="0"/>
                <w:sz w:val="24"/>
              </w:rPr>
              <w:t>3</w:t>
            </w:r>
            <w:r>
              <w:rPr>
                <w:rFonts w:hint="eastAsia" w:ascii="宋体" w:hAnsi="宋体"/>
                <w:kern w:val="0"/>
                <w:sz w:val="24"/>
              </w:rPr>
              <w:t>.投标人具备ITSS信息技术服务标准符合性证书。</w:t>
            </w:r>
          </w:p>
          <w:p>
            <w:pPr>
              <w:autoSpaceDE w:val="0"/>
              <w:autoSpaceDN w:val="0"/>
              <w:adjustRightInd w:val="0"/>
              <w:spacing w:line="276" w:lineRule="auto"/>
              <w:jc w:val="left"/>
              <w:rPr>
                <w:rFonts w:ascii="宋体" w:hAnsi="宋体"/>
                <w:kern w:val="0"/>
                <w:sz w:val="24"/>
              </w:rPr>
            </w:pPr>
            <w:r>
              <w:rPr>
                <w:rFonts w:ascii="宋体" w:hAnsi="宋体"/>
                <w:kern w:val="0"/>
                <w:sz w:val="24"/>
              </w:rPr>
              <w:t>4</w:t>
            </w:r>
            <w:r>
              <w:rPr>
                <w:rFonts w:hint="eastAsia" w:ascii="宋体" w:hAnsi="宋体"/>
                <w:kern w:val="0"/>
                <w:sz w:val="24"/>
              </w:rPr>
              <w:t>.投标人具备DCMM数据管理能力成熟度等级证书。</w:t>
            </w:r>
          </w:p>
          <w:p>
            <w:pPr>
              <w:autoSpaceDE w:val="0"/>
              <w:autoSpaceDN w:val="0"/>
              <w:adjustRightInd w:val="0"/>
              <w:spacing w:line="276" w:lineRule="auto"/>
              <w:jc w:val="left"/>
              <w:rPr>
                <w:rFonts w:hint="eastAsia" w:ascii="宋体" w:hAnsi="宋体"/>
                <w:kern w:val="0"/>
                <w:sz w:val="24"/>
              </w:rPr>
            </w:pPr>
            <w:r>
              <w:rPr>
                <w:rFonts w:ascii="宋体" w:hAnsi="宋体"/>
                <w:kern w:val="0"/>
                <w:sz w:val="24"/>
              </w:rPr>
              <w:t>5</w:t>
            </w:r>
            <w:r>
              <w:rPr>
                <w:rFonts w:hint="eastAsia" w:ascii="宋体" w:hAnsi="宋体"/>
                <w:kern w:val="0"/>
                <w:sz w:val="24"/>
              </w:rPr>
              <w:t>.投标人具备信息系统建设和服务能力等级证书。</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每提供1个有效认证证书得</w:t>
            </w:r>
            <w:r>
              <w:rPr>
                <w:rFonts w:ascii="宋体" w:hAnsi="宋体"/>
                <w:kern w:val="0"/>
                <w:sz w:val="24"/>
              </w:rPr>
              <w:t>1</w:t>
            </w:r>
            <w:r>
              <w:rPr>
                <w:rFonts w:hint="eastAsia" w:ascii="宋体" w:hAnsi="宋体"/>
                <w:kern w:val="0"/>
                <w:sz w:val="24"/>
              </w:rPr>
              <w:t>分，最高得5分。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（二）评分依据：</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1.提供</w:t>
            </w:r>
            <w:r>
              <w:rPr>
                <w:rFonts w:hint="eastAsia" w:ascii="宋体" w:hAnsi="宋体"/>
                <w:b/>
                <w:kern w:val="0"/>
                <w:sz w:val="24"/>
              </w:rPr>
              <w:t>有效的</w:t>
            </w:r>
            <w:r>
              <w:rPr>
                <w:rFonts w:hint="eastAsia" w:ascii="宋体" w:hAnsi="宋体"/>
                <w:kern w:val="0"/>
                <w:sz w:val="24"/>
              </w:rPr>
              <w:t>认证证书扫描件及全国认证认可信息公共服务平台（http://cx.cnca.cn/CertECloud/index/index/page）认证信息查询截图（截图需显示证书状态为有效）作为得分依据。（证书如注明年审要求的，必须按规定年审且证书在有效期内的方为有效；证书如未注明年审要求的，必须在有效期内的方为有效。）</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2.评分中出现无证明资料或专家无法凭所提供资料判断是否得分的情况，一律作不得分处理，原件备查。</w:t>
            </w:r>
          </w:p>
        </w:tc>
        <w:tc>
          <w:tcPr>
            <w:tcW w:w="1187" w:type="dxa"/>
            <w:vAlign w:val="center"/>
          </w:tcPr>
          <w:p>
            <w:pPr>
              <w:autoSpaceDE w:val="0"/>
              <w:autoSpaceDN w:val="0"/>
              <w:adjustRightInd w:val="0"/>
              <w:spacing w:line="276" w:lineRule="auto"/>
              <w:jc w:val="center"/>
              <w:rPr>
                <w:rFonts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4" w:type="dxa"/>
            <w:vAlign w:val="center"/>
          </w:tcPr>
          <w:p>
            <w:pPr>
              <w:autoSpaceDE w:val="0"/>
              <w:autoSpaceDN w:val="0"/>
              <w:adjustRightInd w:val="0"/>
              <w:spacing w:line="276" w:lineRule="auto"/>
              <w:jc w:val="center"/>
              <w:rPr>
                <w:rFonts w:ascii="宋体" w:hAnsi="宋体" w:cs="仿宋"/>
                <w:sz w:val="24"/>
                <w:lang w:val="zh-CN"/>
              </w:rPr>
            </w:pPr>
            <w:r>
              <w:rPr>
                <w:rFonts w:hint="eastAsia" w:ascii="宋体" w:hAnsi="宋体" w:cs="仿宋"/>
                <w:sz w:val="24"/>
              </w:rPr>
              <w:t>2</w:t>
            </w:r>
          </w:p>
        </w:tc>
        <w:tc>
          <w:tcPr>
            <w:tcW w:w="1143" w:type="dxa"/>
            <w:vAlign w:val="center"/>
          </w:tcPr>
          <w:p>
            <w:pPr>
              <w:adjustRightInd w:val="0"/>
              <w:snapToGrid w:val="0"/>
              <w:spacing w:line="276" w:lineRule="auto"/>
              <w:jc w:val="center"/>
              <w:rPr>
                <w:rFonts w:ascii="宋体" w:hAnsi="宋体"/>
                <w:snapToGrid w:val="0"/>
                <w:kern w:val="0"/>
                <w:sz w:val="24"/>
              </w:rPr>
            </w:pPr>
            <w:r>
              <w:rPr>
                <w:rFonts w:hint="eastAsia" w:ascii="宋体" w:hAnsi="宋体" w:cs="宋体"/>
                <w:color w:val="000000"/>
                <w:kern w:val="0"/>
                <w:sz w:val="24"/>
              </w:rPr>
              <w:t>同类项目业绩情况</w:t>
            </w:r>
          </w:p>
        </w:tc>
        <w:tc>
          <w:tcPr>
            <w:tcW w:w="709" w:type="dxa"/>
            <w:vAlign w:val="center"/>
          </w:tcPr>
          <w:p>
            <w:pPr>
              <w:adjustRightInd w:val="0"/>
              <w:snapToGrid w:val="0"/>
              <w:spacing w:line="276" w:lineRule="auto"/>
              <w:jc w:val="center"/>
              <w:rPr>
                <w:rFonts w:ascii="宋体" w:hAnsi="宋体"/>
                <w:snapToGrid w:val="0"/>
                <w:kern w:val="0"/>
                <w:sz w:val="24"/>
              </w:rPr>
            </w:pPr>
            <w:r>
              <w:rPr>
                <w:rFonts w:ascii="宋体" w:hAnsi="宋体"/>
                <w:snapToGrid w:val="0"/>
                <w:kern w:val="0"/>
                <w:sz w:val="24"/>
              </w:rPr>
              <w:t>12</w:t>
            </w:r>
          </w:p>
        </w:tc>
        <w:tc>
          <w:tcPr>
            <w:tcW w:w="5953" w:type="dxa"/>
            <w:vAlign w:val="center"/>
          </w:tcPr>
          <w:p>
            <w:pPr>
              <w:autoSpaceDE w:val="0"/>
              <w:autoSpaceDN w:val="0"/>
              <w:adjustRightInd w:val="0"/>
              <w:spacing w:line="276" w:lineRule="auto"/>
              <w:jc w:val="left"/>
              <w:rPr>
                <w:rFonts w:ascii="宋体" w:hAnsi="宋体"/>
                <w:kern w:val="0"/>
                <w:sz w:val="24"/>
              </w:rPr>
            </w:pPr>
            <w:r>
              <w:rPr>
                <w:rFonts w:hint="eastAsia" w:ascii="宋体" w:hAnsi="宋体"/>
                <w:sz w:val="24"/>
              </w:rPr>
              <w:t>（一）评</w:t>
            </w:r>
            <w:r>
              <w:rPr>
                <w:rFonts w:hint="eastAsia" w:ascii="宋体" w:hAnsi="宋体"/>
                <w:kern w:val="0"/>
                <w:sz w:val="24"/>
              </w:rPr>
              <w:t>分内容：</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20</w:t>
            </w:r>
            <w:r>
              <w:rPr>
                <w:rFonts w:ascii="宋体" w:hAnsi="宋体"/>
                <w:kern w:val="0"/>
                <w:sz w:val="24"/>
              </w:rPr>
              <w:t>21</w:t>
            </w:r>
            <w:r>
              <w:rPr>
                <w:rFonts w:hint="eastAsia" w:ascii="宋体" w:hAnsi="宋体"/>
                <w:kern w:val="0"/>
                <w:sz w:val="24"/>
              </w:rPr>
              <w:t>年1月1日至本项目投标截止日（以合同签订日期为准），投标人具有同类项目业绩的，每提供1个项目得2分,最高得</w:t>
            </w:r>
            <w:r>
              <w:rPr>
                <w:rFonts w:ascii="宋体" w:hAnsi="宋体"/>
                <w:kern w:val="0"/>
                <w:sz w:val="24"/>
              </w:rPr>
              <w:t>12</w:t>
            </w:r>
            <w:r>
              <w:rPr>
                <w:rFonts w:hint="eastAsia" w:ascii="宋体" w:hAnsi="宋体"/>
                <w:kern w:val="0"/>
                <w:sz w:val="24"/>
              </w:rPr>
              <w:t>分。同一项目续签合同的不可重复得分。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（二）评分依据：</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投标人必须提供加盖公章的合同关键页（包括合同首页、服务内容页、签字/盖章页、合同签署日期页）的复印件，否则不予认可。</w:t>
            </w:r>
          </w:p>
        </w:tc>
        <w:tc>
          <w:tcPr>
            <w:tcW w:w="1187" w:type="dxa"/>
            <w:vAlign w:val="center"/>
          </w:tcPr>
          <w:p>
            <w:pPr>
              <w:spacing w:line="276" w:lineRule="auto"/>
              <w:jc w:val="center"/>
              <w:rPr>
                <w:rFonts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widowControl/>
              <w:snapToGrid w:val="0"/>
              <w:spacing w:line="276" w:lineRule="auto"/>
              <w:jc w:val="center"/>
              <w:rPr>
                <w:rFonts w:ascii="宋体" w:hAnsi="宋体" w:cs="宋体"/>
                <w:kern w:val="0"/>
                <w:sz w:val="24"/>
              </w:rPr>
            </w:pPr>
            <w:r>
              <w:rPr>
                <w:rFonts w:hint="eastAsia" w:ascii="宋体" w:hAnsi="宋体"/>
                <w:kern w:val="0"/>
                <w:sz w:val="24"/>
              </w:rPr>
              <w:t>3</w:t>
            </w:r>
          </w:p>
        </w:tc>
        <w:tc>
          <w:tcPr>
            <w:tcW w:w="1143" w:type="dxa"/>
            <w:vAlign w:val="center"/>
          </w:tcPr>
          <w:p>
            <w:pPr>
              <w:widowControl/>
              <w:spacing w:line="276" w:lineRule="auto"/>
              <w:jc w:val="center"/>
              <w:rPr>
                <w:rFonts w:ascii="宋体" w:hAnsi="宋体" w:cs="宋体"/>
                <w:sz w:val="24"/>
              </w:rPr>
            </w:pPr>
            <w:r>
              <w:rPr>
                <w:rFonts w:hint="eastAsia" w:ascii="宋体" w:hAnsi="宋体" w:cs="宋体"/>
                <w:color w:val="000000"/>
                <w:kern w:val="0"/>
                <w:sz w:val="24"/>
              </w:rPr>
              <w:t>拟安排的项目负责人情况(仅限1人）</w:t>
            </w:r>
          </w:p>
        </w:tc>
        <w:tc>
          <w:tcPr>
            <w:tcW w:w="709" w:type="dxa"/>
            <w:vAlign w:val="center"/>
          </w:tcPr>
          <w:p>
            <w:pPr>
              <w:widowControl/>
              <w:spacing w:line="276" w:lineRule="auto"/>
              <w:jc w:val="center"/>
              <w:rPr>
                <w:rFonts w:ascii="宋体" w:hAnsi="宋体" w:cs="宋体"/>
                <w:kern w:val="0"/>
                <w:sz w:val="24"/>
              </w:rPr>
            </w:pPr>
            <w:r>
              <w:rPr>
                <w:rFonts w:ascii="宋体" w:hAnsi="宋体" w:cs="宋体"/>
                <w:kern w:val="0"/>
                <w:sz w:val="24"/>
              </w:rPr>
              <w:t>4</w:t>
            </w:r>
          </w:p>
        </w:tc>
        <w:tc>
          <w:tcPr>
            <w:tcW w:w="5953" w:type="dxa"/>
            <w:vAlign w:val="center"/>
          </w:tcPr>
          <w:p>
            <w:pPr>
              <w:spacing w:line="276" w:lineRule="auto"/>
              <w:rPr>
                <w:rFonts w:ascii="宋体" w:hAnsi="宋体"/>
                <w:sz w:val="24"/>
              </w:rPr>
            </w:pPr>
            <w:r>
              <w:rPr>
                <w:rFonts w:hint="eastAsia" w:ascii="宋体" w:hAnsi="宋体"/>
                <w:sz w:val="24"/>
              </w:rPr>
              <w:t>（一）评分内容：</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供应商拟派项目负责人具备以下资质的，每项得2分，最高得4分。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1.高级信息系统项目管理师资质；</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2.PMP资质证书。</w:t>
            </w:r>
          </w:p>
          <w:p>
            <w:pPr>
              <w:autoSpaceDE w:val="0"/>
              <w:autoSpaceDN w:val="0"/>
              <w:adjustRightInd w:val="0"/>
              <w:spacing w:line="276" w:lineRule="auto"/>
              <w:rPr>
                <w:rFonts w:ascii="宋体" w:hAnsi="宋体"/>
                <w:kern w:val="0"/>
                <w:sz w:val="24"/>
              </w:rPr>
            </w:pPr>
            <w:r>
              <w:rPr>
                <w:rFonts w:hint="eastAsia" w:ascii="宋体" w:hAnsi="宋体"/>
                <w:kern w:val="0"/>
                <w:sz w:val="24"/>
              </w:rPr>
              <w:t>（二）评分依据：</w:t>
            </w:r>
          </w:p>
          <w:p>
            <w:pPr>
              <w:spacing w:line="276" w:lineRule="auto"/>
              <w:rPr>
                <w:rFonts w:ascii="宋体" w:hAnsi="宋体"/>
                <w:sz w:val="24"/>
              </w:rPr>
            </w:pPr>
            <w:r>
              <w:rPr>
                <w:rFonts w:hint="eastAsia" w:ascii="宋体" w:hAnsi="宋体"/>
                <w:sz w:val="24"/>
              </w:rPr>
              <w:t>1.提供项目负责人上述职称证书、资格证书，学历证书以及学信网查询记录，对于较早颁发的学历学位证书，学信网无法查询的，还需提供毕业院校或者人社部门或者教育部门出具的证明，否则无效；</w:t>
            </w:r>
          </w:p>
          <w:p>
            <w:pPr>
              <w:spacing w:line="276" w:lineRule="auto"/>
              <w:rPr>
                <w:rFonts w:ascii="宋体" w:hAnsi="宋体"/>
                <w:sz w:val="24"/>
              </w:rPr>
            </w:pPr>
            <w:r>
              <w:rPr>
                <w:rFonts w:hint="eastAsia" w:ascii="宋体" w:hAnsi="宋体"/>
                <w:sz w:val="24"/>
              </w:rPr>
              <w:t>2.提供通过投标单位缴纳的载有社保部门公章的近三个月个人社保证明，如开标日前近一个月的社保证明因社保部门原因暂时无法提供，可往前顺延一个月；</w:t>
            </w:r>
          </w:p>
          <w:p>
            <w:pPr>
              <w:spacing w:line="276" w:lineRule="auto"/>
              <w:rPr>
                <w:rFonts w:ascii="宋体" w:hAnsi="宋体"/>
                <w:sz w:val="24"/>
              </w:rPr>
            </w:pPr>
            <w:r>
              <w:rPr>
                <w:rFonts w:hint="eastAsia" w:ascii="宋体" w:hAnsi="宋体"/>
                <w:sz w:val="24"/>
              </w:rPr>
              <w:t>3.提供工作经验证明（以项目合同关键页作为评分依据，通过合同关键页无法判断是否得分的，还需同时提供合同甲方出具的证明文件）；</w:t>
            </w:r>
          </w:p>
          <w:p>
            <w:pPr>
              <w:spacing w:line="276" w:lineRule="auto"/>
              <w:rPr>
                <w:rFonts w:ascii="宋体" w:hAnsi="宋体"/>
                <w:sz w:val="24"/>
              </w:rPr>
            </w:pPr>
            <w:r>
              <w:rPr>
                <w:rFonts w:hint="eastAsia" w:ascii="宋体" w:hAnsi="宋体"/>
                <w:sz w:val="24"/>
              </w:rPr>
              <w:t>4.以上证明文件均提供复印件或扫描件</w:t>
            </w:r>
            <w:r>
              <w:rPr>
                <w:rFonts w:hint="eastAsia" w:ascii="宋体" w:hAnsi="宋体" w:cs="宋体"/>
                <w:sz w:val="24"/>
              </w:rPr>
              <w:t>（或官方网站截图）</w:t>
            </w:r>
            <w:r>
              <w:rPr>
                <w:rFonts w:hint="eastAsia" w:ascii="宋体" w:hAnsi="宋体"/>
                <w:sz w:val="24"/>
              </w:rPr>
              <w:t>加盖投标人公章，原件备查。未按要求提供有效证明材料或提供不清晰导致评委无法识别的不计得分。</w:t>
            </w:r>
          </w:p>
        </w:tc>
        <w:tc>
          <w:tcPr>
            <w:tcW w:w="1187" w:type="dxa"/>
            <w:vAlign w:val="center"/>
          </w:tcPr>
          <w:p>
            <w:pPr>
              <w:spacing w:line="276" w:lineRule="auto"/>
              <w:jc w:val="center"/>
              <w:rPr>
                <w:rFonts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widowControl/>
              <w:snapToGrid w:val="0"/>
              <w:spacing w:line="276" w:lineRule="auto"/>
              <w:jc w:val="center"/>
              <w:rPr>
                <w:rFonts w:hint="eastAsia" w:ascii="宋体" w:hAnsi="宋体"/>
                <w:kern w:val="0"/>
                <w:sz w:val="24"/>
              </w:rPr>
            </w:pPr>
            <w:r>
              <w:rPr>
                <w:rFonts w:hint="eastAsia" w:ascii="宋体" w:hAnsi="宋体"/>
                <w:kern w:val="0"/>
                <w:sz w:val="24"/>
              </w:rPr>
              <w:t>4</w:t>
            </w:r>
          </w:p>
        </w:tc>
        <w:tc>
          <w:tcPr>
            <w:tcW w:w="1143" w:type="dxa"/>
            <w:vAlign w:val="center"/>
          </w:tcPr>
          <w:p>
            <w:pPr>
              <w:widowControl/>
              <w:spacing w:line="276" w:lineRule="auto"/>
              <w:jc w:val="center"/>
              <w:rPr>
                <w:rFonts w:ascii="宋体" w:hAnsi="宋体" w:cs="宋体"/>
                <w:sz w:val="24"/>
              </w:rPr>
            </w:pPr>
            <w:r>
              <w:rPr>
                <w:rFonts w:hint="eastAsia" w:ascii="宋体" w:hAnsi="宋体" w:cs="宋体"/>
                <w:sz w:val="24"/>
              </w:rPr>
              <w:t>拟安排的项目团队成员（项目负责人除外）情况</w:t>
            </w:r>
          </w:p>
        </w:tc>
        <w:tc>
          <w:tcPr>
            <w:tcW w:w="709" w:type="dxa"/>
            <w:vAlign w:val="center"/>
          </w:tcPr>
          <w:p>
            <w:pPr>
              <w:widowControl/>
              <w:spacing w:line="276" w:lineRule="auto"/>
              <w:jc w:val="center"/>
              <w:rPr>
                <w:rFonts w:ascii="宋体" w:hAnsi="宋体" w:cs="宋体"/>
                <w:kern w:val="0"/>
                <w:sz w:val="24"/>
              </w:rPr>
            </w:pPr>
            <w:r>
              <w:rPr>
                <w:rFonts w:ascii="宋体" w:hAnsi="宋体" w:cs="宋体"/>
                <w:kern w:val="0"/>
                <w:sz w:val="24"/>
              </w:rPr>
              <w:t>4</w:t>
            </w:r>
          </w:p>
        </w:tc>
        <w:tc>
          <w:tcPr>
            <w:tcW w:w="5953" w:type="dxa"/>
            <w:vAlign w:val="center"/>
          </w:tcPr>
          <w:p>
            <w:pPr>
              <w:spacing w:line="276" w:lineRule="auto"/>
              <w:rPr>
                <w:rFonts w:ascii="宋体" w:hAnsi="宋体"/>
                <w:sz w:val="24"/>
              </w:rPr>
            </w:pPr>
            <w:r>
              <w:rPr>
                <w:rFonts w:hint="eastAsia" w:ascii="宋体" w:hAnsi="宋体"/>
                <w:sz w:val="24"/>
              </w:rPr>
              <w:t>（一）评分内容：</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除拟派项目负责人外，供应商拟派的项目团队成员：</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1.具有高级系统架构设计师证书，得1分；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2.具有信息系统项目管理师（高级）证书，得1分；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3.具有ITIL运维认证证书，得1分；</w:t>
            </w:r>
          </w:p>
          <w:p>
            <w:pPr>
              <w:autoSpaceDE w:val="0"/>
              <w:autoSpaceDN w:val="0"/>
              <w:adjustRightInd w:val="0"/>
              <w:spacing w:line="276" w:lineRule="auto"/>
              <w:jc w:val="left"/>
              <w:rPr>
                <w:rFonts w:hint="eastAsia" w:ascii="宋体" w:hAnsi="宋体"/>
                <w:kern w:val="0"/>
                <w:sz w:val="24"/>
              </w:rPr>
            </w:pPr>
            <w:r>
              <w:rPr>
                <w:rFonts w:hint="eastAsia" w:ascii="宋体" w:hAnsi="宋体"/>
                <w:kern w:val="0"/>
                <w:sz w:val="24"/>
              </w:rPr>
              <w:t>4.具有软件设计师证书，得1分。</w:t>
            </w:r>
          </w:p>
          <w:p>
            <w:pPr>
              <w:spacing w:line="276" w:lineRule="auto"/>
              <w:rPr>
                <w:rFonts w:ascii="宋体" w:hAnsi="宋体"/>
                <w:sz w:val="24"/>
              </w:rPr>
            </w:pPr>
            <w:r>
              <w:rPr>
                <w:rFonts w:ascii="宋体" w:hAnsi="宋体"/>
                <w:sz w:val="24"/>
              </w:rPr>
              <w:t>注：同一人</w:t>
            </w:r>
            <w:r>
              <w:rPr>
                <w:rFonts w:hint="eastAsia" w:ascii="宋体" w:hAnsi="宋体"/>
                <w:sz w:val="24"/>
              </w:rPr>
              <w:t>员</w:t>
            </w:r>
            <w:r>
              <w:rPr>
                <w:rFonts w:ascii="宋体" w:hAnsi="宋体"/>
                <w:sz w:val="24"/>
              </w:rPr>
              <w:t>不可累计得分，如同一人</w:t>
            </w:r>
            <w:r>
              <w:rPr>
                <w:rFonts w:hint="eastAsia" w:ascii="宋体" w:hAnsi="宋体"/>
                <w:sz w:val="24"/>
              </w:rPr>
              <w:t>员</w:t>
            </w:r>
            <w:r>
              <w:rPr>
                <w:rFonts w:ascii="宋体" w:hAnsi="宋体"/>
                <w:sz w:val="24"/>
              </w:rPr>
              <w:t>具有上述多个证书的，按得分最优情况计分。</w:t>
            </w:r>
          </w:p>
          <w:p>
            <w:pPr>
              <w:autoSpaceDE w:val="0"/>
              <w:autoSpaceDN w:val="0"/>
              <w:adjustRightInd w:val="0"/>
              <w:spacing w:line="276" w:lineRule="auto"/>
              <w:jc w:val="left"/>
              <w:rPr>
                <w:rFonts w:ascii="宋体" w:hAnsi="宋体"/>
                <w:kern w:val="0"/>
                <w:sz w:val="24"/>
              </w:rPr>
            </w:pPr>
            <w:r>
              <w:rPr>
                <w:rFonts w:hint="eastAsia" w:ascii="宋体" w:hAnsi="宋体"/>
                <w:kern w:val="0"/>
                <w:sz w:val="24"/>
              </w:rPr>
              <w:t>（二）评分依据：</w:t>
            </w:r>
          </w:p>
          <w:p>
            <w:pPr>
              <w:spacing w:line="276" w:lineRule="auto"/>
              <w:rPr>
                <w:rFonts w:ascii="宋体" w:hAnsi="宋体"/>
                <w:sz w:val="24"/>
              </w:rPr>
            </w:pPr>
            <w:r>
              <w:rPr>
                <w:rFonts w:hint="eastAsia" w:ascii="宋体" w:hAnsi="宋体"/>
                <w:sz w:val="24"/>
              </w:rPr>
              <w:t>1.提供项目团队成员上述职称证书、资格证书，学历证书以及学信网查询记录，对于较早颁发的学历学位证书，学信网无法查询的，还需提供毕业院校或者人社部门或者教育部门出具的证明，否则无效；</w:t>
            </w:r>
          </w:p>
          <w:p>
            <w:pPr>
              <w:spacing w:line="276" w:lineRule="auto"/>
              <w:rPr>
                <w:rFonts w:ascii="宋体" w:hAnsi="宋体"/>
                <w:sz w:val="24"/>
              </w:rPr>
            </w:pPr>
            <w:r>
              <w:rPr>
                <w:rFonts w:hint="eastAsia" w:ascii="宋体" w:hAnsi="宋体"/>
                <w:sz w:val="24"/>
              </w:rPr>
              <w:t>2.提供通过投标单位缴纳的载有社保部门公章的近三个月个人社保证明，如开标日前近一个月的社保证明因社保部门原因暂时无法提供，可往前顺延一个月；</w:t>
            </w:r>
          </w:p>
          <w:p>
            <w:pPr>
              <w:spacing w:line="276" w:lineRule="auto"/>
              <w:rPr>
                <w:rFonts w:ascii="宋体" w:hAnsi="宋体"/>
                <w:sz w:val="24"/>
              </w:rPr>
            </w:pPr>
            <w:r>
              <w:rPr>
                <w:rFonts w:hint="eastAsia" w:ascii="宋体" w:hAnsi="宋体"/>
                <w:sz w:val="24"/>
              </w:rPr>
              <w:t>3.提供工作经验证明（以项目合同关键页作为评分依据，通过合同关键页无法判断是否得分的，还需同时提供合同甲方出具的证明文件）；</w:t>
            </w:r>
          </w:p>
          <w:p>
            <w:pPr>
              <w:spacing w:line="276" w:lineRule="auto"/>
              <w:rPr>
                <w:rFonts w:ascii="宋体" w:hAnsi="宋体"/>
                <w:sz w:val="24"/>
              </w:rPr>
            </w:pPr>
            <w:r>
              <w:rPr>
                <w:rFonts w:hint="eastAsia" w:ascii="宋体" w:hAnsi="宋体"/>
                <w:sz w:val="24"/>
              </w:rPr>
              <w:t>4.以上证明文件均提供复印件或扫描件</w:t>
            </w:r>
            <w:r>
              <w:rPr>
                <w:rFonts w:hint="eastAsia" w:ascii="宋体" w:hAnsi="宋体" w:cs="宋体"/>
                <w:sz w:val="24"/>
              </w:rPr>
              <w:t>（或官方网站截图）</w:t>
            </w:r>
            <w:r>
              <w:rPr>
                <w:rFonts w:hint="eastAsia" w:ascii="宋体" w:hAnsi="宋体"/>
                <w:sz w:val="24"/>
              </w:rPr>
              <w:t>加盖投标人公章，原件备查。未按要求提供有效证明材料或提供不清晰导致评委无法识别的不计得分。</w:t>
            </w:r>
          </w:p>
        </w:tc>
        <w:tc>
          <w:tcPr>
            <w:tcW w:w="1187" w:type="dxa"/>
            <w:vAlign w:val="center"/>
          </w:tcPr>
          <w:p>
            <w:pPr>
              <w:spacing w:line="276" w:lineRule="auto"/>
              <w:jc w:val="center"/>
              <w:rPr>
                <w:rFonts w:ascii="宋体" w:hAnsi="宋体" w:cs="仿宋"/>
                <w:sz w:val="24"/>
                <w:lang w:val="zh-CN"/>
              </w:rPr>
            </w:pPr>
            <w:r>
              <w:rPr>
                <w:rFonts w:hint="eastAsia" w:ascii="宋体" w:hAnsi="宋体" w:cs="仿宋"/>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jc w:val="center"/>
        </w:trPr>
        <w:tc>
          <w:tcPr>
            <w:tcW w:w="754" w:type="dxa"/>
            <w:vAlign w:val="center"/>
          </w:tcPr>
          <w:p>
            <w:pPr>
              <w:autoSpaceDE w:val="0"/>
              <w:autoSpaceDN w:val="0"/>
              <w:adjustRightInd w:val="0"/>
              <w:spacing w:line="276" w:lineRule="auto"/>
              <w:jc w:val="center"/>
              <w:rPr>
                <w:rFonts w:ascii="宋体" w:hAnsi="宋体" w:cs="仿宋"/>
                <w:sz w:val="24"/>
                <w:lang w:val="zh-CN"/>
              </w:rPr>
            </w:pPr>
            <w:r>
              <w:rPr>
                <w:rFonts w:ascii="宋体" w:hAnsi="宋体" w:cs="仿宋"/>
                <w:sz w:val="24"/>
              </w:rPr>
              <w:t>5</w:t>
            </w:r>
          </w:p>
        </w:tc>
        <w:tc>
          <w:tcPr>
            <w:tcW w:w="1143" w:type="dxa"/>
            <w:vAlign w:val="center"/>
          </w:tcPr>
          <w:p>
            <w:pPr>
              <w:spacing w:line="276" w:lineRule="auto"/>
              <w:jc w:val="center"/>
              <w:rPr>
                <w:rFonts w:ascii="宋体" w:hAnsi="宋体" w:cs="仿宋"/>
                <w:sz w:val="24"/>
              </w:rPr>
            </w:pPr>
            <w:r>
              <w:rPr>
                <w:rFonts w:hint="eastAsia" w:ascii="宋体" w:hAnsi="宋体" w:cs="仿宋"/>
                <w:sz w:val="24"/>
              </w:rPr>
              <w:t>诚信评审</w:t>
            </w:r>
          </w:p>
        </w:tc>
        <w:tc>
          <w:tcPr>
            <w:tcW w:w="709" w:type="dxa"/>
            <w:vAlign w:val="center"/>
          </w:tcPr>
          <w:p>
            <w:pPr>
              <w:spacing w:line="276" w:lineRule="auto"/>
              <w:jc w:val="center"/>
              <w:rPr>
                <w:rFonts w:ascii="宋体" w:hAnsi="宋体" w:cs="仿宋"/>
                <w:sz w:val="24"/>
              </w:rPr>
            </w:pPr>
            <w:r>
              <w:rPr>
                <w:rFonts w:hint="eastAsia" w:ascii="宋体" w:hAnsi="宋体" w:cs="仿宋"/>
                <w:sz w:val="24"/>
              </w:rPr>
              <w:t>5</w:t>
            </w:r>
          </w:p>
        </w:tc>
        <w:tc>
          <w:tcPr>
            <w:tcW w:w="5953" w:type="dxa"/>
            <w:vAlign w:val="center"/>
          </w:tcPr>
          <w:p>
            <w:pPr>
              <w:autoSpaceDE w:val="0"/>
              <w:autoSpaceDN w:val="0"/>
              <w:adjustRightInd w:val="0"/>
              <w:spacing w:line="276" w:lineRule="auto"/>
              <w:jc w:val="left"/>
              <w:rPr>
                <w:rFonts w:ascii="宋体" w:hAnsi="宋体" w:cs="仿宋"/>
                <w:sz w:val="24"/>
              </w:rPr>
            </w:pPr>
            <w:r>
              <w:rPr>
                <w:rFonts w:hint="eastAsia" w:ascii="宋体" w:hAnsi="宋体"/>
                <w:kern w:val="0"/>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w:t>
            </w:r>
            <w:r>
              <w:rPr>
                <w:rFonts w:hint="eastAsia" w:ascii="宋体" w:hAnsi="宋体"/>
                <w:sz w:val="24"/>
              </w:rPr>
              <w:t>法失信行为记录信息，且在公示期内的，本项不得分，否则得5分。(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276" w:lineRule="auto"/>
              <w:jc w:val="center"/>
              <w:rPr>
                <w:rFonts w:ascii="宋体" w:hAnsi="宋体" w:cs="仿宋"/>
                <w:sz w:val="24"/>
                <w:lang w:val="zh-CN"/>
              </w:rPr>
            </w:pPr>
            <w:r>
              <w:rPr>
                <w:rFonts w:hint="eastAsia" w:ascii="宋体" w:hAnsi="宋体" w:cs="仿宋"/>
                <w:sz w:val="24"/>
                <w:lang w:val="zh-CN"/>
              </w:rPr>
              <w:t>专家打分</w:t>
            </w:r>
          </w:p>
        </w:tc>
      </w:tr>
    </w:tbl>
    <w:p>
      <w:pPr>
        <w:spacing w:line="360" w:lineRule="auto"/>
        <w:jc w:val="left"/>
        <w:rPr>
          <w:rFonts w:hint="eastAsia" w:ascii="宋体" w:hAnsi="宋体"/>
          <w:sz w:val="24"/>
        </w:rPr>
      </w:pPr>
    </w:p>
    <w:p>
      <w:pPr>
        <w:spacing w:line="360" w:lineRule="auto"/>
        <w:ind w:firstLine="480" w:firstLineChars="200"/>
        <w:jc w:val="left"/>
        <w:rPr>
          <w:rFonts w:hint="eastAsia" w:ascii="宋体" w:hAnsi="宋体"/>
          <w:sz w:val="24"/>
        </w:rPr>
        <w:sectPr>
          <w:pgSz w:w="11906" w:h="16838"/>
          <w:pgMar w:top="1418" w:right="1474" w:bottom="1418" w:left="1474" w:header="851" w:footer="992" w:gutter="0"/>
          <w:cols w:space="425" w:num="1"/>
          <w:docGrid w:type="lines" w:linePitch="312" w:charSpace="0"/>
        </w:sectPr>
      </w:pPr>
    </w:p>
    <w:p>
      <w:pPr>
        <w:pStyle w:val="2"/>
      </w:pPr>
      <w:r>
        <w:rPr>
          <w:rFonts w:hint="eastAsia"/>
        </w:rPr>
        <w:t>第三章  投标人须知</w:t>
      </w:r>
      <w:bookmarkEnd w:id="8"/>
      <w:bookmarkEnd w:id="9"/>
    </w:p>
    <w:p>
      <w:pPr>
        <w:pStyle w:val="5"/>
        <w:ind w:firstLine="482"/>
      </w:pPr>
      <w:bookmarkStart w:id="14" w:name="_Toc55548492"/>
      <w:r>
        <w:t>一、说明</w:t>
      </w:r>
      <w:bookmarkEnd w:id="14"/>
    </w:p>
    <w:p>
      <w:pPr>
        <w:pStyle w:val="4"/>
        <w:spacing w:line="360" w:lineRule="auto"/>
        <w:ind w:firstLine="482"/>
      </w:pPr>
      <w:bookmarkStart w:id="15" w:name="_Toc18091"/>
      <w:bookmarkStart w:id="16" w:name="_Toc55548493"/>
      <w:r>
        <w:t>招标人及资金来源</w:t>
      </w:r>
      <w:bookmarkEnd w:id="15"/>
      <w:bookmarkEnd w:id="16"/>
    </w:p>
    <w:p>
      <w:pPr>
        <w:spacing w:line="360" w:lineRule="auto"/>
        <w:ind w:firstLine="420" w:firstLineChars="200"/>
        <w:rPr>
          <w:rFonts w:hint="eastAsia" w:asciiTheme="minorEastAsia" w:hAnsiTheme="minorEastAsia"/>
          <w:szCs w:val="21"/>
        </w:rPr>
      </w:pPr>
      <w:bookmarkStart w:id="17"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7"/>
    </w:p>
    <w:p>
      <w:pPr>
        <w:pStyle w:val="4"/>
        <w:spacing w:line="360" w:lineRule="auto"/>
        <w:ind w:firstLine="482"/>
      </w:pPr>
      <w:bookmarkStart w:id="18" w:name="_Toc55548494"/>
      <w:bookmarkStart w:id="19" w:name="_Toc29370"/>
      <w:r>
        <w:t>合格的投标人</w:t>
      </w:r>
      <w:bookmarkEnd w:id="18"/>
      <w:bookmarkEnd w:id="19"/>
    </w:p>
    <w:p>
      <w:pPr>
        <w:spacing w:line="360" w:lineRule="auto"/>
        <w:ind w:firstLine="420" w:firstLineChars="200"/>
        <w:rPr>
          <w:rFonts w:hint="eastAsia" w:asciiTheme="minorEastAsia" w:hAnsiTheme="minorEastAsia"/>
          <w:szCs w:val="21"/>
        </w:rPr>
      </w:pPr>
      <w:bookmarkStart w:id="20" w:name="_Ref179620057"/>
      <w:r>
        <w:rPr>
          <w:rFonts w:asciiTheme="minorEastAsia" w:hAnsiTheme="minorEastAsia"/>
          <w:szCs w:val="21"/>
        </w:rPr>
        <w:t>合格的投标人</w:t>
      </w:r>
      <w:bookmarkEnd w:id="20"/>
    </w:p>
    <w:p>
      <w:pPr>
        <w:spacing w:line="360" w:lineRule="auto"/>
        <w:ind w:firstLine="420" w:firstLineChars="200"/>
        <w:rPr>
          <w:rFonts w:hint="eastAsia"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21" w:name="_Toc12412"/>
      <w:bookmarkStart w:id="22" w:name="_Toc55548495"/>
      <w:r>
        <w:t>合格的货物和服务</w:t>
      </w:r>
      <w:bookmarkEnd w:id="21"/>
      <w:bookmarkEnd w:id="22"/>
    </w:p>
    <w:p>
      <w:pPr>
        <w:spacing w:line="360" w:lineRule="auto"/>
        <w:ind w:firstLine="420" w:firstLineChars="200"/>
        <w:rPr>
          <w:rFonts w:hint="eastAsia"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hint="eastAsia"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hint="eastAsia"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3" w:name="_Toc55548496"/>
      <w:bookmarkStart w:id="24" w:name="_Toc25686"/>
      <w:r>
        <w:t>投标费用</w:t>
      </w:r>
      <w:bookmarkEnd w:id="23"/>
      <w:bookmarkEnd w:id="24"/>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5" w:name="_Toc10390"/>
      <w:bookmarkStart w:id="26" w:name="_Toc55548497"/>
      <w:r>
        <w:t>踏勘现场</w:t>
      </w:r>
      <w:bookmarkEnd w:id="25"/>
      <w:bookmarkEnd w:id="26"/>
    </w:p>
    <w:p>
      <w:pPr>
        <w:spacing w:line="360" w:lineRule="auto"/>
        <w:ind w:firstLine="420" w:firstLineChars="200"/>
        <w:rPr>
          <w:rFonts w:hint="eastAsia" w:asciiTheme="minorEastAsia" w:hAnsiTheme="minorEastAsia"/>
          <w:szCs w:val="21"/>
        </w:rPr>
      </w:pPr>
      <w:bookmarkStart w:id="27"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7"/>
    </w:p>
    <w:p>
      <w:pPr>
        <w:spacing w:line="360" w:lineRule="auto"/>
        <w:ind w:firstLine="420" w:firstLineChars="200"/>
        <w:rPr>
          <w:rFonts w:hint="eastAsia"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8" w:name="_Toc1751"/>
      <w:bookmarkStart w:id="29" w:name="_Toc6043"/>
      <w:bookmarkStart w:id="30" w:name="_Toc55548498"/>
      <w:r>
        <w:t>二、竞价文件</w:t>
      </w:r>
      <w:bookmarkEnd w:id="28"/>
      <w:bookmarkEnd w:id="29"/>
      <w:bookmarkEnd w:id="30"/>
    </w:p>
    <w:p>
      <w:pPr>
        <w:pStyle w:val="4"/>
        <w:spacing w:line="360" w:lineRule="auto"/>
        <w:ind w:firstLine="482"/>
      </w:pPr>
      <w:bookmarkStart w:id="31" w:name="_Toc19397"/>
      <w:bookmarkStart w:id="32" w:name="_Toc55548499"/>
      <w:r>
        <w:t>竞价文件的构成</w:t>
      </w:r>
      <w:bookmarkEnd w:id="31"/>
      <w:bookmarkEnd w:id="32"/>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3" w:name="_Toc31711"/>
      <w:bookmarkStart w:id="34" w:name="_Toc55548500"/>
      <w:r>
        <w:t>竞价文件的澄清</w:t>
      </w:r>
      <w:bookmarkEnd w:id="33"/>
      <w:bookmarkEnd w:id="34"/>
    </w:p>
    <w:p>
      <w:pPr>
        <w:spacing w:line="360" w:lineRule="auto"/>
        <w:ind w:firstLine="420" w:firstLineChars="200"/>
        <w:rPr>
          <w:rFonts w:hint="eastAsia"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5" w:name="_Toc55548501"/>
      <w:bookmarkStart w:id="36" w:name="_Ref179619612"/>
      <w:bookmarkStart w:id="37" w:name="_Toc21781"/>
      <w:r>
        <w:t>竞价文件的修改</w:t>
      </w:r>
      <w:bookmarkEnd w:id="35"/>
      <w:bookmarkEnd w:id="36"/>
      <w:bookmarkEnd w:id="37"/>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hint="eastAsia" w:asciiTheme="minorEastAsia" w:hAnsiTheme="minorEastAsia"/>
          <w:szCs w:val="21"/>
        </w:rPr>
      </w:pPr>
      <w:bookmarkStart w:id="38"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8"/>
    </w:p>
    <w:p>
      <w:pPr>
        <w:spacing w:line="360" w:lineRule="auto"/>
        <w:ind w:firstLine="420" w:firstLineChars="200"/>
        <w:rPr>
          <w:rFonts w:hint="eastAsia"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9" w:name="_Toc55548502"/>
      <w:bookmarkStart w:id="40" w:name="_Toc6740"/>
      <w:bookmarkStart w:id="41" w:name="_Toc20164"/>
      <w:r>
        <w:t>三、响应文件的编制</w:t>
      </w:r>
      <w:bookmarkEnd w:id="39"/>
      <w:bookmarkEnd w:id="40"/>
      <w:bookmarkEnd w:id="41"/>
    </w:p>
    <w:p>
      <w:pPr>
        <w:pStyle w:val="4"/>
        <w:spacing w:line="360" w:lineRule="auto"/>
        <w:ind w:firstLine="482"/>
      </w:pPr>
      <w:bookmarkStart w:id="42" w:name="_Toc28578"/>
      <w:bookmarkStart w:id="43" w:name="_Toc55548503"/>
      <w:r>
        <w:t>投标的语言</w:t>
      </w:r>
      <w:bookmarkEnd w:id="42"/>
      <w:bookmarkEnd w:id="43"/>
    </w:p>
    <w:p>
      <w:pPr>
        <w:spacing w:line="360" w:lineRule="auto"/>
        <w:ind w:firstLine="420" w:firstLineChars="200"/>
        <w:rPr>
          <w:rFonts w:hint="eastAsia" w:asciiTheme="minorEastAsia" w:hAnsiTheme="minorEastAsia"/>
          <w:szCs w:val="21"/>
        </w:rPr>
      </w:pPr>
      <w:bookmarkStart w:id="44"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4"/>
    </w:p>
    <w:p>
      <w:pPr>
        <w:pStyle w:val="4"/>
        <w:spacing w:line="360" w:lineRule="auto"/>
        <w:ind w:firstLine="482"/>
      </w:pPr>
      <w:bookmarkStart w:id="45" w:name="_Toc55548504"/>
      <w:bookmarkStart w:id="46" w:name="_Toc31114"/>
      <w:r>
        <w:t>投标范围及响应文件中计量单位的使用</w:t>
      </w:r>
      <w:bookmarkEnd w:id="45"/>
      <w:bookmarkEnd w:id="46"/>
    </w:p>
    <w:p>
      <w:pPr>
        <w:spacing w:line="360" w:lineRule="auto"/>
        <w:ind w:firstLine="420" w:firstLineChars="200"/>
        <w:rPr>
          <w:rFonts w:hint="eastAsia"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hint="eastAsia"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7" w:name="_Toc55548505"/>
      <w:bookmarkStart w:id="48" w:name="_Toc4999"/>
      <w:r>
        <w:t>响应文件的构成</w:t>
      </w:r>
      <w:bookmarkEnd w:id="47"/>
      <w:bookmarkEnd w:id="48"/>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9" w:name="_Toc55548507"/>
      <w:bookmarkStart w:id="50" w:name="_Toc12177"/>
      <w:r>
        <w:t>响应文件的编写</w:t>
      </w:r>
      <w:bookmarkEnd w:id="49"/>
      <w:bookmarkEnd w:id="50"/>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51" w:name="_Toc55548508"/>
      <w:bookmarkStart w:id="52" w:name="_Toc26930"/>
      <w:r>
        <w:t>投标报价</w:t>
      </w:r>
      <w:bookmarkEnd w:id="51"/>
      <w:bookmarkEnd w:id="52"/>
    </w:p>
    <w:p>
      <w:pPr>
        <w:spacing w:line="360" w:lineRule="auto"/>
        <w:ind w:firstLine="420" w:firstLineChars="200"/>
        <w:rPr>
          <w:rFonts w:hint="eastAsia"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hint="eastAsia" w:asciiTheme="minorEastAsia" w:hAnsiTheme="minorEastAsia"/>
          <w:szCs w:val="21"/>
        </w:rPr>
      </w:pPr>
      <w:bookmarkStart w:id="53"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3"/>
    </w:p>
    <w:p>
      <w:pPr>
        <w:spacing w:line="360" w:lineRule="auto"/>
        <w:ind w:firstLine="420" w:firstLineChars="200"/>
        <w:rPr>
          <w:rFonts w:hint="eastAsia" w:asciiTheme="minorEastAsia" w:hAnsiTheme="minorEastAsia"/>
          <w:szCs w:val="21"/>
        </w:rPr>
      </w:pPr>
      <w:bookmarkStart w:id="54"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4"/>
    </w:p>
    <w:p>
      <w:pPr>
        <w:spacing w:line="360" w:lineRule="auto"/>
        <w:ind w:firstLine="420" w:firstLineChars="200"/>
        <w:rPr>
          <w:rFonts w:hint="eastAsia"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hint="eastAsia"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hint="eastAsia"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hint="eastAsia" w:asciiTheme="minorEastAsia" w:hAnsiTheme="minorEastAsia"/>
          <w:szCs w:val="21"/>
        </w:rPr>
      </w:pPr>
      <w:bookmarkStart w:id="55" w:name="_Ref179620755"/>
      <w:r>
        <w:rPr>
          <w:rFonts w:asciiTheme="minorEastAsia" w:hAnsiTheme="minorEastAsia"/>
          <w:szCs w:val="21"/>
        </w:rPr>
        <w:t>其他伴随服务的费用(如有)。</w:t>
      </w:r>
      <w:bookmarkEnd w:id="55"/>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6" w:name="_Toc11635"/>
      <w:bookmarkStart w:id="57" w:name="_Toc55548509"/>
      <w:r>
        <w:t>证明投标人合格和资格的文件</w:t>
      </w:r>
      <w:bookmarkEnd w:id="56"/>
      <w:bookmarkEnd w:id="57"/>
      <w:r>
        <w:t xml:space="preserve">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hint="eastAsia" w:asciiTheme="minorEastAsia" w:hAnsiTheme="minorEastAsia"/>
          <w:szCs w:val="21"/>
        </w:rPr>
      </w:pPr>
      <w:bookmarkStart w:id="58" w:name="_Ref179620846"/>
      <w:r>
        <w:rPr>
          <w:rFonts w:asciiTheme="minorEastAsia" w:hAnsiTheme="minorEastAsia"/>
          <w:szCs w:val="21"/>
        </w:rPr>
        <w:t>投标资料表要求的其它资格证明文件。</w:t>
      </w:r>
      <w:bookmarkEnd w:id="58"/>
    </w:p>
    <w:p>
      <w:pPr>
        <w:pStyle w:val="4"/>
        <w:spacing w:line="360" w:lineRule="auto"/>
        <w:ind w:firstLine="482"/>
      </w:pPr>
      <w:bookmarkStart w:id="59" w:name="_Toc28857"/>
      <w:bookmarkStart w:id="60" w:name="_Toc55548510"/>
      <w:r>
        <w:t>证明货物的合格性和符合竞价文件规定的文件</w:t>
      </w:r>
      <w:bookmarkEnd w:id="59"/>
      <w:bookmarkEnd w:id="60"/>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hint="eastAsia"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hint="eastAsia"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61" w:name="_Toc1901"/>
      <w:bookmarkStart w:id="62" w:name="_Toc55548511"/>
      <w:r>
        <w:t>投标有效期</w:t>
      </w:r>
      <w:bookmarkEnd w:id="61"/>
      <w:bookmarkEnd w:id="62"/>
    </w:p>
    <w:p>
      <w:pPr>
        <w:spacing w:line="360" w:lineRule="auto"/>
        <w:ind w:firstLine="420" w:firstLineChars="200"/>
        <w:rPr>
          <w:rFonts w:hint="eastAsia" w:asciiTheme="minorEastAsia" w:hAnsiTheme="minorEastAsia"/>
          <w:szCs w:val="21"/>
        </w:rPr>
      </w:pPr>
      <w:bookmarkStart w:id="63" w:name="_Ref179620893"/>
      <w:r>
        <w:rPr>
          <w:rFonts w:asciiTheme="minorEastAsia" w:hAnsiTheme="minorEastAsia"/>
          <w:szCs w:val="21"/>
        </w:rPr>
        <w:t>投标有效期不足的投标将被视为非实质性响应，并予以拒绝。</w:t>
      </w:r>
      <w:bookmarkEnd w:id="63"/>
    </w:p>
    <w:p>
      <w:pPr>
        <w:spacing w:line="360" w:lineRule="auto"/>
        <w:ind w:firstLine="420" w:firstLineChars="200"/>
        <w:rPr>
          <w:rFonts w:hint="eastAsia"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4" w:name="_Toc55548512"/>
      <w:bookmarkStart w:id="65" w:name="_Toc28446"/>
      <w:r>
        <w:t>响应文件的式样和签署</w:t>
      </w:r>
      <w:bookmarkEnd w:id="64"/>
      <w:bookmarkEnd w:id="65"/>
    </w:p>
    <w:p>
      <w:pPr>
        <w:spacing w:line="360" w:lineRule="auto"/>
        <w:ind w:firstLine="420" w:firstLineChars="200"/>
        <w:rPr>
          <w:rFonts w:hint="eastAsia" w:asciiTheme="minorEastAsia" w:hAnsiTheme="minorEastAsia"/>
          <w:szCs w:val="21"/>
          <w:highlight w:val="yellow"/>
        </w:rPr>
      </w:pPr>
      <w:bookmarkStart w:id="66"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6"/>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7" w:name="_Toc9436"/>
      <w:bookmarkStart w:id="68" w:name="_Toc26845"/>
      <w:bookmarkStart w:id="69" w:name="_Toc55548513"/>
      <w:r>
        <w:t>四、响应文件的递交</w:t>
      </w:r>
      <w:bookmarkEnd w:id="67"/>
      <w:bookmarkEnd w:id="68"/>
      <w:bookmarkEnd w:id="69"/>
    </w:p>
    <w:p>
      <w:pPr>
        <w:pStyle w:val="4"/>
        <w:spacing w:line="360" w:lineRule="auto"/>
        <w:ind w:firstLine="482"/>
      </w:pPr>
      <w:bookmarkStart w:id="70" w:name="_Toc55548514"/>
      <w:bookmarkStart w:id="71" w:name="_Toc6626"/>
      <w:r>
        <w:t>响应文件的密封和标记</w:t>
      </w:r>
      <w:bookmarkEnd w:id="70"/>
      <w:bookmarkEnd w:id="71"/>
    </w:p>
    <w:p>
      <w:pPr>
        <w:spacing w:line="360" w:lineRule="auto"/>
        <w:ind w:firstLine="420" w:firstLineChars="200"/>
        <w:rPr>
          <w:rFonts w:hint="eastAsia" w:asciiTheme="minorEastAsia" w:hAnsiTheme="minorEastAsia"/>
          <w:szCs w:val="21"/>
          <w:highlight w:val="yellow"/>
        </w:rPr>
      </w:pPr>
      <w:bookmarkStart w:id="72"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2"/>
      <w:r>
        <w:rPr>
          <w:rFonts w:asciiTheme="minorEastAsia" w:hAnsiTheme="minorEastAsia"/>
          <w:szCs w:val="21"/>
          <w:highlight w:val="yellow"/>
        </w:rPr>
        <w:t xml:space="preserve"> </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3" w:name="_Toc55548515"/>
      <w:bookmarkStart w:id="74" w:name="_Toc8701"/>
      <w:r>
        <w:t>投标样品</w:t>
      </w:r>
      <w:bookmarkEnd w:id="73"/>
      <w:bookmarkEnd w:id="74"/>
    </w:p>
    <w:p>
      <w:pPr>
        <w:spacing w:line="360" w:lineRule="auto"/>
        <w:ind w:firstLine="420" w:firstLineChars="200"/>
        <w:rPr>
          <w:rFonts w:hint="eastAsia"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hint="eastAsia"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hint="eastAsia"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5" w:name="_Ref179619638"/>
      <w:bookmarkStart w:id="76" w:name="_Toc5724"/>
      <w:bookmarkStart w:id="77" w:name="_Toc55548516"/>
      <w:r>
        <w:t>投标截止期</w:t>
      </w:r>
      <w:bookmarkEnd w:id="75"/>
      <w:bookmarkEnd w:id="76"/>
      <w:bookmarkEnd w:id="77"/>
    </w:p>
    <w:p>
      <w:pPr>
        <w:spacing w:line="360" w:lineRule="auto"/>
        <w:ind w:firstLine="420" w:firstLineChars="200"/>
        <w:rPr>
          <w:rFonts w:hint="eastAsia" w:asciiTheme="minorEastAsia" w:hAnsiTheme="minorEastAsia"/>
          <w:szCs w:val="21"/>
        </w:rPr>
      </w:pPr>
      <w:bookmarkStart w:id="78"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8"/>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9" w:name="_Toc55548517"/>
      <w:bookmarkStart w:id="80" w:name="_Ref179619679"/>
      <w:bookmarkStart w:id="81" w:name="_Toc3231"/>
      <w:r>
        <w:t>迟交的响应文件</w:t>
      </w:r>
      <w:bookmarkEnd w:id="79"/>
      <w:bookmarkEnd w:id="80"/>
      <w:bookmarkEnd w:id="81"/>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2" w:name="_Toc55548518"/>
      <w:bookmarkStart w:id="83" w:name="_Ref179619013"/>
      <w:bookmarkStart w:id="84" w:name="_Toc865"/>
      <w:r>
        <w:t>响应文件的修改与撤回</w:t>
      </w:r>
      <w:bookmarkEnd w:id="82"/>
      <w:bookmarkEnd w:id="83"/>
      <w:bookmarkEnd w:id="84"/>
    </w:p>
    <w:p>
      <w:pPr>
        <w:spacing w:line="360" w:lineRule="auto"/>
        <w:ind w:firstLine="420" w:firstLineChars="200"/>
        <w:rPr>
          <w:rFonts w:hint="eastAsia"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hint="eastAsia"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5" w:name="_Toc55548519"/>
      <w:bookmarkStart w:id="86" w:name="_Toc22375"/>
      <w:r>
        <w:t>响应文件的退还</w:t>
      </w:r>
      <w:bookmarkEnd w:id="85"/>
      <w:bookmarkEnd w:id="86"/>
    </w:p>
    <w:p>
      <w:pPr>
        <w:spacing w:line="360" w:lineRule="auto"/>
        <w:ind w:firstLine="420" w:firstLineChars="200"/>
        <w:rPr>
          <w:rFonts w:hint="eastAsia"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7" w:name="_Toc27271"/>
      <w:bookmarkStart w:id="88" w:name="_Toc9126"/>
      <w:bookmarkStart w:id="89" w:name="_Toc55548520"/>
      <w:r>
        <w:t>五、开标与评标</w:t>
      </w:r>
      <w:bookmarkEnd w:id="87"/>
      <w:bookmarkEnd w:id="88"/>
      <w:bookmarkEnd w:id="89"/>
    </w:p>
    <w:p>
      <w:pPr>
        <w:pStyle w:val="4"/>
        <w:spacing w:line="360" w:lineRule="auto"/>
        <w:ind w:firstLine="482"/>
      </w:pPr>
      <w:bookmarkStart w:id="90" w:name="_Toc55548521"/>
      <w:bookmarkStart w:id="91" w:name="_Toc21095"/>
      <w:r>
        <w:t>开标</w:t>
      </w:r>
      <w:bookmarkEnd w:id="90"/>
      <w:bookmarkEnd w:id="91"/>
    </w:p>
    <w:p>
      <w:pPr>
        <w:spacing w:line="360" w:lineRule="auto"/>
        <w:ind w:firstLine="420" w:firstLineChars="200"/>
        <w:rPr>
          <w:rFonts w:hint="eastAsia" w:asciiTheme="minorEastAsia" w:hAnsiTheme="minorEastAsia"/>
          <w:szCs w:val="21"/>
        </w:rPr>
      </w:pPr>
      <w:bookmarkStart w:id="92"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2"/>
    </w:p>
    <w:p>
      <w:pPr>
        <w:spacing w:line="360" w:lineRule="auto"/>
        <w:ind w:firstLine="420" w:firstLineChars="200"/>
        <w:rPr>
          <w:rFonts w:hint="eastAsia"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3" w:name="_Toc55548522"/>
      <w:bookmarkStart w:id="94" w:name="_Toc1622"/>
      <w:r>
        <w:t>资格核查</w:t>
      </w:r>
      <w:bookmarkEnd w:id="93"/>
      <w:bookmarkEnd w:id="94"/>
    </w:p>
    <w:p>
      <w:pPr>
        <w:spacing w:line="360" w:lineRule="auto"/>
        <w:ind w:firstLine="420" w:firstLineChars="200"/>
        <w:rPr>
          <w:rFonts w:hint="eastAsia"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hint="eastAsia"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5" w:name="_Toc31201"/>
      <w:bookmarkStart w:id="96" w:name="_Toc55548523"/>
      <w:r>
        <w:t>评标委员会和评标方法</w:t>
      </w:r>
      <w:bookmarkEnd w:id="95"/>
      <w:bookmarkEnd w:id="96"/>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hint="eastAsia" w:asciiTheme="minorEastAsia" w:hAnsiTheme="minorEastAsia"/>
          <w:szCs w:val="21"/>
        </w:rPr>
      </w:pPr>
      <w:bookmarkStart w:id="97"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7"/>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hint="eastAsia" w:asciiTheme="minorEastAsia" w:hAnsiTheme="minorEastAsia"/>
          <w:szCs w:val="21"/>
        </w:rPr>
      </w:pPr>
      <w:bookmarkStart w:id="98"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8"/>
    </w:p>
    <w:p>
      <w:pPr>
        <w:spacing w:line="360" w:lineRule="auto"/>
        <w:ind w:firstLine="420" w:firstLineChars="200"/>
        <w:rPr>
          <w:rFonts w:hint="eastAsia" w:asciiTheme="minorEastAsia" w:hAnsiTheme="minorEastAsia"/>
          <w:szCs w:val="21"/>
        </w:rPr>
      </w:pPr>
      <w:bookmarkStart w:id="99" w:name="_Toc10952"/>
      <w:bookmarkStart w:id="100" w:name="_Toc27507"/>
      <w:bookmarkStart w:id="101" w:name="_Toc16749"/>
      <w:bookmarkStart w:id="102" w:name="_Toc3712"/>
      <w:r>
        <w:rPr>
          <w:rFonts w:hint="eastAsia" w:asciiTheme="minorEastAsia" w:hAnsiTheme="minorEastAsia"/>
          <w:szCs w:val="21"/>
        </w:rPr>
        <w:t>不同投标人提供相同品牌产品</w:t>
      </w:r>
      <w:bookmarkEnd w:id="99"/>
      <w:bookmarkEnd w:id="100"/>
      <w:bookmarkEnd w:id="101"/>
      <w:bookmarkEnd w:id="102"/>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3" w:name="_Toc55548524"/>
      <w:bookmarkStart w:id="104" w:name="_Toc21426"/>
      <w:r>
        <w:rPr>
          <w:rFonts w:hint="eastAsia"/>
        </w:rPr>
        <w:t>响应文件的初审</w:t>
      </w:r>
      <w:bookmarkEnd w:id="103"/>
      <w:bookmarkEnd w:id="104"/>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hint="eastAsia"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hint="eastAsia"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hint="eastAsia" w:asciiTheme="minorEastAsia" w:hAnsiTheme="minorEastAsia"/>
          <w:szCs w:val="21"/>
        </w:rPr>
      </w:pPr>
      <w:bookmarkStart w:id="105"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5"/>
    </w:p>
    <w:p>
      <w:pPr>
        <w:spacing w:line="360" w:lineRule="auto"/>
        <w:ind w:firstLine="420" w:firstLineChars="200"/>
        <w:rPr>
          <w:rFonts w:hint="eastAsia" w:asciiTheme="minorEastAsia" w:hAnsiTheme="minorEastAsia"/>
          <w:szCs w:val="21"/>
        </w:rPr>
      </w:pPr>
      <w:bookmarkStart w:id="106" w:name="_Ref179621189"/>
      <w:r>
        <w:rPr>
          <w:rFonts w:asciiTheme="minorEastAsia" w:hAnsiTheme="minorEastAsia"/>
          <w:szCs w:val="21"/>
        </w:rPr>
        <w:t>符合性检查</w:t>
      </w:r>
      <w:bookmarkEnd w:id="106"/>
    </w:p>
    <w:p>
      <w:pPr>
        <w:spacing w:line="360" w:lineRule="auto"/>
        <w:ind w:firstLine="422" w:firstLineChars="200"/>
        <w:rPr>
          <w:rFonts w:hint="eastAsia" w:asciiTheme="minorEastAsia" w:hAnsiTheme="minorEastAsia"/>
          <w:b/>
          <w:szCs w:val="21"/>
        </w:rPr>
      </w:pPr>
      <w:bookmarkStart w:id="107" w:name="_Toc2459"/>
      <w:bookmarkStart w:id="108" w:name="_Toc32392"/>
      <w:bookmarkStart w:id="109" w:name="_Toc25993"/>
      <w:bookmarkStart w:id="110" w:name="_Toc1347"/>
      <w:bookmarkStart w:id="111" w:name="_Toc13273"/>
      <w:bookmarkStart w:id="112" w:name="_Toc385"/>
      <w:bookmarkStart w:id="113" w:name="_Toc5963"/>
      <w:r>
        <w:rPr>
          <w:rFonts w:asciiTheme="minorEastAsia" w:hAnsiTheme="minorEastAsia"/>
          <w:b/>
          <w:szCs w:val="21"/>
        </w:rPr>
        <w:t>1) 响应文件的有效性、完整性瑕疵</w:t>
      </w:r>
      <w:bookmarkEnd w:id="107"/>
      <w:bookmarkEnd w:id="108"/>
      <w:bookmarkEnd w:id="109"/>
      <w:bookmarkEnd w:id="110"/>
      <w:bookmarkEnd w:id="111"/>
      <w:bookmarkEnd w:id="112"/>
      <w:bookmarkEnd w:id="113"/>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hint="eastAsia" w:asciiTheme="minorEastAsia" w:hAnsiTheme="minorEastAsia"/>
          <w:b/>
          <w:szCs w:val="21"/>
        </w:rPr>
      </w:pPr>
      <w:bookmarkStart w:id="114" w:name="_Toc6513"/>
      <w:bookmarkStart w:id="115" w:name="_Toc29078"/>
      <w:bookmarkStart w:id="116" w:name="_Toc4787"/>
      <w:bookmarkStart w:id="117" w:name="_Toc24825"/>
      <w:bookmarkStart w:id="118" w:name="_Toc17493"/>
      <w:bookmarkStart w:id="119" w:name="_Toc31066"/>
      <w:bookmarkStart w:id="120" w:name="_Toc30904"/>
      <w:r>
        <w:rPr>
          <w:rFonts w:asciiTheme="minorEastAsia" w:hAnsiTheme="minorEastAsia"/>
          <w:b/>
          <w:szCs w:val="21"/>
        </w:rPr>
        <w:t>2) 技术响应瑕疵</w:t>
      </w:r>
      <w:bookmarkEnd w:id="114"/>
      <w:bookmarkEnd w:id="115"/>
      <w:bookmarkEnd w:id="116"/>
      <w:bookmarkEnd w:id="117"/>
      <w:bookmarkEnd w:id="118"/>
      <w:bookmarkEnd w:id="119"/>
      <w:bookmarkEnd w:id="120"/>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hint="eastAsia" w:asciiTheme="minorEastAsia" w:hAnsiTheme="minorEastAsia"/>
          <w:b/>
          <w:szCs w:val="21"/>
        </w:rPr>
      </w:pPr>
      <w:bookmarkStart w:id="121" w:name="_Toc32692"/>
      <w:bookmarkStart w:id="122" w:name="_Toc19531"/>
      <w:bookmarkStart w:id="123" w:name="_Toc27147"/>
      <w:bookmarkStart w:id="124" w:name="_Toc13742"/>
      <w:bookmarkStart w:id="125" w:name="_Toc6987"/>
      <w:bookmarkStart w:id="126" w:name="_Toc9317"/>
      <w:bookmarkStart w:id="127" w:name="_Toc16856"/>
      <w:r>
        <w:rPr>
          <w:rFonts w:asciiTheme="minorEastAsia" w:hAnsiTheme="minorEastAsia"/>
          <w:b/>
          <w:szCs w:val="21"/>
        </w:rPr>
        <w:t>3) 商务响应瑕疵</w:t>
      </w:r>
      <w:bookmarkEnd w:id="121"/>
      <w:bookmarkEnd w:id="122"/>
      <w:bookmarkEnd w:id="123"/>
      <w:bookmarkEnd w:id="124"/>
      <w:bookmarkEnd w:id="125"/>
      <w:bookmarkEnd w:id="126"/>
      <w:bookmarkEnd w:id="127"/>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hint="eastAsia"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hint="eastAsia"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hint="eastAsia"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hint="eastAsia"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8" w:name="_Toc55548525"/>
      <w:bookmarkStart w:id="129" w:name="_Toc7255"/>
      <w:r>
        <w:rPr>
          <w:rFonts w:hint="eastAsia"/>
        </w:rPr>
        <w:t>评标方法和定标原则</w:t>
      </w:r>
      <w:bookmarkEnd w:id="128"/>
      <w:bookmarkEnd w:id="129"/>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w:t>
      </w:r>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hint="eastAsia"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hint="eastAsia"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30"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30"/>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hint="eastAsia"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hint="eastAsia"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31"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31"/>
    </w:p>
    <w:p>
      <w:pPr>
        <w:spacing w:line="360" w:lineRule="auto"/>
        <w:ind w:firstLine="420" w:firstLineChars="200"/>
        <w:rPr>
          <w:rFonts w:hint="eastAsia" w:asciiTheme="minorEastAsia" w:hAnsiTheme="minorEastAsia"/>
          <w:szCs w:val="21"/>
        </w:rPr>
      </w:pPr>
      <w:r>
        <w:rPr>
          <w:rFonts w:asciiTheme="minorEastAsia" w:hAnsiTheme="minorEastAsia"/>
          <w:szCs w:val="21"/>
        </w:rPr>
        <w:t>计算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hint="eastAsia"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hint="eastAsia"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hint="eastAsia"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2" w:name="_Toc12447"/>
      <w:bookmarkStart w:id="133" w:name="_Toc31060"/>
      <w:bookmarkStart w:id="134" w:name="_Toc55548528"/>
      <w:r>
        <w:t>六、授予合同</w:t>
      </w:r>
      <w:bookmarkEnd w:id="132"/>
      <w:bookmarkEnd w:id="133"/>
      <w:bookmarkEnd w:id="134"/>
    </w:p>
    <w:p>
      <w:pPr>
        <w:pStyle w:val="4"/>
        <w:spacing w:line="360" w:lineRule="auto"/>
        <w:ind w:firstLine="482"/>
      </w:pPr>
      <w:bookmarkStart w:id="135" w:name="_Toc55548529"/>
      <w:bookmarkStart w:id="136" w:name="_Toc4551"/>
      <w:r>
        <w:rPr>
          <w:rFonts w:hint="eastAsia"/>
        </w:rPr>
        <w:t>最终审查</w:t>
      </w:r>
      <w:bookmarkEnd w:id="135"/>
      <w:bookmarkEnd w:id="136"/>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hint="eastAsia"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hint="eastAsia"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7" w:name="_Toc9998"/>
      <w:bookmarkStart w:id="138" w:name="_Toc55548530"/>
      <w:r>
        <w:rPr>
          <w:rFonts w:hint="eastAsia"/>
        </w:rPr>
        <w:t>合同授予标准</w:t>
      </w:r>
      <w:bookmarkEnd w:id="137"/>
      <w:bookmarkEnd w:id="138"/>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9" w:name="_Toc29853"/>
      <w:bookmarkStart w:id="140" w:name="_Toc55548532"/>
      <w:r>
        <w:rPr>
          <w:rFonts w:hint="eastAsia"/>
        </w:rPr>
        <w:t>中标结果公示</w:t>
      </w:r>
      <w:bookmarkEnd w:id="139"/>
      <w:bookmarkEnd w:id="140"/>
    </w:p>
    <w:p>
      <w:pPr>
        <w:spacing w:line="360" w:lineRule="auto"/>
        <w:ind w:firstLine="420" w:firstLineChars="200"/>
        <w:rPr>
          <w:rFonts w:hint="eastAsia"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hint="eastAsia"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41" w:name="_Toc5257"/>
      <w:bookmarkStart w:id="142" w:name="_Toc55548533"/>
      <w:bookmarkStart w:id="143" w:name="_Ref179619923"/>
      <w:r>
        <w:rPr>
          <w:rFonts w:hint="eastAsia"/>
        </w:rPr>
        <w:t>接受和拒绝任何或所有投标的权力</w:t>
      </w:r>
      <w:bookmarkEnd w:id="141"/>
      <w:bookmarkEnd w:id="142"/>
      <w:bookmarkEnd w:id="143"/>
    </w:p>
    <w:p>
      <w:pPr>
        <w:spacing w:line="360" w:lineRule="auto"/>
        <w:ind w:firstLine="420" w:firstLineChars="200"/>
        <w:rPr>
          <w:rFonts w:hint="eastAsia"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4" w:name="_Toc55548534"/>
      <w:bookmarkStart w:id="145" w:name="_Toc1842"/>
      <w:r>
        <w:rPr>
          <w:rFonts w:hint="eastAsia"/>
        </w:rPr>
        <w:t>中标通知书</w:t>
      </w:r>
      <w:bookmarkEnd w:id="144"/>
      <w:bookmarkEnd w:id="145"/>
    </w:p>
    <w:p>
      <w:pPr>
        <w:spacing w:line="360" w:lineRule="auto"/>
        <w:ind w:firstLine="420" w:firstLineChars="200"/>
        <w:rPr>
          <w:rFonts w:hint="eastAsia"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6" w:name="_Toc55548535"/>
      <w:bookmarkStart w:id="147" w:name="_Ref179619520"/>
      <w:bookmarkStart w:id="148" w:name="_Toc11931"/>
      <w:r>
        <w:rPr>
          <w:rFonts w:hint="eastAsia"/>
        </w:rPr>
        <w:t>签订合同</w:t>
      </w:r>
      <w:bookmarkEnd w:id="146"/>
      <w:bookmarkEnd w:id="147"/>
      <w:bookmarkEnd w:id="148"/>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hint="eastAsia"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9" w:name="_Toc61539111"/>
      <w:bookmarkStart w:id="150" w:name="_Toc86939331"/>
      <w:bookmarkStart w:id="151" w:name="_Toc61880307"/>
      <w:r>
        <w:rPr>
          <w:rFonts w:hint="eastAsia"/>
        </w:rPr>
        <w:t>第四章  附件－响应文件格式</w:t>
      </w:r>
      <w:bookmarkEnd w:id="149"/>
      <w:bookmarkEnd w:id="150"/>
      <w:bookmarkEnd w:id="151"/>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2" w:name="_Toc55548538"/>
      <w:r>
        <w:rPr>
          <w:rFonts w:hint="eastAsia"/>
          <w:b/>
          <w:bCs/>
          <w:sz w:val="30"/>
          <w:szCs w:val="28"/>
        </w:rPr>
        <w:t>投标函</w:t>
      </w:r>
      <w:bookmarkEnd w:id="152"/>
    </w:p>
    <w:p>
      <w:pPr>
        <w:spacing w:line="360" w:lineRule="auto"/>
        <w:ind w:firstLine="420" w:firstLineChars="200"/>
        <w:rPr>
          <w:rFonts w:hint="eastAsia"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hint="eastAsia"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hint="eastAsia" w:asciiTheme="minorEastAsia" w:hAnsiTheme="minorEastAsia"/>
          <w:color w:val="000000"/>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3" w:name="_Toc55548539"/>
      <w:bookmarkStart w:id="154" w:name="_Toc30545"/>
      <w:r>
        <w:rPr>
          <w:rFonts w:hint="eastAsia"/>
          <w:b/>
          <w:bCs/>
          <w:sz w:val="30"/>
          <w:szCs w:val="28"/>
        </w:rPr>
        <w:t>政府采购投标及履约承诺函</w:t>
      </w:r>
      <w:bookmarkEnd w:id="153"/>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hint="eastAsia"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hint="eastAsia" w:asciiTheme="minorEastAsia" w:hAnsiTheme="minorEastAsia"/>
          <w:b/>
          <w:snapToGrid w:val="0"/>
          <w:kern w:val="0"/>
          <w:szCs w:val="21"/>
        </w:rPr>
      </w:pP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hint="eastAsia"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附件3：诚信承诺函格式</w:t>
      </w:r>
      <w:bookmarkEnd w:id="154"/>
    </w:p>
    <w:p>
      <w:pPr>
        <w:keepNext/>
        <w:keepLines/>
        <w:spacing w:before="160" w:after="170"/>
        <w:ind w:firstLine="602" w:firstLineChars="200"/>
        <w:jc w:val="center"/>
        <w:outlineLvl w:val="4"/>
        <w:rPr>
          <w:b/>
          <w:bCs/>
          <w:snapToGrid w:val="0"/>
          <w:sz w:val="30"/>
          <w:szCs w:val="28"/>
        </w:rPr>
      </w:pPr>
      <w:bookmarkStart w:id="155" w:name="_Toc55548540"/>
      <w:r>
        <w:rPr>
          <w:rFonts w:hint="eastAsia"/>
          <w:b/>
          <w:bCs/>
          <w:snapToGrid w:val="0"/>
          <w:sz w:val="30"/>
          <w:szCs w:val="28"/>
        </w:rPr>
        <w:t>诚信承诺函</w:t>
      </w:r>
      <w:bookmarkEnd w:id="155"/>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p>
    <w:p>
      <w:pPr>
        <w:spacing w:line="360" w:lineRule="auto"/>
        <w:ind w:firstLine="422" w:firstLineChars="200"/>
        <w:rPr>
          <w:rFonts w:hint="eastAsia" w:asciiTheme="minorEastAsia" w:hAnsiTheme="minorEastAsia"/>
          <w:b/>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6" w:name="_Toc670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6"/>
    </w:p>
    <w:p>
      <w:pPr>
        <w:keepNext/>
        <w:keepLines/>
        <w:spacing w:before="160" w:after="170"/>
        <w:ind w:firstLine="602" w:firstLineChars="200"/>
        <w:jc w:val="center"/>
        <w:outlineLvl w:val="4"/>
        <w:rPr>
          <w:b/>
          <w:bCs/>
          <w:sz w:val="30"/>
          <w:szCs w:val="28"/>
        </w:rPr>
      </w:pPr>
      <w:bookmarkStart w:id="157" w:name="_Toc55548541"/>
      <w:r>
        <w:rPr>
          <w:rFonts w:hint="eastAsia"/>
          <w:b/>
          <w:bCs/>
          <w:sz w:val="30"/>
          <w:szCs w:val="28"/>
        </w:rPr>
        <w:t>开标一览表</w:t>
      </w:r>
      <w:bookmarkEnd w:id="157"/>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5"/>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hint="eastAsia" w:asciiTheme="minorEastAsia" w:hAnsiTheme="minorEastAsia"/>
                <w:szCs w:val="21"/>
              </w:rPr>
            </w:pPr>
          </w:p>
        </w:tc>
        <w:tc>
          <w:tcPr>
            <w:tcW w:w="2562" w:type="dxa"/>
          </w:tcPr>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hint="eastAsia" w:asciiTheme="minorEastAsia" w:hAnsiTheme="minorEastAsia"/>
                <w:szCs w:val="21"/>
              </w:rPr>
            </w:pPr>
          </w:p>
        </w:tc>
        <w:tc>
          <w:tcPr>
            <w:tcW w:w="1493" w:type="dxa"/>
          </w:tcPr>
          <w:p>
            <w:pPr>
              <w:spacing w:line="360" w:lineRule="auto"/>
              <w:ind w:firstLine="420" w:firstLineChars="200"/>
              <w:rPr>
                <w:rFonts w:hint="eastAsia" w:asciiTheme="minorEastAsia" w:hAnsiTheme="minorEastAsia"/>
                <w:szCs w:val="21"/>
              </w:rPr>
            </w:pPr>
          </w:p>
        </w:tc>
      </w:tr>
    </w:tbl>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bookmarkStart w:id="158"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8"/>
    </w:p>
    <w:p>
      <w:pPr>
        <w:keepNext/>
        <w:keepLines/>
        <w:spacing w:before="160" w:after="170"/>
        <w:ind w:firstLine="602" w:firstLineChars="200"/>
        <w:jc w:val="center"/>
        <w:outlineLvl w:val="4"/>
        <w:rPr>
          <w:b/>
          <w:bCs/>
          <w:sz w:val="30"/>
          <w:szCs w:val="28"/>
        </w:rPr>
      </w:pPr>
      <w:bookmarkStart w:id="159" w:name="_Toc55548542"/>
      <w:r>
        <w:rPr>
          <w:rFonts w:hint="eastAsia"/>
          <w:b/>
          <w:bCs/>
          <w:sz w:val="30"/>
          <w:szCs w:val="28"/>
        </w:rPr>
        <w:t>分项报价清单</w:t>
      </w:r>
      <w:bookmarkEnd w:id="159"/>
    </w:p>
    <w:tbl>
      <w:tblPr>
        <w:tblStyle w:val="15"/>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hint="eastAsia" w:asciiTheme="minorEastAsia" w:hAnsiTheme="minorEastAsia"/>
                <w:color w:val="000000"/>
                <w:szCs w:val="21"/>
              </w:rPr>
            </w:pPr>
          </w:p>
        </w:tc>
      </w:tr>
    </w:tbl>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hint="eastAsia" w:asciiTheme="minorEastAsia" w:hAnsiTheme="minorEastAsia"/>
          <w:szCs w:val="21"/>
        </w:rPr>
      </w:pPr>
      <w:bookmarkStart w:id="160"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60"/>
    </w:p>
    <w:p>
      <w:pPr>
        <w:keepNext/>
        <w:keepLines/>
        <w:spacing w:before="160" w:after="170"/>
        <w:ind w:firstLine="602" w:firstLineChars="200"/>
        <w:jc w:val="center"/>
        <w:outlineLvl w:val="4"/>
        <w:rPr>
          <w:b/>
          <w:bCs/>
          <w:sz w:val="30"/>
          <w:szCs w:val="28"/>
        </w:rPr>
      </w:pPr>
      <w:bookmarkStart w:id="161" w:name="_Toc55548545"/>
      <w:bookmarkStart w:id="162" w:name="_Toc2383"/>
      <w:r>
        <w:rPr>
          <w:rFonts w:hint="eastAsia"/>
          <w:b/>
          <w:bCs/>
          <w:sz w:val="30"/>
          <w:szCs w:val="28"/>
        </w:rPr>
        <w:t>法定代表人证明书</w:t>
      </w:r>
      <w:bookmarkEnd w:id="161"/>
    </w:p>
    <w:p>
      <w:pPr>
        <w:tabs>
          <w:tab w:val="left" w:pos="900"/>
        </w:tabs>
        <w:spacing w:line="360" w:lineRule="auto"/>
        <w:ind w:firstLine="420" w:firstLineChars="200"/>
        <w:rPr>
          <w:rFonts w:hint="eastAsia"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2"/>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3" w:name="_Toc55548546"/>
      <w:bookmarkStart w:id="164" w:name="_Toc437"/>
      <w:r>
        <w:rPr>
          <w:rFonts w:hint="eastAsia"/>
          <w:b/>
          <w:bCs/>
          <w:sz w:val="30"/>
          <w:szCs w:val="28"/>
        </w:rPr>
        <w:t>法定代表人授权委托书</w:t>
      </w:r>
      <w:bookmarkEnd w:id="163"/>
    </w:p>
    <w:p>
      <w:pPr>
        <w:spacing w:line="360" w:lineRule="auto"/>
        <w:ind w:firstLine="420" w:firstLineChars="200"/>
        <w:rPr>
          <w:rFonts w:hint="eastAsia"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hint="eastAsia" w:asciiTheme="minorEastAsia" w:hAnsiTheme="minorEastAsia"/>
          <w:szCs w:val="21"/>
        </w:rPr>
      </w:pPr>
      <w:bookmarkStart w:id="165"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5"/>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tabs>
          <w:tab w:val="left" w:pos="5115"/>
        </w:tabs>
        <w:spacing w:line="360" w:lineRule="auto"/>
        <w:ind w:firstLine="420" w:firstLineChars="200"/>
        <w:rPr>
          <w:rFonts w:hint="eastAsia" w:asciiTheme="minorEastAsia" w:hAnsiTheme="minorEastAsia"/>
          <w:szCs w:val="21"/>
        </w:rPr>
      </w:pPr>
      <w:r>
        <w:rPr>
          <w:rFonts w:asciiTheme="minorEastAsia" w:hAnsiTheme="minorEastAsia"/>
          <w:szCs w:val="21"/>
        </w:rPr>
        <w:tab/>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4"/>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66" w:name="_Toc55548547"/>
      <w:r>
        <w:rPr>
          <w:rFonts w:hint="eastAsia"/>
          <w:b/>
          <w:bCs/>
          <w:sz w:val="30"/>
          <w:szCs w:val="28"/>
        </w:rPr>
        <w:t>项目实施方案</w:t>
      </w:r>
      <w:bookmarkEnd w:id="16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bookmarkStart w:id="167" w:name="_Toc3861"/>
      <w:bookmarkStart w:id="168"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7"/>
      <w:r>
        <w:rPr>
          <w:rFonts w:hint="eastAsia" w:asciiTheme="minorEastAsia" w:hAnsiTheme="minorEastAsia"/>
          <w:szCs w:val="21"/>
        </w:rPr>
        <w:t>（如有）</w:t>
      </w:r>
      <w:bookmarkEnd w:id="168"/>
    </w:p>
    <w:p>
      <w:pPr>
        <w:keepNext/>
        <w:keepLines/>
        <w:spacing w:before="160" w:after="170"/>
        <w:ind w:firstLine="602" w:firstLineChars="200"/>
        <w:jc w:val="center"/>
        <w:outlineLvl w:val="4"/>
        <w:rPr>
          <w:b/>
          <w:bCs/>
          <w:sz w:val="30"/>
          <w:szCs w:val="28"/>
        </w:rPr>
      </w:pPr>
      <w:bookmarkStart w:id="169" w:name="_Toc55548548"/>
      <w:r>
        <w:rPr>
          <w:rFonts w:hint="eastAsia"/>
          <w:b/>
          <w:bCs/>
          <w:sz w:val="30"/>
          <w:szCs w:val="28"/>
        </w:rPr>
        <w:t>售后服务方案</w:t>
      </w:r>
      <w:bookmarkEnd w:id="169"/>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hint="eastAsia"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hint="eastAsia"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70" w:name="_Hlk109050125"/>
      <w:r>
        <w:rPr>
          <w:rFonts w:hint="eastAsia"/>
          <w:b/>
        </w:rPr>
        <w:t>技术规格偏离表</w:t>
      </w:r>
    </w:p>
    <w:bookmarkEnd w:id="170"/>
    <w:tbl>
      <w:tblPr>
        <w:tblStyle w:val="15"/>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r>
              <w:rPr>
                <w:rFonts w:hint="eastAsia" w:ascii="宋体" w:hAnsi="宋体"/>
                <w:szCs w:val="21"/>
              </w:rPr>
              <w:t>序号</w:t>
            </w:r>
          </w:p>
        </w:tc>
        <w:tc>
          <w:tcPr>
            <w:tcW w:w="1418" w:type="dxa"/>
            <w:vAlign w:val="center"/>
          </w:tcPr>
          <w:p>
            <w:pPr>
              <w:spacing w:line="360" w:lineRule="auto"/>
              <w:jc w:val="center"/>
              <w:rPr>
                <w:rFonts w:hint="eastAsia" w:ascii="宋体" w:hAnsi="宋体"/>
                <w:szCs w:val="21"/>
              </w:rPr>
            </w:pPr>
            <w:r>
              <w:rPr>
                <w:rFonts w:hint="eastAsia" w:ascii="宋体" w:hAnsi="宋体"/>
                <w:szCs w:val="21"/>
              </w:rPr>
              <w:t>货物名称</w:t>
            </w:r>
          </w:p>
        </w:tc>
        <w:tc>
          <w:tcPr>
            <w:tcW w:w="2482" w:type="dxa"/>
            <w:vAlign w:val="center"/>
          </w:tcPr>
          <w:p>
            <w:pPr>
              <w:spacing w:line="360" w:lineRule="auto"/>
              <w:jc w:val="center"/>
              <w:rPr>
                <w:rFonts w:hint="eastAsia"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hint="eastAsia"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hint="eastAsia" w:ascii="宋体" w:hAnsi="宋体"/>
                <w:szCs w:val="21"/>
              </w:rPr>
            </w:pPr>
            <w:r>
              <w:rPr>
                <w:rFonts w:hint="eastAsia" w:ascii="宋体" w:hAnsi="宋体"/>
                <w:szCs w:val="21"/>
              </w:rPr>
              <w:t>偏离情况</w:t>
            </w:r>
          </w:p>
        </w:tc>
        <w:tc>
          <w:tcPr>
            <w:tcW w:w="2304" w:type="dxa"/>
            <w:vAlign w:val="center"/>
          </w:tcPr>
          <w:p>
            <w:pPr>
              <w:spacing w:line="360" w:lineRule="auto"/>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jc w:val="center"/>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bl>
    <w:p>
      <w:pPr>
        <w:spacing w:line="360" w:lineRule="auto"/>
        <w:ind w:firstLine="420" w:firstLineChars="200"/>
        <w:rPr>
          <w:rFonts w:hint="eastAsia"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jc w:val="right"/>
      <w:rPr>
        <w:sz w:val="21"/>
        <w:szCs w:val="21"/>
      </w:rPr>
    </w:pPr>
    <w:bookmarkStart w:id="171" w:name="_Hlk69568635"/>
    <w:bookmarkStart w:id="172" w:name="_Hlk69568634"/>
    <w:r>
      <w:rPr>
        <w:rFonts w:hint="eastAsia"/>
        <w:sz w:val="21"/>
        <w:szCs w:val="21"/>
      </w:rPr>
      <w:t>深圳市宝安区疾病预防控制中心采购文件</w:t>
    </w:r>
    <w:bookmarkEnd w:id="171"/>
    <w:bookmarkEnd w:id="17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a682773b-4b85-476c-b148-88ea9e0fafc2"/>
  </w:docVars>
  <w:rsids>
    <w:rsidRoot w:val="00B27035"/>
    <w:rsid w:val="0000394F"/>
    <w:rsid w:val="00007A13"/>
    <w:rsid w:val="000101F3"/>
    <w:rsid w:val="00010972"/>
    <w:rsid w:val="000145FB"/>
    <w:rsid w:val="0001637F"/>
    <w:rsid w:val="00016C99"/>
    <w:rsid w:val="00016D41"/>
    <w:rsid w:val="00016DCD"/>
    <w:rsid w:val="00020F66"/>
    <w:rsid w:val="000236B7"/>
    <w:rsid w:val="000253BA"/>
    <w:rsid w:val="00026541"/>
    <w:rsid w:val="000272A3"/>
    <w:rsid w:val="0003138A"/>
    <w:rsid w:val="0004025C"/>
    <w:rsid w:val="00042723"/>
    <w:rsid w:val="00046F21"/>
    <w:rsid w:val="00050084"/>
    <w:rsid w:val="00050A98"/>
    <w:rsid w:val="000530FF"/>
    <w:rsid w:val="00053E10"/>
    <w:rsid w:val="000620DD"/>
    <w:rsid w:val="000627B7"/>
    <w:rsid w:val="00063FB1"/>
    <w:rsid w:val="000641C3"/>
    <w:rsid w:val="00073E9D"/>
    <w:rsid w:val="00081A9E"/>
    <w:rsid w:val="00081D87"/>
    <w:rsid w:val="00084CCE"/>
    <w:rsid w:val="00086870"/>
    <w:rsid w:val="00086C55"/>
    <w:rsid w:val="00086E51"/>
    <w:rsid w:val="00090FD5"/>
    <w:rsid w:val="00091D8C"/>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C77E7"/>
    <w:rsid w:val="000D08A9"/>
    <w:rsid w:val="000D1581"/>
    <w:rsid w:val="000D2247"/>
    <w:rsid w:val="000D2EB8"/>
    <w:rsid w:val="000D2FD9"/>
    <w:rsid w:val="000D476C"/>
    <w:rsid w:val="000D5D45"/>
    <w:rsid w:val="000D6859"/>
    <w:rsid w:val="000E01B9"/>
    <w:rsid w:val="000E5888"/>
    <w:rsid w:val="000F0F3D"/>
    <w:rsid w:val="000F22EF"/>
    <w:rsid w:val="000F2D0A"/>
    <w:rsid w:val="000F6C66"/>
    <w:rsid w:val="00100950"/>
    <w:rsid w:val="001043DC"/>
    <w:rsid w:val="00105F6E"/>
    <w:rsid w:val="0011069A"/>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1B51"/>
    <w:rsid w:val="001465AC"/>
    <w:rsid w:val="0014672D"/>
    <w:rsid w:val="00146F48"/>
    <w:rsid w:val="00151C66"/>
    <w:rsid w:val="0015271F"/>
    <w:rsid w:val="001530A4"/>
    <w:rsid w:val="00154141"/>
    <w:rsid w:val="00161418"/>
    <w:rsid w:val="001624BB"/>
    <w:rsid w:val="00162B15"/>
    <w:rsid w:val="00163FBC"/>
    <w:rsid w:val="00165B6A"/>
    <w:rsid w:val="001675F7"/>
    <w:rsid w:val="001678F7"/>
    <w:rsid w:val="00170E6B"/>
    <w:rsid w:val="00174DAC"/>
    <w:rsid w:val="001750E4"/>
    <w:rsid w:val="00180C24"/>
    <w:rsid w:val="001810ED"/>
    <w:rsid w:val="001813DD"/>
    <w:rsid w:val="00183CCF"/>
    <w:rsid w:val="00184BFC"/>
    <w:rsid w:val="00186E97"/>
    <w:rsid w:val="00187BC0"/>
    <w:rsid w:val="00187D1A"/>
    <w:rsid w:val="001905F7"/>
    <w:rsid w:val="00192254"/>
    <w:rsid w:val="00192B4E"/>
    <w:rsid w:val="001930C9"/>
    <w:rsid w:val="001938DE"/>
    <w:rsid w:val="0019395A"/>
    <w:rsid w:val="00196D20"/>
    <w:rsid w:val="001A2D67"/>
    <w:rsid w:val="001A36D0"/>
    <w:rsid w:val="001A4CC2"/>
    <w:rsid w:val="001A4F24"/>
    <w:rsid w:val="001A5C2B"/>
    <w:rsid w:val="001A7960"/>
    <w:rsid w:val="001B12BF"/>
    <w:rsid w:val="001B23C7"/>
    <w:rsid w:val="001B287A"/>
    <w:rsid w:val="001B4022"/>
    <w:rsid w:val="001B54B5"/>
    <w:rsid w:val="001C32B9"/>
    <w:rsid w:val="001C421C"/>
    <w:rsid w:val="001C42E8"/>
    <w:rsid w:val="001C4DAD"/>
    <w:rsid w:val="001C7175"/>
    <w:rsid w:val="001C7613"/>
    <w:rsid w:val="001D1989"/>
    <w:rsid w:val="001D283D"/>
    <w:rsid w:val="001D5451"/>
    <w:rsid w:val="001D77FD"/>
    <w:rsid w:val="001D7F0D"/>
    <w:rsid w:val="001E5120"/>
    <w:rsid w:val="001F5585"/>
    <w:rsid w:val="002023D7"/>
    <w:rsid w:val="00204EC0"/>
    <w:rsid w:val="00205A0F"/>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0914"/>
    <w:rsid w:val="002514E8"/>
    <w:rsid w:val="00253FCC"/>
    <w:rsid w:val="0025405F"/>
    <w:rsid w:val="002549AE"/>
    <w:rsid w:val="002570EC"/>
    <w:rsid w:val="002577FC"/>
    <w:rsid w:val="002607D8"/>
    <w:rsid w:val="00262959"/>
    <w:rsid w:val="00262E3B"/>
    <w:rsid w:val="00264146"/>
    <w:rsid w:val="00267B16"/>
    <w:rsid w:val="00270DED"/>
    <w:rsid w:val="00270EE6"/>
    <w:rsid w:val="002732D3"/>
    <w:rsid w:val="00273963"/>
    <w:rsid w:val="00273DD4"/>
    <w:rsid w:val="00274ADF"/>
    <w:rsid w:val="00275639"/>
    <w:rsid w:val="00282DB0"/>
    <w:rsid w:val="002830A3"/>
    <w:rsid w:val="00283FB4"/>
    <w:rsid w:val="002844D3"/>
    <w:rsid w:val="002849C2"/>
    <w:rsid w:val="00285211"/>
    <w:rsid w:val="00287092"/>
    <w:rsid w:val="0028748D"/>
    <w:rsid w:val="0029003B"/>
    <w:rsid w:val="002905B6"/>
    <w:rsid w:val="0029095D"/>
    <w:rsid w:val="002915AA"/>
    <w:rsid w:val="00291C54"/>
    <w:rsid w:val="00297795"/>
    <w:rsid w:val="002A2FEB"/>
    <w:rsid w:val="002A4499"/>
    <w:rsid w:val="002A5BFA"/>
    <w:rsid w:val="002B4EF7"/>
    <w:rsid w:val="002B7314"/>
    <w:rsid w:val="002C089E"/>
    <w:rsid w:val="002C0C26"/>
    <w:rsid w:val="002C12DB"/>
    <w:rsid w:val="002C4251"/>
    <w:rsid w:val="002C791E"/>
    <w:rsid w:val="002D3543"/>
    <w:rsid w:val="002D5E47"/>
    <w:rsid w:val="002D70BB"/>
    <w:rsid w:val="002E00B6"/>
    <w:rsid w:val="002E0D63"/>
    <w:rsid w:val="002E12D0"/>
    <w:rsid w:val="002E202E"/>
    <w:rsid w:val="002E3D64"/>
    <w:rsid w:val="002E5E70"/>
    <w:rsid w:val="002F46DB"/>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398B"/>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65D8"/>
    <w:rsid w:val="00376712"/>
    <w:rsid w:val="00386497"/>
    <w:rsid w:val="00387FB4"/>
    <w:rsid w:val="003904C8"/>
    <w:rsid w:val="00392140"/>
    <w:rsid w:val="00392735"/>
    <w:rsid w:val="003948C4"/>
    <w:rsid w:val="00395BD5"/>
    <w:rsid w:val="003A1F40"/>
    <w:rsid w:val="003A2EF2"/>
    <w:rsid w:val="003B2B54"/>
    <w:rsid w:val="003B4C25"/>
    <w:rsid w:val="003B533D"/>
    <w:rsid w:val="003B5F69"/>
    <w:rsid w:val="003B620A"/>
    <w:rsid w:val="003B664A"/>
    <w:rsid w:val="003D0F25"/>
    <w:rsid w:val="003D1BFD"/>
    <w:rsid w:val="003D1C8B"/>
    <w:rsid w:val="003D3A10"/>
    <w:rsid w:val="003D3BF6"/>
    <w:rsid w:val="003D3E40"/>
    <w:rsid w:val="003D56EF"/>
    <w:rsid w:val="003E03A1"/>
    <w:rsid w:val="003E2496"/>
    <w:rsid w:val="003E34DF"/>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5BD"/>
    <w:rsid w:val="00422C93"/>
    <w:rsid w:val="004240F2"/>
    <w:rsid w:val="004247C2"/>
    <w:rsid w:val="0042484C"/>
    <w:rsid w:val="00425768"/>
    <w:rsid w:val="00431B05"/>
    <w:rsid w:val="00432BF0"/>
    <w:rsid w:val="004434FC"/>
    <w:rsid w:val="00444B83"/>
    <w:rsid w:val="004478C6"/>
    <w:rsid w:val="00450E1D"/>
    <w:rsid w:val="004512C7"/>
    <w:rsid w:val="004537FB"/>
    <w:rsid w:val="0045391A"/>
    <w:rsid w:val="00455D0C"/>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D13"/>
    <w:rsid w:val="00487BC8"/>
    <w:rsid w:val="00491DD6"/>
    <w:rsid w:val="00492556"/>
    <w:rsid w:val="00492D8F"/>
    <w:rsid w:val="0049393E"/>
    <w:rsid w:val="00494048"/>
    <w:rsid w:val="004970F8"/>
    <w:rsid w:val="00497DBD"/>
    <w:rsid w:val="004A0DAF"/>
    <w:rsid w:val="004A34CF"/>
    <w:rsid w:val="004A46F4"/>
    <w:rsid w:val="004A4795"/>
    <w:rsid w:val="004A4B94"/>
    <w:rsid w:val="004B08D4"/>
    <w:rsid w:val="004B0DCA"/>
    <w:rsid w:val="004B2A93"/>
    <w:rsid w:val="004B4DB0"/>
    <w:rsid w:val="004B4E87"/>
    <w:rsid w:val="004B6562"/>
    <w:rsid w:val="004B6E5B"/>
    <w:rsid w:val="004C08AC"/>
    <w:rsid w:val="004C0B66"/>
    <w:rsid w:val="004C2C78"/>
    <w:rsid w:val="004C3F49"/>
    <w:rsid w:val="004D1B14"/>
    <w:rsid w:val="004D4DA5"/>
    <w:rsid w:val="004E07C0"/>
    <w:rsid w:val="004E308C"/>
    <w:rsid w:val="004E46CB"/>
    <w:rsid w:val="004E6D01"/>
    <w:rsid w:val="004E725F"/>
    <w:rsid w:val="004F0148"/>
    <w:rsid w:val="004F016C"/>
    <w:rsid w:val="004F2B76"/>
    <w:rsid w:val="004F3645"/>
    <w:rsid w:val="004F5500"/>
    <w:rsid w:val="00500D01"/>
    <w:rsid w:val="00506137"/>
    <w:rsid w:val="00506D14"/>
    <w:rsid w:val="0051196C"/>
    <w:rsid w:val="005137DA"/>
    <w:rsid w:val="00513F1C"/>
    <w:rsid w:val="005214AC"/>
    <w:rsid w:val="00521779"/>
    <w:rsid w:val="005260A9"/>
    <w:rsid w:val="00526344"/>
    <w:rsid w:val="00527EDC"/>
    <w:rsid w:val="00531911"/>
    <w:rsid w:val="00532B33"/>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46F2"/>
    <w:rsid w:val="00584F0C"/>
    <w:rsid w:val="005854FB"/>
    <w:rsid w:val="00585A02"/>
    <w:rsid w:val="00586966"/>
    <w:rsid w:val="00591CA5"/>
    <w:rsid w:val="00591D1A"/>
    <w:rsid w:val="00592F00"/>
    <w:rsid w:val="0059488B"/>
    <w:rsid w:val="00594D83"/>
    <w:rsid w:val="005A14F3"/>
    <w:rsid w:val="005A1CC5"/>
    <w:rsid w:val="005A4415"/>
    <w:rsid w:val="005A5612"/>
    <w:rsid w:val="005B2452"/>
    <w:rsid w:val="005B4C1F"/>
    <w:rsid w:val="005B7C95"/>
    <w:rsid w:val="005C0612"/>
    <w:rsid w:val="005C0DB9"/>
    <w:rsid w:val="005C0FF6"/>
    <w:rsid w:val="005C18B9"/>
    <w:rsid w:val="005C21EE"/>
    <w:rsid w:val="005C2894"/>
    <w:rsid w:val="005C376C"/>
    <w:rsid w:val="005C39EA"/>
    <w:rsid w:val="005D2961"/>
    <w:rsid w:val="005D2B9C"/>
    <w:rsid w:val="005D2D8F"/>
    <w:rsid w:val="005D6EF3"/>
    <w:rsid w:val="005D7164"/>
    <w:rsid w:val="005D7190"/>
    <w:rsid w:val="005E11F0"/>
    <w:rsid w:val="005E12D5"/>
    <w:rsid w:val="005E3883"/>
    <w:rsid w:val="005F3217"/>
    <w:rsid w:val="005F34BB"/>
    <w:rsid w:val="005F72F4"/>
    <w:rsid w:val="005F73F0"/>
    <w:rsid w:val="006024C2"/>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1AAF"/>
    <w:rsid w:val="0066440A"/>
    <w:rsid w:val="0066471D"/>
    <w:rsid w:val="00664B30"/>
    <w:rsid w:val="00665979"/>
    <w:rsid w:val="00665C9C"/>
    <w:rsid w:val="00666DAC"/>
    <w:rsid w:val="006728BE"/>
    <w:rsid w:val="00673CA0"/>
    <w:rsid w:val="00674B5A"/>
    <w:rsid w:val="00684DAC"/>
    <w:rsid w:val="00685691"/>
    <w:rsid w:val="00687623"/>
    <w:rsid w:val="00690937"/>
    <w:rsid w:val="0069104B"/>
    <w:rsid w:val="00691DC0"/>
    <w:rsid w:val="006A2C16"/>
    <w:rsid w:val="006A6F1C"/>
    <w:rsid w:val="006B10AC"/>
    <w:rsid w:val="006B15B6"/>
    <w:rsid w:val="006B1DB6"/>
    <w:rsid w:val="006B2FC4"/>
    <w:rsid w:val="006B302C"/>
    <w:rsid w:val="006B39F9"/>
    <w:rsid w:val="006B5CA7"/>
    <w:rsid w:val="006C2747"/>
    <w:rsid w:val="006C60D3"/>
    <w:rsid w:val="006D0495"/>
    <w:rsid w:val="006D0AA6"/>
    <w:rsid w:val="006D36F6"/>
    <w:rsid w:val="006D52B6"/>
    <w:rsid w:val="006D63F9"/>
    <w:rsid w:val="006D67E5"/>
    <w:rsid w:val="006D74CC"/>
    <w:rsid w:val="006E3571"/>
    <w:rsid w:val="006E763D"/>
    <w:rsid w:val="006F1F93"/>
    <w:rsid w:val="006F34C6"/>
    <w:rsid w:val="006F41DA"/>
    <w:rsid w:val="007056E5"/>
    <w:rsid w:val="00705BD8"/>
    <w:rsid w:val="007067D3"/>
    <w:rsid w:val="00712BD7"/>
    <w:rsid w:val="00714B64"/>
    <w:rsid w:val="00715E57"/>
    <w:rsid w:val="00721170"/>
    <w:rsid w:val="007231EE"/>
    <w:rsid w:val="0072335A"/>
    <w:rsid w:val="00724B87"/>
    <w:rsid w:val="00730625"/>
    <w:rsid w:val="0073452B"/>
    <w:rsid w:val="007459E7"/>
    <w:rsid w:val="007506FD"/>
    <w:rsid w:val="00751A67"/>
    <w:rsid w:val="007549C8"/>
    <w:rsid w:val="007554E3"/>
    <w:rsid w:val="0075689D"/>
    <w:rsid w:val="00761A00"/>
    <w:rsid w:val="00762137"/>
    <w:rsid w:val="00766224"/>
    <w:rsid w:val="00766F64"/>
    <w:rsid w:val="00767104"/>
    <w:rsid w:val="00767478"/>
    <w:rsid w:val="007674F3"/>
    <w:rsid w:val="0077138C"/>
    <w:rsid w:val="007754EA"/>
    <w:rsid w:val="007911A0"/>
    <w:rsid w:val="00791410"/>
    <w:rsid w:val="00792052"/>
    <w:rsid w:val="0079207E"/>
    <w:rsid w:val="00793A6A"/>
    <w:rsid w:val="00793E70"/>
    <w:rsid w:val="00795EEA"/>
    <w:rsid w:val="007A18F8"/>
    <w:rsid w:val="007A2875"/>
    <w:rsid w:val="007A31B9"/>
    <w:rsid w:val="007A5E09"/>
    <w:rsid w:val="007A6077"/>
    <w:rsid w:val="007A7D9F"/>
    <w:rsid w:val="007B0B0E"/>
    <w:rsid w:val="007B1962"/>
    <w:rsid w:val="007B2CF3"/>
    <w:rsid w:val="007B4661"/>
    <w:rsid w:val="007B4C65"/>
    <w:rsid w:val="007B71E6"/>
    <w:rsid w:val="007C65B3"/>
    <w:rsid w:val="007C6D54"/>
    <w:rsid w:val="007D1216"/>
    <w:rsid w:val="007D2242"/>
    <w:rsid w:val="007D419A"/>
    <w:rsid w:val="007D60DA"/>
    <w:rsid w:val="007E14DB"/>
    <w:rsid w:val="007E21BE"/>
    <w:rsid w:val="007E2F5A"/>
    <w:rsid w:val="007E3C03"/>
    <w:rsid w:val="007E4868"/>
    <w:rsid w:val="007E5008"/>
    <w:rsid w:val="007E639A"/>
    <w:rsid w:val="007E6A9D"/>
    <w:rsid w:val="007F11C6"/>
    <w:rsid w:val="007F1909"/>
    <w:rsid w:val="007F482C"/>
    <w:rsid w:val="007F4EB1"/>
    <w:rsid w:val="007F5918"/>
    <w:rsid w:val="00805C93"/>
    <w:rsid w:val="0080742D"/>
    <w:rsid w:val="00814D69"/>
    <w:rsid w:val="0081713B"/>
    <w:rsid w:val="00817206"/>
    <w:rsid w:val="00820766"/>
    <w:rsid w:val="00823075"/>
    <w:rsid w:val="0082380B"/>
    <w:rsid w:val="008251A1"/>
    <w:rsid w:val="008263E2"/>
    <w:rsid w:val="008263E4"/>
    <w:rsid w:val="0083051C"/>
    <w:rsid w:val="008309A8"/>
    <w:rsid w:val="00833FA9"/>
    <w:rsid w:val="008403CD"/>
    <w:rsid w:val="0084094C"/>
    <w:rsid w:val="008427DA"/>
    <w:rsid w:val="00842966"/>
    <w:rsid w:val="0084406A"/>
    <w:rsid w:val="008455C7"/>
    <w:rsid w:val="00850054"/>
    <w:rsid w:val="0085171D"/>
    <w:rsid w:val="00854F19"/>
    <w:rsid w:val="008565A0"/>
    <w:rsid w:val="00857094"/>
    <w:rsid w:val="00861A84"/>
    <w:rsid w:val="008655D8"/>
    <w:rsid w:val="00865720"/>
    <w:rsid w:val="00870650"/>
    <w:rsid w:val="008709AD"/>
    <w:rsid w:val="00871563"/>
    <w:rsid w:val="00871AB4"/>
    <w:rsid w:val="008737E6"/>
    <w:rsid w:val="00875B2C"/>
    <w:rsid w:val="0087626E"/>
    <w:rsid w:val="00877379"/>
    <w:rsid w:val="008807FE"/>
    <w:rsid w:val="00881C68"/>
    <w:rsid w:val="0088252F"/>
    <w:rsid w:val="00885641"/>
    <w:rsid w:val="008861D0"/>
    <w:rsid w:val="00886513"/>
    <w:rsid w:val="00887EC0"/>
    <w:rsid w:val="00893BD2"/>
    <w:rsid w:val="008944F1"/>
    <w:rsid w:val="008A13AD"/>
    <w:rsid w:val="008A25D3"/>
    <w:rsid w:val="008A2D9A"/>
    <w:rsid w:val="008A4861"/>
    <w:rsid w:val="008A4CB4"/>
    <w:rsid w:val="008A5E40"/>
    <w:rsid w:val="008A65A3"/>
    <w:rsid w:val="008A6A3B"/>
    <w:rsid w:val="008B18C9"/>
    <w:rsid w:val="008B1F31"/>
    <w:rsid w:val="008B2E71"/>
    <w:rsid w:val="008B64EF"/>
    <w:rsid w:val="008B7729"/>
    <w:rsid w:val="008C3446"/>
    <w:rsid w:val="008C480B"/>
    <w:rsid w:val="008C62FD"/>
    <w:rsid w:val="008C7B89"/>
    <w:rsid w:val="008C7C25"/>
    <w:rsid w:val="008D0F47"/>
    <w:rsid w:val="008D19C5"/>
    <w:rsid w:val="008D26F9"/>
    <w:rsid w:val="008D3CDF"/>
    <w:rsid w:val="008D5116"/>
    <w:rsid w:val="008E0FFC"/>
    <w:rsid w:val="008E2F0D"/>
    <w:rsid w:val="008E3953"/>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078F"/>
    <w:rsid w:val="00921B57"/>
    <w:rsid w:val="009240C5"/>
    <w:rsid w:val="00930AE6"/>
    <w:rsid w:val="009316D6"/>
    <w:rsid w:val="009419C6"/>
    <w:rsid w:val="00942EE7"/>
    <w:rsid w:val="00944172"/>
    <w:rsid w:val="00945543"/>
    <w:rsid w:val="00945D1E"/>
    <w:rsid w:val="009462F5"/>
    <w:rsid w:val="009509C6"/>
    <w:rsid w:val="00953BDB"/>
    <w:rsid w:val="009550B7"/>
    <w:rsid w:val="009551C2"/>
    <w:rsid w:val="00955F27"/>
    <w:rsid w:val="009577F3"/>
    <w:rsid w:val="00957AAC"/>
    <w:rsid w:val="009600F3"/>
    <w:rsid w:val="00963C1D"/>
    <w:rsid w:val="00966013"/>
    <w:rsid w:val="00974E70"/>
    <w:rsid w:val="009763C1"/>
    <w:rsid w:val="00980AEC"/>
    <w:rsid w:val="009817D5"/>
    <w:rsid w:val="009828B2"/>
    <w:rsid w:val="00983F17"/>
    <w:rsid w:val="00986C27"/>
    <w:rsid w:val="00987911"/>
    <w:rsid w:val="009940DA"/>
    <w:rsid w:val="00995936"/>
    <w:rsid w:val="009A14F1"/>
    <w:rsid w:val="009A14FC"/>
    <w:rsid w:val="009A2C14"/>
    <w:rsid w:val="009A2D94"/>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1DA8"/>
    <w:rsid w:val="00A142B0"/>
    <w:rsid w:val="00A14D8B"/>
    <w:rsid w:val="00A162F6"/>
    <w:rsid w:val="00A1645C"/>
    <w:rsid w:val="00A201D9"/>
    <w:rsid w:val="00A218D6"/>
    <w:rsid w:val="00A239ED"/>
    <w:rsid w:val="00A24AE0"/>
    <w:rsid w:val="00A310B6"/>
    <w:rsid w:val="00A31944"/>
    <w:rsid w:val="00A374C0"/>
    <w:rsid w:val="00A45F09"/>
    <w:rsid w:val="00A46D3B"/>
    <w:rsid w:val="00A5098C"/>
    <w:rsid w:val="00A51C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A6794"/>
    <w:rsid w:val="00AB5CB3"/>
    <w:rsid w:val="00AB5D1D"/>
    <w:rsid w:val="00AC0D8B"/>
    <w:rsid w:val="00AC2890"/>
    <w:rsid w:val="00AC3837"/>
    <w:rsid w:val="00AC44F0"/>
    <w:rsid w:val="00AC5EF8"/>
    <w:rsid w:val="00AD1BEB"/>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2508"/>
    <w:rsid w:val="00B02C9B"/>
    <w:rsid w:val="00B13AB1"/>
    <w:rsid w:val="00B17A94"/>
    <w:rsid w:val="00B21FB4"/>
    <w:rsid w:val="00B27035"/>
    <w:rsid w:val="00B30B35"/>
    <w:rsid w:val="00B32164"/>
    <w:rsid w:val="00B32F32"/>
    <w:rsid w:val="00B331DF"/>
    <w:rsid w:val="00B33483"/>
    <w:rsid w:val="00B35B9D"/>
    <w:rsid w:val="00B40B8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E48"/>
    <w:rsid w:val="00B77508"/>
    <w:rsid w:val="00B775C9"/>
    <w:rsid w:val="00B77E1B"/>
    <w:rsid w:val="00B80124"/>
    <w:rsid w:val="00B90430"/>
    <w:rsid w:val="00B938C7"/>
    <w:rsid w:val="00B96CC4"/>
    <w:rsid w:val="00BA1052"/>
    <w:rsid w:val="00BA191C"/>
    <w:rsid w:val="00BA1DAD"/>
    <w:rsid w:val="00BA25AD"/>
    <w:rsid w:val="00BA28BD"/>
    <w:rsid w:val="00BA5D8C"/>
    <w:rsid w:val="00BA6BE4"/>
    <w:rsid w:val="00BC0516"/>
    <w:rsid w:val="00BC2FED"/>
    <w:rsid w:val="00BC3264"/>
    <w:rsid w:val="00BC3A3D"/>
    <w:rsid w:val="00BC4182"/>
    <w:rsid w:val="00BC4AA0"/>
    <w:rsid w:val="00BC71EC"/>
    <w:rsid w:val="00BD0B8A"/>
    <w:rsid w:val="00BD351E"/>
    <w:rsid w:val="00BD46C4"/>
    <w:rsid w:val="00BD5C35"/>
    <w:rsid w:val="00BE1D99"/>
    <w:rsid w:val="00BE23B9"/>
    <w:rsid w:val="00BE4657"/>
    <w:rsid w:val="00BF1223"/>
    <w:rsid w:val="00BF3ADD"/>
    <w:rsid w:val="00BF51A1"/>
    <w:rsid w:val="00BF6E77"/>
    <w:rsid w:val="00C00565"/>
    <w:rsid w:val="00C04FD4"/>
    <w:rsid w:val="00C0683B"/>
    <w:rsid w:val="00C07F93"/>
    <w:rsid w:val="00C10613"/>
    <w:rsid w:val="00C113F9"/>
    <w:rsid w:val="00C11BAF"/>
    <w:rsid w:val="00C17C22"/>
    <w:rsid w:val="00C21F05"/>
    <w:rsid w:val="00C24421"/>
    <w:rsid w:val="00C24CF5"/>
    <w:rsid w:val="00C25B04"/>
    <w:rsid w:val="00C30332"/>
    <w:rsid w:val="00C33FC8"/>
    <w:rsid w:val="00C349AB"/>
    <w:rsid w:val="00C356F5"/>
    <w:rsid w:val="00C37BAB"/>
    <w:rsid w:val="00C4123C"/>
    <w:rsid w:val="00C4135E"/>
    <w:rsid w:val="00C42C4C"/>
    <w:rsid w:val="00C435EF"/>
    <w:rsid w:val="00C436B7"/>
    <w:rsid w:val="00C43A9E"/>
    <w:rsid w:val="00C445BC"/>
    <w:rsid w:val="00C452E0"/>
    <w:rsid w:val="00C45A07"/>
    <w:rsid w:val="00C461C0"/>
    <w:rsid w:val="00C51038"/>
    <w:rsid w:val="00C52440"/>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2E18"/>
    <w:rsid w:val="00C96F99"/>
    <w:rsid w:val="00C97ECB"/>
    <w:rsid w:val="00CA03D2"/>
    <w:rsid w:val="00CA17E0"/>
    <w:rsid w:val="00CA3542"/>
    <w:rsid w:val="00CA64A0"/>
    <w:rsid w:val="00CA6E11"/>
    <w:rsid w:val="00CB53A1"/>
    <w:rsid w:val="00CB682E"/>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42C"/>
    <w:rsid w:val="00CF4ADF"/>
    <w:rsid w:val="00CF59EE"/>
    <w:rsid w:val="00D00895"/>
    <w:rsid w:val="00D00C1D"/>
    <w:rsid w:val="00D019D3"/>
    <w:rsid w:val="00D04EFB"/>
    <w:rsid w:val="00D05C96"/>
    <w:rsid w:val="00D07F61"/>
    <w:rsid w:val="00D121F2"/>
    <w:rsid w:val="00D128DB"/>
    <w:rsid w:val="00D166F9"/>
    <w:rsid w:val="00D16D64"/>
    <w:rsid w:val="00D20075"/>
    <w:rsid w:val="00D21978"/>
    <w:rsid w:val="00D21E3F"/>
    <w:rsid w:val="00D246A8"/>
    <w:rsid w:val="00D24885"/>
    <w:rsid w:val="00D26440"/>
    <w:rsid w:val="00D27C91"/>
    <w:rsid w:val="00D319C3"/>
    <w:rsid w:val="00D407CB"/>
    <w:rsid w:val="00D425C6"/>
    <w:rsid w:val="00D428A8"/>
    <w:rsid w:val="00D4292D"/>
    <w:rsid w:val="00D42B1C"/>
    <w:rsid w:val="00D46AB3"/>
    <w:rsid w:val="00D50072"/>
    <w:rsid w:val="00D516E0"/>
    <w:rsid w:val="00D52046"/>
    <w:rsid w:val="00D52471"/>
    <w:rsid w:val="00D53B1B"/>
    <w:rsid w:val="00D54E6C"/>
    <w:rsid w:val="00D54F48"/>
    <w:rsid w:val="00D55DA3"/>
    <w:rsid w:val="00D55FA7"/>
    <w:rsid w:val="00D56956"/>
    <w:rsid w:val="00D57811"/>
    <w:rsid w:val="00D61B1A"/>
    <w:rsid w:val="00D654B1"/>
    <w:rsid w:val="00D65753"/>
    <w:rsid w:val="00D65B12"/>
    <w:rsid w:val="00D672AA"/>
    <w:rsid w:val="00D70E8F"/>
    <w:rsid w:val="00D71D82"/>
    <w:rsid w:val="00D76F49"/>
    <w:rsid w:val="00D77DF6"/>
    <w:rsid w:val="00D80CAA"/>
    <w:rsid w:val="00D80D99"/>
    <w:rsid w:val="00D841FD"/>
    <w:rsid w:val="00D846D8"/>
    <w:rsid w:val="00D914B0"/>
    <w:rsid w:val="00D93093"/>
    <w:rsid w:val="00D942FA"/>
    <w:rsid w:val="00D964CA"/>
    <w:rsid w:val="00D9655A"/>
    <w:rsid w:val="00DA0306"/>
    <w:rsid w:val="00DA0A15"/>
    <w:rsid w:val="00DA0C45"/>
    <w:rsid w:val="00DA3107"/>
    <w:rsid w:val="00DA37CC"/>
    <w:rsid w:val="00DB11B3"/>
    <w:rsid w:val="00DB4C26"/>
    <w:rsid w:val="00DB4DB4"/>
    <w:rsid w:val="00DB4F3C"/>
    <w:rsid w:val="00DB7859"/>
    <w:rsid w:val="00DC161B"/>
    <w:rsid w:val="00DC1AD7"/>
    <w:rsid w:val="00DC21E6"/>
    <w:rsid w:val="00DC664D"/>
    <w:rsid w:val="00DD0AA7"/>
    <w:rsid w:val="00DD2DB5"/>
    <w:rsid w:val="00DD3270"/>
    <w:rsid w:val="00DD4C84"/>
    <w:rsid w:val="00DD7C57"/>
    <w:rsid w:val="00DE39A2"/>
    <w:rsid w:val="00DE6373"/>
    <w:rsid w:val="00DE63AC"/>
    <w:rsid w:val="00DF0796"/>
    <w:rsid w:val="00DF127E"/>
    <w:rsid w:val="00DF2ECA"/>
    <w:rsid w:val="00DF446C"/>
    <w:rsid w:val="00DF768B"/>
    <w:rsid w:val="00DF77E7"/>
    <w:rsid w:val="00E02155"/>
    <w:rsid w:val="00E036A6"/>
    <w:rsid w:val="00E045A1"/>
    <w:rsid w:val="00E052F6"/>
    <w:rsid w:val="00E05A31"/>
    <w:rsid w:val="00E07FA0"/>
    <w:rsid w:val="00E17025"/>
    <w:rsid w:val="00E17EA3"/>
    <w:rsid w:val="00E20155"/>
    <w:rsid w:val="00E20A7B"/>
    <w:rsid w:val="00E24B4A"/>
    <w:rsid w:val="00E31215"/>
    <w:rsid w:val="00E31592"/>
    <w:rsid w:val="00E32D31"/>
    <w:rsid w:val="00E4039F"/>
    <w:rsid w:val="00E419E0"/>
    <w:rsid w:val="00E452D2"/>
    <w:rsid w:val="00E45C42"/>
    <w:rsid w:val="00E477F2"/>
    <w:rsid w:val="00E47A8D"/>
    <w:rsid w:val="00E5125C"/>
    <w:rsid w:val="00E5127B"/>
    <w:rsid w:val="00E5278C"/>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4F55"/>
    <w:rsid w:val="00EB508D"/>
    <w:rsid w:val="00EC38B0"/>
    <w:rsid w:val="00EC43D8"/>
    <w:rsid w:val="00EC736D"/>
    <w:rsid w:val="00EE06C8"/>
    <w:rsid w:val="00EE0AD9"/>
    <w:rsid w:val="00EE12E6"/>
    <w:rsid w:val="00EE15A4"/>
    <w:rsid w:val="00EE2F50"/>
    <w:rsid w:val="00EF3E9B"/>
    <w:rsid w:val="00EF41F0"/>
    <w:rsid w:val="00EF4D08"/>
    <w:rsid w:val="00EF67C5"/>
    <w:rsid w:val="00EF6855"/>
    <w:rsid w:val="00EF6E1C"/>
    <w:rsid w:val="00EF77FA"/>
    <w:rsid w:val="00F02352"/>
    <w:rsid w:val="00F03DAF"/>
    <w:rsid w:val="00F04551"/>
    <w:rsid w:val="00F05A6D"/>
    <w:rsid w:val="00F06531"/>
    <w:rsid w:val="00F10924"/>
    <w:rsid w:val="00F109D0"/>
    <w:rsid w:val="00F153E2"/>
    <w:rsid w:val="00F16D96"/>
    <w:rsid w:val="00F21C53"/>
    <w:rsid w:val="00F22DC0"/>
    <w:rsid w:val="00F277EB"/>
    <w:rsid w:val="00F27C48"/>
    <w:rsid w:val="00F3076C"/>
    <w:rsid w:val="00F32963"/>
    <w:rsid w:val="00F33B5D"/>
    <w:rsid w:val="00F414BC"/>
    <w:rsid w:val="00F447B7"/>
    <w:rsid w:val="00F4480E"/>
    <w:rsid w:val="00F461B3"/>
    <w:rsid w:val="00F51931"/>
    <w:rsid w:val="00F53078"/>
    <w:rsid w:val="00F531F5"/>
    <w:rsid w:val="00F55E6A"/>
    <w:rsid w:val="00F56248"/>
    <w:rsid w:val="00F56A6E"/>
    <w:rsid w:val="00F57194"/>
    <w:rsid w:val="00F63359"/>
    <w:rsid w:val="00F633E3"/>
    <w:rsid w:val="00F66168"/>
    <w:rsid w:val="00F66A91"/>
    <w:rsid w:val="00F67F01"/>
    <w:rsid w:val="00F703EE"/>
    <w:rsid w:val="00F70893"/>
    <w:rsid w:val="00F71631"/>
    <w:rsid w:val="00F71E09"/>
    <w:rsid w:val="00F728FD"/>
    <w:rsid w:val="00F72C6C"/>
    <w:rsid w:val="00F7399A"/>
    <w:rsid w:val="00F74A11"/>
    <w:rsid w:val="00F77BE9"/>
    <w:rsid w:val="00F80E67"/>
    <w:rsid w:val="00F8219C"/>
    <w:rsid w:val="00F835A4"/>
    <w:rsid w:val="00F842A9"/>
    <w:rsid w:val="00F84912"/>
    <w:rsid w:val="00F914A2"/>
    <w:rsid w:val="00F91577"/>
    <w:rsid w:val="00F9227B"/>
    <w:rsid w:val="00F944AB"/>
    <w:rsid w:val="00F96976"/>
    <w:rsid w:val="00F96D60"/>
    <w:rsid w:val="00FA22E9"/>
    <w:rsid w:val="00FA4902"/>
    <w:rsid w:val="00FA7FA3"/>
    <w:rsid w:val="00FB1917"/>
    <w:rsid w:val="00FB6E20"/>
    <w:rsid w:val="00FC097B"/>
    <w:rsid w:val="00FC5177"/>
    <w:rsid w:val="00FD2559"/>
    <w:rsid w:val="00FD2E15"/>
    <w:rsid w:val="00FD3F8A"/>
    <w:rsid w:val="00FD484A"/>
    <w:rsid w:val="00FD484E"/>
    <w:rsid w:val="00FE305B"/>
    <w:rsid w:val="00FE3D27"/>
    <w:rsid w:val="00FE4F9C"/>
    <w:rsid w:val="00FF21D8"/>
    <w:rsid w:val="00FF48FD"/>
    <w:rsid w:val="00FF5757"/>
    <w:rsid w:val="00FF7D0D"/>
    <w:rsid w:val="01E23822"/>
    <w:rsid w:val="04B95D27"/>
    <w:rsid w:val="05467D5B"/>
    <w:rsid w:val="05A86160"/>
    <w:rsid w:val="0C7B29E0"/>
    <w:rsid w:val="0D2F096C"/>
    <w:rsid w:val="120A5960"/>
    <w:rsid w:val="1AD5775F"/>
    <w:rsid w:val="24930B4D"/>
    <w:rsid w:val="29F319B0"/>
    <w:rsid w:val="2EA41BF8"/>
    <w:rsid w:val="2F292845"/>
    <w:rsid w:val="325A081E"/>
    <w:rsid w:val="386309F1"/>
    <w:rsid w:val="39977B25"/>
    <w:rsid w:val="3A1E65D5"/>
    <w:rsid w:val="3ECF5007"/>
    <w:rsid w:val="408D55B4"/>
    <w:rsid w:val="462B1800"/>
    <w:rsid w:val="480F1C2B"/>
    <w:rsid w:val="4A912D42"/>
    <w:rsid w:val="4B5A0954"/>
    <w:rsid w:val="58A43150"/>
    <w:rsid w:val="59930818"/>
    <w:rsid w:val="5AA72723"/>
    <w:rsid w:val="5B871DD5"/>
    <w:rsid w:val="649E6BD8"/>
    <w:rsid w:val="64B92463"/>
    <w:rsid w:val="67EA6291"/>
    <w:rsid w:val="71AD1A11"/>
    <w:rsid w:val="737665D8"/>
    <w:rsid w:val="73C1409A"/>
    <w:rsid w:val="7CCE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100" w:after="90"/>
      <w:jc w:val="center"/>
      <w:outlineLvl w:val="0"/>
    </w:pPr>
    <w:rPr>
      <w:b/>
      <w:bCs/>
      <w:kern w:val="44"/>
      <w:sz w:val="36"/>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4"/>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6"/>
    <w:unhideWhenUsed/>
    <w:qFormat/>
    <w:uiPriority w:val="9"/>
    <w:pPr>
      <w:keepNext/>
      <w:keepLines/>
      <w:spacing w:before="160" w:after="170"/>
      <w:ind w:firstLine="200" w:firstLineChars="200"/>
      <w:outlineLvl w:val="4"/>
    </w:pPr>
    <w:rPr>
      <w:b/>
      <w:bCs/>
      <w:sz w:val="24"/>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2"/>
    <w:qFormat/>
    <w:uiPriority w:val="0"/>
    <w:pPr>
      <w:ind w:firstLine="420" w:firstLineChars="200"/>
    </w:pPr>
    <w:rPr>
      <w:rFonts w:ascii="Times New Roman" w:hAnsi="Times New Roman" w:eastAsia="宋体" w:cs="Times New Roman"/>
      <w:szCs w:val="24"/>
    </w:rPr>
  </w:style>
  <w:style w:type="paragraph" w:styleId="7">
    <w:name w:val="annotation text"/>
    <w:basedOn w:val="1"/>
    <w:link w:val="35"/>
    <w:semiHidden/>
    <w:unhideWhenUsed/>
    <w:qFormat/>
    <w:uiPriority w:val="99"/>
    <w:pPr>
      <w:jc w:val="left"/>
    </w:pPr>
  </w:style>
  <w:style w:type="paragraph" w:styleId="8">
    <w:name w:val="Plain Text"/>
    <w:basedOn w:val="1"/>
    <w:link w:val="32"/>
    <w:qFormat/>
    <w:uiPriority w:val="99"/>
    <w:rPr>
      <w:rFonts w:ascii="宋体" w:hAnsi="Courier New" w:eastAsia="宋体" w:cs="Times New Roman"/>
      <w:kern w:val="10"/>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正文缩进 字符"/>
    <w:link w:val="6"/>
    <w:qFormat/>
    <w:uiPriority w:val="0"/>
    <w:rPr>
      <w:rFonts w:ascii="Times New Roman" w:hAnsi="Times New Roman" w:eastAsia="宋体" w:cs="Times New Roman"/>
      <w:szCs w:val="24"/>
    </w:rPr>
  </w:style>
  <w:style w:type="table" w:customStyle="1" w:styleId="23">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4 字符"/>
    <w:basedOn w:val="17"/>
    <w:link w:val="4"/>
    <w:qFormat/>
    <w:uiPriority w:val="0"/>
    <w:rPr>
      <w:rFonts w:ascii="Cambria" w:hAnsi="Cambria" w:eastAsia="宋体" w:cs="Times New Roman"/>
      <w:b/>
      <w:bCs/>
      <w:sz w:val="24"/>
      <w:szCs w:val="28"/>
    </w:rPr>
  </w:style>
  <w:style w:type="character" w:customStyle="1" w:styleId="25">
    <w:name w:val="标题 1 字符"/>
    <w:basedOn w:val="17"/>
    <w:link w:val="2"/>
    <w:qFormat/>
    <w:uiPriority w:val="9"/>
    <w:rPr>
      <w:b/>
      <w:bCs/>
      <w:kern w:val="44"/>
      <w:sz w:val="36"/>
      <w:szCs w:val="44"/>
    </w:rPr>
  </w:style>
  <w:style w:type="character" w:customStyle="1" w:styleId="26">
    <w:name w:val="标题 5 字符"/>
    <w:basedOn w:val="17"/>
    <w:link w:val="5"/>
    <w:qFormat/>
    <w:uiPriority w:val="9"/>
    <w:rPr>
      <w:b/>
      <w:bCs/>
      <w:sz w:val="24"/>
      <w:szCs w:val="28"/>
    </w:r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8">
    <w:name w:val="批注框文本 字符"/>
    <w:basedOn w:val="17"/>
    <w:link w:val="9"/>
    <w:semiHidden/>
    <w:qFormat/>
    <w:uiPriority w:val="99"/>
    <w:rPr>
      <w:rFonts w:asciiTheme="minorHAnsi" w:hAnsiTheme="minorHAnsi" w:eastAsiaTheme="minorEastAsia" w:cstheme="minorBidi"/>
      <w:kern w:val="2"/>
      <w:sz w:val="18"/>
      <w:szCs w:val="18"/>
    </w:rPr>
  </w:style>
  <w:style w:type="paragraph" w:styleId="29">
    <w:name w:val="List Paragraph"/>
    <w:basedOn w:val="1"/>
    <w:unhideWhenUsed/>
    <w:qFormat/>
    <w:uiPriority w:val="34"/>
    <w:pPr>
      <w:ind w:firstLine="420" w:firstLineChars="200"/>
    </w:pPr>
  </w:style>
  <w:style w:type="table" w:customStyle="1" w:styleId="30">
    <w:name w:val="网格型2"/>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纯文本 字符"/>
    <w:basedOn w:val="17"/>
    <w:qFormat/>
    <w:uiPriority w:val="99"/>
    <w:rPr>
      <w:rFonts w:hAnsi="Courier New" w:cs="Courier New" w:asciiTheme="minorEastAsia" w:eastAsiaTheme="minorEastAsia"/>
      <w:kern w:val="2"/>
      <w:sz w:val="21"/>
      <w:szCs w:val="22"/>
    </w:rPr>
  </w:style>
  <w:style w:type="character" w:customStyle="1" w:styleId="32">
    <w:name w:val="纯文本 字符1"/>
    <w:link w:val="8"/>
    <w:qFormat/>
    <w:uiPriority w:val="0"/>
    <w:rPr>
      <w:rFonts w:ascii="宋体" w:hAnsi="Courier New"/>
      <w:kern w:val="10"/>
      <w:sz w:val="21"/>
      <w:szCs w:val="21"/>
    </w:rPr>
  </w:style>
  <w:style w:type="character" w:customStyle="1" w:styleId="33">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文字 字符"/>
    <w:basedOn w:val="17"/>
    <w:link w:val="7"/>
    <w:semiHidden/>
    <w:qFormat/>
    <w:uiPriority w:val="99"/>
    <w:rPr>
      <w:rFonts w:asciiTheme="minorHAnsi" w:hAnsiTheme="minorHAnsi" w:eastAsiaTheme="minorEastAsia" w:cstheme="minorBidi"/>
      <w:kern w:val="2"/>
      <w:sz w:val="21"/>
      <w:szCs w:val="22"/>
    </w:rPr>
  </w:style>
  <w:style w:type="paragraph" w:customStyle="1" w:styleId="36">
    <w:name w:val="_Style 35"/>
    <w:basedOn w:val="1"/>
    <w:next w:val="29"/>
    <w:qFormat/>
    <w:uiPriority w:val="34"/>
    <w:pPr>
      <w:ind w:firstLine="420" w:firstLineChars="200"/>
    </w:pPr>
    <w:rPr>
      <w:rFonts w:ascii="Calibri" w:hAnsi="Calibri" w:eastAsia="宋体" w:cs="Times New Roman"/>
      <w:szCs w:val="21"/>
    </w:rPr>
  </w:style>
  <w:style w:type="paragraph" w:customStyle="1" w:styleId="37">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32</Pages>
  <Words>18320</Words>
  <Characters>18763</Characters>
  <Lines>140</Lines>
  <Paragraphs>39</Paragraphs>
  <TotalTime>21</TotalTime>
  <ScaleCrop>false</ScaleCrop>
  <LinksUpToDate>false</LinksUpToDate>
  <CharactersWithSpaces>19077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2024-06-27T09:20:00Z</cp:lastPrinted>
  <dcterms:modified xsi:type="dcterms:W3CDTF">2024-08-13T03:11:49Z</dcterms:modified>
  <cp:revision>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0D55612956424807B5A111C58344467A</vt:lpwstr>
  </property>
</Properties>
</file>