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38FD">
      <w:pPr>
        <w:pStyle w:val="6"/>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10BB0816">
      <w:pPr>
        <w:pStyle w:val="6"/>
        <w:ind w:left="0" w:leftChars="0" w:firstLine="0" w:firstLineChars="0"/>
        <w:rPr>
          <w:rFonts w:hint="eastAsia" w:ascii="宋体" w:hAnsi="宋体" w:eastAsia="宋体" w:cs="宋体"/>
          <w:b/>
          <w:bCs/>
          <w:kern w:val="0"/>
          <w:sz w:val="24"/>
          <w:szCs w:val="24"/>
          <w:lang w:val="en-US" w:eastAsia="zh-CN" w:bidi="ar-SA"/>
        </w:rPr>
      </w:pPr>
    </w:p>
    <w:p w14:paraId="5BF12383">
      <w:pPr>
        <w:spacing w:after="60"/>
        <w:rPr>
          <w:rFonts w:ascii="宋体" w:hAnsi="宋体" w:eastAsia="宋体"/>
          <w:b/>
          <w:bCs/>
          <w:color w:val="003368"/>
          <w:sz w:val="24"/>
          <w:highlight w:val="none"/>
        </w:rPr>
      </w:pPr>
    </w:p>
    <w:p w14:paraId="58C602CF">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1FBE8AA8">
      <w:pPr>
        <w:widowControl/>
        <w:ind w:left="1"/>
        <w:jc w:val="center"/>
        <w:rPr>
          <w:rFonts w:hint="eastAsia" w:ascii="宋体" w:hAnsi="宋体" w:eastAsia="宋体"/>
          <w:b/>
          <w:bCs/>
          <w:color w:val="000000"/>
          <w:sz w:val="28"/>
          <w:szCs w:val="28"/>
          <w:highlight w:val="none"/>
          <w:lang w:eastAsia="zh-CN"/>
        </w:rPr>
      </w:pPr>
    </w:p>
    <w:p w14:paraId="5FEB616C">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6CA93B3B">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3D7144CF">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A1930AA">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251741C6">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25F6BE9E">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681350C4">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37F42EF6">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4F7F651E">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w:t>
      </w:r>
      <w:r>
        <w:rPr>
          <w:rStyle w:val="16"/>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建议资料使用彩色复印件或原件彩色扫描件，</w:t>
      </w:r>
      <w:r>
        <w:rPr>
          <w:rStyle w:val="16"/>
          <w:rFonts w:hint="eastAsia" w:ascii="宋体" w:hAnsi="宋体" w:cstheme="minorBidi"/>
          <w:b/>
          <w:bCs/>
          <w:color w:val="FF0000"/>
          <w:sz w:val="24"/>
          <w:szCs w:val="24"/>
        </w:rPr>
        <w:t>资料未盖公章、未正确签署、缺项、漏项、截图、扫描件模糊、资料不齐全等未按要求提供的均视为无效报名。</w:t>
      </w:r>
    </w:p>
    <w:p w14:paraId="6FB2CF1A">
      <w:pPr>
        <w:rPr>
          <w:rStyle w:val="16"/>
          <w:rFonts w:hint="default" w:ascii="宋体" w:hAnsi="宋体" w:cstheme="minorBidi"/>
          <w:b/>
          <w:bCs/>
          <w:color w:val="FF0000"/>
          <w:sz w:val="24"/>
          <w:szCs w:val="24"/>
          <w:lang w:val="en-US" w:eastAsia="zh-CN"/>
        </w:rPr>
      </w:pPr>
    </w:p>
    <w:p w14:paraId="7B963DCB">
      <w:pPr>
        <w:widowControl/>
        <w:spacing w:line="360" w:lineRule="atLeast"/>
        <w:jc w:val="both"/>
        <w:rPr>
          <w:rStyle w:val="16"/>
          <w:rFonts w:hint="eastAsia"/>
          <w:color w:val="000000"/>
          <w:sz w:val="36"/>
          <w:szCs w:val="36"/>
          <w:lang w:eastAsia="zh-CN"/>
        </w:rPr>
      </w:pPr>
    </w:p>
    <w:p w14:paraId="0449F02A">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04923058">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1E099093">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AFCC2D1">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6BD05C70">
      <w:pPr>
        <w:pStyle w:val="15"/>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D606C9C">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D9616CF">
      <w:pPr>
        <w:jc w:val="left"/>
        <w:rPr>
          <w:rFonts w:hint="eastAsia" w:ascii="宋体" w:hAnsi="宋体" w:eastAsia="宋体" w:cs="宋体"/>
          <w:bCs/>
          <w:color w:val="FF0000"/>
          <w:kern w:val="0"/>
          <w:sz w:val="18"/>
          <w:szCs w:val="18"/>
          <w:highlight w:val="none"/>
          <w:lang w:val="en-US" w:eastAsia="zh-CN" w:bidi="ar-SA"/>
        </w:rPr>
      </w:pPr>
    </w:p>
    <w:p w14:paraId="76D4B37F">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5F1184D">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549CD523">
      <w:pPr>
        <w:jc w:val="left"/>
        <w:rPr>
          <w:rFonts w:hint="eastAsia" w:ascii="宋体" w:hAnsi="宋体" w:eastAsia="宋体" w:cs="宋体"/>
          <w:bCs/>
          <w:color w:val="FF0000"/>
          <w:kern w:val="0"/>
          <w:sz w:val="18"/>
          <w:szCs w:val="18"/>
          <w:highlight w:val="none"/>
          <w:lang w:val="en-US" w:eastAsia="zh-CN" w:bidi="ar-SA"/>
        </w:rPr>
      </w:pPr>
    </w:p>
    <w:p w14:paraId="367E226A">
      <w:pPr>
        <w:pStyle w:val="15"/>
        <w:rPr>
          <w:rFonts w:hint="eastAsia" w:ascii="仿宋_GB2312" w:eastAsia="仿宋_GB2312"/>
          <w:sz w:val="28"/>
          <w:szCs w:val="28"/>
        </w:rPr>
      </w:pPr>
    </w:p>
    <w:p w14:paraId="765070A2">
      <w:pPr>
        <w:pStyle w:val="15"/>
        <w:rPr>
          <w:rFonts w:hint="eastAsia" w:ascii="仿宋_GB2312" w:eastAsia="仿宋_GB2312"/>
          <w:sz w:val="28"/>
          <w:szCs w:val="28"/>
        </w:rPr>
      </w:pPr>
    </w:p>
    <w:p w14:paraId="7EAC2B86">
      <w:pPr>
        <w:pStyle w:val="15"/>
        <w:rPr>
          <w:rFonts w:hint="eastAsia" w:ascii="仿宋_GB2312" w:eastAsia="仿宋_GB2312"/>
          <w:sz w:val="28"/>
          <w:szCs w:val="28"/>
        </w:rPr>
      </w:pPr>
    </w:p>
    <w:p w14:paraId="598A1DC4">
      <w:pPr>
        <w:pStyle w:val="15"/>
        <w:rPr>
          <w:rFonts w:hint="eastAsia" w:ascii="仿宋_GB2312" w:eastAsia="仿宋_GB2312"/>
          <w:sz w:val="28"/>
          <w:szCs w:val="28"/>
        </w:rPr>
      </w:pPr>
    </w:p>
    <w:p w14:paraId="32B8117C">
      <w:pPr>
        <w:pStyle w:val="15"/>
        <w:rPr>
          <w:rFonts w:hint="eastAsia" w:ascii="仿宋_GB2312" w:eastAsia="仿宋_GB2312"/>
          <w:sz w:val="28"/>
          <w:szCs w:val="28"/>
        </w:rPr>
      </w:pPr>
    </w:p>
    <w:p w14:paraId="1F1410BA">
      <w:pPr>
        <w:pStyle w:val="15"/>
        <w:rPr>
          <w:rFonts w:hint="eastAsia" w:ascii="仿宋_GB2312" w:eastAsia="仿宋_GB2312"/>
          <w:sz w:val="28"/>
          <w:szCs w:val="28"/>
        </w:rPr>
      </w:pPr>
    </w:p>
    <w:p w14:paraId="28A91493">
      <w:pPr>
        <w:pStyle w:val="15"/>
        <w:rPr>
          <w:rFonts w:hint="eastAsia" w:ascii="仿宋_GB2312" w:eastAsia="仿宋_GB2312"/>
          <w:sz w:val="28"/>
          <w:szCs w:val="28"/>
        </w:rPr>
      </w:pPr>
    </w:p>
    <w:p w14:paraId="6AD602EE">
      <w:pPr>
        <w:pStyle w:val="15"/>
        <w:rPr>
          <w:rFonts w:hint="eastAsia" w:ascii="仿宋_GB2312" w:eastAsia="仿宋_GB2312"/>
          <w:sz w:val="28"/>
          <w:szCs w:val="28"/>
        </w:rPr>
      </w:pPr>
    </w:p>
    <w:p w14:paraId="519C0AB9">
      <w:pPr>
        <w:pStyle w:val="15"/>
        <w:rPr>
          <w:rFonts w:hint="eastAsia" w:ascii="仿宋_GB2312" w:eastAsia="仿宋_GB2312"/>
          <w:sz w:val="28"/>
          <w:szCs w:val="28"/>
        </w:rPr>
      </w:pPr>
    </w:p>
    <w:p w14:paraId="7D68CBAD">
      <w:pPr>
        <w:pStyle w:val="15"/>
        <w:rPr>
          <w:rFonts w:hint="eastAsia" w:ascii="仿宋_GB2312" w:eastAsia="仿宋_GB2312"/>
          <w:sz w:val="28"/>
          <w:szCs w:val="28"/>
        </w:rPr>
      </w:pPr>
    </w:p>
    <w:p w14:paraId="2EBB04DE">
      <w:pPr>
        <w:pStyle w:val="15"/>
        <w:rPr>
          <w:rFonts w:hint="eastAsia" w:ascii="仿宋_GB2312" w:eastAsia="仿宋_GB2312"/>
          <w:sz w:val="28"/>
          <w:szCs w:val="28"/>
        </w:rPr>
      </w:pPr>
    </w:p>
    <w:p w14:paraId="039E8FF4">
      <w:pPr>
        <w:pStyle w:val="15"/>
        <w:rPr>
          <w:rFonts w:hint="eastAsia" w:ascii="仿宋_GB2312" w:eastAsia="仿宋_GB2312"/>
          <w:sz w:val="28"/>
          <w:szCs w:val="28"/>
        </w:rPr>
      </w:pPr>
    </w:p>
    <w:p w14:paraId="087EC3C1">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56B7A0D7">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6BB2CE9F">
      <w:pPr>
        <w:pStyle w:val="9"/>
        <w:jc w:val="center"/>
        <w:rPr>
          <w:rFonts w:hint="eastAsia" w:ascii="宋体" w:hAnsi="宋体"/>
          <w:b/>
          <w:bCs/>
          <w:szCs w:val="21"/>
        </w:rPr>
      </w:pPr>
    </w:p>
    <w:p w14:paraId="459B2499">
      <w:pPr>
        <w:pStyle w:val="9"/>
        <w:jc w:val="center"/>
        <w:rPr>
          <w:rFonts w:hint="eastAsia" w:ascii="宋体" w:hAnsi="宋体"/>
          <w:b/>
          <w:bCs/>
          <w:szCs w:val="21"/>
        </w:rPr>
      </w:pPr>
    </w:p>
    <w:p w14:paraId="3D835C1F">
      <w:pPr>
        <w:pStyle w:val="9"/>
        <w:jc w:val="center"/>
        <w:rPr>
          <w:rFonts w:hint="eastAsia" w:ascii="宋体" w:hAnsi="宋体"/>
          <w:b/>
          <w:bCs/>
          <w:szCs w:val="21"/>
        </w:rPr>
      </w:pPr>
    </w:p>
    <w:p w14:paraId="502A6ED1">
      <w:pPr>
        <w:pStyle w:val="9"/>
        <w:jc w:val="center"/>
        <w:rPr>
          <w:rFonts w:hint="eastAsia" w:ascii="宋体" w:hAnsi="宋体"/>
          <w:b/>
          <w:bCs/>
          <w:szCs w:val="21"/>
        </w:rPr>
      </w:pPr>
    </w:p>
    <w:p w14:paraId="51D49833">
      <w:pPr>
        <w:pStyle w:val="9"/>
        <w:jc w:val="center"/>
        <w:rPr>
          <w:rFonts w:hint="eastAsia" w:ascii="宋体" w:hAnsi="宋体"/>
          <w:b/>
          <w:bCs/>
          <w:szCs w:val="21"/>
        </w:rPr>
      </w:pPr>
    </w:p>
    <w:p w14:paraId="13C28898">
      <w:pPr>
        <w:pStyle w:val="9"/>
        <w:jc w:val="center"/>
        <w:rPr>
          <w:rFonts w:hint="eastAsia" w:ascii="宋体" w:hAnsi="宋体"/>
          <w:b/>
          <w:bCs/>
          <w:szCs w:val="21"/>
        </w:rPr>
      </w:pPr>
    </w:p>
    <w:p w14:paraId="6B0D12A1">
      <w:pPr>
        <w:pStyle w:val="9"/>
        <w:jc w:val="center"/>
        <w:rPr>
          <w:rFonts w:hint="eastAsia" w:ascii="宋体" w:hAnsi="宋体"/>
          <w:b/>
          <w:bCs/>
          <w:szCs w:val="21"/>
        </w:rPr>
      </w:pPr>
    </w:p>
    <w:p w14:paraId="52C3F45A">
      <w:pPr>
        <w:pStyle w:val="9"/>
        <w:jc w:val="center"/>
        <w:rPr>
          <w:rFonts w:hint="eastAsia" w:ascii="宋体" w:hAnsi="宋体"/>
          <w:b/>
          <w:bCs/>
          <w:szCs w:val="21"/>
        </w:rPr>
      </w:pPr>
    </w:p>
    <w:p w14:paraId="6A2FF59D">
      <w:pPr>
        <w:pStyle w:val="9"/>
        <w:jc w:val="center"/>
        <w:rPr>
          <w:rFonts w:hint="eastAsia" w:ascii="宋体" w:hAnsi="宋体"/>
          <w:b/>
          <w:bCs/>
          <w:szCs w:val="21"/>
        </w:rPr>
      </w:pPr>
    </w:p>
    <w:p w14:paraId="54870D0B">
      <w:pPr>
        <w:pStyle w:val="9"/>
        <w:jc w:val="center"/>
        <w:rPr>
          <w:rFonts w:hint="eastAsia" w:ascii="宋体" w:hAnsi="宋体"/>
          <w:b/>
          <w:bCs/>
          <w:szCs w:val="21"/>
        </w:rPr>
      </w:pPr>
    </w:p>
    <w:p w14:paraId="30F626B3">
      <w:pPr>
        <w:pStyle w:val="9"/>
        <w:jc w:val="center"/>
        <w:rPr>
          <w:rFonts w:hint="eastAsia" w:ascii="宋体" w:hAnsi="宋体"/>
          <w:b/>
          <w:bCs/>
          <w:szCs w:val="21"/>
        </w:rPr>
      </w:pPr>
    </w:p>
    <w:p w14:paraId="797B1601">
      <w:pPr>
        <w:pStyle w:val="9"/>
        <w:jc w:val="center"/>
        <w:rPr>
          <w:rFonts w:hint="eastAsia" w:ascii="宋体" w:hAnsi="宋体"/>
          <w:b/>
          <w:bCs/>
          <w:szCs w:val="21"/>
        </w:rPr>
      </w:pPr>
    </w:p>
    <w:p w14:paraId="37142E00">
      <w:pPr>
        <w:pStyle w:val="9"/>
        <w:jc w:val="center"/>
        <w:rPr>
          <w:rFonts w:hint="eastAsia" w:ascii="宋体" w:hAnsi="宋体"/>
          <w:b/>
          <w:bCs/>
          <w:szCs w:val="21"/>
        </w:rPr>
      </w:pPr>
    </w:p>
    <w:p w14:paraId="4AE2F2EE">
      <w:pPr>
        <w:pStyle w:val="9"/>
        <w:jc w:val="center"/>
        <w:rPr>
          <w:rFonts w:hint="eastAsia" w:ascii="宋体" w:hAnsi="宋体"/>
          <w:b/>
          <w:bCs/>
          <w:szCs w:val="21"/>
        </w:rPr>
      </w:pPr>
    </w:p>
    <w:p w14:paraId="2FF78B44">
      <w:pPr>
        <w:pStyle w:val="9"/>
        <w:jc w:val="both"/>
        <w:rPr>
          <w:rFonts w:hint="eastAsia" w:ascii="宋体" w:hAnsi="宋体"/>
          <w:b/>
          <w:bCs/>
          <w:szCs w:val="21"/>
        </w:rPr>
      </w:pPr>
    </w:p>
    <w:p w14:paraId="2813C72C">
      <w:pPr>
        <w:spacing w:after="60"/>
        <w:ind w:left="842" w:leftChars="200" w:hanging="422" w:hangingChars="200"/>
        <w:jc w:val="center"/>
        <w:rPr>
          <w:rFonts w:hint="eastAsia" w:ascii="宋体" w:hAnsi="宋体" w:cs="Times New Roman"/>
          <w:b/>
          <w:bCs/>
          <w:szCs w:val="21"/>
          <w:lang w:val="en-US" w:eastAsia="zh-CN"/>
        </w:rPr>
      </w:pPr>
    </w:p>
    <w:p w14:paraId="59E8CC3D">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04A89E91">
      <w:pPr>
        <w:spacing w:after="60"/>
        <w:rPr>
          <w:rFonts w:hint="eastAsia"/>
          <w:color w:val="000000"/>
          <w:szCs w:val="21"/>
        </w:rPr>
      </w:pPr>
    </w:p>
    <w:p w14:paraId="6D0016B5">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5A7591EA">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22BB6895">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45A5499B">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CF299E7">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22FACA99">
      <w:pPr>
        <w:pStyle w:val="15"/>
        <w:rPr>
          <w:rFonts w:hint="eastAsia" w:ascii="宋体" w:hAnsi="宋体"/>
          <w:lang w:val="en-US" w:eastAsia="zh-CN"/>
        </w:rPr>
      </w:pPr>
      <w:r>
        <w:rPr>
          <w:rFonts w:hint="eastAsia" w:ascii="宋体" w:hAnsi="宋体"/>
          <w:lang w:val="en-US" w:eastAsia="zh-CN"/>
        </w:rPr>
        <w:t xml:space="preserve"> </w:t>
      </w:r>
    </w:p>
    <w:p w14:paraId="1B02DB9F">
      <w:pPr>
        <w:pStyle w:val="15"/>
        <w:rPr>
          <w:rFonts w:hint="eastAsia" w:ascii="宋体" w:hAnsi="宋体"/>
          <w:lang w:val="en-US" w:eastAsia="zh-CN"/>
        </w:rPr>
      </w:pPr>
    </w:p>
    <w:p w14:paraId="2F2F9343">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981D7A5">
      <w:pPr>
        <w:spacing w:line="360" w:lineRule="auto"/>
        <w:ind w:firstLine="539" w:firstLineChars="257"/>
      </w:pPr>
    </w:p>
    <w:p w14:paraId="2BED8580">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6C56975">
      <w:pPr>
        <w:pStyle w:val="9"/>
        <w:rPr>
          <w:rStyle w:val="16"/>
          <w:rFonts w:hint="default"/>
          <w:color w:val="000000"/>
          <w:szCs w:val="28"/>
          <w:lang w:val="en-US" w:eastAsia="zh-CN"/>
        </w:rPr>
      </w:pPr>
    </w:p>
    <w:p w14:paraId="46D6A74B">
      <w:pPr>
        <w:pStyle w:val="9"/>
        <w:rPr>
          <w:rStyle w:val="16"/>
          <w:color w:val="000000"/>
          <w:szCs w:val="28"/>
        </w:rPr>
      </w:pPr>
    </w:p>
    <w:p w14:paraId="32917F01">
      <w:pPr>
        <w:pStyle w:val="9"/>
        <w:rPr>
          <w:rStyle w:val="16"/>
          <w:color w:val="000000"/>
          <w:szCs w:val="28"/>
        </w:rPr>
      </w:pPr>
    </w:p>
    <w:p w14:paraId="2E888EB6">
      <w:pPr>
        <w:pStyle w:val="9"/>
        <w:rPr>
          <w:rStyle w:val="16"/>
          <w:color w:val="000000"/>
          <w:szCs w:val="28"/>
        </w:rPr>
      </w:pPr>
    </w:p>
    <w:p w14:paraId="0230B1F1">
      <w:pPr>
        <w:pStyle w:val="9"/>
        <w:rPr>
          <w:rStyle w:val="16"/>
          <w:color w:val="000000"/>
          <w:szCs w:val="28"/>
        </w:rPr>
      </w:pPr>
    </w:p>
    <w:p w14:paraId="007FF618">
      <w:pPr>
        <w:spacing w:after="60"/>
        <w:rPr>
          <w:rFonts w:ascii="宋体" w:hAnsi="宋体"/>
          <w:b/>
          <w:bCs/>
          <w:szCs w:val="21"/>
        </w:rPr>
      </w:pPr>
    </w:p>
    <w:p w14:paraId="5A9CBF76">
      <w:pPr>
        <w:pStyle w:val="15"/>
        <w:rPr>
          <w:rFonts w:ascii="宋体" w:hAnsi="宋体"/>
          <w:b/>
          <w:bCs/>
          <w:szCs w:val="21"/>
        </w:rPr>
      </w:pPr>
    </w:p>
    <w:p w14:paraId="52546EFE">
      <w:pPr>
        <w:pStyle w:val="15"/>
        <w:rPr>
          <w:rFonts w:ascii="宋体" w:hAnsi="宋体"/>
          <w:b/>
          <w:bCs/>
          <w:szCs w:val="21"/>
        </w:rPr>
      </w:pPr>
    </w:p>
    <w:p w14:paraId="54C57E2A">
      <w:pPr>
        <w:pStyle w:val="15"/>
        <w:rPr>
          <w:rFonts w:ascii="宋体" w:hAnsi="宋体"/>
          <w:b/>
          <w:bCs/>
          <w:szCs w:val="21"/>
        </w:rPr>
      </w:pPr>
    </w:p>
    <w:p w14:paraId="41EB958E">
      <w:pPr>
        <w:pStyle w:val="15"/>
        <w:rPr>
          <w:rFonts w:ascii="宋体" w:hAnsi="宋体"/>
          <w:b/>
          <w:bCs/>
          <w:szCs w:val="21"/>
        </w:rPr>
      </w:pPr>
    </w:p>
    <w:p w14:paraId="69B4C007">
      <w:pPr>
        <w:spacing w:after="60"/>
        <w:ind w:left="842" w:leftChars="200" w:hanging="422" w:hangingChars="200"/>
        <w:jc w:val="center"/>
        <w:rPr>
          <w:rFonts w:hint="eastAsia" w:ascii="宋体" w:hAnsi="宋体"/>
          <w:b/>
          <w:bCs/>
          <w:szCs w:val="21"/>
        </w:rPr>
      </w:pPr>
    </w:p>
    <w:p w14:paraId="68D12D9B">
      <w:pPr>
        <w:spacing w:after="60"/>
        <w:ind w:left="842" w:leftChars="200" w:hanging="422" w:hangingChars="200"/>
        <w:jc w:val="center"/>
        <w:rPr>
          <w:rFonts w:hint="eastAsia" w:ascii="宋体" w:hAnsi="宋体"/>
          <w:b/>
          <w:bCs/>
          <w:szCs w:val="21"/>
        </w:rPr>
      </w:pPr>
    </w:p>
    <w:p w14:paraId="5F407390">
      <w:pPr>
        <w:spacing w:after="60"/>
        <w:ind w:left="842" w:leftChars="200" w:hanging="422" w:hangingChars="200"/>
        <w:jc w:val="center"/>
        <w:rPr>
          <w:rFonts w:hint="eastAsia" w:ascii="宋体" w:hAnsi="宋体"/>
          <w:b/>
          <w:bCs/>
          <w:szCs w:val="21"/>
        </w:rPr>
      </w:pPr>
    </w:p>
    <w:p w14:paraId="3E69E4E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2E460921">
      <w:pPr>
        <w:spacing w:line="360" w:lineRule="auto"/>
        <w:ind w:firstLine="420" w:firstLineChars="200"/>
        <w:rPr>
          <w:rFonts w:ascii="Arial" w:hAnsi="Arial"/>
          <w:szCs w:val="21"/>
        </w:rPr>
      </w:pPr>
    </w:p>
    <w:p w14:paraId="110BE7B9">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3160EDE9">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58524999">
      <w:pPr>
        <w:spacing w:line="360" w:lineRule="auto"/>
        <w:ind w:firstLine="420" w:firstLineChars="200"/>
        <w:rPr>
          <w:rFonts w:ascii="Arial" w:hAnsi="Arial"/>
          <w:szCs w:val="21"/>
        </w:rPr>
      </w:pPr>
      <w:r>
        <w:rPr>
          <w:rFonts w:hint="eastAsia" w:ascii="宋体"/>
        </w:rPr>
        <w:t>本授权书自盖章之日起生效，特此声明。</w:t>
      </w:r>
    </w:p>
    <w:p w14:paraId="22C87910">
      <w:pPr>
        <w:spacing w:line="300" w:lineRule="auto"/>
        <w:rPr>
          <w:rFonts w:ascii="Arial" w:hAnsi="Arial"/>
          <w:szCs w:val="21"/>
        </w:rPr>
      </w:pPr>
    </w:p>
    <w:p w14:paraId="7202CA57">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580EE6FF">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435E42DE">
      <w:pPr>
        <w:spacing w:line="360" w:lineRule="auto"/>
        <w:ind w:left="3360" w:leftChars="1600"/>
        <w:rPr>
          <w:rFonts w:ascii="Arial" w:hAnsi="Arial"/>
          <w:szCs w:val="21"/>
        </w:rPr>
      </w:pPr>
    </w:p>
    <w:p w14:paraId="0C107F6C">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3AAACC09">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EF92DBF">
      <w:pPr>
        <w:jc w:val="left"/>
        <w:rPr>
          <w:rFonts w:hint="eastAsia" w:ascii="宋体" w:hAnsi="宋体" w:cs="Times New Roman"/>
          <w:color w:val="FF0000"/>
          <w:kern w:val="2"/>
          <w:sz w:val="21"/>
          <w:szCs w:val="21"/>
          <w:lang w:val="en-US" w:eastAsia="zh-CN" w:bidi="ar-SA"/>
        </w:rPr>
      </w:pPr>
    </w:p>
    <w:p w14:paraId="71AB392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DFA3312">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74247C0E">
      <w:pPr>
        <w:pStyle w:val="7"/>
        <w:rPr>
          <w:rFonts w:hint="eastAsia" w:ascii="Arial" w:hAnsi="Arial"/>
          <w:szCs w:val="21"/>
        </w:rPr>
      </w:pPr>
    </w:p>
    <w:p w14:paraId="550094C8"/>
    <w:p w14:paraId="0153262F">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4D1CEF21">
      <w:pPr>
        <w:tabs>
          <w:tab w:val="left" w:pos="651"/>
        </w:tabs>
        <w:snapToGrid w:val="0"/>
        <w:spacing w:line="360" w:lineRule="exact"/>
        <w:rPr>
          <w:rFonts w:ascii="宋体" w:hAnsi="宋体"/>
          <w:color w:val="FF0000"/>
          <w:szCs w:val="21"/>
        </w:rPr>
      </w:pPr>
      <w:r>
        <w:rPr>
          <w:rFonts w:ascii="宋体" w:hAnsi="宋体"/>
          <w:color w:val="FF0000"/>
          <w:szCs w:val="21"/>
        </w:rPr>
        <w:t>备注:</w:t>
      </w:r>
    </w:p>
    <w:p w14:paraId="34357A2D">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54B5400B">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6B66F7B">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0FB0DD7F">
      <w:pPr>
        <w:adjustRightInd w:val="0"/>
        <w:snapToGrid w:val="0"/>
        <w:spacing w:line="360" w:lineRule="auto"/>
        <w:jc w:val="both"/>
      </w:pPr>
    </w:p>
    <w:p w14:paraId="7FEDDEC0">
      <w:pPr>
        <w:pStyle w:val="9"/>
        <w:jc w:val="center"/>
        <w:rPr>
          <w:rFonts w:hint="eastAsia" w:ascii="宋体" w:hAnsi="宋体"/>
          <w:b/>
          <w:bCs/>
          <w:szCs w:val="21"/>
        </w:rPr>
      </w:pPr>
    </w:p>
    <w:p w14:paraId="294A3E9F">
      <w:pPr>
        <w:pStyle w:val="9"/>
        <w:jc w:val="center"/>
        <w:rPr>
          <w:rFonts w:hint="eastAsia" w:ascii="宋体" w:hAnsi="宋体"/>
          <w:b/>
          <w:bCs/>
          <w:szCs w:val="21"/>
        </w:rPr>
      </w:pPr>
    </w:p>
    <w:p w14:paraId="47A2E110">
      <w:pPr>
        <w:pStyle w:val="9"/>
        <w:jc w:val="both"/>
        <w:rPr>
          <w:rFonts w:hint="eastAsia" w:ascii="宋体" w:hAnsi="宋体"/>
          <w:b/>
          <w:bCs/>
          <w:szCs w:val="21"/>
          <w:lang w:val="en-US" w:eastAsia="zh-CN"/>
        </w:rPr>
      </w:pPr>
    </w:p>
    <w:p w14:paraId="6B8CE61F">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7534D803">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731A26C">
      <w:pPr>
        <w:spacing w:line="300" w:lineRule="exact"/>
        <w:ind w:right="-815" w:firstLine="420" w:firstLineChars="200"/>
        <w:rPr>
          <w:rFonts w:ascii="宋体" w:hAnsi="宋体"/>
          <w:szCs w:val="21"/>
        </w:rPr>
      </w:pPr>
      <w:r>
        <w:rPr>
          <w:rFonts w:hint="eastAsia" w:ascii="宋体" w:hAnsi="宋体"/>
          <w:szCs w:val="21"/>
        </w:rPr>
        <w:t>我单位承诺：</w:t>
      </w:r>
    </w:p>
    <w:p w14:paraId="04DA3FB2">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1B03841D">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0F7F950">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443BE799">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37B76AFE">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0953489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4BC6D2FD">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75EB612">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C83D84F">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76BD684">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6A0E051F">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512854C">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F14D97C">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110BC3B8">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66257BF7">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75037726">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41E54E74">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5DA54C30">
      <w:pPr>
        <w:adjustRightInd w:val="0"/>
        <w:snapToGrid w:val="0"/>
        <w:spacing w:line="360" w:lineRule="auto"/>
        <w:jc w:val="right"/>
        <w:rPr>
          <w:rFonts w:hint="eastAsia" w:ascii="宋体" w:hAnsi="宋体"/>
          <w:sz w:val="21"/>
          <w:szCs w:val="21"/>
        </w:rPr>
      </w:pPr>
      <w:r>
        <w:rPr>
          <w:rFonts w:hint="eastAsia"/>
        </w:rPr>
        <w:t>年     月    日</w:t>
      </w:r>
    </w:p>
    <w:p w14:paraId="37EF26FD">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06C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739E6600">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307EF6C2">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5CD6C63">
            <w:pPr>
              <w:spacing w:line="360" w:lineRule="auto"/>
              <w:jc w:val="center"/>
              <w:rPr>
                <w:rFonts w:ascii="宋体" w:hAnsi="宋体" w:eastAsia="宋体"/>
                <w:b/>
                <w:szCs w:val="21"/>
              </w:rPr>
            </w:pPr>
            <w:r>
              <w:rPr>
                <w:rFonts w:hint="eastAsia" w:ascii="宋体" w:hAnsi="宋体" w:eastAsia="宋体"/>
                <w:b/>
                <w:szCs w:val="21"/>
              </w:rPr>
              <w:t>投标人响应情况</w:t>
            </w:r>
          </w:p>
          <w:p w14:paraId="0BB27E35">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3AA48831">
            <w:pPr>
              <w:spacing w:line="360" w:lineRule="auto"/>
              <w:jc w:val="center"/>
              <w:rPr>
                <w:rFonts w:ascii="宋体" w:hAnsi="宋体" w:eastAsia="宋体"/>
                <w:b/>
                <w:szCs w:val="21"/>
              </w:rPr>
            </w:pPr>
            <w:r>
              <w:rPr>
                <w:rFonts w:hint="eastAsia" w:ascii="宋体" w:hAnsi="宋体" w:eastAsia="宋体"/>
                <w:b/>
                <w:szCs w:val="21"/>
              </w:rPr>
              <w:t>名单</w:t>
            </w:r>
          </w:p>
        </w:tc>
      </w:tr>
      <w:tr w14:paraId="3D04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C18ACEE">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4FF25FB6">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1DE21D2C">
            <w:pPr>
              <w:spacing w:line="360" w:lineRule="auto"/>
              <w:jc w:val="center"/>
              <w:rPr>
                <w:rFonts w:ascii="宋体" w:hAnsi="宋体" w:eastAsia="宋体"/>
                <w:szCs w:val="21"/>
              </w:rPr>
            </w:pPr>
          </w:p>
        </w:tc>
        <w:tc>
          <w:tcPr>
            <w:tcW w:w="2222" w:type="dxa"/>
            <w:noWrap w:val="0"/>
            <w:vAlign w:val="center"/>
          </w:tcPr>
          <w:p w14:paraId="47690F1C">
            <w:pPr>
              <w:spacing w:line="360" w:lineRule="auto"/>
              <w:jc w:val="center"/>
              <w:rPr>
                <w:rFonts w:ascii="宋体" w:hAnsi="宋体" w:eastAsia="宋体"/>
                <w:szCs w:val="21"/>
              </w:rPr>
            </w:pPr>
          </w:p>
        </w:tc>
      </w:tr>
      <w:tr w14:paraId="3B4D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B74710A">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02385B1F">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1D4EFBF1">
            <w:pPr>
              <w:spacing w:line="360" w:lineRule="auto"/>
              <w:jc w:val="center"/>
              <w:rPr>
                <w:rFonts w:ascii="宋体" w:hAnsi="宋体" w:eastAsia="宋体"/>
                <w:szCs w:val="21"/>
              </w:rPr>
            </w:pPr>
          </w:p>
        </w:tc>
        <w:tc>
          <w:tcPr>
            <w:tcW w:w="2222" w:type="dxa"/>
            <w:noWrap w:val="0"/>
            <w:vAlign w:val="center"/>
          </w:tcPr>
          <w:p w14:paraId="0B23603A">
            <w:pPr>
              <w:spacing w:line="360" w:lineRule="auto"/>
              <w:jc w:val="center"/>
              <w:rPr>
                <w:rFonts w:ascii="宋体" w:hAnsi="宋体" w:eastAsia="宋体"/>
                <w:szCs w:val="21"/>
              </w:rPr>
            </w:pPr>
          </w:p>
        </w:tc>
      </w:tr>
      <w:tr w14:paraId="1F45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0D11A263">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4E23C6B6">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7692BA4C">
            <w:pPr>
              <w:spacing w:line="360" w:lineRule="auto"/>
              <w:jc w:val="center"/>
              <w:rPr>
                <w:rFonts w:ascii="宋体" w:hAnsi="宋体" w:eastAsia="宋体"/>
                <w:szCs w:val="21"/>
              </w:rPr>
            </w:pPr>
          </w:p>
        </w:tc>
        <w:tc>
          <w:tcPr>
            <w:tcW w:w="2222" w:type="dxa"/>
            <w:noWrap w:val="0"/>
            <w:vAlign w:val="center"/>
          </w:tcPr>
          <w:p w14:paraId="3239C573">
            <w:pPr>
              <w:spacing w:line="360" w:lineRule="auto"/>
              <w:jc w:val="center"/>
              <w:rPr>
                <w:rFonts w:ascii="宋体" w:hAnsi="宋体" w:eastAsia="宋体"/>
                <w:szCs w:val="21"/>
              </w:rPr>
            </w:pPr>
          </w:p>
        </w:tc>
      </w:tr>
      <w:tr w14:paraId="0829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4CAC175">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69D7FDC5">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7F2E1F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7E6F9F62">
            <w:pPr>
              <w:spacing w:line="360" w:lineRule="auto"/>
              <w:jc w:val="center"/>
              <w:rPr>
                <w:rFonts w:ascii="宋体" w:hAnsi="宋体" w:eastAsia="宋体"/>
                <w:szCs w:val="21"/>
              </w:rPr>
            </w:pPr>
          </w:p>
        </w:tc>
      </w:tr>
    </w:tbl>
    <w:p w14:paraId="1971FFFB">
      <w:pPr>
        <w:spacing w:line="360" w:lineRule="auto"/>
        <w:rPr>
          <w:rFonts w:ascii="宋体" w:hAnsi="宋体" w:eastAsia="宋体"/>
          <w:b/>
          <w:color w:val="FF0000"/>
          <w:szCs w:val="21"/>
        </w:rPr>
      </w:pPr>
      <w:r>
        <w:rPr>
          <w:rFonts w:hint="eastAsia" w:ascii="宋体" w:hAnsi="宋体" w:eastAsia="宋体"/>
          <w:b/>
          <w:color w:val="FF0000"/>
          <w:szCs w:val="21"/>
        </w:rPr>
        <w:t>注：</w:t>
      </w:r>
    </w:p>
    <w:p w14:paraId="5044064D">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19562192">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60705285">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1795A0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2B665681">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3A6404D1">
      <w:pPr>
        <w:adjustRightInd w:val="0"/>
        <w:snapToGrid w:val="0"/>
        <w:spacing w:line="300" w:lineRule="auto"/>
        <w:rPr>
          <w:b/>
          <w:bCs/>
          <w:snapToGrid w:val="0"/>
          <w:kern w:val="0"/>
        </w:rPr>
      </w:pPr>
    </w:p>
    <w:p w14:paraId="1CC61793">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45CD90AE">
      <w:pPr>
        <w:spacing w:after="60"/>
        <w:jc w:val="right"/>
        <w:rPr>
          <w:rFonts w:ascii="宋体" w:hAnsi="宋体"/>
          <w:szCs w:val="21"/>
        </w:rPr>
      </w:pPr>
      <w:r>
        <w:rPr>
          <w:rFonts w:hint="eastAsia" w:ascii="宋体" w:hAnsi="宋体"/>
          <w:szCs w:val="21"/>
        </w:rPr>
        <w:t>年     月    日</w:t>
      </w:r>
    </w:p>
    <w:p w14:paraId="2A0BC0F1">
      <w:pPr>
        <w:spacing w:after="60"/>
        <w:jc w:val="center"/>
        <w:rPr>
          <w:rFonts w:hint="eastAsia" w:ascii="宋体" w:hAnsi="宋体"/>
          <w:b/>
          <w:bCs/>
          <w:szCs w:val="21"/>
        </w:rPr>
      </w:pPr>
    </w:p>
    <w:p w14:paraId="7EE1D816">
      <w:pPr>
        <w:spacing w:after="60"/>
        <w:jc w:val="center"/>
        <w:rPr>
          <w:rFonts w:hint="eastAsia" w:ascii="宋体" w:hAnsi="宋体"/>
          <w:b/>
          <w:bCs/>
          <w:szCs w:val="21"/>
          <w:lang w:val="en-US" w:eastAsia="zh-CN"/>
        </w:rPr>
      </w:pPr>
    </w:p>
    <w:p w14:paraId="56A7C1B6">
      <w:pPr>
        <w:spacing w:after="60"/>
        <w:jc w:val="center"/>
        <w:rPr>
          <w:rFonts w:hint="eastAsia" w:ascii="宋体" w:hAnsi="宋体"/>
          <w:b/>
          <w:bCs/>
          <w:szCs w:val="21"/>
          <w:lang w:val="en-US" w:eastAsia="zh-CN"/>
        </w:rPr>
      </w:pPr>
    </w:p>
    <w:p w14:paraId="2B6B9BBA">
      <w:pPr>
        <w:spacing w:after="60"/>
        <w:jc w:val="center"/>
        <w:rPr>
          <w:rFonts w:hint="eastAsia" w:ascii="宋体" w:hAnsi="宋体"/>
          <w:b/>
          <w:bCs/>
          <w:szCs w:val="21"/>
          <w:lang w:val="en-US" w:eastAsia="zh-CN"/>
        </w:rPr>
      </w:pPr>
    </w:p>
    <w:p w14:paraId="483872A1">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2707E59">
      <w:pPr>
        <w:jc w:val="center"/>
        <w:rPr>
          <w:rFonts w:ascii="宋体" w:hAnsi="宋体" w:cs="宋体"/>
          <w:bCs/>
          <w:kern w:val="0"/>
          <w:szCs w:val="21"/>
        </w:rPr>
      </w:pPr>
    </w:p>
    <w:p w14:paraId="3029AA11">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1E2BE9B3">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0BE1769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97C016B">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462142B0">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DDAF4C6">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00C8777">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7523210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D0CE824">
      <w:pPr>
        <w:spacing w:after="60"/>
        <w:jc w:val="center"/>
        <w:rPr>
          <w:rFonts w:ascii="宋体" w:hAnsi="宋体"/>
          <w:b/>
          <w:bCs/>
          <w:szCs w:val="21"/>
        </w:rPr>
      </w:pPr>
    </w:p>
    <w:p w14:paraId="1B755D8C">
      <w:pPr>
        <w:spacing w:after="60"/>
        <w:jc w:val="center"/>
        <w:rPr>
          <w:rFonts w:ascii="宋体" w:hAnsi="宋体"/>
          <w:b/>
          <w:bCs/>
          <w:szCs w:val="21"/>
        </w:rPr>
      </w:pPr>
    </w:p>
    <w:p w14:paraId="18ECCE12">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32C5CEC">
      <w:pPr>
        <w:adjustRightInd w:val="0"/>
        <w:snapToGrid w:val="0"/>
        <w:spacing w:line="360" w:lineRule="auto"/>
        <w:jc w:val="center"/>
        <w:rPr>
          <w:rFonts w:ascii="Arial" w:hAnsi="Arial" w:cs="Arial"/>
          <w:szCs w:val="21"/>
        </w:rPr>
      </w:pPr>
    </w:p>
    <w:p w14:paraId="572C1986">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2A1861A">
      <w:pPr>
        <w:pStyle w:val="17"/>
        <w:rPr>
          <w:rFonts w:hint="eastAsia"/>
          <w:lang w:eastAsia="zh-CN"/>
        </w:rPr>
      </w:pPr>
    </w:p>
    <w:p w14:paraId="25309C38">
      <w:pPr>
        <w:jc w:val="center"/>
        <w:rPr>
          <w:rFonts w:ascii="宋体" w:hAnsi="宋体"/>
          <w:b/>
          <w:bCs w:val="0"/>
          <w:szCs w:val="21"/>
        </w:rPr>
      </w:pPr>
      <w:r>
        <w:rPr>
          <w:rFonts w:hint="eastAsia" w:ascii="宋体" w:hAnsi="宋体"/>
          <w:b/>
          <w:bCs w:val="0"/>
          <w:szCs w:val="21"/>
        </w:rPr>
        <w:t xml:space="preserve">中国政府采购网（www.ccgp.gov.cn）查询 </w:t>
      </w:r>
    </w:p>
    <w:p w14:paraId="4FE017DA">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5CFC665">
      <w:pPr>
        <w:rPr>
          <w:rFonts w:hint="eastAsia"/>
          <w:lang w:eastAsia="zh-CN"/>
        </w:rPr>
      </w:pPr>
    </w:p>
    <w:p w14:paraId="1949A935">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306F12ED">
      <w:pPr>
        <w:spacing w:afterLines="25" w:line="300" w:lineRule="auto"/>
        <w:ind w:left="420"/>
        <w:rPr>
          <w:b/>
          <w:color w:val="000000"/>
          <w:sz w:val="28"/>
          <w:szCs w:val="28"/>
        </w:rPr>
      </w:pPr>
    </w:p>
    <w:p w14:paraId="4CD3FD71">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D26EDE7">
      <w:pPr>
        <w:adjustRightInd w:val="0"/>
        <w:snapToGrid w:val="0"/>
        <w:spacing w:line="360" w:lineRule="auto"/>
        <w:jc w:val="center"/>
        <w:rPr>
          <w:rFonts w:ascii="Arial" w:hAnsi="Arial" w:cs="Arial"/>
          <w:szCs w:val="21"/>
        </w:rPr>
      </w:pPr>
    </w:p>
    <w:p w14:paraId="3075468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FE29305">
      <w:pPr>
        <w:pStyle w:val="15"/>
        <w:rPr>
          <w:rFonts w:hint="eastAsia" w:ascii="仿宋_GB2312" w:eastAsia="仿宋_GB2312"/>
          <w:sz w:val="28"/>
          <w:szCs w:val="28"/>
        </w:rPr>
      </w:pPr>
    </w:p>
    <w:p w14:paraId="29F8A84B">
      <w:pPr>
        <w:pStyle w:val="15"/>
        <w:rPr>
          <w:rFonts w:hint="eastAsia" w:ascii="仿宋_GB2312" w:eastAsia="仿宋_GB2312"/>
          <w:sz w:val="28"/>
          <w:szCs w:val="28"/>
        </w:rPr>
      </w:pPr>
    </w:p>
    <w:p w14:paraId="127DB436">
      <w:pPr>
        <w:pStyle w:val="15"/>
        <w:rPr>
          <w:rFonts w:hint="eastAsia" w:ascii="仿宋_GB2312" w:eastAsia="仿宋_GB2312"/>
          <w:sz w:val="28"/>
          <w:szCs w:val="28"/>
        </w:rPr>
      </w:pPr>
    </w:p>
    <w:p w14:paraId="22D670D2">
      <w:pPr>
        <w:pStyle w:val="15"/>
        <w:rPr>
          <w:rFonts w:hint="eastAsia" w:ascii="仿宋_GB2312" w:eastAsia="仿宋_GB2312"/>
          <w:sz w:val="28"/>
          <w:szCs w:val="28"/>
        </w:rPr>
      </w:pPr>
    </w:p>
    <w:p w14:paraId="00D85491">
      <w:pPr>
        <w:pStyle w:val="15"/>
        <w:rPr>
          <w:rFonts w:hint="eastAsia" w:ascii="仿宋_GB2312" w:eastAsia="仿宋_GB2312"/>
          <w:sz w:val="28"/>
          <w:szCs w:val="28"/>
        </w:rPr>
      </w:pPr>
    </w:p>
    <w:p w14:paraId="3AEFC5E6">
      <w:pPr>
        <w:pStyle w:val="15"/>
        <w:rPr>
          <w:rFonts w:hint="eastAsia" w:ascii="仿宋_GB2312" w:eastAsia="仿宋_GB2312"/>
          <w:sz w:val="28"/>
          <w:szCs w:val="28"/>
        </w:rPr>
      </w:pPr>
    </w:p>
    <w:p w14:paraId="2C5584D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37550E08">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5B03365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79997B97">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bCs/>
          <w:color w:val="FF0000"/>
          <w:kern w:val="0"/>
          <w:sz w:val="21"/>
          <w:szCs w:val="21"/>
          <w:lang w:val="en-US" w:eastAsia="zh-CN" w:bidi="ar-SA"/>
        </w:rPr>
      </w:pPr>
    </w:p>
    <w:p w14:paraId="0051C0EA">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w:t>
      </w:r>
      <w:r>
        <w:rPr>
          <w:rFonts w:hint="eastAsia" w:ascii="宋体" w:hAnsi="宋体" w:cs="Times New Roman"/>
          <w:b/>
          <w:bCs/>
          <w:color w:val="FF0000"/>
          <w:szCs w:val="21"/>
          <w:highlight w:val="none"/>
          <w:lang w:val="en-US" w:eastAsia="zh-CN"/>
        </w:rPr>
        <w:t>服务要求</w:t>
      </w:r>
      <w:r>
        <w:rPr>
          <w:rFonts w:hint="eastAsia" w:ascii="宋体" w:hAnsi="宋体" w:eastAsia="宋体" w:cs="Times New Roman"/>
          <w:b/>
          <w:bCs/>
          <w:color w:val="FF0000"/>
          <w:szCs w:val="21"/>
          <w:highlight w:val="none"/>
          <w:lang w:val="en-US" w:eastAsia="zh-CN"/>
        </w:rPr>
        <w:t>和商务条款进行整体逐条响应</w:t>
      </w:r>
    </w:p>
    <w:p w14:paraId="10A0C6F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和商务条款中打“★”号条款为实质性条款，有任何一条负偏离则导致无效投标。</w:t>
      </w:r>
    </w:p>
    <w:p w14:paraId="29E0E586">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和商务条款中打“▲”号条款为重要技术参数，但不作为无效投标条款。</w:t>
      </w:r>
    </w:p>
    <w:p w14:paraId="46E50C4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w:t>
      </w:r>
      <w:r>
        <w:rPr>
          <w:rFonts w:hint="eastAsia" w:ascii="宋体" w:hAnsi="宋体" w:cs="宋体"/>
          <w:bCs/>
          <w:color w:val="FF0000"/>
          <w:kern w:val="0"/>
          <w:sz w:val="21"/>
          <w:szCs w:val="21"/>
          <w:lang w:val="en-US" w:eastAsia="zh-CN"/>
        </w:rPr>
        <w:t>服务要求</w:t>
      </w:r>
      <w:r>
        <w:rPr>
          <w:rFonts w:hint="eastAsia" w:ascii="宋体" w:hAnsi="宋体" w:eastAsia="宋体" w:cs="宋体"/>
          <w:bCs/>
          <w:color w:val="FF0000"/>
          <w:kern w:val="0"/>
          <w:sz w:val="21"/>
          <w:szCs w:val="21"/>
          <w:lang w:val="en-US" w:eastAsia="zh-CN"/>
        </w:rPr>
        <w:t>和商务条款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2D717D04">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299D4B6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41575DC4">
      <w:pPr>
        <w:pStyle w:val="7"/>
        <w:rPr>
          <w:rFonts w:hint="eastAsia" w:ascii="宋体" w:hAnsi="宋体" w:eastAsia="宋体" w:cs="宋体"/>
          <w:bCs/>
          <w:color w:val="FF0000"/>
          <w:kern w:val="0"/>
          <w:sz w:val="21"/>
          <w:szCs w:val="21"/>
          <w:lang w:val="en-US" w:eastAsia="zh-CN" w:bidi="ar-SA"/>
        </w:rPr>
      </w:pPr>
    </w:p>
    <w:p w14:paraId="38A7A455">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1"/>
        <w:tblW w:w="8684"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53"/>
        <w:gridCol w:w="2580"/>
        <w:gridCol w:w="701"/>
        <w:gridCol w:w="1433"/>
        <w:gridCol w:w="2201"/>
        <w:gridCol w:w="1216"/>
      </w:tblGrid>
      <w:tr w14:paraId="093C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553" w:type="dxa"/>
            <w:noWrap w:val="0"/>
            <w:vAlign w:val="center"/>
          </w:tcPr>
          <w:p w14:paraId="45FB64C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580" w:type="dxa"/>
            <w:noWrap w:val="0"/>
            <w:vAlign w:val="center"/>
          </w:tcPr>
          <w:p w14:paraId="37938F1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701" w:type="dxa"/>
            <w:noWrap w:val="0"/>
            <w:vAlign w:val="center"/>
          </w:tcPr>
          <w:p w14:paraId="639CD39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ascii="Times New Roman" w:hAnsi="Times New Roman" w:cs="Times New Roman"/>
                <w:b/>
                <w:bCs/>
                <w:color w:val="FF0000"/>
                <w:sz w:val="21"/>
                <w:szCs w:val="21"/>
                <w:vertAlign w:val="baseline"/>
                <w:lang w:val="en-US" w:eastAsia="zh-CN"/>
              </w:rPr>
              <w:t>数</w:t>
            </w:r>
            <w:r>
              <w:rPr>
                <w:rFonts w:hint="eastAsia" w:ascii="Times New Roman" w:hAnsi="Times New Roman" w:eastAsia="宋体" w:cs="Times New Roman"/>
                <w:b/>
                <w:bCs/>
                <w:color w:val="FF0000"/>
                <w:sz w:val="21"/>
                <w:szCs w:val="21"/>
                <w:vertAlign w:val="baseline"/>
                <w:lang w:val="en-US" w:eastAsia="zh-CN"/>
              </w:rPr>
              <w:t>量</w:t>
            </w:r>
          </w:p>
        </w:tc>
        <w:tc>
          <w:tcPr>
            <w:tcW w:w="1433" w:type="dxa"/>
            <w:noWrap w:val="0"/>
            <w:vAlign w:val="center"/>
          </w:tcPr>
          <w:p w14:paraId="218E6B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2CECE31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lang w:val="en-US" w:eastAsia="zh-CN"/>
              </w:rPr>
              <w:t>（人民币元）</w:t>
            </w:r>
          </w:p>
        </w:tc>
        <w:tc>
          <w:tcPr>
            <w:tcW w:w="2201" w:type="dxa"/>
            <w:noWrap w:val="0"/>
            <w:vAlign w:val="center"/>
          </w:tcPr>
          <w:p w14:paraId="7D375B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Times New Roman" w:hAnsi="Times New Roman" w:eastAsia="宋体" w:cs="Times New Roman"/>
                <w:b/>
                <w:bCs/>
                <w:color w:val="FF0000"/>
                <w:kern w:val="2"/>
                <w:sz w:val="21"/>
                <w:szCs w:val="21"/>
                <w:lang w:val="en-US" w:eastAsia="zh-CN" w:bidi="ar-SA"/>
              </w:rPr>
            </w:pPr>
            <w:r>
              <w:rPr>
                <w:rFonts w:hint="eastAsia" w:eastAsia="宋体"/>
                <w:b/>
                <w:bCs/>
                <w:color w:val="FF0000"/>
                <w:sz w:val="21"/>
                <w:szCs w:val="21"/>
              </w:rPr>
              <w:t>技术需求或服务要求</w:t>
            </w:r>
          </w:p>
        </w:tc>
        <w:tc>
          <w:tcPr>
            <w:tcW w:w="1216" w:type="dxa"/>
            <w:noWrap w:val="0"/>
            <w:vAlign w:val="center"/>
          </w:tcPr>
          <w:p w14:paraId="7E66114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3701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808" w:hRule="atLeast"/>
        </w:trPr>
        <w:tc>
          <w:tcPr>
            <w:tcW w:w="553" w:type="dxa"/>
            <w:noWrap w:val="0"/>
            <w:vAlign w:val="center"/>
          </w:tcPr>
          <w:p w14:paraId="5A8F62F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cs="Times New Roman"/>
                <w:color w:val="FF0000"/>
                <w:sz w:val="21"/>
                <w:szCs w:val="21"/>
                <w:lang w:val="en-US" w:eastAsia="zh-CN"/>
              </w:rPr>
            </w:pPr>
            <w:r>
              <w:rPr>
                <w:rFonts w:hint="eastAsia" w:cs="Times New Roman"/>
                <w:color w:val="FF0000"/>
                <w:sz w:val="21"/>
                <w:szCs w:val="21"/>
                <w:lang w:val="en-US" w:eastAsia="zh-CN"/>
              </w:rPr>
              <w:t>1</w:t>
            </w:r>
          </w:p>
        </w:tc>
        <w:tc>
          <w:tcPr>
            <w:tcW w:w="2580" w:type="dxa"/>
            <w:noWrap w:val="0"/>
            <w:vAlign w:val="center"/>
          </w:tcPr>
          <w:p w14:paraId="7AD3E2A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沙一社康冷库迁移至后亭社康新址 （第二次招标）</w:t>
            </w:r>
            <w:r>
              <w:rPr>
                <w:rFonts w:hint="eastAsia" w:ascii="宋体" w:hAnsi="宋体" w:eastAsia="宋体" w:cs="宋体"/>
                <w:bCs/>
                <w:color w:val="FF0000"/>
                <w:kern w:val="0"/>
                <w:sz w:val="21"/>
                <w:szCs w:val="21"/>
                <w:highlight w:val="none"/>
                <w:lang w:val="en-US" w:eastAsia="zh-CN"/>
              </w:rPr>
              <w:t xml:space="preserve"> </w:t>
            </w:r>
          </w:p>
        </w:tc>
        <w:tc>
          <w:tcPr>
            <w:tcW w:w="701" w:type="dxa"/>
            <w:noWrap w:val="0"/>
            <w:vAlign w:val="center"/>
          </w:tcPr>
          <w:p w14:paraId="043E8DB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bidi="ar-SA"/>
              </w:rPr>
            </w:pPr>
            <w:r>
              <w:rPr>
                <w:rFonts w:hint="eastAsia" w:ascii="宋体" w:hAnsi="宋体" w:cs="宋体"/>
                <w:bCs/>
                <w:color w:val="FF0000"/>
                <w:kern w:val="0"/>
                <w:sz w:val="21"/>
                <w:szCs w:val="21"/>
                <w:highlight w:val="none"/>
                <w:lang w:val="en-US" w:eastAsia="zh-CN"/>
              </w:rPr>
              <w:t>1项</w:t>
            </w:r>
          </w:p>
        </w:tc>
        <w:tc>
          <w:tcPr>
            <w:tcW w:w="1433" w:type="dxa"/>
            <w:noWrap w:val="0"/>
            <w:vAlign w:val="center"/>
          </w:tcPr>
          <w:p w14:paraId="2E0B9AF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rPr>
              <w:t>41300</w:t>
            </w:r>
          </w:p>
        </w:tc>
        <w:tc>
          <w:tcPr>
            <w:tcW w:w="2201" w:type="dxa"/>
            <w:noWrap w:val="0"/>
            <w:vAlign w:val="center"/>
          </w:tcPr>
          <w:p w14:paraId="433B185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Cs/>
                <w:color w:val="FF0000"/>
                <w:kern w:val="0"/>
                <w:sz w:val="21"/>
                <w:szCs w:val="21"/>
                <w:highlight w:val="none"/>
                <w:lang w:val="en-US" w:eastAsia="zh-CN" w:bidi="ar-SA"/>
              </w:rPr>
            </w:pPr>
            <w:r>
              <w:rPr>
                <w:rFonts w:hint="eastAsia" w:ascii="宋体" w:hAnsi="宋体" w:eastAsia="宋体" w:cs="宋体"/>
                <w:bCs/>
                <w:color w:val="FF0000"/>
                <w:kern w:val="0"/>
                <w:sz w:val="21"/>
                <w:szCs w:val="21"/>
                <w:highlight w:val="none"/>
                <w:lang w:val="en-US" w:eastAsia="zh-CN"/>
              </w:rPr>
              <w:t>详见招标文件用户需求书</w:t>
            </w:r>
          </w:p>
        </w:tc>
        <w:tc>
          <w:tcPr>
            <w:tcW w:w="1216" w:type="dxa"/>
            <w:noWrap w:val="0"/>
            <w:vAlign w:val="center"/>
          </w:tcPr>
          <w:p w14:paraId="369C4CD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宋体"/>
                <w:bCs/>
                <w:color w:val="FF0000"/>
                <w:kern w:val="0"/>
                <w:sz w:val="21"/>
                <w:szCs w:val="21"/>
                <w:highlight w:val="none"/>
                <w:lang w:val="en-US" w:eastAsia="zh-CN"/>
              </w:rPr>
            </w:pPr>
            <w:r>
              <w:rPr>
                <w:rFonts w:hint="eastAsia" w:ascii="宋体" w:hAnsi="宋体" w:cs="宋体"/>
                <w:bCs/>
                <w:color w:val="FF0000"/>
                <w:kern w:val="0"/>
                <w:sz w:val="21"/>
                <w:szCs w:val="21"/>
                <w:highlight w:val="none"/>
                <w:lang w:val="en-US" w:eastAsia="zh-CN"/>
              </w:rPr>
              <w:t>/</w:t>
            </w:r>
          </w:p>
        </w:tc>
      </w:tr>
    </w:tbl>
    <w:p w14:paraId="1C02C6DD">
      <w:pPr>
        <w:numPr>
          <w:ilvl w:val="0"/>
          <w:numId w:val="0"/>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0FA769FD">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沙一珑庭社区健康服务站预防接种门诊已停诊，疫苗后补式冷库闲置，后亭社康已选定新址装修，原社康无后补式冷库，经研究决定，为合理利用资源，将沙一珑庭社康后补式冷库搬迁至后亭新社康安装使用。</w:t>
      </w:r>
    </w:p>
    <w:p w14:paraId="1593C1A5">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沙一社康冷库迁移至后亭社康新址项目2024</w:t>
      </w:r>
      <w:r>
        <w:rPr>
          <w:rFonts w:hint="default" w:ascii="宋体" w:hAnsi="宋体" w:eastAsia="宋体" w:cs="宋体"/>
          <w:bCs/>
          <w:color w:val="FF0000"/>
          <w:kern w:val="0"/>
          <w:sz w:val="21"/>
          <w:szCs w:val="21"/>
          <w:lang w:val="en-US" w:eastAsia="zh-CN" w:bidi="ar-SA"/>
        </w:rPr>
        <w:t xml:space="preserve">年7月23日开标时，因合格投标人不足 </w:t>
      </w:r>
    </w:p>
    <w:p w14:paraId="64A114B7">
      <w:pPr>
        <w:numPr>
          <w:ilvl w:val="0"/>
          <w:numId w:val="0"/>
        </w:numPr>
        <w:ind w:left="0" w:leftChars="0" w:firstLine="0" w:firstLineChars="0"/>
        <w:rPr>
          <w:rFonts w:hint="eastAsia"/>
          <w:lang w:val="en-US" w:eastAsia="zh-CN"/>
        </w:rPr>
      </w:pPr>
      <w:r>
        <w:rPr>
          <w:rFonts w:hint="default" w:ascii="宋体" w:hAnsi="宋体" w:eastAsia="宋体" w:cs="宋体"/>
          <w:bCs/>
          <w:color w:val="FF0000"/>
          <w:kern w:val="0"/>
          <w:sz w:val="21"/>
          <w:szCs w:val="21"/>
          <w:lang w:val="en-US" w:eastAsia="zh-CN" w:bidi="ar-SA"/>
        </w:rPr>
        <w:t xml:space="preserve">三家，故本项目废标。经部门讨论研究决定，项目采购需求内容不变，现申请本项目重启招标。 </w:t>
      </w:r>
    </w:p>
    <w:p w14:paraId="7D4C13B7">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055182E6">
      <w:pPr>
        <w:numPr>
          <w:ilvl w:val="0"/>
          <w:numId w:val="0"/>
        </w:numPr>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一次性服务</w:t>
      </w:r>
    </w:p>
    <w:p w14:paraId="7E39790F">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w:t>
      </w:r>
      <w:bookmarkStart w:id="2" w:name="_GoBack"/>
      <w:bookmarkEnd w:id="2"/>
      <w:r>
        <w:rPr>
          <w:rFonts w:hint="eastAsia" w:ascii="宋体" w:hAnsi="宋体" w:eastAsia="宋体" w:cs="Times New Roman"/>
          <w:b/>
          <w:bCs/>
          <w:color w:val="FF0000"/>
          <w:szCs w:val="21"/>
          <w:lang w:val="en-US" w:eastAsia="zh-CN"/>
        </w:rPr>
        <w:t>求</w:t>
      </w:r>
    </w:p>
    <w:p w14:paraId="7F6C075E">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832C30B">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1EB1FB07">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0F4D8C13">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089C500C">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0C007764">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413461EB">
      <w:pPr>
        <w:pStyle w:val="8"/>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1D248898">
      <w:pPr>
        <w:pStyle w:val="8"/>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27E54E65">
      <w:pPr>
        <w:numPr>
          <w:ilvl w:val="0"/>
          <w:numId w:val="0"/>
        </w:numPr>
        <w:jc w:val="both"/>
        <w:rPr>
          <w:rFonts w:hint="eastAsia"/>
          <w:sz w:val="18"/>
          <w:szCs w:val="18"/>
          <w:highlight w:val="yellow"/>
          <w:lang w:val="en-US" w:eastAsia="zh-CN"/>
        </w:rPr>
      </w:pPr>
      <w:r>
        <w:rPr>
          <w:rFonts w:hint="eastAsia" w:ascii="宋体" w:hAnsi="宋体" w:cs="Times New Roman"/>
          <w:b/>
          <w:bCs/>
          <w:color w:val="FF0000"/>
          <w:szCs w:val="21"/>
          <w:highlight w:val="none"/>
          <w:lang w:val="en-US" w:eastAsia="zh-CN"/>
        </w:rPr>
        <w:t>五</w:t>
      </w:r>
      <w:r>
        <w:rPr>
          <w:rFonts w:hint="eastAsia" w:ascii="宋体" w:hAnsi="宋体" w:eastAsia="宋体" w:cs="Times New Roman"/>
          <w:b/>
          <w:bCs/>
          <w:color w:val="FF0000"/>
          <w:szCs w:val="21"/>
          <w:highlight w:val="none"/>
          <w:lang w:val="en-US" w:eastAsia="zh-CN"/>
        </w:rPr>
        <w:t>、</w:t>
      </w:r>
      <w:r>
        <w:rPr>
          <w:rFonts w:hint="eastAsia" w:ascii="宋体" w:hAnsi="宋体" w:cs="Times New Roman"/>
          <w:b/>
          <w:bCs/>
          <w:color w:val="FF0000"/>
          <w:szCs w:val="21"/>
          <w:highlight w:val="none"/>
          <w:lang w:val="en-US" w:eastAsia="zh-CN"/>
        </w:rPr>
        <w:t>服务要求</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5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616"/>
      </w:tblGrid>
      <w:tr w14:paraId="19E0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blHeader/>
          <w:jc w:val="center"/>
        </w:trPr>
        <w:tc>
          <w:tcPr>
            <w:tcW w:w="784" w:type="pct"/>
            <w:noWrap w:val="0"/>
            <w:vAlign w:val="center"/>
          </w:tcPr>
          <w:p w14:paraId="04E1B34F">
            <w:pPr>
              <w:keepNext w:val="0"/>
              <w:keepLines w:val="0"/>
              <w:widowControl/>
              <w:suppressLineNumbers w:val="0"/>
              <w:jc w:val="center"/>
              <w:textAlignment w:val="center"/>
              <w:rPr>
                <w:rFonts w:hint="eastAsia" w:ascii="宋体" w:hAnsi="宋体" w:eastAsia="宋体" w:cs="Times New Roman"/>
                <w:b/>
                <w:color w:val="FF0000"/>
                <w:kern w:val="0"/>
                <w:sz w:val="21"/>
                <w:szCs w:val="21"/>
                <w:lang w:eastAsia="zh-CN"/>
              </w:rPr>
            </w:pPr>
            <w:r>
              <w:rPr>
                <w:rFonts w:hint="eastAsia" w:ascii="宋体" w:hAnsi="宋体" w:eastAsia="宋体" w:cs="Times New Roman"/>
                <w:b/>
                <w:color w:val="FF0000"/>
                <w:kern w:val="0"/>
                <w:sz w:val="21"/>
                <w:szCs w:val="21"/>
                <w:lang w:eastAsia="zh-CN"/>
              </w:rPr>
              <w:t>内容</w:t>
            </w:r>
          </w:p>
        </w:tc>
        <w:tc>
          <w:tcPr>
            <w:tcW w:w="4215" w:type="pct"/>
            <w:noWrap w:val="0"/>
            <w:vAlign w:val="center"/>
          </w:tcPr>
          <w:p w14:paraId="5646D239">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rPr>
            </w:pPr>
            <w:r>
              <w:rPr>
                <w:rFonts w:hint="eastAsia" w:ascii="宋体" w:hAnsi="宋体" w:eastAsia="宋体" w:cs="Times New Roman"/>
                <w:b/>
                <w:color w:val="FF0000"/>
                <w:kern w:val="0"/>
                <w:sz w:val="21"/>
                <w:szCs w:val="21"/>
                <w:lang w:eastAsia="zh-CN"/>
              </w:rPr>
              <w:t>招标</w:t>
            </w:r>
            <w:r>
              <w:rPr>
                <w:rFonts w:hint="eastAsia" w:ascii="宋体" w:hAnsi="宋体" w:cs="Times New Roman"/>
                <w:b/>
                <w:color w:val="FF0000"/>
                <w:kern w:val="0"/>
                <w:sz w:val="21"/>
                <w:szCs w:val="21"/>
                <w:lang w:eastAsia="zh-CN"/>
              </w:rPr>
              <w:t>服务</w:t>
            </w:r>
            <w:r>
              <w:rPr>
                <w:rFonts w:hint="eastAsia" w:ascii="宋体" w:hAnsi="宋体" w:eastAsia="宋体" w:cs="Times New Roman"/>
                <w:b/>
                <w:color w:val="FF0000"/>
                <w:kern w:val="0"/>
                <w:sz w:val="21"/>
                <w:szCs w:val="21"/>
                <w:lang w:eastAsia="zh-CN"/>
              </w:rPr>
              <w:t>要求</w:t>
            </w:r>
          </w:p>
        </w:tc>
      </w:tr>
      <w:tr w14:paraId="4863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84" w:type="pct"/>
            <w:noWrap w:val="0"/>
            <w:vAlign w:val="center"/>
          </w:tcPr>
          <w:p w14:paraId="342E8F93">
            <w:pPr>
              <w:jc w:val="center"/>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服务内容</w:t>
            </w:r>
          </w:p>
        </w:tc>
        <w:tc>
          <w:tcPr>
            <w:tcW w:w="4215" w:type="pct"/>
            <w:noWrap w:val="0"/>
            <w:vAlign w:val="center"/>
          </w:tcPr>
          <w:p w14:paraId="0BFF9B7D">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★1、因搬迁等原因导致后补式冷库配件损坏或不能二次重复使用的配件，中标方应提供与原厂相同配件更换并承担因此产生的费用。</w:t>
            </w:r>
          </w:p>
          <w:p w14:paraId="321D2621">
            <w:pPr>
              <w:numPr>
                <w:ilvl w:val="0"/>
                <w:numId w:val="0"/>
              </w:numPr>
              <w:ind w:leftChars="0"/>
              <w:rPr>
                <w:rFonts w:hint="eastAsia" w:ascii="宋体" w:hAnsi="宋体" w:eastAsia="宋体" w:cs="Times New Roman"/>
                <w:b/>
                <w:color w:val="auto"/>
                <w:kern w:val="0"/>
                <w:sz w:val="28"/>
                <w:szCs w:val="28"/>
                <w:highlight w:val="none"/>
                <w:lang w:val="en-US" w:eastAsia="zh-CN" w:bidi="ar-SA"/>
              </w:rPr>
            </w:pPr>
            <w:r>
              <w:rPr>
                <w:rFonts w:hint="eastAsia" w:ascii="Times New Roman" w:hAnsi="Times New Roman" w:eastAsia="宋体" w:cs="Times New Roman"/>
                <w:color w:val="FF0000"/>
                <w:lang w:val="en-US" w:eastAsia="zh-CN"/>
              </w:rPr>
              <w:t>2、拆迁：拆除冷库时，需要确保安全和环保，包括合适的拆除方法、材料回收和处理以及遵守相关法规和标准。</w:t>
            </w:r>
            <w:r>
              <w:rPr>
                <w:rFonts w:hint="eastAsia" w:ascii="Times New Roman" w:hAnsi="Times New Roman" w:eastAsia="宋体" w:cs="Times New Roman"/>
                <w:color w:val="FF0000"/>
                <w:lang w:val="en-US" w:eastAsia="zh-CN"/>
              </w:rPr>
              <w:br w:type="textWrapping"/>
            </w:r>
            <w:r>
              <w:rPr>
                <w:rFonts w:hint="eastAsia" w:ascii="Times New Roman" w:hAnsi="Times New Roman" w:eastAsia="宋体" w:cs="Times New Roman"/>
                <w:color w:val="FF0000"/>
                <w:lang w:val="en-US" w:eastAsia="zh-CN"/>
              </w:rPr>
              <w:t>3、运输：将冷库设备和材料运输到指定地点。</w:t>
            </w:r>
            <w:r>
              <w:rPr>
                <w:rFonts w:hint="eastAsia" w:ascii="Times New Roman" w:hAnsi="Times New Roman" w:eastAsia="宋体" w:cs="Times New Roman"/>
                <w:color w:val="FF0000"/>
                <w:lang w:val="en-US" w:eastAsia="zh-CN"/>
              </w:rPr>
              <w:br w:type="textWrapping"/>
            </w:r>
            <w:r>
              <w:rPr>
                <w:rFonts w:hint="eastAsia" w:ascii="Times New Roman" w:hAnsi="Times New Roman" w:eastAsia="宋体" w:cs="Times New Roman"/>
                <w:color w:val="FF0000"/>
                <w:lang w:val="en-US" w:eastAsia="zh-CN"/>
              </w:rPr>
              <w:t>4、安装：冷库的安装需要按照工程图纸（详见附件：后亭社康新址预防接种门诊平面图）进行，确保设备稳固、安全和有效运行。</w:t>
            </w:r>
            <w:r>
              <w:rPr>
                <w:rFonts w:hint="eastAsia" w:ascii="Times New Roman" w:hAnsi="Times New Roman" w:eastAsia="宋体" w:cs="Times New Roman"/>
                <w:color w:val="FF0000"/>
                <w:lang w:val="en-US" w:eastAsia="zh-CN"/>
              </w:rPr>
              <w:br w:type="textWrapping"/>
            </w:r>
            <w:r>
              <w:rPr>
                <w:rFonts w:hint="eastAsia" w:ascii="Times New Roman" w:hAnsi="Times New Roman" w:eastAsia="宋体" w:cs="Times New Roman"/>
                <w:color w:val="FF0000"/>
                <w:lang w:val="en-US" w:eastAsia="zh-CN"/>
              </w:rPr>
              <w:t>5、电气和管道连接：冷库需要电气和管道连接，确保设备正常运行和供电。</w:t>
            </w:r>
            <w:r>
              <w:rPr>
                <w:rFonts w:hint="eastAsia" w:ascii="Times New Roman" w:hAnsi="Times New Roman" w:eastAsia="宋体" w:cs="Times New Roman"/>
                <w:color w:val="FF0000"/>
                <w:lang w:val="en-US" w:eastAsia="zh-CN"/>
              </w:rPr>
              <w:br w:type="textWrapping"/>
            </w:r>
            <w:r>
              <w:rPr>
                <w:rFonts w:hint="eastAsia" w:ascii="Times New Roman" w:hAnsi="Times New Roman" w:eastAsia="宋体" w:cs="Times New Roman"/>
                <w:color w:val="FF0000"/>
                <w:lang w:val="en-US" w:eastAsia="zh-CN"/>
              </w:rPr>
              <w:t>6、维护和保养：安装完成后，需要提供一季度一次的维护和保养，确保冷库设备的正常运行和寿命。</w:t>
            </w:r>
          </w:p>
        </w:tc>
      </w:tr>
    </w:tbl>
    <w:p w14:paraId="6126F5DD">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14:paraId="3DFC5CD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1"/>
        <w:tblW w:w="90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3"/>
        <w:gridCol w:w="7840"/>
      </w:tblGrid>
      <w:tr w14:paraId="483820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253" w:type="dxa"/>
            <w:tcBorders>
              <w:right w:val="single" w:color="auto" w:sz="4" w:space="0"/>
            </w:tcBorders>
            <w:noWrap w:val="0"/>
            <w:vAlign w:val="top"/>
          </w:tcPr>
          <w:p w14:paraId="494911C3">
            <w:pPr>
              <w:jc w:val="center"/>
              <w:rPr>
                <w:color w:val="FF0000"/>
                <w:sz w:val="21"/>
                <w:szCs w:val="21"/>
              </w:rPr>
            </w:pPr>
            <w:r>
              <w:rPr>
                <w:rFonts w:hint="eastAsia" w:ascii="宋体" w:hAnsi="宋体" w:eastAsia="宋体" w:cs="Times New Roman"/>
                <w:b/>
                <w:bCs/>
                <w:color w:val="FF0000"/>
                <w:sz w:val="21"/>
                <w:szCs w:val="21"/>
                <w:lang w:eastAsia="zh-CN"/>
              </w:rPr>
              <w:t>内容</w:t>
            </w:r>
          </w:p>
        </w:tc>
        <w:tc>
          <w:tcPr>
            <w:tcW w:w="7840" w:type="dxa"/>
            <w:tcBorders>
              <w:left w:val="single" w:color="auto" w:sz="4" w:space="0"/>
            </w:tcBorders>
            <w:noWrap w:val="0"/>
            <w:vAlign w:val="top"/>
          </w:tcPr>
          <w:p w14:paraId="12395888">
            <w:pPr>
              <w:jc w:val="center"/>
              <w:rPr>
                <w:rFonts w:hint="eastAsia" w:ascii="宋体" w:hAnsi="宋体" w:eastAsia="宋体"/>
                <w:b/>
                <w:color w:val="FF0000"/>
                <w:kern w:val="0"/>
                <w:sz w:val="21"/>
                <w:szCs w:val="21"/>
                <w:lang w:eastAsia="zh-CN"/>
              </w:rPr>
            </w:pPr>
            <w:r>
              <w:rPr>
                <w:rFonts w:hint="eastAsia" w:ascii="宋体" w:hAnsi="宋体"/>
                <w:b/>
                <w:color w:val="FF0000"/>
                <w:kern w:val="0"/>
                <w:sz w:val="21"/>
                <w:szCs w:val="21"/>
                <w:lang w:eastAsia="zh-CN"/>
              </w:rPr>
              <w:t>招标商务条款</w:t>
            </w:r>
          </w:p>
        </w:tc>
      </w:tr>
      <w:tr w14:paraId="14F77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5481175">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售后服务要求</w:t>
            </w:r>
          </w:p>
        </w:tc>
        <w:tc>
          <w:tcPr>
            <w:tcW w:w="7840" w:type="dxa"/>
            <w:noWrap w:val="0"/>
            <w:vAlign w:val="center"/>
          </w:tcPr>
          <w:p w14:paraId="16DEA462">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1、验收合格之日1年内后补式冷库正常使用，正常开机率达95%。</w:t>
            </w:r>
          </w:p>
          <w:p w14:paraId="13FB2072">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2、验收合格之日起1年内中标方接到报修电话10分钟内响应，24小时内上门服务，不超过48小时内解决问题修复服务，采购方不再支付费用；若超过24小时未到达现场维修，采购方可自行组织维修，因此产生的全部费用由中标方承担。</w:t>
            </w:r>
          </w:p>
          <w:p w14:paraId="68D34C93">
            <w:pPr>
              <w:numPr>
                <w:ilvl w:val="0"/>
                <w:numId w:val="0"/>
              </w:numPr>
              <w:ind w:leftChars="0"/>
              <w:rPr>
                <w:rFonts w:hint="eastAsia" w:ascii="Times New Roman" w:hAnsi="Times New Roman" w:eastAsia="宋体" w:cs="Times New Roman"/>
                <w:color w:val="FF0000"/>
                <w:lang w:val="en-US" w:eastAsia="zh-Hans"/>
              </w:rPr>
            </w:pPr>
            <w:r>
              <w:rPr>
                <w:rFonts w:hint="eastAsia" w:ascii="Times New Roman" w:hAnsi="Times New Roman" w:eastAsia="宋体" w:cs="Times New Roman"/>
                <w:color w:val="FF0000"/>
                <w:lang w:val="en-US" w:eastAsia="zh-CN"/>
              </w:rPr>
              <w:t>3、验收合格之日起1年内后补式冷库发生故障，中标方负责维修及提供原装配件，不再额外收费。</w:t>
            </w:r>
          </w:p>
        </w:tc>
      </w:tr>
      <w:tr w14:paraId="0F1164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EB09DA3">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eastAsia="宋体" w:cs="Times New Roman"/>
                <w:b/>
                <w:bCs/>
                <w:color w:val="FF0000"/>
                <w:kern w:val="0"/>
                <w:sz w:val="21"/>
                <w:szCs w:val="21"/>
                <w:lang w:val="en-US" w:eastAsia="zh-CN"/>
              </w:rPr>
              <w:t>验收方式</w:t>
            </w:r>
          </w:p>
        </w:tc>
        <w:tc>
          <w:tcPr>
            <w:tcW w:w="7840" w:type="dxa"/>
            <w:noWrap w:val="0"/>
            <w:vAlign w:val="center"/>
          </w:tcPr>
          <w:p w14:paraId="7774A616">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安装完成后，中标方提供第一年第三方检测机构出具校准认证报告，后补式冷库正常运行，断电后，发电机能自动启动发电，供冷链设备运作，由采购方验收。</w:t>
            </w:r>
          </w:p>
        </w:tc>
      </w:tr>
      <w:tr w14:paraId="2D7406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70029A3C">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报价要求</w:t>
            </w:r>
          </w:p>
        </w:tc>
        <w:tc>
          <w:tcPr>
            <w:tcW w:w="7840" w:type="dxa"/>
            <w:noWrap w:val="0"/>
            <w:vAlign w:val="center"/>
          </w:tcPr>
          <w:p w14:paraId="79492226">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投标总价含旧库拆除、垃圾清除、配件、搬运、拉电、安装、测试、校准，报价不得高于最高限价，后补式冷库一年内出现任何故障所产生的费用，包含在投标总价内。</w:t>
            </w:r>
          </w:p>
        </w:tc>
      </w:tr>
      <w:tr w14:paraId="1169D4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1F970EF8">
            <w:pPr>
              <w:adjustRightInd w:val="0"/>
              <w:snapToGrid w:val="0"/>
              <w:jc w:val="center"/>
              <w:rPr>
                <w:rFonts w:hint="eastAsia" w:ascii="宋体" w:hAnsi="宋体" w:eastAsia="宋体" w:cs="Times New Roman"/>
                <w:b/>
                <w:bCs/>
                <w:color w:val="FF0000"/>
                <w:kern w:val="0"/>
                <w:sz w:val="21"/>
                <w:szCs w:val="21"/>
                <w:lang w:val="en-US" w:eastAsia="zh-CN" w:bidi="ar-SA"/>
              </w:rPr>
            </w:pPr>
            <w:r>
              <w:rPr>
                <w:rFonts w:hint="eastAsia" w:ascii="宋体" w:hAnsi="宋体" w:eastAsia="宋体" w:cs="Times New Roman"/>
                <w:b/>
                <w:bCs/>
                <w:color w:val="FF0000"/>
                <w:kern w:val="0"/>
                <w:sz w:val="21"/>
                <w:szCs w:val="21"/>
                <w:lang w:val="en-US" w:eastAsia="zh-CN"/>
              </w:rPr>
              <w:t>付款方式</w:t>
            </w:r>
          </w:p>
        </w:tc>
        <w:tc>
          <w:tcPr>
            <w:tcW w:w="7840" w:type="dxa"/>
            <w:noWrap w:val="0"/>
            <w:vAlign w:val="center"/>
          </w:tcPr>
          <w:p w14:paraId="086E4B09">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由中标方提供发票，安装完成、验收合格后15天付款。</w:t>
            </w:r>
          </w:p>
        </w:tc>
      </w:tr>
      <w:tr w14:paraId="5E7C65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253" w:type="dxa"/>
            <w:noWrap w:val="0"/>
            <w:vAlign w:val="center"/>
          </w:tcPr>
          <w:p w14:paraId="28FD3E82">
            <w:pPr>
              <w:adjustRightInd w:val="0"/>
              <w:snapToGrid w:val="0"/>
              <w:jc w:val="center"/>
              <w:rPr>
                <w:rFonts w:hint="eastAsia" w:ascii="宋体" w:hAnsi="宋体" w:eastAsia="宋体" w:cs="Times New Roman"/>
                <w:b/>
                <w:bCs/>
                <w:color w:val="FF0000"/>
                <w:kern w:val="0"/>
                <w:sz w:val="21"/>
                <w:szCs w:val="21"/>
                <w:lang w:val="en-US" w:eastAsia="zh-CN"/>
              </w:rPr>
            </w:pPr>
            <w:r>
              <w:rPr>
                <w:rFonts w:hint="eastAsia" w:ascii="宋体" w:hAnsi="宋体" w:cs="Times New Roman"/>
                <w:b/>
                <w:bCs/>
                <w:color w:val="FF0000"/>
                <w:kern w:val="0"/>
                <w:sz w:val="21"/>
                <w:szCs w:val="21"/>
                <w:lang w:val="en-US" w:eastAsia="zh-CN"/>
              </w:rPr>
              <w:t>服务期限</w:t>
            </w:r>
          </w:p>
        </w:tc>
        <w:tc>
          <w:tcPr>
            <w:tcW w:w="7840" w:type="dxa"/>
            <w:noWrap w:val="0"/>
            <w:vAlign w:val="center"/>
          </w:tcPr>
          <w:p w14:paraId="4E9F2A1B">
            <w:pPr>
              <w:numPr>
                <w:ilvl w:val="0"/>
                <w:numId w:val="0"/>
              </w:numPr>
              <w:ind w:leftChars="0"/>
              <w:rPr>
                <w:rFonts w:hint="eastAsia" w:ascii="Times New Roman" w:hAnsi="Times New Roman" w:eastAsia="宋体" w:cs="Times New Roman"/>
                <w:color w:val="FF0000"/>
                <w:lang w:val="en-US" w:eastAsia="zh-CN"/>
              </w:rPr>
            </w:pPr>
            <w:r>
              <w:rPr>
                <w:rFonts w:hint="eastAsia" w:ascii="Times New Roman" w:hAnsi="Times New Roman" w:eastAsia="宋体" w:cs="Times New Roman"/>
                <w:color w:val="FF0000"/>
                <w:lang w:val="en-US" w:eastAsia="zh-CN"/>
              </w:rPr>
              <w:t>按采购部门指定日期7天内完成。</w:t>
            </w:r>
          </w:p>
        </w:tc>
      </w:tr>
    </w:tbl>
    <w:p w14:paraId="63E51EA0">
      <w:pPr>
        <w:pStyle w:val="15"/>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Times">
    <w:altName w:val="Times New Roman"/>
    <w:panose1 w:val="00000000000000000000"/>
    <w:charset w:val="00"/>
    <w:family w:val="roman"/>
    <w:pitch w:val="default"/>
    <w:sig w:usb0="00000000" w:usb1="00000000" w:usb2="00000009" w:usb3="00000000" w:csb0="000001FF" w:csb1="00000000"/>
  </w:font>
  <w:font w:name="????">
    <w:altName w:val="Segoe Print"/>
    <w:panose1 w:val="00000000000000000000"/>
    <w:charset w:val="00"/>
    <w:family w:val="auto"/>
    <w:pitch w:val="default"/>
    <w:sig w:usb0="00000000" w:usb1="00000000" w:usb2="00000000" w:usb3="00000000" w:csb0="00000000" w:csb1="00000000"/>
  </w:font>
  <w:font w:name="Arial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109A425F"/>
    <w:rsid w:val="111A0A5E"/>
    <w:rsid w:val="11AB573F"/>
    <w:rsid w:val="124D6997"/>
    <w:rsid w:val="15EF4C31"/>
    <w:rsid w:val="163B15D5"/>
    <w:rsid w:val="1AA5178A"/>
    <w:rsid w:val="1BD20B20"/>
    <w:rsid w:val="21B048A7"/>
    <w:rsid w:val="22AC6DA8"/>
    <w:rsid w:val="22D12C54"/>
    <w:rsid w:val="24917E72"/>
    <w:rsid w:val="31AB4787"/>
    <w:rsid w:val="32140609"/>
    <w:rsid w:val="362B3076"/>
    <w:rsid w:val="3730523D"/>
    <w:rsid w:val="37541EB2"/>
    <w:rsid w:val="38DE5455"/>
    <w:rsid w:val="3B734D5F"/>
    <w:rsid w:val="3E2D66BA"/>
    <w:rsid w:val="3EB6032D"/>
    <w:rsid w:val="3F1F111C"/>
    <w:rsid w:val="40EE1D41"/>
    <w:rsid w:val="46E43BFF"/>
    <w:rsid w:val="49B91E77"/>
    <w:rsid w:val="510D3621"/>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6">
    <w:name w:val="Normal Indent"/>
    <w:basedOn w:val="1"/>
    <w:next w:val="7"/>
    <w:autoRedefine/>
    <w:qFormat/>
    <w:uiPriority w:val="0"/>
    <w:pPr>
      <w:ind w:firstLine="420"/>
    </w:pPr>
    <w:rPr>
      <w:szCs w:val="20"/>
    </w:rPr>
  </w:style>
  <w:style w:type="paragraph" w:styleId="7">
    <w:name w:val="Body Text"/>
    <w:basedOn w:val="1"/>
    <w:next w:val="1"/>
    <w:autoRedefine/>
    <w:qFormat/>
    <w:uiPriority w:val="0"/>
    <w:pPr>
      <w:spacing w:after="120"/>
    </w:pPr>
  </w:style>
  <w:style w:type="paragraph" w:styleId="8">
    <w:name w:val="annotation text"/>
    <w:basedOn w:val="1"/>
    <w:qFormat/>
    <w:uiPriority w:val="0"/>
    <w:pPr>
      <w:jc w:val="left"/>
    </w:pPr>
  </w:style>
  <w:style w:type="paragraph" w:styleId="9">
    <w:name w:val="Body Text 2"/>
    <w:basedOn w:val="1"/>
    <w:autoRedefine/>
    <w:qFormat/>
    <w:uiPriority w:val="0"/>
    <w:pPr>
      <w:spacing w:after="120" w:line="480" w:lineRule="auto"/>
    </w:pPr>
  </w:style>
  <w:style w:type="paragraph" w:styleId="10">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customStyle="1" w:styleId="19">
    <w:name w:val="表格文字"/>
    <w:basedOn w:val="1"/>
    <w:autoRedefine/>
    <w:unhideWhenUsed/>
    <w:qFormat/>
    <w:uiPriority w:val="0"/>
    <w:pPr>
      <w:spacing w:before="25" w:after="25" w:line="300" w:lineRule="auto"/>
    </w:pPr>
    <w:rPr>
      <w:rFonts w:ascii="Times" w:hAnsi="Times"/>
      <w:spacing w:val="1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3639</Words>
  <Characters>3763</Characters>
  <Lines>0</Lines>
  <Paragraphs>0</Paragraphs>
  <TotalTime>1</TotalTime>
  <ScaleCrop>false</ScaleCrop>
  <LinksUpToDate>false</LinksUpToDate>
  <CharactersWithSpaces>4446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2024-07-30T07:17:57Z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CDB6E8DA4DA44B27BA67D536F34EC964_13</vt:lpwstr>
  </property>
</Properties>
</file>