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w:t>
      </w:r>
      <w:bookmarkStart w:id="2" w:name="_GoBack"/>
      <w:bookmarkEnd w:id="2"/>
      <w:r>
        <w:rPr>
          <w:rFonts w:hint="eastAsia" w:ascii="宋体" w:hAnsi="宋体"/>
        </w:rPr>
        <w:t>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pPr>
        <w:spacing w:line="360" w:lineRule="auto"/>
        <w:ind w:left="3360" w:leftChars="1600"/>
        <w:rPr>
          <w:rFonts w:hint="eastAsia" w:ascii="Arial" w:hAnsi="Arial"/>
          <w:szCs w:val="21"/>
          <w:u w:val="single"/>
          <w:lang w:val="en-US" w:eastAsia="zh-CN"/>
        </w:rPr>
      </w:pP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ind w:firstLine="3360" w:firstLineChars="1600"/>
        <w:jc w:val="left"/>
        <w:rPr>
          <w:color w:val="000000"/>
          <w:szCs w:val="21"/>
          <w:u w:val="single"/>
        </w:rPr>
      </w:pPr>
      <w:r>
        <w:rPr>
          <w:rFonts w:hint="eastAsia" w:ascii="宋体" w:hAnsi="宋体"/>
        </w:rPr>
        <w:t>（有效期为签发之日起90天内有效）</w:t>
      </w:r>
    </w:p>
    <w:p>
      <w:pPr>
        <w:jc w:val="left"/>
        <w:rPr>
          <w:rFonts w:hint="eastAsia" w:ascii="宋体" w:hAnsi="宋体" w:cs="Times New Roman"/>
          <w:color w:val="FF0000"/>
          <w:kern w:val="2"/>
          <w:sz w:val="21"/>
          <w:szCs w:val="21"/>
          <w:lang w:val="en-US" w:eastAsia="zh-CN" w:bidi="ar-SA"/>
        </w:rPr>
      </w:pPr>
    </w:p>
    <w:p>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63B15D5"/>
    <w:rsid w:val="1AA5178A"/>
    <w:rsid w:val="1BD20B20"/>
    <w:rsid w:val="201670C7"/>
    <w:rsid w:val="21B048A7"/>
    <w:rsid w:val="22AC6DA8"/>
    <w:rsid w:val="22D12C54"/>
    <w:rsid w:val="24917E72"/>
    <w:rsid w:val="32140609"/>
    <w:rsid w:val="3730523D"/>
    <w:rsid w:val="38DE5455"/>
    <w:rsid w:val="3B734D5F"/>
    <w:rsid w:val="3E166AF1"/>
    <w:rsid w:val="3E2D66BA"/>
    <w:rsid w:val="407A6D55"/>
    <w:rsid w:val="40EE1D41"/>
    <w:rsid w:val="46E43BFF"/>
    <w:rsid w:val="49B91E77"/>
    <w:rsid w:val="4A1D33E9"/>
    <w:rsid w:val="4D055300"/>
    <w:rsid w:val="4D186925"/>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3463</Words>
  <Characters>3588</Characters>
  <Lines>0</Lines>
  <Paragraphs>0</Paragraphs>
  <TotalTime>0</TotalTime>
  <ScaleCrop>false</ScaleCrop>
  <LinksUpToDate>false</LinksUpToDate>
  <CharactersWithSpaces>4288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2024-05-31T03:34:39Z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39D450BF6A9F4995B9A31FEBF48FCC15_13</vt:lpwstr>
  </property>
</Properties>
</file>