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jc w:val="center"/>
        <w:rPr>
          <w:b/>
          <w:sz w:val="44"/>
          <w:szCs w:val="44"/>
        </w:rPr>
      </w:pPr>
      <w:bookmarkStart w:id="0" w:name="_Hlk169872363"/>
      <w:r>
        <w:rPr>
          <w:rFonts w:hint="eastAsia"/>
          <w:b/>
          <w:sz w:val="44"/>
          <w:szCs w:val="44"/>
        </w:rPr>
        <w:t>中心外墙瓷砖空鼓剔凿恢复</w:t>
      </w:r>
    </w:p>
    <w:bookmarkEnd w:id="0"/>
    <w:p>
      <w:pPr>
        <w:jc w:val="center"/>
        <w:rPr>
          <w:b/>
          <w:sz w:val="44"/>
          <w:szCs w:val="44"/>
        </w:rPr>
      </w:pPr>
    </w:p>
    <w:p>
      <w:pPr>
        <w:jc w:val="center"/>
        <w:rPr>
          <w:b/>
          <w:sz w:val="30"/>
          <w:szCs w:val="30"/>
        </w:rPr>
      </w:pPr>
      <w:r>
        <w:rPr>
          <w:rFonts w:hint="eastAsia"/>
          <w:b/>
          <w:sz w:val="30"/>
          <w:szCs w:val="30"/>
        </w:rPr>
        <w:t>项目编号：</w:t>
      </w:r>
      <w:r>
        <w:rPr>
          <w:b/>
          <w:sz w:val="30"/>
          <w:szCs w:val="30"/>
        </w:rPr>
        <w:t>BACDCCG202400</w:t>
      </w:r>
      <w:r>
        <w:rPr>
          <w:rFonts w:hint="eastAsia"/>
          <w:b/>
          <w:sz w:val="30"/>
          <w:szCs w:val="30"/>
        </w:rPr>
        <w:t>9</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jc w:val="center"/>
        <w:rPr>
          <w:b/>
          <w:sz w:val="72"/>
          <w:szCs w:val="72"/>
        </w:rPr>
      </w:pPr>
      <w:r>
        <w:rPr>
          <w:rFonts w:hint="eastAsia"/>
          <w:b/>
          <w:sz w:val="72"/>
          <w:szCs w:val="72"/>
        </w:rPr>
        <w:t>招标文件</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spacing w:line="360" w:lineRule="auto"/>
      </w:pPr>
    </w:p>
    <w:p>
      <w:pPr>
        <w:spacing w:line="360" w:lineRule="auto"/>
        <w:ind w:firstLine="420" w:firstLineChars="200"/>
      </w:pPr>
    </w:p>
    <w:p>
      <w:pPr>
        <w:spacing w:line="360" w:lineRule="auto"/>
        <w:jc w:val="center"/>
        <w:rPr>
          <w:b/>
          <w:sz w:val="30"/>
          <w:szCs w:val="30"/>
        </w:rPr>
      </w:pPr>
      <w:r>
        <w:rPr>
          <w:rFonts w:hint="eastAsia"/>
          <w:b/>
          <w:sz w:val="30"/>
          <w:szCs w:val="30"/>
        </w:rPr>
        <w:t>深圳市宝安区疾病预防控制中心</w:t>
      </w:r>
    </w:p>
    <w:p>
      <w:pPr>
        <w:spacing w:line="360" w:lineRule="auto"/>
        <w:jc w:val="center"/>
        <w:rPr>
          <w:b/>
          <w:sz w:val="30"/>
          <w:szCs w:val="30"/>
        </w:rPr>
      </w:pPr>
      <w:r>
        <w:rPr>
          <w:rFonts w:hint="eastAsia"/>
          <w:b/>
          <w:sz w:val="30"/>
          <w:szCs w:val="30"/>
        </w:rPr>
        <w:t>二〇二四年</w:t>
      </w:r>
      <w:r>
        <w:rPr>
          <w:rFonts w:hint="eastAsia"/>
          <w:b/>
          <w:sz w:val="30"/>
          <w:szCs w:val="30"/>
          <w:lang w:eastAsia="zh-CN"/>
        </w:rPr>
        <w:t>七</w:t>
      </w:r>
      <w:r>
        <w:rPr>
          <w:rFonts w:hint="eastAsia"/>
          <w:b/>
          <w:sz w:val="30"/>
          <w:szCs w:val="30"/>
        </w:rPr>
        <w:t>月</w:t>
      </w:r>
    </w:p>
    <w:p>
      <w:pPr>
        <w:spacing w:line="360" w:lineRule="auto"/>
        <w:ind w:firstLine="420" w:firstLineChars="200"/>
      </w:pPr>
    </w:p>
    <w:p>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pPr>
        <w:pStyle w:val="2"/>
      </w:pPr>
      <w:bookmarkStart w:id="1" w:name="_Toc61539108"/>
      <w:bookmarkStart w:id="2" w:name="_Toc86939328"/>
      <w:r>
        <w:rPr>
          <w:rFonts w:hint="eastAsia"/>
        </w:rPr>
        <w:t xml:space="preserve">第一章  </w:t>
      </w:r>
      <w:bookmarkEnd w:id="1"/>
      <w:bookmarkStart w:id="171" w:name="_GoBack"/>
      <w:r>
        <w:rPr>
          <w:rFonts w:hint="eastAsia"/>
        </w:rPr>
        <w:t>招标公告</w:t>
      </w:r>
      <w:bookmarkEnd w:id="2"/>
    </w:p>
    <w:p>
      <w:pPr>
        <w:spacing w:line="360" w:lineRule="auto"/>
        <w:ind w:firstLine="420" w:firstLineChars="200"/>
      </w:pPr>
      <w:bookmarkStart w:id="3" w:name="_Hlk69568487"/>
      <w:r>
        <w:rPr>
          <w:rFonts w:hint="eastAsia"/>
        </w:rPr>
        <w:t>深圳市宝安区疾病预防控制中心</w:t>
      </w:r>
      <w:bookmarkEnd w:id="3"/>
      <w:r>
        <w:rPr>
          <w:rFonts w:hint="eastAsia"/>
          <w:color w:val="000000" w:themeColor="text1"/>
          <w14:textFill>
            <w14:solidFill>
              <w14:schemeClr w14:val="tx1"/>
            </w14:solidFill>
          </w14:textFill>
        </w:rPr>
        <w:t>就中心外墙瓷砖空鼓剔凿恢复</w:t>
      </w:r>
      <w:r>
        <w:rPr>
          <w:rFonts w:hint="eastAsia"/>
        </w:rPr>
        <w:t>接受以下投标人提交密封响应文件。有关事项如下：</w:t>
      </w:r>
    </w:p>
    <w:p>
      <w:pPr>
        <w:pStyle w:val="5"/>
        <w:ind w:firstLine="482"/>
      </w:pPr>
      <w:bookmarkStart w:id="4" w:name="_Hlk69568538"/>
      <w:r>
        <w:rPr>
          <w:rFonts w:hint="eastAsia"/>
        </w:rPr>
        <w:t>一、项目基本信息</w:t>
      </w:r>
    </w:p>
    <w:p>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目名称：中心外墙瓷砖空鼓剔凿恢复</w:t>
      </w:r>
    </w:p>
    <w:p>
      <w:pPr>
        <w:spacing w:line="360" w:lineRule="auto"/>
        <w:ind w:firstLine="420" w:firstLineChars="200"/>
      </w:pPr>
      <w:r>
        <w:rPr>
          <w:rFonts w:hint="eastAsia"/>
        </w:rPr>
        <w:t>2、</w:t>
      </w:r>
      <w:r>
        <w:t>项目编号：BACDCCG202400</w:t>
      </w:r>
      <w:r>
        <w:rPr>
          <w:rFonts w:hint="eastAsia"/>
        </w:rPr>
        <w:t>8</w:t>
      </w:r>
    </w:p>
    <w:p>
      <w:pPr>
        <w:spacing w:line="360" w:lineRule="auto"/>
        <w:ind w:firstLine="420" w:firstLineChars="200"/>
      </w:pPr>
      <w:r>
        <w:rPr>
          <w:rFonts w:hint="eastAsia"/>
        </w:rPr>
        <w:t>3、项目类别：工程类</w:t>
      </w:r>
    </w:p>
    <w:p>
      <w:pPr>
        <w:spacing w:line="360" w:lineRule="auto"/>
        <w:ind w:firstLine="420" w:firstLineChars="200"/>
      </w:pPr>
      <w:r>
        <w:t>4</w:t>
      </w:r>
      <w:r>
        <w:rPr>
          <w:rFonts w:hint="eastAsia"/>
        </w:rPr>
        <w:t>、</w:t>
      </w:r>
      <w:r>
        <w:t>采购单位：</w:t>
      </w:r>
      <w:r>
        <w:rPr>
          <w:rFonts w:hint="eastAsia"/>
        </w:rPr>
        <w:t>深圳市宝安区疾病预防控制中心</w:t>
      </w:r>
    </w:p>
    <w:p>
      <w:pPr>
        <w:spacing w:line="360" w:lineRule="auto"/>
        <w:ind w:firstLine="420" w:firstLineChars="200"/>
      </w:pPr>
      <w:r>
        <w:t>5</w:t>
      </w:r>
      <w:r>
        <w:rPr>
          <w:rFonts w:hint="eastAsia"/>
        </w:rPr>
        <w:t>、采购方式：单一来源</w:t>
      </w:r>
    </w:p>
    <w:p>
      <w:pPr>
        <w:spacing w:line="360" w:lineRule="auto"/>
        <w:ind w:firstLine="420" w:firstLineChars="200"/>
      </w:pPr>
      <w:r>
        <w:rPr>
          <w:rFonts w:hint="eastAsia"/>
        </w:rPr>
        <w:t>邀请单位：深圳市锴成建筑工程有限公司</w:t>
      </w:r>
    </w:p>
    <w:bookmarkEnd w:id="4"/>
    <w:p>
      <w:pPr>
        <w:pStyle w:val="5"/>
        <w:ind w:firstLine="482"/>
      </w:pPr>
      <w:r>
        <w:rPr>
          <w:rFonts w:hint="eastAsia"/>
        </w:rPr>
        <w:t>二、采购预算</w:t>
      </w:r>
    </w:p>
    <w:p>
      <w:pPr>
        <w:spacing w:line="360" w:lineRule="auto"/>
        <w:ind w:firstLine="420" w:firstLineChars="200"/>
      </w:pPr>
      <w:r>
        <w:rPr>
          <w:rFonts w:hint="eastAsia"/>
        </w:rPr>
        <w:t>本项目采购预算金额为55，000.00元整。</w:t>
      </w:r>
    </w:p>
    <w:p>
      <w:pPr>
        <w:pStyle w:val="5"/>
        <w:ind w:firstLine="482"/>
      </w:pPr>
      <w:bookmarkStart w:id="5" w:name="_Hlk69568757"/>
      <w:r>
        <w:rPr>
          <w:rFonts w:hint="eastAsia"/>
        </w:rPr>
        <w:t>三、需落实的采购政策</w:t>
      </w:r>
    </w:p>
    <w:p>
      <w:pPr>
        <w:spacing w:line="360" w:lineRule="auto"/>
        <w:ind w:firstLine="420" w:firstLineChars="200"/>
      </w:pPr>
      <w:r>
        <w:rPr>
          <w:rFonts w:hint="eastAsia"/>
        </w:rPr>
        <w:t>按照相关规定执行，详见采购需求标准。</w:t>
      </w:r>
    </w:p>
    <w:p>
      <w:pPr>
        <w:pStyle w:val="5"/>
        <w:ind w:firstLine="482"/>
      </w:pPr>
      <w:r>
        <w:rPr>
          <w:rFonts w:hint="eastAsia"/>
        </w:rPr>
        <w:t>四、供应商资格要求</w:t>
      </w:r>
    </w:p>
    <w:p>
      <w:pPr>
        <w:spacing w:line="360" w:lineRule="auto"/>
        <w:ind w:firstLine="420" w:firstLineChars="200"/>
      </w:pPr>
      <w:r>
        <w:rPr>
          <w:rFonts w:hint="eastAsia"/>
        </w:rPr>
        <w:t>1、投标人必须是在中华人民共和国境内注册的独立法人或其他组织（提供营业执照复印件）；</w:t>
      </w:r>
    </w:p>
    <w:p>
      <w:pPr>
        <w:spacing w:line="360" w:lineRule="auto"/>
        <w:ind w:firstLine="420" w:firstLineChars="200"/>
      </w:pPr>
      <w:r>
        <w:rPr>
          <w:rFonts w:hint="eastAsia"/>
        </w:rPr>
        <w:t>2、投标人参加本次政府采购活动前3年内在经营活动中没有重大违法记录（提供声明函）；</w:t>
      </w:r>
    </w:p>
    <w:p>
      <w:pPr>
        <w:spacing w:line="360" w:lineRule="auto"/>
        <w:ind w:firstLine="420" w:firstLineChars="200"/>
      </w:pPr>
      <w:r>
        <w:rPr>
          <w:rFonts w:hint="eastAsia"/>
        </w:rPr>
        <w:t>3、截至开标时间为止，未被深圳市各级政府采购主管部门行政处罚（指禁止参与政府采购活动且在有效期内）的投标人；</w:t>
      </w:r>
    </w:p>
    <w:p>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网上查询)；</w:t>
      </w:r>
    </w:p>
    <w:p>
      <w:pPr>
        <w:spacing w:line="360" w:lineRule="auto"/>
        <w:ind w:firstLine="420" w:firstLineChars="200"/>
      </w:pPr>
      <w:r>
        <w:rPr>
          <w:rFonts w:hint="eastAsia"/>
        </w:rPr>
        <w:t>5、本项目不接受联合体投标。</w:t>
      </w:r>
    </w:p>
    <w:p>
      <w:pPr>
        <w:pStyle w:val="5"/>
        <w:ind w:firstLine="482"/>
      </w:pPr>
      <w:r>
        <w:rPr>
          <w:rFonts w:hint="eastAsia"/>
        </w:rPr>
        <w:t>五、获取采购文件的时间、地点及方式</w:t>
      </w:r>
    </w:p>
    <w:bookmarkEnd w:id="5"/>
    <w:p>
      <w:pPr>
        <w:spacing w:line="360" w:lineRule="auto"/>
        <w:ind w:firstLine="420" w:firstLineChars="200"/>
      </w:pPr>
      <w:r>
        <w:rPr>
          <w:rFonts w:hint="eastAsia"/>
        </w:rPr>
        <w:t>1、获取采购文件时间：20</w:t>
      </w:r>
      <w:r>
        <w:t>24</w:t>
      </w:r>
      <w:r>
        <w:rPr>
          <w:rFonts w:hint="eastAsia"/>
        </w:rPr>
        <w:t>年</w:t>
      </w:r>
      <w:r>
        <w:rPr>
          <w:rFonts w:hint="eastAsia"/>
          <w:lang w:val="en-US" w:eastAsia="zh-CN"/>
        </w:rPr>
        <w:t>7</w:t>
      </w:r>
      <w:r>
        <w:rPr>
          <w:rFonts w:hint="eastAsia"/>
        </w:rPr>
        <w:t>月</w:t>
      </w:r>
      <w:r>
        <w:rPr>
          <w:rFonts w:hint="eastAsia"/>
          <w:lang w:val="en-US" w:eastAsia="zh-CN"/>
        </w:rPr>
        <w:t>2</w:t>
      </w:r>
      <w:r>
        <w:rPr>
          <w:rFonts w:hint="eastAsia"/>
        </w:rPr>
        <w:t>日起至20</w:t>
      </w:r>
      <w:r>
        <w:t>2</w:t>
      </w:r>
      <w:r>
        <w:rPr>
          <w:rFonts w:hint="eastAsia"/>
          <w:lang w:val="en-US" w:eastAsia="zh-CN"/>
        </w:rPr>
        <w:t>4</w:t>
      </w:r>
      <w:r>
        <w:rPr>
          <w:rFonts w:hint="eastAsia"/>
        </w:rPr>
        <w:t>年</w:t>
      </w:r>
      <w:r>
        <w:rPr>
          <w:rFonts w:hint="eastAsia"/>
          <w:lang w:val="en-US" w:eastAsia="zh-CN"/>
        </w:rPr>
        <w:t>7</w:t>
      </w:r>
      <w:r>
        <w:rPr>
          <w:rFonts w:hint="eastAsia"/>
        </w:rPr>
        <w:t>月</w:t>
      </w:r>
      <w:r>
        <w:rPr>
          <w:rFonts w:hint="eastAsia"/>
          <w:lang w:val="en-US" w:eastAsia="zh-CN"/>
        </w:rPr>
        <w:t>11</w:t>
      </w:r>
      <w:r>
        <w:rPr>
          <w:rFonts w:hint="eastAsia"/>
        </w:rPr>
        <w:t>日（节假日除外），上午9：00～11：30，下午14：00～17：00（北京时间）。</w:t>
      </w:r>
    </w:p>
    <w:p>
      <w:pPr>
        <w:spacing w:line="360" w:lineRule="auto"/>
        <w:ind w:firstLine="420" w:firstLineChars="200"/>
      </w:pPr>
      <w:r>
        <w:rPr>
          <w:rFonts w:hint="eastAsia"/>
        </w:rPr>
        <w:t>2、获取采购文件地点：深圳市宝安区海秀路3号（深圳市宝安区疾病预防控制中心）51</w:t>
      </w:r>
      <w:r>
        <w:t>6</w:t>
      </w:r>
      <w:r>
        <w:rPr>
          <w:rFonts w:hint="eastAsia"/>
        </w:rPr>
        <w:t>。</w:t>
      </w:r>
    </w:p>
    <w:p>
      <w:pPr>
        <w:spacing w:line="360" w:lineRule="auto"/>
        <w:ind w:firstLine="420" w:firstLineChars="200"/>
      </w:pPr>
      <w:r>
        <w:rPr>
          <w:rFonts w:hint="eastAsia"/>
        </w:rPr>
        <w:t>3、获取采购文件方式：线上自行下载。</w:t>
      </w:r>
    </w:p>
    <w:p>
      <w:pPr>
        <w:spacing w:line="360" w:lineRule="auto"/>
        <w:ind w:firstLine="420" w:firstLineChars="200"/>
      </w:pPr>
      <w:r>
        <w:rPr>
          <w:rFonts w:hint="eastAsia"/>
        </w:rPr>
        <w:t>现场领取：投标人代表至本中心填写投标登记表领取招标文件。</w:t>
      </w:r>
    </w:p>
    <w:p>
      <w:pPr>
        <w:spacing w:line="360" w:lineRule="auto"/>
        <w:ind w:firstLine="420" w:firstLineChars="200"/>
      </w:pPr>
      <w:r>
        <w:rPr>
          <w:rFonts w:hint="eastAsia"/>
        </w:rPr>
        <w:t>线上报名：投标人代表在本中心官网自行下载投标登记表发送至</w:t>
      </w:r>
      <w:r>
        <w:t>568711397</w:t>
      </w:r>
      <w:r>
        <w:rPr>
          <w:rFonts w:hint="eastAsia"/>
        </w:rPr>
        <w:t>Q</w:t>
      </w:r>
      <w:r>
        <w:t>Q</w:t>
      </w:r>
      <w:r>
        <w:rPr>
          <w:rFonts w:hint="eastAsia"/>
        </w:rPr>
        <w:t>邮箱获取采购文件。</w:t>
      </w:r>
    </w:p>
    <w:p>
      <w:pPr>
        <w:spacing w:line="360" w:lineRule="auto"/>
        <w:ind w:firstLine="420" w:firstLineChars="200"/>
      </w:pPr>
      <w:r>
        <w:rPr>
          <w:rFonts w:hint="eastAsia"/>
        </w:rPr>
        <w:t>4、联系人：郑工</w:t>
      </w:r>
    </w:p>
    <w:p>
      <w:pPr>
        <w:spacing w:line="360" w:lineRule="auto"/>
        <w:ind w:firstLine="420" w:firstLineChars="200"/>
      </w:pPr>
      <w:r>
        <w:rPr>
          <w:rFonts w:hint="eastAsia"/>
        </w:rPr>
        <w:t>5、联系电话：</w:t>
      </w:r>
      <w:r>
        <w:t>0755-23703075</w:t>
      </w:r>
    </w:p>
    <w:p>
      <w:pPr>
        <w:pStyle w:val="5"/>
        <w:ind w:firstLine="482"/>
      </w:pPr>
      <w:r>
        <w:rPr>
          <w:rFonts w:hint="eastAsia"/>
        </w:rPr>
        <w:t>六、投标截止时间</w:t>
      </w:r>
    </w:p>
    <w:p>
      <w:pPr>
        <w:spacing w:line="360" w:lineRule="auto"/>
        <w:ind w:firstLine="420" w:firstLineChars="200"/>
      </w:pPr>
      <w:r>
        <w:rPr>
          <w:rFonts w:hint="eastAsia"/>
        </w:rPr>
        <w:t>1、递交响应文件时间：202</w:t>
      </w:r>
      <w:r>
        <w:t>4</w:t>
      </w:r>
      <w:r>
        <w:rPr>
          <w:rFonts w:hint="eastAsia"/>
        </w:rPr>
        <w:t>年</w:t>
      </w:r>
      <w:r>
        <w:rPr>
          <w:rFonts w:hint="eastAsia"/>
          <w:lang w:val="en-US" w:eastAsia="zh-CN"/>
        </w:rPr>
        <w:t>7</w:t>
      </w:r>
      <w:r>
        <w:rPr>
          <w:rFonts w:hint="eastAsia"/>
        </w:rPr>
        <w:t>月</w:t>
      </w:r>
      <w:r>
        <w:rPr>
          <w:rFonts w:hint="eastAsia"/>
          <w:lang w:val="en-US" w:eastAsia="zh-CN"/>
        </w:rPr>
        <w:t>12</w:t>
      </w:r>
      <w:r>
        <w:rPr>
          <w:rFonts w:hint="eastAsia"/>
        </w:rPr>
        <w:t>日上午</w:t>
      </w:r>
      <w:r>
        <w:t>12</w:t>
      </w:r>
      <w:r>
        <w:rPr>
          <w:rFonts w:hint="eastAsia"/>
        </w:rPr>
        <w:t>：</w:t>
      </w:r>
      <w:r>
        <w:t>0</w:t>
      </w:r>
      <w:r>
        <w:rPr>
          <w:rFonts w:hint="eastAsia"/>
        </w:rPr>
        <w:t>0前。</w:t>
      </w:r>
    </w:p>
    <w:p>
      <w:pPr>
        <w:spacing w:line="360" w:lineRule="auto"/>
        <w:ind w:firstLine="420" w:firstLineChars="200"/>
      </w:pPr>
      <w:r>
        <w:t>2</w:t>
      </w:r>
      <w:r>
        <w:rPr>
          <w:rFonts w:hint="eastAsia"/>
        </w:rPr>
        <w:t>、递交响应文件地点：深圳市宝安区海秀路3号（深圳市宝安区疾病预防控制中心）5</w:t>
      </w:r>
      <w:r>
        <w:t>16</w:t>
      </w:r>
      <w:r>
        <w:rPr>
          <w:rFonts w:hint="eastAsia"/>
        </w:rPr>
        <w:t>，如无法进入大楼可放置保安室。</w:t>
      </w:r>
    </w:p>
    <w:p>
      <w:pPr>
        <w:spacing w:line="360" w:lineRule="auto"/>
        <w:ind w:firstLine="420" w:firstLineChars="200"/>
      </w:pPr>
      <w:r>
        <w:rPr>
          <w:rFonts w:hint="eastAsia"/>
        </w:rPr>
        <w:t>3、开标时间：2</w:t>
      </w:r>
      <w:r>
        <w:t>024</w:t>
      </w:r>
      <w:r>
        <w:rPr>
          <w:rFonts w:hint="eastAsia"/>
        </w:rPr>
        <w:t>年</w:t>
      </w:r>
      <w:r>
        <w:rPr>
          <w:rFonts w:hint="eastAsia"/>
          <w:lang w:val="en-US" w:eastAsia="zh-CN"/>
        </w:rPr>
        <w:t>7</w:t>
      </w:r>
      <w:r>
        <w:rPr>
          <w:rFonts w:hint="eastAsia"/>
        </w:rPr>
        <w:t>月</w:t>
      </w:r>
      <w:r>
        <w:rPr>
          <w:rFonts w:hint="eastAsia"/>
          <w:lang w:val="en-US" w:eastAsia="zh-CN"/>
        </w:rPr>
        <w:t>12</w:t>
      </w:r>
      <w:r>
        <w:rPr>
          <w:rFonts w:hint="eastAsia"/>
        </w:rPr>
        <w:t>日下午1</w:t>
      </w:r>
      <w:r>
        <w:t>4</w:t>
      </w:r>
      <w:r>
        <w:rPr>
          <w:rFonts w:hint="eastAsia"/>
        </w:rPr>
        <w:t>:</w:t>
      </w:r>
      <w:r>
        <w:t>30</w:t>
      </w:r>
      <w:r>
        <w:rPr>
          <w:rFonts w:hint="eastAsia"/>
        </w:rPr>
        <w:t>。</w:t>
      </w:r>
    </w:p>
    <w:p>
      <w:pPr>
        <w:pStyle w:val="5"/>
        <w:ind w:firstLine="482"/>
      </w:pPr>
      <w:r>
        <w:rPr>
          <w:rFonts w:hint="eastAsia"/>
        </w:rPr>
        <w:t>七、采购公告查询：</w:t>
      </w:r>
    </w:p>
    <w:p>
      <w:pPr>
        <w:spacing w:line="360" w:lineRule="auto"/>
        <w:ind w:firstLine="420" w:firstLineChars="200"/>
      </w:pPr>
      <w:r>
        <w:t>http://www.bawjxt.net/bacdc/</w:t>
      </w:r>
      <w:r>
        <w:rPr>
          <w:rFonts w:hint="eastAsia"/>
        </w:rPr>
        <w:t xml:space="preserve"> (深圳市宝安区疾病预防控制中心官网)</w:t>
      </w:r>
    </w:p>
    <w:p>
      <w:pPr>
        <w:spacing w:line="360" w:lineRule="auto"/>
        <w:ind w:firstLine="420" w:firstLineChars="200"/>
      </w:pPr>
    </w:p>
    <w:p>
      <w:pPr>
        <w:spacing w:line="360" w:lineRule="auto"/>
        <w:ind w:firstLine="420" w:firstLineChars="200"/>
      </w:pPr>
    </w:p>
    <w:p>
      <w:pPr>
        <w:spacing w:line="360" w:lineRule="auto"/>
        <w:ind w:firstLine="5460" w:firstLineChars="2600"/>
      </w:pPr>
      <w:r>
        <w:rPr>
          <w:rFonts w:hint="eastAsia"/>
        </w:rPr>
        <w:t>深圳市宝安区疾病预防控制中心</w:t>
      </w:r>
    </w:p>
    <w:p>
      <w:pPr>
        <w:spacing w:line="360" w:lineRule="auto"/>
        <w:ind w:firstLine="5880" w:firstLineChars="2800"/>
      </w:pPr>
      <w:r>
        <w:rPr>
          <w:rFonts w:hint="eastAsia"/>
        </w:rPr>
        <w:t>2</w:t>
      </w:r>
      <w:r>
        <w:t>02</w:t>
      </w:r>
      <w:r>
        <w:rPr>
          <w:rFonts w:hint="eastAsia"/>
        </w:rPr>
        <w:t>4年</w:t>
      </w:r>
      <w:r>
        <w:rPr>
          <w:rFonts w:hint="eastAsia"/>
          <w:lang w:val="en-US" w:eastAsia="zh-CN"/>
        </w:rPr>
        <w:t>7</w:t>
      </w:r>
      <w:r>
        <w:rPr>
          <w:rFonts w:hint="eastAsia"/>
        </w:rPr>
        <w:t>月</w:t>
      </w:r>
      <w:r>
        <w:rPr>
          <w:rFonts w:hint="eastAsia"/>
          <w:lang w:val="en-US" w:eastAsia="zh-CN"/>
        </w:rPr>
        <w:t>1</w:t>
      </w:r>
      <w:r>
        <w:rPr>
          <w:rFonts w:hint="eastAsia"/>
        </w:rPr>
        <w:t>日</w:t>
      </w:r>
      <w:bookmarkEnd w:id="171"/>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6" w:name="_Toc61539109"/>
      <w:bookmarkStart w:id="7" w:name="_Toc86939329"/>
      <w:r>
        <w:rPr>
          <w:rFonts w:hint="eastAsia"/>
        </w:rPr>
        <w:t>第二章  用户需求书</w:t>
      </w:r>
      <w:bookmarkEnd w:id="6"/>
      <w:bookmarkEnd w:id="7"/>
    </w:p>
    <w:p>
      <w:pPr>
        <w:pStyle w:val="3"/>
      </w:pPr>
      <w:bookmarkStart w:id="8" w:name="_Toc86741961"/>
      <w:bookmarkStart w:id="9" w:name="_Toc86939330"/>
      <w:r>
        <w:rPr>
          <w:rFonts w:hint="eastAsia"/>
        </w:rPr>
        <w:t>一、具体服务需求</w:t>
      </w:r>
    </w:p>
    <w:p>
      <w:pPr>
        <w:spacing w:line="360" w:lineRule="auto"/>
        <w:ind w:firstLine="482" w:firstLineChars="200"/>
        <w:jc w:val="left"/>
        <w:rPr>
          <w:rFonts w:ascii="宋体" w:hAnsi="宋体"/>
          <w:sz w:val="24"/>
        </w:rPr>
      </w:pPr>
      <w:r>
        <w:rPr>
          <w:rFonts w:hint="eastAsia" w:ascii="宋体" w:hAnsi="宋体"/>
          <w:b/>
          <w:sz w:val="24"/>
        </w:rPr>
        <w:t>（一）</w:t>
      </w:r>
      <w:r>
        <w:rPr>
          <w:rFonts w:hint="eastAsia" w:ascii="宋体" w:hAnsi="宋体"/>
          <w:b/>
          <w:bCs/>
          <w:sz w:val="24"/>
        </w:rPr>
        <w:t>项目管理和服务要求</w:t>
      </w:r>
      <w:r>
        <w:rPr>
          <w:rFonts w:hint="eastAsia" w:ascii="宋体" w:hAnsi="宋体"/>
          <w:sz w:val="24"/>
        </w:rPr>
        <w:t>：</w:t>
      </w:r>
    </w:p>
    <w:p>
      <w:pPr>
        <w:numPr>
          <w:ilvl w:val="0"/>
          <w:numId w:val="1"/>
        </w:numPr>
        <w:spacing w:line="360" w:lineRule="auto"/>
        <w:ind w:firstLine="480" w:firstLineChars="200"/>
        <w:jc w:val="left"/>
        <w:rPr>
          <w:rFonts w:ascii="宋体" w:hAnsi="宋体"/>
          <w:sz w:val="24"/>
        </w:rPr>
      </w:pPr>
      <w:r>
        <w:rPr>
          <w:rFonts w:hint="eastAsia" w:ascii="宋体" w:hAnsi="宋体"/>
          <w:sz w:val="24"/>
        </w:rPr>
        <w:t>项目预算金额：人民币伍万伍仟元整（¥55000.00）元；</w:t>
      </w:r>
    </w:p>
    <w:p>
      <w:pPr>
        <w:pStyle w:val="29"/>
        <w:numPr>
          <w:ilvl w:val="0"/>
          <w:numId w:val="1"/>
        </w:numPr>
        <w:spacing w:line="360" w:lineRule="auto"/>
        <w:ind w:firstLineChars="0"/>
        <w:rPr>
          <w:rFonts w:ascii="宋体" w:hAnsi="宋体"/>
          <w:sz w:val="24"/>
        </w:rPr>
      </w:pPr>
      <w:r>
        <w:rPr>
          <w:rFonts w:hint="eastAsia" w:ascii="宋体" w:hAnsi="宋体"/>
          <w:sz w:val="24"/>
        </w:rPr>
        <w:t>项目概括：中心2016年迁入大楼办公，大楼外墙面瓷砖已有脱落情况，经排查中心大楼外墙瓷砖空鼓面积</w:t>
      </w:r>
      <w:r>
        <w:rPr>
          <w:rFonts w:hint="eastAsia" w:ascii="宋体" w:hAnsi="宋体"/>
          <w:sz w:val="24"/>
          <w:lang w:val="en-US" w:eastAsia="zh-CN"/>
        </w:rPr>
        <w:t>110.86</w:t>
      </w:r>
      <w:r>
        <w:rPr>
          <w:rFonts w:hint="eastAsia" w:ascii="宋体" w:hAnsi="宋体"/>
          <w:sz w:val="24"/>
        </w:rPr>
        <w:t>㎡，为消除外墙瓷砖脱落隐患现对中心外墙瓷砖空鼓剔凿恢复。</w:t>
      </w:r>
    </w:p>
    <w:p>
      <w:pPr>
        <w:numPr>
          <w:ilvl w:val="0"/>
          <w:numId w:val="1"/>
        </w:numPr>
        <w:spacing w:line="360" w:lineRule="auto"/>
        <w:ind w:firstLine="480" w:firstLineChars="200"/>
        <w:jc w:val="left"/>
        <w:rPr>
          <w:rFonts w:ascii="宋体" w:hAnsi="宋体"/>
          <w:sz w:val="24"/>
        </w:rPr>
      </w:pPr>
      <w:r>
        <w:rPr>
          <w:rFonts w:hint="eastAsia" w:ascii="宋体" w:hAnsi="宋体"/>
          <w:sz w:val="24"/>
        </w:rPr>
        <w:t>施工范围：</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2835"/>
        <w:gridCol w:w="1701"/>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4" w:type="dxa"/>
            <w:vAlign w:val="center"/>
          </w:tcPr>
          <w:p>
            <w:pPr>
              <w:spacing w:line="360" w:lineRule="auto"/>
              <w:jc w:val="center"/>
              <w:rPr>
                <w:rFonts w:ascii="宋体" w:hAnsi="宋体" w:eastAsia="宋体" w:cs="宋体"/>
              </w:rPr>
            </w:pPr>
            <w:r>
              <w:rPr>
                <w:rFonts w:hint="eastAsia" w:ascii="宋体" w:hAnsi="宋体" w:eastAsia="宋体" w:cs="宋体"/>
              </w:rPr>
              <w:t>序号</w:t>
            </w:r>
          </w:p>
        </w:tc>
        <w:tc>
          <w:tcPr>
            <w:tcW w:w="1276" w:type="dxa"/>
          </w:tcPr>
          <w:p>
            <w:pPr>
              <w:spacing w:line="360" w:lineRule="auto"/>
              <w:jc w:val="center"/>
              <w:rPr>
                <w:rFonts w:ascii="宋体" w:hAnsi="宋体" w:eastAsia="宋体" w:cs="宋体"/>
              </w:rPr>
            </w:pPr>
            <w:r>
              <w:rPr>
                <w:rFonts w:hint="eastAsia" w:ascii="宋体" w:hAnsi="宋体" w:eastAsia="宋体" w:cs="宋体"/>
              </w:rPr>
              <w:t>分项工程</w:t>
            </w:r>
          </w:p>
        </w:tc>
        <w:tc>
          <w:tcPr>
            <w:tcW w:w="2835" w:type="dxa"/>
          </w:tcPr>
          <w:p>
            <w:pPr>
              <w:spacing w:line="360" w:lineRule="auto"/>
              <w:jc w:val="center"/>
              <w:rPr>
                <w:rFonts w:ascii="宋体" w:hAnsi="宋体" w:eastAsia="宋体" w:cs="宋体"/>
              </w:rPr>
            </w:pPr>
            <w:r>
              <w:rPr>
                <w:rFonts w:hint="eastAsia" w:ascii="宋体" w:hAnsi="宋体" w:eastAsia="宋体" w:cs="宋体"/>
              </w:rPr>
              <w:t>特征描述</w:t>
            </w:r>
          </w:p>
        </w:tc>
        <w:tc>
          <w:tcPr>
            <w:tcW w:w="1701" w:type="dxa"/>
          </w:tcPr>
          <w:p>
            <w:pPr>
              <w:spacing w:line="360" w:lineRule="auto"/>
              <w:jc w:val="center"/>
              <w:rPr>
                <w:rFonts w:ascii="宋体" w:hAnsi="宋体" w:eastAsia="宋体" w:cs="宋体"/>
              </w:rPr>
            </w:pPr>
            <w:r>
              <w:rPr>
                <w:rFonts w:hint="eastAsia" w:ascii="宋体" w:hAnsi="宋体" w:eastAsia="宋体" w:cs="宋体"/>
              </w:rPr>
              <w:t>单位</w:t>
            </w:r>
          </w:p>
        </w:tc>
        <w:tc>
          <w:tcPr>
            <w:tcW w:w="2432" w:type="dxa"/>
            <w:vAlign w:val="center"/>
          </w:tcPr>
          <w:p>
            <w:pPr>
              <w:spacing w:line="360" w:lineRule="auto"/>
              <w:jc w:val="center"/>
              <w:rPr>
                <w:rFonts w:ascii="宋体" w:hAnsi="宋体" w:eastAsia="宋体" w:cs="宋体"/>
              </w:rPr>
            </w:pPr>
            <w:r>
              <w:rPr>
                <w:rFonts w:hint="eastAsia" w:ascii="宋体" w:hAnsi="宋体" w:eastAsia="宋体" w:cs="宋体"/>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4" w:type="dxa"/>
            <w:vAlign w:val="center"/>
          </w:tcPr>
          <w:p>
            <w:pPr>
              <w:spacing w:line="360" w:lineRule="auto"/>
              <w:jc w:val="center"/>
              <w:rPr>
                <w:rFonts w:ascii="宋体" w:hAnsi="宋体" w:eastAsia="宋体" w:cs="宋体"/>
              </w:rPr>
            </w:pPr>
            <w:r>
              <w:rPr>
                <w:rFonts w:hint="eastAsia" w:ascii="宋体" w:hAnsi="宋体" w:eastAsia="宋体" w:cs="宋体"/>
              </w:rPr>
              <w:t>1</w:t>
            </w:r>
          </w:p>
        </w:tc>
        <w:tc>
          <w:tcPr>
            <w:tcW w:w="1276" w:type="dxa"/>
          </w:tcPr>
          <w:p>
            <w:pPr>
              <w:spacing w:line="360" w:lineRule="auto"/>
              <w:jc w:val="center"/>
              <w:rPr>
                <w:rFonts w:ascii="宋体" w:hAnsi="宋体" w:eastAsia="宋体" w:cs="宋体"/>
              </w:rPr>
            </w:pPr>
            <w:r>
              <w:rPr>
                <w:rFonts w:hint="eastAsia" w:ascii="宋体" w:hAnsi="宋体" w:eastAsia="宋体" w:cs="宋体"/>
              </w:rPr>
              <w:t>下吊绳施工</w:t>
            </w:r>
          </w:p>
        </w:tc>
        <w:tc>
          <w:tcPr>
            <w:tcW w:w="2835" w:type="dxa"/>
          </w:tcPr>
          <w:p>
            <w:pPr>
              <w:spacing w:line="360" w:lineRule="auto"/>
              <w:jc w:val="center"/>
              <w:rPr>
                <w:rFonts w:ascii="宋体" w:hAnsi="宋体" w:eastAsia="宋体" w:cs="宋体"/>
              </w:rPr>
            </w:pPr>
            <w:r>
              <w:rPr>
                <w:rFonts w:hint="eastAsia" w:ascii="宋体" w:hAnsi="宋体" w:eastAsia="宋体" w:cs="宋体"/>
              </w:rPr>
              <w:t>下吊绳、人工、住宿、吊绳、运输</w:t>
            </w:r>
          </w:p>
        </w:tc>
        <w:tc>
          <w:tcPr>
            <w:tcW w:w="1701" w:type="dxa"/>
          </w:tcPr>
          <w:p>
            <w:pPr>
              <w:spacing w:line="360" w:lineRule="auto"/>
              <w:jc w:val="center"/>
              <w:rPr>
                <w:rFonts w:ascii="宋体" w:hAnsi="宋体" w:eastAsia="宋体" w:cs="宋体"/>
              </w:rPr>
            </w:pPr>
            <w:r>
              <w:rPr>
                <w:rFonts w:hint="eastAsia" w:ascii="宋体" w:hAnsi="宋体" w:eastAsia="宋体" w:cs="宋体"/>
              </w:rPr>
              <w:t>㎡</w:t>
            </w:r>
          </w:p>
        </w:tc>
        <w:tc>
          <w:tcPr>
            <w:tcW w:w="2432" w:type="dxa"/>
            <w:vAlign w:val="center"/>
          </w:tcPr>
          <w:p>
            <w:pPr>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110.86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Align w:val="center"/>
          </w:tcPr>
          <w:p>
            <w:pPr>
              <w:spacing w:line="360" w:lineRule="auto"/>
              <w:jc w:val="center"/>
              <w:rPr>
                <w:rFonts w:ascii="宋体" w:hAnsi="宋体" w:eastAsia="宋体" w:cs="宋体"/>
              </w:rPr>
            </w:pPr>
            <w:r>
              <w:rPr>
                <w:rFonts w:hint="eastAsia" w:ascii="宋体" w:hAnsi="宋体" w:eastAsia="宋体" w:cs="宋体"/>
              </w:rPr>
              <w:t>2</w:t>
            </w:r>
          </w:p>
        </w:tc>
        <w:tc>
          <w:tcPr>
            <w:tcW w:w="1276" w:type="dxa"/>
          </w:tcPr>
          <w:p>
            <w:pPr>
              <w:spacing w:line="360" w:lineRule="auto"/>
              <w:jc w:val="center"/>
              <w:rPr>
                <w:rFonts w:ascii="宋体" w:hAnsi="宋体" w:eastAsia="宋体" w:cs="宋体"/>
              </w:rPr>
            </w:pPr>
            <w:r>
              <w:rPr>
                <w:rFonts w:hint="eastAsia" w:ascii="宋体" w:hAnsi="宋体" w:eastAsia="宋体" w:cs="宋体"/>
              </w:rPr>
              <w:t>外墙</w:t>
            </w:r>
          </w:p>
        </w:tc>
        <w:tc>
          <w:tcPr>
            <w:tcW w:w="2835" w:type="dxa"/>
          </w:tcPr>
          <w:p>
            <w:pPr>
              <w:pStyle w:val="29"/>
              <w:numPr>
                <w:ilvl w:val="0"/>
                <w:numId w:val="2"/>
              </w:numPr>
              <w:spacing w:line="360" w:lineRule="auto"/>
              <w:ind w:firstLineChars="0"/>
              <w:jc w:val="left"/>
              <w:rPr>
                <w:rFonts w:ascii="宋体" w:hAnsi="宋体" w:eastAsia="宋体" w:cs="宋体"/>
              </w:rPr>
            </w:pPr>
            <w:r>
              <w:rPr>
                <w:rFonts w:hint="eastAsia" w:ascii="宋体" w:hAnsi="宋体" w:eastAsia="宋体" w:cs="宋体"/>
              </w:rPr>
              <w:t>把空鼓瓷砖层凿掉</w:t>
            </w:r>
          </w:p>
          <w:p>
            <w:pPr>
              <w:pStyle w:val="29"/>
              <w:numPr>
                <w:ilvl w:val="0"/>
                <w:numId w:val="2"/>
              </w:numPr>
              <w:spacing w:line="360" w:lineRule="auto"/>
              <w:ind w:firstLineChars="0"/>
              <w:jc w:val="left"/>
              <w:rPr>
                <w:rFonts w:ascii="宋体" w:hAnsi="宋体" w:eastAsia="宋体" w:cs="宋体"/>
              </w:rPr>
            </w:pPr>
            <w:r>
              <w:rPr>
                <w:rFonts w:hint="eastAsia" w:ascii="宋体" w:hAnsi="宋体" w:eastAsia="宋体" w:cs="宋体"/>
              </w:rPr>
              <w:t>贴瓷砖砂浆层凿掉</w:t>
            </w:r>
          </w:p>
          <w:p>
            <w:pPr>
              <w:pStyle w:val="29"/>
              <w:numPr>
                <w:ilvl w:val="0"/>
                <w:numId w:val="2"/>
              </w:numPr>
              <w:spacing w:line="360" w:lineRule="auto"/>
              <w:ind w:firstLineChars="0"/>
              <w:jc w:val="left"/>
              <w:rPr>
                <w:rFonts w:ascii="宋体" w:hAnsi="宋体" w:eastAsia="宋体" w:cs="宋体"/>
              </w:rPr>
            </w:pPr>
            <w:r>
              <w:rPr>
                <w:rFonts w:hint="eastAsia" w:ascii="宋体" w:hAnsi="宋体" w:eastAsia="宋体" w:cs="宋体"/>
              </w:rPr>
              <w:t>施水、抹界面剂</w:t>
            </w:r>
          </w:p>
          <w:p>
            <w:pPr>
              <w:pStyle w:val="29"/>
              <w:numPr>
                <w:ilvl w:val="0"/>
                <w:numId w:val="2"/>
              </w:numPr>
              <w:spacing w:line="360" w:lineRule="auto"/>
              <w:ind w:firstLineChars="0"/>
              <w:jc w:val="left"/>
              <w:rPr>
                <w:rFonts w:ascii="宋体" w:hAnsi="宋体" w:eastAsia="宋体" w:cs="宋体"/>
              </w:rPr>
            </w:pPr>
            <w:r>
              <w:rPr>
                <w:rFonts w:hint="eastAsia" w:ascii="宋体" w:hAnsi="宋体" w:eastAsia="宋体" w:cs="宋体"/>
              </w:rPr>
              <w:t>抹瓷砖胶泥</w:t>
            </w:r>
          </w:p>
          <w:p>
            <w:pPr>
              <w:pStyle w:val="29"/>
              <w:numPr>
                <w:ilvl w:val="0"/>
                <w:numId w:val="2"/>
              </w:numPr>
              <w:spacing w:line="360" w:lineRule="auto"/>
              <w:ind w:firstLineChars="0"/>
              <w:jc w:val="left"/>
              <w:rPr>
                <w:rFonts w:ascii="宋体" w:hAnsi="宋体" w:eastAsia="宋体" w:cs="宋体"/>
              </w:rPr>
            </w:pPr>
            <w:r>
              <w:rPr>
                <w:rFonts w:hint="eastAsia" w:ascii="宋体" w:hAnsi="宋体" w:eastAsia="宋体" w:cs="宋体"/>
              </w:rPr>
              <w:t>恢复瓷砖</w:t>
            </w:r>
          </w:p>
        </w:tc>
        <w:tc>
          <w:tcPr>
            <w:tcW w:w="1701" w:type="dxa"/>
          </w:tcPr>
          <w:p>
            <w:pPr>
              <w:spacing w:line="360" w:lineRule="auto"/>
              <w:jc w:val="center"/>
              <w:rPr>
                <w:rFonts w:ascii="宋体" w:hAnsi="宋体" w:eastAsia="宋体" w:cs="宋体"/>
              </w:rPr>
            </w:pPr>
            <w:r>
              <w:rPr>
                <w:rFonts w:hint="eastAsia" w:ascii="宋体" w:hAnsi="宋体" w:eastAsia="宋体" w:cs="宋体"/>
              </w:rPr>
              <w:t>㎡</w:t>
            </w:r>
          </w:p>
        </w:tc>
        <w:tc>
          <w:tcPr>
            <w:tcW w:w="2432" w:type="dxa"/>
            <w:vAlign w:val="center"/>
          </w:tcPr>
          <w:p>
            <w:pPr>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110.86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4" w:type="dxa"/>
            <w:vAlign w:val="center"/>
          </w:tcPr>
          <w:p>
            <w:pPr>
              <w:spacing w:line="360" w:lineRule="auto"/>
              <w:jc w:val="center"/>
              <w:rPr>
                <w:rFonts w:ascii="宋体" w:hAnsi="宋体" w:eastAsia="宋体" w:cs="宋体"/>
              </w:rPr>
            </w:pPr>
            <w:r>
              <w:rPr>
                <w:rFonts w:hint="eastAsia" w:ascii="宋体" w:hAnsi="宋体" w:eastAsia="宋体" w:cs="宋体"/>
              </w:rPr>
              <w:t>3</w:t>
            </w:r>
          </w:p>
        </w:tc>
        <w:tc>
          <w:tcPr>
            <w:tcW w:w="1276" w:type="dxa"/>
          </w:tcPr>
          <w:p>
            <w:pPr>
              <w:spacing w:line="360" w:lineRule="auto"/>
              <w:jc w:val="center"/>
              <w:rPr>
                <w:rFonts w:ascii="宋体" w:hAnsi="宋体" w:eastAsia="宋体" w:cs="宋体"/>
              </w:rPr>
            </w:pPr>
            <w:r>
              <w:rPr>
                <w:rFonts w:hint="eastAsia" w:ascii="宋体" w:hAnsi="宋体" w:eastAsia="宋体" w:cs="宋体"/>
              </w:rPr>
              <w:t>安全文明施工措施</w:t>
            </w:r>
          </w:p>
        </w:tc>
        <w:tc>
          <w:tcPr>
            <w:tcW w:w="2835" w:type="dxa"/>
          </w:tcPr>
          <w:p>
            <w:pPr>
              <w:spacing w:line="360" w:lineRule="auto"/>
              <w:jc w:val="center"/>
              <w:rPr>
                <w:rFonts w:ascii="宋体" w:hAnsi="宋体" w:eastAsia="宋体" w:cs="宋体"/>
              </w:rPr>
            </w:pPr>
            <w:r>
              <w:rPr>
                <w:rFonts w:hint="eastAsia" w:ascii="宋体" w:hAnsi="宋体" w:eastAsia="宋体" w:cs="宋体"/>
              </w:rPr>
              <w:t>施工完清场，垃圾清运</w:t>
            </w:r>
          </w:p>
        </w:tc>
        <w:tc>
          <w:tcPr>
            <w:tcW w:w="1701" w:type="dxa"/>
          </w:tcPr>
          <w:p>
            <w:pPr>
              <w:spacing w:line="360" w:lineRule="auto"/>
              <w:jc w:val="center"/>
              <w:rPr>
                <w:rFonts w:ascii="宋体" w:hAnsi="宋体" w:eastAsia="宋体" w:cs="宋体"/>
              </w:rPr>
            </w:pPr>
            <w:r>
              <w:rPr>
                <w:rFonts w:hint="eastAsia" w:ascii="宋体" w:hAnsi="宋体" w:eastAsia="宋体" w:cs="宋体"/>
              </w:rPr>
              <w:t>㎡</w:t>
            </w:r>
          </w:p>
        </w:tc>
        <w:tc>
          <w:tcPr>
            <w:tcW w:w="2432" w:type="dxa"/>
            <w:vAlign w:val="center"/>
          </w:tcPr>
          <w:p>
            <w:pPr>
              <w:spacing w:line="360" w:lineRule="auto"/>
              <w:jc w:val="center"/>
              <w:rPr>
                <w:rFonts w:ascii="宋体" w:hAnsi="宋体" w:eastAsia="宋体" w:cs="宋体"/>
              </w:rPr>
            </w:pPr>
            <w:r>
              <w:rPr>
                <w:rFonts w:hint="eastAsia" w:ascii="宋体" w:hAnsi="宋体" w:eastAsia="宋体" w:cs="宋体"/>
                <w:lang w:val="en-US" w:eastAsia="zh-CN"/>
              </w:rPr>
              <w:t>110.86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4" w:type="dxa"/>
            <w:vAlign w:val="center"/>
          </w:tcPr>
          <w:p>
            <w:pPr>
              <w:spacing w:line="360" w:lineRule="auto"/>
              <w:jc w:val="center"/>
              <w:rPr>
                <w:rFonts w:ascii="宋体" w:hAnsi="宋体" w:eastAsia="宋体" w:cs="宋体"/>
              </w:rPr>
            </w:pPr>
            <w:r>
              <w:rPr>
                <w:rFonts w:hint="eastAsia" w:ascii="宋体" w:hAnsi="宋体" w:eastAsia="宋体" w:cs="宋体"/>
              </w:rPr>
              <w:t>4</w:t>
            </w:r>
          </w:p>
        </w:tc>
        <w:tc>
          <w:tcPr>
            <w:tcW w:w="1276" w:type="dxa"/>
          </w:tcPr>
          <w:p>
            <w:pPr>
              <w:spacing w:line="360" w:lineRule="auto"/>
              <w:jc w:val="center"/>
              <w:rPr>
                <w:rFonts w:ascii="宋体" w:hAnsi="宋体" w:eastAsia="宋体" w:cs="宋体"/>
              </w:rPr>
            </w:pPr>
            <w:r>
              <w:rPr>
                <w:rFonts w:hint="eastAsia" w:ascii="宋体" w:hAnsi="宋体" w:eastAsia="宋体" w:cs="宋体"/>
              </w:rPr>
              <w:t>安全保险</w:t>
            </w:r>
          </w:p>
        </w:tc>
        <w:tc>
          <w:tcPr>
            <w:tcW w:w="2835" w:type="dxa"/>
          </w:tcPr>
          <w:p>
            <w:pPr>
              <w:spacing w:line="360" w:lineRule="auto"/>
              <w:jc w:val="center"/>
              <w:rPr>
                <w:rFonts w:ascii="宋体" w:hAnsi="宋体" w:eastAsia="宋体" w:cs="宋体"/>
              </w:rPr>
            </w:pPr>
            <w:r>
              <w:rPr>
                <w:rFonts w:hint="eastAsia" w:ascii="宋体" w:hAnsi="宋体" w:eastAsia="宋体" w:cs="宋体"/>
              </w:rPr>
              <w:t>包工包料，总价包干，为人员缴纳各类保险（以外墙架体实际面积为准）</w:t>
            </w:r>
          </w:p>
        </w:tc>
        <w:tc>
          <w:tcPr>
            <w:tcW w:w="1701" w:type="dxa"/>
          </w:tcPr>
          <w:p>
            <w:pPr>
              <w:spacing w:line="360" w:lineRule="auto"/>
              <w:jc w:val="center"/>
              <w:rPr>
                <w:rFonts w:ascii="宋体" w:hAnsi="宋体" w:eastAsia="宋体" w:cs="宋体"/>
              </w:rPr>
            </w:pPr>
            <w:r>
              <w:rPr>
                <w:rFonts w:hint="eastAsia" w:ascii="宋体" w:hAnsi="宋体" w:eastAsia="宋体" w:cs="宋体"/>
              </w:rPr>
              <w:t>㎡</w:t>
            </w:r>
          </w:p>
        </w:tc>
        <w:tc>
          <w:tcPr>
            <w:tcW w:w="2432" w:type="dxa"/>
            <w:vAlign w:val="center"/>
          </w:tcPr>
          <w:p>
            <w:pPr>
              <w:spacing w:line="360" w:lineRule="auto"/>
              <w:jc w:val="center"/>
              <w:rPr>
                <w:rFonts w:ascii="宋体" w:hAnsi="宋体" w:eastAsia="宋体" w:cs="宋体"/>
              </w:rPr>
            </w:pPr>
            <w:r>
              <w:rPr>
                <w:rFonts w:hint="eastAsia" w:ascii="宋体" w:hAnsi="宋体" w:eastAsia="宋体" w:cs="宋体"/>
                <w:lang w:val="en-US" w:eastAsia="zh-CN"/>
              </w:rPr>
              <w:t>110.86</w:t>
            </w:r>
          </w:p>
        </w:tc>
      </w:tr>
    </w:tbl>
    <w:p>
      <w:pPr>
        <w:spacing w:line="360" w:lineRule="auto"/>
        <w:ind w:left="480"/>
        <w:jc w:val="left"/>
        <w:rPr>
          <w:rFonts w:ascii="宋体" w:hAnsi="宋体"/>
          <w:sz w:val="24"/>
        </w:rPr>
      </w:pPr>
    </w:p>
    <w:p>
      <w:pPr>
        <w:numPr>
          <w:ilvl w:val="0"/>
          <w:numId w:val="1"/>
        </w:numPr>
        <w:spacing w:line="360" w:lineRule="auto"/>
        <w:ind w:firstLine="480" w:firstLineChars="200"/>
        <w:jc w:val="left"/>
        <w:rPr>
          <w:rFonts w:ascii="宋体" w:hAnsi="宋体"/>
          <w:color w:val="FF0000"/>
          <w:sz w:val="24"/>
        </w:rPr>
      </w:pPr>
      <w:r>
        <w:rPr>
          <w:rFonts w:hint="eastAsia" w:ascii="宋体" w:hAnsi="宋体"/>
          <w:sz w:val="24"/>
        </w:rPr>
        <w:t>人员及其他要求：自行根据项目工作量配置，可以达到采购人工作质量要求，</w:t>
      </w:r>
      <w:r>
        <w:rPr>
          <w:rFonts w:hint="eastAsia" w:ascii="宋体" w:hAnsi="宋体"/>
          <w:color w:val="FF0000"/>
          <w:sz w:val="24"/>
          <w:lang w:val="en-US" w:eastAsia="zh-CN"/>
        </w:rPr>
        <w:t>现场施工要制定安全施工方案，包括但不限于安全管理措施、应急措施、作业过程、防护装备（设备）、施工</w:t>
      </w:r>
      <w:r>
        <w:rPr>
          <w:rFonts w:hint="eastAsia" w:ascii="宋体" w:hAnsi="宋体"/>
          <w:color w:val="FF0000"/>
          <w:sz w:val="24"/>
        </w:rPr>
        <w:t>人员具备相应高空作业操作证</w:t>
      </w:r>
      <w:r>
        <w:rPr>
          <w:rFonts w:hint="eastAsia" w:ascii="宋体" w:hAnsi="宋体"/>
          <w:color w:val="FF0000"/>
          <w:sz w:val="24"/>
          <w:lang w:val="en-US" w:eastAsia="zh-CN"/>
        </w:rPr>
        <w:t>等内容</w:t>
      </w:r>
      <w:r>
        <w:rPr>
          <w:rFonts w:hint="eastAsia" w:ascii="宋体" w:hAnsi="宋体"/>
          <w:color w:val="FF0000"/>
          <w:sz w:val="24"/>
        </w:rPr>
        <w:t>。</w:t>
      </w:r>
    </w:p>
    <w:p>
      <w:pPr>
        <w:numPr>
          <w:ilvl w:val="0"/>
          <w:numId w:val="1"/>
        </w:numPr>
        <w:spacing w:line="360" w:lineRule="auto"/>
        <w:ind w:firstLine="480" w:firstLineChars="200"/>
        <w:jc w:val="left"/>
        <w:rPr>
          <w:rFonts w:ascii="宋体" w:hAnsi="宋体"/>
          <w:sz w:val="24"/>
        </w:rPr>
      </w:pPr>
      <w:r>
        <w:rPr>
          <w:rFonts w:hint="eastAsia" w:ascii="宋体" w:hAnsi="宋体"/>
          <w:sz w:val="24"/>
        </w:rPr>
        <w:t>设备要求：</w:t>
      </w:r>
      <w:bookmarkStart w:id="10" w:name="_Hlk118295045"/>
      <w:r>
        <w:rPr>
          <w:rFonts w:hint="eastAsia" w:ascii="宋体" w:hAnsi="宋体"/>
          <w:sz w:val="24"/>
        </w:rPr>
        <w:t>自行根据项目工作量配置，可以达到采购人工作质量要求。</w:t>
      </w:r>
      <w:bookmarkEnd w:id="10"/>
    </w:p>
    <w:p>
      <w:pPr>
        <w:pStyle w:val="3"/>
      </w:pPr>
      <w:r>
        <w:rPr>
          <w:rFonts w:hint="eastAsia"/>
        </w:rPr>
        <w:t>二商务要求：</w:t>
      </w:r>
    </w:p>
    <w:p>
      <w:pPr>
        <w:numPr>
          <w:ilvl w:val="0"/>
          <w:numId w:val="3"/>
        </w:numPr>
        <w:spacing w:line="360" w:lineRule="auto"/>
        <w:ind w:firstLine="480" w:firstLineChars="200"/>
        <w:jc w:val="left"/>
        <w:rPr>
          <w:rFonts w:ascii="宋体" w:hAnsi="宋体"/>
          <w:sz w:val="24"/>
        </w:rPr>
      </w:pPr>
      <w:r>
        <w:rPr>
          <w:rFonts w:hint="eastAsia" w:ascii="宋体" w:hAnsi="宋体"/>
          <w:sz w:val="24"/>
        </w:rPr>
        <w:t>服务期限：30天，自合同签订之日起生效。</w:t>
      </w:r>
    </w:p>
    <w:p>
      <w:pPr>
        <w:numPr>
          <w:ilvl w:val="0"/>
          <w:numId w:val="3"/>
        </w:numPr>
        <w:spacing w:line="360" w:lineRule="auto"/>
        <w:ind w:firstLine="480"/>
        <w:jc w:val="left"/>
        <w:rPr>
          <w:rFonts w:ascii="宋体" w:hAnsi="宋体"/>
          <w:sz w:val="24"/>
        </w:rPr>
      </w:pPr>
      <w:bookmarkStart w:id="11" w:name="_Hlk114838009"/>
      <w:r>
        <w:rPr>
          <w:rFonts w:hint="eastAsia" w:ascii="宋体" w:hAnsi="宋体"/>
          <w:sz w:val="24"/>
        </w:rPr>
        <w:t>报价要求：</w:t>
      </w:r>
    </w:p>
    <w:p>
      <w:pPr>
        <w:spacing w:line="360" w:lineRule="auto"/>
        <w:ind w:firstLine="480" w:firstLineChars="200"/>
        <w:jc w:val="left"/>
        <w:rPr>
          <w:rFonts w:ascii="宋体" w:hAnsi="宋体"/>
          <w:sz w:val="24"/>
        </w:rPr>
      </w:pPr>
      <w:r>
        <w:rPr>
          <w:rFonts w:hint="eastAsia" w:ascii="宋体" w:hAnsi="宋体"/>
          <w:sz w:val="24"/>
        </w:rPr>
        <w:t>（1）本项目预算控制金额及最高投标限价为人民币55000</w:t>
      </w:r>
      <w:r>
        <w:rPr>
          <w:rFonts w:ascii="宋体" w:hAnsi="宋体"/>
          <w:sz w:val="24"/>
        </w:rPr>
        <w:t>.00</w:t>
      </w:r>
      <w:r>
        <w:rPr>
          <w:rFonts w:hint="eastAsia" w:ascii="宋体" w:hAnsi="宋体"/>
          <w:sz w:val="24"/>
        </w:rPr>
        <w:t>元。超出此预算控制金额或最高投标限价的作无效投标处理；</w:t>
      </w:r>
    </w:p>
    <w:p>
      <w:pPr>
        <w:spacing w:line="360" w:lineRule="auto"/>
        <w:ind w:firstLine="480" w:firstLineChars="200"/>
        <w:jc w:val="left"/>
        <w:rPr>
          <w:rFonts w:ascii="宋体" w:hAnsi="宋体"/>
          <w:sz w:val="24"/>
        </w:rPr>
      </w:pPr>
      <w:r>
        <w:rPr>
          <w:rFonts w:hint="eastAsia" w:ascii="宋体" w:hAnsi="宋体"/>
          <w:sz w:val="24"/>
        </w:rPr>
        <w:t>（2）本次采购报价币种为人民币，单位为元；</w:t>
      </w:r>
    </w:p>
    <w:p>
      <w:pPr>
        <w:spacing w:line="360" w:lineRule="auto"/>
        <w:ind w:firstLine="480" w:firstLineChars="200"/>
        <w:jc w:val="left"/>
        <w:rPr>
          <w:rFonts w:ascii="宋体" w:hAnsi="宋体"/>
          <w:sz w:val="24"/>
        </w:rPr>
      </w:pPr>
      <w:r>
        <w:rPr>
          <w:rFonts w:hint="eastAsia" w:ascii="宋体" w:hAnsi="宋体"/>
          <w:sz w:val="24"/>
        </w:rPr>
        <w:t>（3）本项目服务费用采用包干制，包括但不限于人工费、设备费等服务成本、管理费用、法定税费和利润等一切费用。投标人应自行承担未来时期人工工资上调、劳动合同补偿和物价上涨等因素对服务价格造成的影响及风险；</w:t>
      </w:r>
    </w:p>
    <w:p>
      <w:pPr>
        <w:spacing w:line="360" w:lineRule="auto"/>
        <w:ind w:firstLine="480" w:firstLineChars="200"/>
        <w:jc w:val="left"/>
        <w:rPr>
          <w:rFonts w:ascii="宋体" w:hAnsi="宋体"/>
          <w:sz w:val="24"/>
        </w:rPr>
      </w:pPr>
      <w:r>
        <w:rPr>
          <w:rFonts w:hint="eastAsia" w:ascii="宋体" w:hAnsi="宋体"/>
          <w:sz w:val="24"/>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bookmarkEnd w:id="11"/>
    <w:p>
      <w:pPr>
        <w:numPr>
          <w:ilvl w:val="0"/>
          <w:numId w:val="3"/>
        </w:numPr>
        <w:spacing w:line="360" w:lineRule="auto"/>
        <w:ind w:firstLine="480"/>
        <w:jc w:val="left"/>
        <w:rPr>
          <w:rFonts w:ascii="宋体" w:hAnsi="宋体"/>
          <w:sz w:val="24"/>
        </w:rPr>
      </w:pPr>
      <w:r>
        <w:rPr>
          <w:rFonts w:hint="eastAsia" w:ascii="宋体" w:hAnsi="宋体"/>
          <w:sz w:val="24"/>
        </w:rPr>
        <w:t>付款方式：</w:t>
      </w:r>
    </w:p>
    <w:p>
      <w:pPr>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）项目完成后，采购人向中标人支付合同总价</w:t>
      </w:r>
      <w:r>
        <w:rPr>
          <w:rFonts w:ascii="宋体" w:hAnsi="宋体"/>
          <w:sz w:val="24"/>
        </w:rPr>
        <w:t>100</w:t>
      </w:r>
      <w:r>
        <w:rPr>
          <w:rFonts w:hint="eastAsia" w:ascii="宋体" w:hAnsi="宋体"/>
          <w:sz w:val="24"/>
        </w:rPr>
        <w:t>%的款项；</w:t>
      </w:r>
    </w:p>
    <w:p>
      <w:pPr>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）中标人需向采购人提供相应金额的有效增值税发票，采购人在收到发票后15个工作日内支付。</w:t>
      </w:r>
    </w:p>
    <w:p>
      <w:pPr>
        <w:numPr>
          <w:ilvl w:val="0"/>
          <w:numId w:val="3"/>
        </w:numPr>
        <w:spacing w:line="360" w:lineRule="auto"/>
        <w:ind w:firstLine="480" w:firstLineChars="200"/>
        <w:jc w:val="left"/>
        <w:rPr>
          <w:rFonts w:ascii="宋体" w:hAnsi="宋体"/>
          <w:sz w:val="24"/>
        </w:rPr>
      </w:pPr>
      <w:r>
        <w:rPr>
          <w:rFonts w:hint="eastAsia" w:ascii="宋体" w:hAnsi="宋体"/>
          <w:sz w:val="24"/>
        </w:rPr>
        <w:t>考核办法/验收方式：</w:t>
      </w:r>
    </w:p>
    <w:p>
      <w:pPr>
        <w:spacing w:line="360" w:lineRule="auto"/>
        <w:ind w:firstLine="480" w:firstLineChars="200"/>
        <w:jc w:val="left"/>
        <w:rPr>
          <w:rFonts w:ascii="宋体" w:hAnsi="宋体"/>
          <w:sz w:val="24"/>
        </w:rPr>
      </w:pPr>
      <w:r>
        <w:rPr>
          <w:rFonts w:hint="eastAsia" w:ascii="宋体" w:hAnsi="宋体"/>
          <w:sz w:val="24"/>
        </w:rPr>
        <w:t>（1）服务经过双方检验认可后，采购人指定专人签署验收报告；</w:t>
      </w:r>
    </w:p>
    <w:p>
      <w:pPr>
        <w:spacing w:line="360" w:lineRule="auto"/>
        <w:ind w:firstLine="480" w:firstLineChars="200"/>
        <w:jc w:val="left"/>
        <w:rPr>
          <w:rFonts w:ascii="宋体" w:hAnsi="宋体"/>
          <w:sz w:val="24"/>
        </w:rPr>
      </w:pPr>
      <w:r>
        <w:rPr>
          <w:rFonts w:hint="eastAsia" w:ascii="宋体" w:hAnsi="宋体"/>
          <w:sz w:val="24"/>
        </w:rPr>
        <w:t>（2）当满足以下条件时，采购人才向中标人签发验收报告；</w:t>
      </w:r>
    </w:p>
    <w:p>
      <w:pPr>
        <w:spacing w:line="360" w:lineRule="auto"/>
        <w:ind w:firstLine="480" w:firstLineChars="200"/>
        <w:jc w:val="left"/>
        <w:rPr>
          <w:rFonts w:ascii="宋体" w:hAnsi="宋体"/>
          <w:sz w:val="24"/>
        </w:rPr>
      </w:pPr>
      <w:r>
        <w:rPr>
          <w:rFonts w:hint="eastAsia" w:ascii="宋体" w:hAnsi="宋体"/>
          <w:sz w:val="24"/>
        </w:rPr>
        <w:t>a、中标人已按照合同规定提供了全部技术资料；</w:t>
      </w:r>
    </w:p>
    <w:p>
      <w:pPr>
        <w:spacing w:line="360" w:lineRule="auto"/>
        <w:ind w:firstLine="480" w:firstLineChars="200"/>
        <w:jc w:val="left"/>
        <w:rPr>
          <w:rFonts w:ascii="宋体" w:hAnsi="宋体"/>
          <w:sz w:val="24"/>
        </w:rPr>
      </w:pPr>
      <w:r>
        <w:rPr>
          <w:rFonts w:hint="eastAsia" w:ascii="宋体" w:hAnsi="宋体"/>
          <w:sz w:val="24"/>
        </w:rPr>
        <w:t>b、服务项目符合招标文件的服务要求。</w:t>
      </w:r>
    </w:p>
    <w:p>
      <w:pPr>
        <w:numPr>
          <w:ilvl w:val="0"/>
          <w:numId w:val="3"/>
        </w:numPr>
        <w:spacing w:line="360" w:lineRule="auto"/>
        <w:ind w:firstLine="480" w:firstLineChars="200"/>
        <w:jc w:val="left"/>
        <w:rPr>
          <w:rFonts w:ascii="宋体" w:hAnsi="宋体"/>
          <w:sz w:val="24"/>
        </w:rPr>
      </w:pPr>
      <w:r>
        <w:rPr>
          <w:rFonts w:hint="eastAsia" w:ascii="宋体" w:hAnsi="宋体"/>
          <w:sz w:val="24"/>
        </w:rPr>
        <w:t>保修期：自验收之日起至一年。</w:t>
      </w:r>
    </w:p>
    <w:p>
      <w:pPr>
        <w:pStyle w:val="29"/>
        <w:numPr>
          <w:ilvl w:val="0"/>
          <w:numId w:val="3"/>
        </w:numPr>
        <w:ind w:firstLineChars="0"/>
        <w:rPr>
          <w:rFonts w:ascii="宋体" w:hAnsi="宋体"/>
          <w:sz w:val="24"/>
        </w:rPr>
      </w:pPr>
      <w:r>
        <w:rPr>
          <w:rFonts w:hint="eastAsia" w:ascii="宋体" w:hAnsi="宋体"/>
          <w:sz w:val="24"/>
        </w:rPr>
        <w:t>违约要求：</w:t>
      </w:r>
    </w:p>
    <w:p>
      <w:pPr>
        <w:spacing w:line="360" w:lineRule="auto"/>
        <w:ind w:firstLine="480" w:firstLineChars="200"/>
        <w:jc w:val="left"/>
        <w:rPr>
          <w:rFonts w:ascii="宋体" w:hAnsi="宋体"/>
          <w:sz w:val="24"/>
        </w:rPr>
      </w:pPr>
      <w:r>
        <w:rPr>
          <w:rFonts w:hint="eastAsia" w:ascii="宋体" w:hAnsi="宋体"/>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pPr>
        <w:spacing w:line="360" w:lineRule="auto"/>
        <w:ind w:firstLine="480" w:firstLineChars="200"/>
        <w:jc w:val="left"/>
        <w:rPr>
          <w:rFonts w:ascii="宋体" w:hAnsi="宋体"/>
          <w:sz w:val="24"/>
        </w:rPr>
      </w:pPr>
      <w:r>
        <w:rPr>
          <w:rFonts w:hint="eastAsia" w:ascii="宋体" w:hAnsi="宋体"/>
          <w:sz w:val="24"/>
        </w:rPr>
        <w:t>（2）投标人不能交付服务的，投标人向采购人偿付项目采购金额百分之十的违约金；造成严重后果的，根据《深圳经济特区政府采购条例》第五十七条第（二）款规定，由主管部门对中标人进行处罚。</w:t>
      </w:r>
    </w:p>
    <w:p>
      <w:pPr>
        <w:spacing w:line="360" w:lineRule="auto"/>
        <w:ind w:firstLine="480" w:firstLineChars="200"/>
        <w:jc w:val="left"/>
        <w:rPr>
          <w:rFonts w:ascii="宋体" w:hAnsi="宋体"/>
          <w:sz w:val="24"/>
        </w:rPr>
        <w:sectPr>
          <w:pgSz w:w="11906" w:h="16838"/>
          <w:pgMar w:top="1418" w:right="1474" w:bottom="1418" w:left="1474" w:header="851" w:footer="992" w:gutter="0"/>
          <w:cols w:space="425" w:num="1"/>
          <w:docGrid w:type="lines" w:linePitch="312" w:charSpace="0"/>
        </w:sectPr>
      </w:pPr>
      <w:r>
        <w:rPr>
          <w:rFonts w:hint="eastAsia" w:ascii="宋体" w:hAnsi="宋体"/>
          <w:sz w:val="24"/>
        </w:rPr>
        <w:t>（3）中标单位需根据《深圳经济特区政府采购条例》要求，中标公示期结束后10个工作日内与采购单位签订合同，否则采购单位有权终止合作并不承担法律责任。</w:t>
      </w:r>
    </w:p>
    <w:p>
      <w:pPr>
        <w:pStyle w:val="2"/>
      </w:pPr>
      <w:r>
        <w:rPr>
          <w:rFonts w:hint="eastAsia"/>
        </w:rPr>
        <w:t>第三章  投标人须知</w:t>
      </w:r>
      <w:bookmarkEnd w:id="8"/>
      <w:bookmarkEnd w:id="9"/>
    </w:p>
    <w:p>
      <w:pPr>
        <w:pStyle w:val="5"/>
        <w:ind w:firstLine="482"/>
      </w:pPr>
      <w:bookmarkStart w:id="12" w:name="_Toc55548492"/>
      <w:r>
        <w:t>一、说明</w:t>
      </w:r>
      <w:bookmarkEnd w:id="12"/>
    </w:p>
    <w:p>
      <w:pPr>
        <w:pStyle w:val="4"/>
        <w:spacing w:line="360" w:lineRule="auto"/>
        <w:ind w:firstLine="482"/>
      </w:pPr>
      <w:bookmarkStart w:id="13" w:name="_Toc55548493"/>
      <w:bookmarkStart w:id="14" w:name="_Toc18091"/>
      <w:r>
        <w:t>招标人及资金来源</w:t>
      </w:r>
      <w:bookmarkEnd w:id="13"/>
      <w:bookmarkEnd w:id="14"/>
    </w:p>
    <w:p>
      <w:pPr>
        <w:spacing w:line="360" w:lineRule="auto"/>
        <w:ind w:firstLine="420" w:firstLineChars="200"/>
        <w:rPr>
          <w:rFonts w:asciiTheme="minorEastAsia" w:hAnsiTheme="minorEastAsia"/>
          <w:szCs w:val="21"/>
        </w:rPr>
      </w:pPr>
      <w:bookmarkStart w:id="15"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5"/>
    </w:p>
    <w:p>
      <w:pPr>
        <w:pStyle w:val="4"/>
        <w:spacing w:line="360" w:lineRule="auto"/>
        <w:ind w:firstLine="482"/>
      </w:pPr>
      <w:bookmarkStart w:id="16" w:name="_Toc29370"/>
      <w:bookmarkStart w:id="17" w:name="_Toc55548494"/>
      <w:r>
        <w:t>合格的投标人</w:t>
      </w:r>
      <w:bookmarkEnd w:id="16"/>
      <w:bookmarkEnd w:id="17"/>
    </w:p>
    <w:p>
      <w:pPr>
        <w:spacing w:line="360" w:lineRule="auto"/>
        <w:ind w:firstLine="420" w:firstLineChars="200"/>
        <w:rPr>
          <w:rFonts w:asciiTheme="minorEastAsia" w:hAnsiTheme="minorEastAsia"/>
          <w:szCs w:val="21"/>
        </w:rPr>
      </w:pPr>
      <w:bookmarkStart w:id="18" w:name="_Ref179620057"/>
      <w:r>
        <w:rPr>
          <w:rFonts w:asciiTheme="minorEastAsia" w:hAnsiTheme="minorEastAsia"/>
          <w:szCs w:val="21"/>
        </w:rPr>
        <w:t>合格的投标人</w:t>
      </w:r>
      <w:bookmarkEnd w:id="18"/>
    </w:p>
    <w:p>
      <w:pPr>
        <w:spacing w:line="360" w:lineRule="auto"/>
        <w:ind w:firstLine="420" w:firstLineChars="200"/>
        <w:rPr>
          <w:rFonts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pPr>
        <w:spacing w:line="360" w:lineRule="auto"/>
        <w:ind w:firstLine="420" w:firstLineChars="200"/>
        <w:rPr>
          <w:rFonts w:asciiTheme="minorEastAsia" w:hAnsiTheme="minorEastAsia"/>
          <w:szCs w:val="21"/>
        </w:rPr>
      </w:pPr>
      <w:r>
        <w:rPr>
          <w:rFonts w:asciiTheme="minorEastAsia" w:hAnsiTheme="minorEastAsia"/>
          <w:szCs w:val="21"/>
        </w:rPr>
        <w:t>只有在法律上和财务上独立、合法运作并独立于招标人的供货人才能参加投标。</w:t>
      </w:r>
    </w:p>
    <w:p>
      <w:pPr>
        <w:spacing w:line="360" w:lineRule="auto"/>
        <w:ind w:firstLine="420" w:firstLineChars="200"/>
        <w:rPr>
          <w:rFonts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pPr>
        <w:pStyle w:val="4"/>
        <w:spacing w:line="360" w:lineRule="auto"/>
        <w:ind w:firstLine="482"/>
      </w:pPr>
      <w:bookmarkStart w:id="19" w:name="_Toc55548495"/>
      <w:bookmarkStart w:id="20" w:name="_Toc12412"/>
      <w:r>
        <w:t>合格的货物和服务</w:t>
      </w:r>
      <w:bookmarkEnd w:id="19"/>
      <w:bookmarkEnd w:id="20"/>
    </w:p>
    <w:p>
      <w:pPr>
        <w:spacing w:line="360" w:lineRule="auto"/>
        <w:ind w:firstLine="420" w:firstLineChars="200"/>
        <w:rPr>
          <w:rFonts w:asciiTheme="minorEastAsia" w:hAnsiTheme="minorEastAsia"/>
          <w:szCs w:val="21"/>
        </w:rPr>
      </w:pPr>
      <w:r>
        <w:rPr>
          <w:rFonts w:asciiTheme="minorEastAsia" w:hAnsiTheme="minorEastAsia"/>
          <w:szCs w:val="21"/>
        </w:rPr>
        <w:t>必须是全新的货物，如安装或配置了软件的，须为正版软件。</w:t>
      </w:r>
    </w:p>
    <w:p>
      <w:pPr>
        <w:spacing w:line="360" w:lineRule="auto"/>
        <w:ind w:firstLine="420" w:firstLineChars="200"/>
        <w:rPr>
          <w:rFonts w:asciiTheme="minorEastAsia" w:hAnsiTheme="minorEastAsia"/>
          <w:szCs w:val="21"/>
        </w:rPr>
      </w:pPr>
      <w:r>
        <w:rPr>
          <w:rFonts w:asciiTheme="minorEastAsia" w:hAnsiTheme="minorEastAsia"/>
          <w:szCs w:val="21"/>
        </w:rPr>
        <w:t>产品及相关的服务必须符合中华人民共和国的设计和制造生产或行业标准。</w:t>
      </w:r>
    </w:p>
    <w:p>
      <w:pPr>
        <w:spacing w:line="360" w:lineRule="auto"/>
        <w:ind w:firstLine="420" w:firstLineChars="200"/>
        <w:rPr>
          <w:rFonts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pPr>
        <w:spacing w:line="360" w:lineRule="auto"/>
        <w:ind w:firstLine="420" w:firstLineChars="200"/>
        <w:rPr>
          <w:rFonts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pPr>
        <w:spacing w:line="360" w:lineRule="auto"/>
        <w:ind w:firstLine="420" w:firstLineChars="200"/>
        <w:rPr>
          <w:rFonts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pPr>
        <w:pStyle w:val="4"/>
        <w:spacing w:line="360" w:lineRule="auto"/>
        <w:ind w:firstLine="482"/>
      </w:pPr>
      <w:bookmarkStart w:id="21" w:name="_Toc55548496"/>
      <w:bookmarkStart w:id="22" w:name="_Toc25686"/>
      <w:r>
        <w:t>投标费用</w:t>
      </w:r>
      <w:bookmarkEnd w:id="21"/>
      <w:bookmarkEnd w:id="22"/>
    </w:p>
    <w:p>
      <w:pPr>
        <w:spacing w:line="360" w:lineRule="auto"/>
        <w:ind w:firstLine="420" w:firstLineChars="200"/>
        <w:rPr>
          <w:rFonts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pPr>
        <w:pStyle w:val="4"/>
        <w:spacing w:line="360" w:lineRule="auto"/>
        <w:ind w:firstLine="482"/>
      </w:pPr>
      <w:bookmarkStart w:id="23" w:name="_Toc55548497"/>
      <w:bookmarkStart w:id="24" w:name="_Toc10390"/>
      <w:r>
        <w:t>踏勘现场</w:t>
      </w:r>
      <w:bookmarkEnd w:id="23"/>
      <w:bookmarkEnd w:id="24"/>
    </w:p>
    <w:p>
      <w:pPr>
        <w:spacing w:line="360" w:lineRule="auto"/>
        <w:ind w:firstLine="420" w:firstLineChars="200"/>
        <w:rPr>
          <w:rFonts w:asciiTheme="minorEastAsia" w:hAnsiTheme="minorEastAsia"/>
          <w:szCs w:val="21"/>
        </w:rPr>
      </w:pPr>
      <w:bookmarkStart w:id="25"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将组织投标人对项目现场及周围环境进行踏勘，以便投标人获取须自己负责的有关编制响应文件和签署合同所需的所有资料。踏勘现场所发生的费用由投标人自己承担。</w:t>
      </w:r>
      <w:bookmarkEnd w:id="25"/>
    </w:p>
    <w:p>
      <w:pPr>
        <w:spacing w:line="360" w:lineRule="auto"/>
        <w:ind w:firstLine="420" w:firstLineChars="200"/>
        <w:rPr>
          <w:rFonts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pPr>
        <w:spacing w:line="360" w:lineRule="auto"/>
        <w:ind w:firstLine="420" w:firstLineChars="200"/>
        <w:rPr>
          <w:rFonts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pPr>
        <w:spacing w:line="360" w:lineRule="auto"/>
        <w:ind w:firstLine="420" w:firstLineChars="200"/>
        <w:rPr>
          <w:rFonts w:asciiTheme="minorEastAsia" w:hAnsiTheme="minorEastAsia"/>
          <w:szCs w:val="21"/>
        </w:rPr>
      </w:pPr>
      <w:r>
        <w:rPr>
          <w:rFonts w:asciiTheme="minorEastAsia" w:hAnsiTheme="minorEastAsia"/>
          <w:szCs w:val="21"/>
        </w:rPr>
        <w:t>如果投标人认为需要再次进行现场踏勘，招标人将予以支持，费用自理。</w:t>
      </w:r>
    </w:p>
    <w:p>
      <w:pPr>
        <w:pStyle w:val="5"/>
        <w:ind w:firstLine="482"/>
      </w:pPr>
      <w:bookmarkStart w:id="26" w:name="_Toc55548498"/>
      <w:bookmarkStart w:id="27" w:name="_Toc6043"/>
      <w:bookmarkStart w:id="28" w:name="_Toc1751"/>
      <w:r>
        <w:t>二、竞价文件</w:t>
      </w:r>
      <w:bookmarkEnd w:id="26"/>
      <w:bookmarkEnd w:id="27"/>
      <w:bookmarkEnd w:id="28"/>
    </w:p>
    <w:p>
      <w:pPr>
        <w:pStyle w:val="4"/>
        <w:spacing w:line="360" w:lineRule="auto"/>
        <w:ind w:firstLine="482"/>
      </w:pPr>
      <w:bookmarkStart w:id="29" w:name="_Toc55548499"/>
      <w:bookmarkStart w:id="30" w:name="_Toc19397"/>
      <w:r>
        <w:t>竞价文件的构成</w:t>
      </w:r>
      <w:bookmarkEnd w:id="29"/>
      <w:bookmarkEnd w:id="30"/>
    </w:p>
    <w:p>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pPr>
        <w:spacing w:line="360" w:lineRule="auto"/>
        <w:ind w:firstLine="420" w:firstLineChars="200"/>
        <w:rPr>
          <w:rFonts w:asciiTheme="minorEastAsia" w:hAnsiTheme="minorEastAsia"/>
          <w:szCs w:val="21"/>
        </w:rPr>
      </w:pPr>
      <w:r>
        <w:rPr>
          <w:rFonts w:hint="eastAsia" w:asciiTheme="minorEastAsia" w:hAnsiTheme="minorEastAsia"/>
          <w:szCs w:val="21"/>
        </w:rPr>
        <w:t>第三章 投标人须知</w:t>
      </w:r>
    </w:p>
    <w:p>
      <w:pPr>
        <w:spacing w:line="360" w:lineRule="auto"/>
        <w:ind w:firstLine="420" w:firstLineChars="200"/>
        <w:rPr>
          <w:rFonts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响应文件格式</w:t>
      </w:r>
    </w:p>
    <w:p>
      <w:pPr>
        <w:spacing w:line="360" w:lineRule="auto"/>
        <w:ind w:firstLine="420" w:firstLineChars="200"/>
        <w:rPr>
          <w:rFonts w:asciiTheme="minorEastAsia" w:hAnsiTheme="minorEastAsia"/>
          <w:szCs w:val="21"/>
        </w:rPr>
      </w:pPr>
      <w:r>
        <w:rPr>
          <w:rFonts w:asciiTheme="minorEastAsia" w:hAnsiTheme="minorEastAsia"/>
          <w:szCs w:val="21"/>
        </w:rPr>
        <w:t>投标人应认真阅读竞价文件中所有的事项、格式、条款和技术规格等。投标人没有按照竞价文件要求提交全部资料，或者投标没有对竞价文件在各方面都作出实质性响应是投标人的风险，并可能导致其投标被拒绝。</w:t>
      </w:r>
    </w:p>
    <w:p>
      <w:pPr>
        <w:pStyle w:val="4"/>
        <w:spacing w:line="360" w:lineRule="auto"/>
        <w:ind w:firstLine="482"/>
      </w:pPr>
      <w:bookmarkStart w:id="31" w:name="_Toc55548500"/>
      <w:bookmarkStart w:id="32" w:name="_Toc31711"/>
      <w:r>
        <w:t>竞价文件的澄清</w:t>
      </w:r>
      <w:bookmarkEnd w:id="31"/>
      <w:bookmarkEnd w:id="32"/>
    </w:p>
    <w:p>
      <w:pPr>
        <w:spacing w:line="360" w:lineRule="auto"/>
        <w:ind w:firstLine="420" w:firstLineChars="200"/>
        <w:rPr>
          <w:rFonts w:asciiTheme="minorEastAsia" w:hAnsiTheme="minorEastAsia"/>
          <w:szCs w:val="21"/>
        </w:rPr>
      </w:pPr>
      <w:r>
        <w:rPr>
          <w:rFonts w:asciiTheme="minorEastAsia" w:hAnsiTheme="minorEastAsia"/>
          <w:szCs w:val="21"/>
        </w:rPr>
        <w:t>任何要求对竞价文件进行澄清的潜在投标人，均应以书面形式通知招标人。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对其在投标截止期五日以前收到的对竞价文件的澄清要求均以书面形式予以答复，同时将书面答复方式发给每个购买竞价文件的潜在投标人(答复中不包括问题的来源)。</w:t>
      </w:r>
    </w:p>
    <w:p>
      <w:pPr>
        <w:pStyle w:val="4"/>
        <w:spacing w:line="360" w:lineRule="auto"/>
        <w:ind w:firstLine="482"/>
      </w:pPr>
      <w:bookmarkStart w:id="33" w:name="_Toc55548501"/>
      <w:bookmarkStart w:id="34" w:name="_Ref179619612"/>
      <w:bookmarkStart w:id="35" w:name="_Toc21781"/>
      <w:r>
        <w:t>竞价文件的修改</w:t>
      </w:r>
      <w:bookmarkEnd w:id="33"/>
      <w:bookmarkEnd w:id="34"/>
      <w:bookmarkEnd w:id="35"/>
    </w:p>
    <w:p>
      <w:pPr>
        <w:spacing w:line="360" w:lineRule="auto"/>
        <w:ind w:firstLine="420" w:firstLineChars="200"/>
        <w:rPr>
          <w:rFonts w:asciiTheme="minorEastAsia" w:hAnsiTheme="minorEastAsia"/>
          <w:szCs w:val="21"/>
        </w:rPr>
      </w:pPr>
      <w:r>
        <w:rPr>
          <w:rFonts w:asciiTheme="minorEastAsia" w:hAnsiTheme="minorEastAsia"/>
          <w:szCs w:val="21"/>
        </w:rPr>
        <w:t>在投标截止时间三日前，招标人可主动地或在解答潜在投标人提出的澄清问题时对竞价文件进行修改。澄清或修改时间不足三日的，</w:t>
      </w:r>
      <w:r>
        <w:rPr>
          <w:rFonts w:hint="eastAsia" w:asciiTheme="minorEastAsia" w:hAnsiTheme="minorEastAsia"/>
          <w:szCs w:val="21"/>
        </w:rPr>
        <w:t>本中心</w:t>
      </w:r>
      <w:r>
        <w:rPr>
          <w:rFonts w:asciiTheme="minorEastAsia" w:hAnsiTheme="minorEastAsia"/>
          <w:szCs w:val="21"/>
        </w:rPr>
        <w:t>在征得已获取竞价文件的供应商同意并书面确认后，可不改变投标截至时间。</w:t>
      </w:r>
    </w:p>
    <w:p>
      <w:pPr>
        <w:spacing w:line="360" w:lineRule="auto"/>
        <w:ind w:firstLine="420" w:firstLineChars="200"/>
        <w:rPr>
          <w:rFonts w:asciiTheme="minorEastAsia" w:hAnsiTheme="minorEastAsia"/>
          <w:szCs w:val="21"/>
        </w:rPr>
      </w:pPr>
      <w:bookmarkStart w:id="36" w:name="_Ref179619147"/>
      <w:r>
        <w:rPr>
          <w:rFonts w:asciiTheme="minorEastAsia" w:hAnsiTheme="minorEastAsia"/>
          <w:szCs w:val="21"/>
        </w:rPr>
        <w:t>竞价文件的修改是竞价文件的组成部分，竞价文件的修改均在</w:t>
      </w:r>
      <w:r>
        <w:rPr>
          <w:rFonts w:hint="eastAsia" w:asciiTheme="minorEastAsia" w:hAnsiTheme="minorEastAsia"/>
          <w:kern w:val="0"/>
          <w:szCs w:val="21"/>
        </w:rPr>
        <w:t>http://www.bawjxt.net/bacdc/ (深圳市宝安区疾病预防控制中心官网)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6"/>
    </w:p>
    <w:p>
      <w:pPr>
        <w:spacing w:line="360" w:lineRule="auto"/>
        <w:ind w:firstLine="420" w:firstLineChars="200"/>
        <w:rPr>
          <w:rFonts w:asciiTheme="minorEastAsia" w:hAnsiTheme="minorEastAsia"/>
          <w:szCs w:val="21"/>
        </w:rPr>
      </w:pPr>
      <w:r>
        <w:rPr>
          <w:rFonts w:asciiTheme="minorEastAsia" w:hAnsiTheme="minorEastAsia"/>
          <w:szCs w:val="21"/>
        </w:rPr>
        <w:t>为使投标人准备投标时有充分时间对竞价文件的修改部分进行研究，招标人可适当推迟投标截止期。</w:t>
      </w:r>
    </w:p>
    <w:p>
      <w:pPr>
        <w:pStyle w:val="5"/>
        <w:ind w:firstLine="482"/>
      </w:pPr>
      <w:bookmarkStart w:id="37" w:name="_Toc6740"/>
      <w:bookmarkStart w:id="38" w:name="_Toc20164"/>
      <w:bookmarkStart w:id="39" w:name="_Toc55548502"/>
      <w:r>
        <w:t>三、响应文件的编制</w:t>
      </w:r>
      <w:bookmarkEnd w:id="37"/>
      <w:bookmarkEnd w:id="38"/>
      <w:bookmarkEnd w:id="39"/>
    </w:p>
    <w:p>
      <w:pPr>
        <w:pStyle w:val="4"/>
        <w:spacing w:line="360" w:lineRule="auto"/>
        <w:ind w:firstLine="482"/>
      </w:pPr>
      <w:bookmarkStart w:id="40" w:name="_Toc28578"/>
      <w:bookmarkStart w:id="41" w:name="_Toc55548503"/>
      <w:r>
        <w:t>投标的语言</w:t>
      </w:r>
      <w:bookmarkEnd w:id="40"/>
      <w:bookmarkEnd w:id="41"/>
    </w:p>
    <w:p>
      <w:pPr>
        <w:spacing w:line="360" w:lineRule="auto"/>
        <w:ind w:firstLine="420" w:firstLineChars="200"/>
        <w:rPr>
          <w:rFonts w:asciiTheme="minorEastAsia" w:hAnsiTheme="minorEastAsia"/>
          <w:szCs w:val="21"/>
        </w:rPr>
      </w:pPr>
      <w:bookmarkStart w:id="42" w:name="_Ref179620571"/>
      <w:r>
        <w:rPr>
          <w:rFonts w:asciiTheme="minorEastAsia" w:hAnsiTheme="minorEastAsia"/>
          <w:szCs w:val="21"/>
        </w:rPr>
        <w:t>投标人提交的响应文件以及投标人与招标人就有关投标的所有来往函电均应使用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的翻译本，在解释响应文件时以翻译本为准。</w:t>
      </w:r>
      <w:bookmarkEnd w:id="42"/>
    </w:p>
    <w:p>
      <w:pPr>
        <w:pStyle w:val="4"/>
        <w:spacing w:line="360" w:lineRule="auto"/>
        <w:ind w:firstLine="482"/>
      </w:pPr>
      <w:bookmarkStart w:id="43" w:name="_Toc31114"/>
      <w:bookmarkStart w:id="44" w:name="_Toc55548504"/>
      <w:r>
        <w:t>投标范围及响应文件中计量单位的使用</w:t>
      </w:r>
      <w:bookmarkEnd w:id="43"/>
      <w:bookmarkEnd w:id="44"/>
    </w:p>
    <w:p>
      <w:pPr>
        <w:spacing w:line="360" w:lineRule="auto"/>
        <w:ind w:firstLine="420" w:firstLineChars="200"/>
        <w:rPr>
          <w:rFonts w:asciiTheme="minorEastAsia" w:hAnsiTheme="minorEastAsia"/>
          <w:szCs w:val="21"/>
        </w:rPr>
      </w:pPr>
      <w:r>
        <w:rPr>
          <w:rFonts w:asciiTheme="minorEastAsia" w:hAnsiTheme="minorEastAsia"/>
          <w:szCs w:val="21"/>
        </w:rPr>
        <w:t>投标人可对竞价文件中“用户需求书”中所述的所有货物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pPr>
        <w:spacing w:line="360" w:lineRule="auto"/>
        <w:ind w:firstLine="420" w:firstLineChars="200"/>
        <w:rPr>
          <w:rFonts w:asciiTheme="minorEastAsia" w:hAnsiTheme="minorEastAsia"/>
          <w:szCs w:val="21"/>
        </w:rPr>
      </w:pPr>
      <w:r>
        <w:rPr>
          <w:rFonts w:asciiTheme="minorEastAsia" w:hAnsiTheme="minorEastAsia"/>
          <w:szCs w:val="21"/>
        </w:rPr>
        <w:t>响应文件中所使用的计量单位，除竞价文件中有特殊要求外，应采用中华人民共和国法定计量单位。</w:t>
      </w:r>
    </w:p>
    <w:p>
      <w:pPr>
        <w:spacing w:line="360" w:lineRule="auto"/>
        <w:ind w:firstLine="420" w:firstLineChars="200"/>
        <w:rPr>
          <w:rFonts w:asciiTheme="minorEastAsia" w:hAnsiTheme="minorEastAsia"/>
          <w:szCs w:val="21"/>
        </w:rPr>
      </w:pPr>
      <w:r>
        <w:rPr>
          <w:rFonts w:asciiTheme="minorEastAsia" w:hAnsiTheme="minorEastAsia"/>
          <w:szCs w:val="21"/>
        </w:rPr>
        <w:t>除非另有说明，本竞价文件中所称“日”均指日历日，响应文件中需以日历日对竞价文件作出响应。评审时，对投标中出现的“工作日”按五个工作日折合七个日历日计算，且评标委员会可能会就有关日期作出对该投标人不利的折算或量化，投标人不得对此提出异议，否则其投标将被拒绝。</w:t>
      </w:r>
    </w:p>
    <w:p>
      <w:pPr>
        <w:pStyle w:val="4"/>
        <w:spacing w:line="360" w:lineRule="auto"/>
        <w:ind w:firstLine="482"/>
      </w:pPr>
      <w:bookmarkStart w:id="45" w:name="_Toc55548505"/>
      <w:bookmarkStart w:id="46" w:name="_Toc4999"/>
      <w:r>
        <w:t>响应文件的构成</w:t>
      </w:r>
      <w:bookmarkEnd w:id="45"/>
      <w:bookmarkEnd w:id="46"/>
    </w:p>
    <w:p>
      <w:pPr>
        <w:spacing w:line="360" w:lineRule="auto"/>
        <w:ind w:firstLine="420" w:firstLineChars="200"/>
        <w:rPr>
          <w:rFonts w:asciiTheme="minorEastAsia" w:hAnsiTheme="minorEastAsia"/>
          <w:szCs w:val="21"/>
        </w:rPr>
      </w:pPr>
      <w:r>
        <w:rPr>
          <w:rFonts w:asciiTheme="minorEastAsia" w:hAnsiTheme="minorEastAsia"/>
          <w:szCs w:val="21"/>
        </w:rPr>
        <w:t>投标人应完整地按竞价文件提供的响应文件格式制作响应文件。</w:t>
      </w:r>
    </w:p>
    <w:p>
      <w:pPr>
        <w:pStyle w:val="4"/>
        <w:spacing w:line="360" w:lineRule="auto"/>
        <w:ind w:firstLine="482"/>
      </w:pPr>
      <w:bookmarkStart w:id="47" w:name="_Toc55548507"/>
      <w:bookmarkStart w:id="48" w:name="_Toc12177"/>
      <w:r>
        <w:t>响应文件的编写</w:t>
      </w:r>
      <w:bookmarkEnd w:id="47"/>
      <w:bookmarkEnd w:id="48"/>
    </w:p>
    <w:p>
      <w:pPr>
        <w:spacing w:line="360" w:lineRule="auto"/>
        <w:ind w:firstLine="420" w:firstLineChars="200"/>
        <w:rPr>
          <w:rFonts w:asciiTheme="minorEastAsia" w:hAnsiTheme="minorEastAsia"/>
          <w:szCs w:val="21"/>
        </w:rPr>
      </w:pPr>
      <w:r>
        <w:rPr>
          <w:rFonts w:asciiTheme="minorEastAsia" w:hAnsiTheme="minorEastAsia"/>
          <w:szCs w:val="21"/>
        </w:rPr>
        <w:t>投标人应按竞价文件的规定，及附件要求的内容和格式完整地填写和提供资料，并保证所提供的全部资料的真实性。</w:t>
      </w:r>
    </w:p>
    <w:p>
      <w:pPr>
        <w:pStyle w:val="4"/>
        <w:spacing w:line="360" w:lineRule="auto"/>
        <w:ind w:firstLine="482"/>
      </w:pPr>
      <w:bookmarkStart w:id="49" w:name="_Toc26930"/>
      <w:bookmarkStart w:id="50" w:name="_Toc55548508"/>
      <w:r>
        <w:t>投标报价</w:t>
      </w:r>
      <w:bookmarkEnd w:id="49"/>
      <w:bookmarkEnd w:id="50"/>
    </w:p>
    <w:p>
      <w:pPr>
        <w:spacing w:line="360" w:lineRule="auto"/>
        <w:ind w:firstLine="420" w:firstLineChars="200"/>
        <w:rPr>
          <w:rFonts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pPr>
        <w:spacing w:line="360" w:lineRule="auto"/>
        <w:ind w:firstLine="420" w:firstLineChars="200"/>
        <w:rPr>
          <w:rFonts w:asciiTheme="minorEastAsia" w:hAnsiTheme="minorEastAsia"/>
          <w:szCs w:val="21"/>
        </w:rPr>
      </w:pPr>
      <w:bookmarkStart w:id="51" w:name="_Ref179619251"/>
      <w:r>
        <w:rPr>
          <w:rFonts w:asciiTheme="minorEastAsia" w:hAnsiTheme="minorEastAsia"/>
          <w:szCs w:val="21"/>
        </w:rPr>
        <w:t>投标人应在投标分项报价表上标明投标货物及相关服务的单价(如适用)和总价，并由法定代表人或其授权代表签署。投标总价中不得包含竞价文件要求以外的内容，否则，在评标时不予核减。</w:t>
      </w:r>
      <w:bookmarkEnd w:id="51"/>
    </w:p>
    <w:p>
      <w:pPr>
        <w:spacing w:line="360" w:lineRule="auto"/>
        <w:ind w:firstLine="420" w:firstLineChars="200"/>
        <w:rPr>
          <w:rFonts w:asciiTheme="minorEastAsia" w:hAnsiTheme="minorEastAsia"/>
          <w:szCs w:val="21"/>
        </w:rPr>
      </w:pPr>
      <w:bookmarkStart w:id="52"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2"/>
    </w:p>
    <w:p>
      <w:pPr>
        <w:spacing w:line="360" w:lineRule="auto"/>
        <w:ind w:firstLine="420" w:firstLineChars="200"/>
        <w:rPr>
          <w:rFonts w:asciiTheme="minorEastAsia" w:hAnsiTheme="minorEastAsia"/>
          <w:szCs w:val="21"/>
        </w:rPr>
      </w:pPr>
      <w:r>
        <w:rPr>
          <w:rFonts w:asciiTheme="minorEastAsia" w:hAnsiTheme="minorEastAsia"/>
          <w:szCs w:val="21"/>
        </w:rPr>
        <w:t>投标分项报价上的价格应按下列方式填写：</w:t>
      </w:r>
    </w:p>
    <w:p>
      <w:pPr>
        <w:spacing w:line="360" w:lineRule="auto"/>
        <w:ind w:firstLine="420" w:firstLineChars="200"/>
        <w:rPr>
          <w:rFonts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pPr>
        <w:spacing w:line="360" w:lineRule="auto"/>
        <w:ind w:firstLine="420" w:firstLineChars="200"/>
        <w:rPr>
          <w:rFonts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pPr>
        <w:spacing w:line="360" w:lineRule="auto"/>
        <w:ind w:firstLine="420" w:firstLineChars="200"/>
        <w:rPr>
          <w:rFonts w:asciiTheme="minorEastAsia" w:hAnsiTheme="minorEastAsia"/>
          <w:szCs w:val="21"/>
        </w:rPr>
      </w:pPr>
      <w:bookmarkStart w:id="53" w:name="_Ref179620755"/>
      <w:r>
        <w:rPr>
          <w:rFonts w:asciiTheme="minorEastAsia" w:hAnsiTheme="minorEastAsia"/>
          <w:szCs w:val="21"/>
        </w:rPr>
        <w:t>其他伴随服务的费用(如有)。</w:t>
      </w:r>
      <w:bookmarkEnd w:id="53"/>
    </w:p>
    <w:p>
      <w:pPr>
        <w:spacing w:line="360" w:lineRule="auto"/>
        <w:ind w:firstLine="420" w:firstLineChars="200"/>
        <w:rPr>
          <w:rFonts w:asciiTheme="minorEastAsia" w:hAnsiTheme="minorEastAsia"/>
          <w:szCs w:val="21"/>
        </w:rPr>
      </w:pPr>
      <w:r>
        <w:rPr>
          <w:rFonts w:asciiTheme="minorEastAsia" w:hAnsiTheme="minorEastAsia"/>
          <w:szCs w:val="21"/>
        </w:rPr>
        <w:t xml:space="preserve">投标人根据本须知的规定将投标价分成几部分，只是为了方便招标人对响应文件进行比较，并不限制招标人以上述任何条件订立合同的权力。 </w:t>
      </w:r>
    </w:p>
    <w:p>
      <w:pPr>
        <w:spacing w:line="360" w:lineRule="auto"/>
        <w:ind w:firstLine="420" w:firstLineChars="200"/>
        <w:rPr>
          <w:rFonts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pPr>
        <w:pStyle w:val="4"/>
        <w:spacing w:line="360" w:lineRule="auto"/>
        <w:ind w:firstLine="482"/>
      </w:pPr>
      <w:bookmarkStart w:id="54" w:name="_Toc55548509"/>
      <w:bookmarkStart w:id="55" w:name="_Toc11635"/>
      <w:r>
        <w:t>证明投标人合格和资格的文件</w:t>
      </w:r>
      <w:bookmarkEnd w:id="54"/>
      <w:bookmarkEnd w:id="55"/>
      <w:r>
        <w:t xml:space="preserve"> </w:t>
      </w:r>
    </w:p>
    <w:p>
      <w:pPr>
        <w:spacing w:line="360" w:lineRule="auto"/>
        <w:ind w:firstLine="420" w:firstLineChars="200"/>
        <w:rPr>
          <w:rFonts w:asciiTheme="minorEastAsia" w:hAnsiTheme="minorEastAsia"/>
          <w:szCs w:val="21"/>
        </w:rPr>
      </w:pPr>
      <w:r>
        <w:rPr>
          <w:rFonts w:asciiTheme="minorEastAsia" w:hAnsiTheme="minorEastAsia"/>
          <w:szCs w:val="21"/>
        </w:rPr>
        <w:t>投标人应提交证明其有资格参加投标和中标后有能力履行合同的文件。</w:t>
      </w:r>
    </w:p>
    <w:p>
      <w:pPr>
        <w:spacing w:line="360" w:lineRule="auto"/>
        <w:ind w:firstLine="420" w:firstLineChars="200"/>
        <w:rPr>
          <w:rFonts w:asciiTheme="minorEastAsia" w:hAnsiTheme="minorEastAsia"/>
          <w:szCs w:val="21"/>
        </w:rPr>
      </w:pPr>
      <w:r>
        <w:rPr>
          <w:rFonts w:asciiTheme="minorEastAsia" w:hAnsiTheme="minorEastAsia"/>
          <w:szCs w:val="21"/>
        </w:rPr>
        <w:t>竞价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pPr>
        <w:spacing w:line="360" w:lineRule="auto"/>
        <w:ind w:firstLine="420" w:firstLineChars="200"/>
        <w:rPr>
          <w:rFonts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pPr>
        <w:spacing w:line="360" w:lineRule="auto"/>
        <w:ind w:firstLine="420" w:firstLineChars="200"/>
        <w:rPr>
          <w:rFonts w:asciiTheme="minorEastAsia" w:hAnsiTheme="minorEastAsia"/>
          <w:szCs w:val="21"/>
        </w:rPr>
      </w:pPr>
      <w:r>
        <w:rPr>
          <w:rFonts w:asciiTheme="minorEastAsia" w:hAnsiTheme="minorEastAsia"/>
          <w:szCs w:val="21"/>
        </w:rPr>
        <w:t>证明投标人销售资格的证明文件：制造商参加投标时，需在响应文件中注明其制造商身份；代理商参加投标时则须提交相应授权文件，授权文件包括制造商或上级代理商授权（上级代理商授权文件应可追溯至制造商授权文件，并有完整的证明资料）；竞价文件对授权文件有特殊要求的，从其规定；</w:t>
      </w:r>
    </w:p>
    <w:p>
      <w:pPr>
        <w:spacing w:line="360" w:lineRule="auto"/>
        <w:ind w:firstLine="420" w:firstLineChars="200"/>
        <w:rPr>
          <w:rFonts w:asciiTheme="minorEastAsia" w:hAnsiTheme="minorEastAsia"/>
          <w:szCs w:val="21"/>
        </w:rPr>
      </w:pPr>
      <w:r>
        <w:rPr>
          <w:rFonts w:asciiTheme="minorEastAsia" w:hAnsiTheme="minorEastAsia"/>
          <w:szCs w:val="21"/>
        </w:rPr>
        <w:t xml:space="preserve">证明投标人已具备履行合同所需的财务、技术和生产能力的文件； </w:t>
      </w:r>
    </w:p>
    <w:p>
      <w:pPr>
        <w:spacing w:line="360" w:lineRule="auto"/>
        <w:ind w:firstLine="420" w:firstLineChars="200"/>
        <w:rPr>
          <w:rFonts w:asciiTheme="minorEastAsia" w:hAnsiTheme="minorEastAsia"/>
          <w:szCs w:val="21"/>
        </w:rPr>
      </w:pPr>
      <w:r>
        <w:rPr>
          <w:rFonts w:asciiTheme="minorEastAsia" w:hAnsiTheme="minorEastAsia"/>
          <w:szCs w:val="21"/>
        </w:rPr>
        <w:t>证明投标人满足竞价文件业绩要求的文件；</w:t>
      </w:r>
    </w:p>
    <w:p>
      <w:pPr>
        <w:spacing w:line="360" w:lineRule="auto"/>
        <w:ind w:firstLine="420" w:firstLineChars="200"/>
        <w:rPr>
          <w:rFonts w:asciiTheme="minorEastAsia" w:hAnsiTheme="minorEastAsia"/>
          <w:szCs w:val="21"/>
        </w:rPr>
      </w:pPr>
      <w:bookmarkStart w:id="56" w:name="_Ref179620846"/>
      <w:r>
        <w:rPr>
          <w:rFonts w:asciiTheme="minorEastAsia" w:hAnsiTheme="minorEastAsia"/>
          <w:szCs w:val="21"/>
        </w:rPr>
        <w:t>投标资料表要求的其它资格证明文件。</w:t>
      </w:r>
      <w:bookmarkEnd w:id="56"/>
    </w:p>
    <w:p>
      <w:pPr>
        <w:pStyle w:val="4"/>
        <w:spacing w:line="360" w:lineRule="auto"/>
        <w:ind w:firstLine="482"/>
      </w:pPr>
      <w:bookmarkStart w:id="57" w:name="_Toc28857"/>
      <w:bookmarkStart w:id="58" w:name="_Toc55548510"/>
      <w:r>
        <w:t>证明货物的合格性和符合竞价文件规定的文件</w:t>
      </w:r>
      <w:bookmarkEnd w:id="57"/>
      <w:bookmarkEnd w:id="58"/>
    </w:p>
    <w:p>
      <w:pPr>
        <w:spacing w:line="360" w:lineRule="auto"/>
        <w:ind w:firstLine="420" w:firstLineChars="200"/>
        <w:rPr>
          <w:rFonts w:asciiTheme="minorEastAsia" w:hAnsiTheme="minorEastAsia"/>
          <w:szCs w:val="21"/>
        </w:rPr>
      </w:pPr>
      <w:r>
        <w:rPr>
          <w:rFonts w:asciiTheme="minorEastAsia" w:hAnsiTheme="minorEastAsia"/>
          <w:szCs w:val="21"/>
        </w:rPr>
        <w:t>投标人应提交证明文件，证明其拟供的合同项下的货物和服务的合格性符合竞价文件规定。该证明文件作为响应文件的一部分。</w:t>
      </w:r>
    </w:p>
    <w:p>
      <w:pPr>
        <w:spacing w:line="360" w:lineRule="auto"/>
        <w:ind w:firstLine="420" w:firstLineChars="200"/>
        <w:rPr>
          <w:rFonts w:asciiTheme="minorEastAsia" w:hAnsiTheme="minorEastAsia"/>
          <w:szCs w:val="21"/>
        </w:rPr>
      </w:pPr>
      <w:r>
        <w:rPr>
          <w:rFonts w:asciiTheme="minorEastAsia" w:hAnsiTheme="minorEastAsia"/>
          <w:szCs w:val="21"/>
        </w:rPr>
        <w:t>上述所述的证明文件，可以是文字资料、图纸和数据，它包括：</w:t>
      </w:r>
    </w:p>
    <w:p>
      <w:pPr>
        <w:spacing w:line="360" w:lineRule="auto"/>
        <w:ind w:firstLine="420" w:firstLineChars="200"/>
        <w:rPr>
          <w:rFonts w:asciiTheme="minorEastAsia" w:hAnsiTheme="minorEastAsia"/>
          <w:szCs w:val="21"/>
        </w:rPr>
      </w:pPr>
      <w:r>
        <w:rPr>
          <w:rFonts w:asciiTheme="minorEastAsia" w:hAnsiTheme="minorEastAsia"/>
          <w:szCs w:val="21"/>
        </w:rPr>
        <w:t>货物主要技术指标和性能的详细说明；</w:t>
      </w:r>
    </w:p>
    <w:p>
      <w:pPr>
        <w:spacing w:line="360" w:lineRule="auto"/>
        <w:ind w:firstLine="420" w:firstLineChars="200"/>
        <w:rPr>
          <w:rFonts w:asciiTheme="minorEastAsia" w:hAnsiTheme="minorEastAsia"/>
          <w:szCs w:val="21"/>
        </w:rPr>
      </w:pPr>
      <w:r>
        <w:rPr>
          <w:rFonts w:asciiTheme="minorEastAsia" w:hAnsiTheme="minorEastAsia"/>
          <w:szCs w:val="21"/>
        </w:rPr>
        <w:t>货物从招标人验收后开始使用至竞价文件规定的保质期内正常、连续地使用所必须的备件和专用工具清单，包括备件和专用工具的货源及现行价格；</w:t>
      </w:r>
    </w:p>
    <w:p>
      <w:pPr>
        <w:spacing w:line="360" w:lineRule="auto"/>
        <w:ind w:firstLine="420" w:firstLineChars="200"/>
        <w:rPr>
          <w:rFonts w:asciiTheme="minorEastAsia" w:hAnsiTheme="minorEastAsia"/>
          <w:szCs w:val="21"/>
        </w:rPr>
      </w:pPr>
      <w:r>
        <w:rPr>
          <w:rFonts w:asciiTheme="minorEastAsia" w:hAnsiTheme="minorEastAsia"/>
          <w:szCs w:val="21"/>
        </w:rPr>
        <w:t>对照竞价文件技术规格，逐条说明所提供货物和服务已对竞价文件的技术规格做出了实质性的响应，并申明与技术规格条文的偏差和例外。特别对有具体参数要求的指标，投标人必须提供所投设备的具体参数值。</w:t>
      </w:r>
    </w:p>
    <w:p>
      <w:pPr>
        <w:spacing w:line="360" w:lineRule="auto"/>
        <w:ind w:firstLine="420" w:firstLineChars="200"/>
        <w:rPr>
          <w:rFonts w:asciiTheme="minorEastAsia" w:hAnsiTheme="minorEastAsia"/>
          <w:szCs w:val="21"/>
        </w:rPr>
      </w:pPr>
      <w:r>
        <w:rPr>
          <w:rFonts w:asciiTheme="minorEastAsia" w:hAnsiTheme="minorEastAsia"/>
          <w:szCs w:val="21"/>
        </w:rPr>
        <w:t>投标人应注意竞价文件的技术规格中指出的工艺、材料和设备的标准以及参照的品牌或型号仅起说明作用，并没有任何限制性。投标人在投标中可以选用替代标准、品牌或型号，但这些替代要实质上满足或超过竞价文件的要求。</w:t>
      </w:r>
    </w:p>
    <w:p>
      <w:pPr>
        <w:pStyle w:val="4"/>
        <w:spacing w:line="360" w:lineRule="auto"/>
        <w:ind w:firstLine="482"/>
      </w:pPr>
      <w:bookmarkStart w:id="59" w:name="_Toc55548511"/>
      <w:bookmarkStart w:id="60" w:name="_Toc1901"/>
      <w:r>
        <w:t>投标有效期</w:t>
      </w:r>
      <w:bookmarkEnd w:id="59"/>
      <w:bookmarkEnd w:id="60"/>
    </w:p>
    <w:p>
      <w:pPr>
        <w:spacing w:line="360" w:lineRule="auto"/>
        <w:ind w:firstLine="420" w:firstLineChars="200"/>
        <w:rPr>
          <w:rFonts w:asciiTheme="minorEastAsia" w:hAnsiTheme="minorEastAsia"/>
          <w:szCs w:val="21"/>
        </w:rPr>
      </w:pPr>
      <w:bookmarkStart w:id="61" w:name="_Ref179620893"/>
      <w:r>
        <w:rPr>
          <w:rFonts w:asciiTheme="minorEastAsia" w:hAnsiTheme="minorEastAsia"/>
          <w:szCs w:val="21"/>
        </w:rPr>
        <w:t>投标有效期不足的投标将被视为非实质性响应，并予以拒绝。</w:t>
      </w:r>
      <w:bookmarkEnd w:id="61"/>
    </w:p>
    <w:p>
      <w:pPr>
        <w:spacing w:line="360" w:lineRule="auto"/>
        <w:ind w:firstLine="420" w:firstLineChars="200"/>
        <w:rPr>
          <w:rFonts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pPr>
        <w:pStyle w:val="4"/>
        <w:spacing w:line="360" w:lineRule="auto"/>
        <w:ind w:firstLine="482"/>
      </w:pPr>
      <w:bookmarkStart w:id="62" w:name="_Toc55548512"/>
      <w:bookmarkStart w:id="63" w:name="_Toc28446"/>
      <w:r>
        <w:t>响应文件的式样和签署</w:t>
      </w:r>
      <w:bookmarkEnd w:id="62"/>
      <w:bookmarkEnd w:id="63"/>
    </w:p>
    <w:p>
      <w:pPr>
        <w:spacing w:line="360" w:lineRule="auto"/>
        <w:ind w:firstLine="420" w:firstLineChars="200"/>
        <w:rPr>
          <w:rFonts w:asciiTheme="minorEastAsia" w:hAnsiTheme="minorEastAsia"/>
          <w:szCs w:val="21"/>
          <w:highlight w:val="yellow"/>
        </w:rPr>
      </w:pPr>
      <w:bookmarkStart w:id="64"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响应文件正本和</w:t>
      </w:r>
      <w:r>
        <w:rPr>
          <w:rFonts w:hint="eastAsia" w:asciiTheme="minorEastAsia" w:hAnsiTheme="minorEastAsia"/>
          <w:b/>
          <w:szCs w:val="21"/>
          <w:highlight w:val="yellow"/>
        </w:rPr>
        <w:t>两份</w:t>
      </w:r>
      <w:r>
        <w:rPr>
          <w:rFonts w:asciiTheme="minorEastAsia" w:hAnsiTheme="minorEastAsia"/>
          <w:szCs w:val="21"/>
          <w:highlight w:val="yellow"/>
        </w:rPr>
        <w:t>副本</w:t>
      </w:r>
      <w:r>
        <w:rPr>
          <w:rFonts w:hint="eastAsia" w:asciiTheme="minorEastAsia" w:hAnsiTheme="minorEastAsia"/>
          <w:szCs w:val="21"/>
          <w:highlight w:val="yellow"/>
        </w:rPr>
        <w:t>，电子版一份</w:t>
      </w:r>
      <w:r>
        <w:rPr>
          <w:rFonts w:asciiTheme="minorEastAsia" w:hAnsiTheme="minorEastAsia"/>
          <w:szCs w:val="21"/>
          <w:highlight w:val="yellow"/>
        </w:rPr>
        <w:t>，每套响应文件须清楚地标明“正本”或“副本”。若副本与正本不符，以正本为准。</w:t>
      </w:r>
      <w:bookmarkEnd w:id="64"/>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响应文件的正本需打印或用不褪色墨水书写，并由法定代表人或经其正式授权的代表签字并加盖单位印章。授权代表须持有书面的《法定代表人授权书》，并将其附在响应文件中。响应文件的副本可采用正本的复印件。</w:t>
      </w:r>
    </w:p>
    <w:p>
      <w:pPr>
        <w:spacing w:line="360" w:lineRule="auto"/>
        <w:ind w:firstLine="420" w:firstLineChars="200"/>
        <w:rPr>
          <w:rFonts w:asciiTheme="minorEastAsia" w:hAnsiTheme="minorEastAsia"/>
          <w:szCs w:val="21"/>
        </w:rPr>
      </w:pPr>
      <w:r>
        <w:rPr>
          <w:rFonts w:asciiTheme="minorEastAsia" w:hAnsiTheme="minorEastAsia"/>
          <w:szCs w:val="21"/>
          <w:highlight w:val="yellow"/>
        </w:rPr>
        <w:t>任何行间插字、涂改和增删，必须由响应文件签字人用姓或首字母在旁边签字或由投标单位加盖公章才有效。</w:t>
      </w:r>
    </w:p>
    <w:p>
      <w:pPr>
        <w:pStyle w:val="4"/>
        <w:spacing w:line="360" w:lineRule="auto"/>
        <w:ind w:firstLine="482"/>
      </w:pPr>
      <w:bookmarkStart w:id="65" w:name="_Toc26845"/>
      <w:bookmarkStart w:id="66" w:name="_Toc55548513"/>
      <w:bookmarkStart w:id="67" w:name="_Toc9436"/>
      <w:r>
        <w:t>四、响应文件的递交</w:t>
      </w:r>
      <w:bookmarkEnd w:id="65"/>
      <w:bookmarkEnd w:id="66"/>
      <w:bookmarkEnd w:id="67"/>
    </w:p>
    <w:p>
      <w:pPr>
        <w:pStyle w:val="4"/>
        <w:spacing w:line="360" w:lineRule="auto"/>
        <w:ind w:firstLine="482"/>
      </w:pPr>
      <w:bookmarkStart w:id="68" w:name="_Toc6626"/>
      <w:bookmarkStart w:id="69" w:name="_Toc55548514"/>
      <w:r>
        <w:t>响应文件的密封和标记</w:t>
      </w:r>
      <w:bookmarkEnd w:id="68"/>
      <w:bookmarkEnd w:id="69"/>
    </w:p>
    <w:p>
      <w:pPr>
        <w:spacing w:line="360" w:lineRule="auto"/>
        <w:ind w:firstLine="420" w:firstLineChars="200"/>
        <w:rPr>
          <w:rFonts w:asciiTheme="minorEastAsia" w:hAnsiTheme="minorEastAsia"/>
          <w:szCs w:val="21"/>
          <w:highlight w:val="yellow"/>
        </w:rPr>
      </w:pPr>
      <w:bookmarkStart w:id="70" w:name="_Ref179620969"/>
      <w:r>
        <w:rPr>
          <w:rFonts w:asciiTheme="minorEastAsia" w:hAnsiTheme="minorEastAsia"/>
          <w:szCs w:val="21"/>
          <w:highlight w:val="yellow"/>
        </w:rPr>
        <w:t>投标人应将响应文件正本和所有的副本封装在一个信封中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0"/>
      <w:r>
        <w:rPr>
          <w:rFonts w:asciiTheme="minorEastAsia" w:hAnsiTheme="minorEastAsia"/>
          <w:szCs w:val="21"/>
          <w:highlight w:val="yellow"/>
        </w:rPr>
        <w:t xml:space="preserve"> </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w:t>
      </w:r>
      <w:r>
        <w:rPr>
          <w:rFonts w:hint="eastAsia" w:asciiTheme="minorEastAsia" w:hAnsiTheme="minorEastAsia"/>
          <w:szCs w:val="21"/>
          <w:highlight w:val="yellow"/>
        </w:rPr>
        <w:t>。</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pPr>
        <w:spacing w:line="360" w:lineRule="auto"/>
        <w:ind w:firstLine="420" w:firstLineChars="200"/>
        <w:rPr>
          <w:rFonts w:asciiTheme="minorEastAsia" w:hAnsiTheme="minorEastAsia"/>
          <w:szCs w:val="21"/>
        </w:rPr>
      </w:pPr>
      <w:r>
        <w:rPr>
          <w:rFonts w:asciiTheme="minorEastAsia" w:hAnsiTheme="minorEastAsia"/>
          <w:szCs w:val="21"/>
          <w:highlight w:val="yellow"/>
        </w:rPr>
        <w:t>内层信封应写明投标人名称和地址，以便将迟交的响应文件能原封退回。</w:t>
      </w:r>
    </w:p>
    <w:p>
      <w:pPr>
        <w:spacing w:line="360" w:lineRule="auto"/>
        <w:ind w:firstLine="420" w:firstLineChars="200"/>
        <w:rPr>
          <w:rFonts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对响应文件的误投或提前启封概不负责。</w:t>
      </w:r>
    </w:p>
    <w:p>
      <w:pPr>
        <w:spacing w:line="360" w:lineRule="auto"/>
        <w:ind w:firstLine="420" w:firstLineChars="200"/>
        <w:rPr>
          <w:rFonts w:asciiTheme="minorEastAsia" w:hAnsiTheme="minorEastAsia"/>
          <w:szCs w:val="21"/>
        </w:rPr>
      </w:pPr>
      <w:r>
        <w:rPr>
          <w:rFonts w:asciiTheme="minorEastAsia" w:hAnsiTheme="minorEastAsia"/>
          <w:szCs w:val="21"/>
        </w:rPr>
        <w:t>投标人同时参加几个包投标时必须按竞价文件要求按包号分别制作响应文件，分别密封递交。</w:t>
      </w:r>
    </w:p>
    <w:p>
      <w:pPr>
        <w:pStyle w:val="4"/>
        <w:spacing w:line="360" w:lineRule="auto"/>
        <w:ind w:firstLine="482"/>
      </w:pPr>
      <w:bookmarkStart w:id="71" w:name="_Toc55548515"/>
      <w:bookmarkStart w:id="72" w:name="_Toc8701"/>
      <w:r>
        <w:t>投标样品</w:t>
      </w:r>
      <w:bookmarkEnd w:id="71"/>
      <w:bookmarkEnd w:id="72"/>
    </w:p>
    <w:p>
      <w:pPr>
        <w:spacing w:line="360" w:lineRule="auto"/>
        <w:ind w:firstLine="420" w:firstLineChars="200"/>
        <w:rPr>
          <w:rFonts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pPr>
        <w:spacing w:line="360" w:lineRule="auto"/>
        <w:ind w:firstLine="420" w:firstLineChars="200"/>
        <w:rPr>
          <w:rFonts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为方便评标，投标人在提供样品时，应使用透明的外包装或尽量少用外包装，但必须在所提供的样品表面显著位置标注投标人的名称、包号、样品名称、竞价文件规定的货物编号。</w:t>
      </w:r>
    </w:p>
    <w:p>
      <w:pPr>
        <w:spacing w:line="360" w:lineRule="auto"/>
        <w:ind w:firstLine="420" w:firstLineChars="200"/>
        <w:rPr>
          <w:rFonts w:asciiTheme="minorEastAsia" w:hAnsiTheme="minorEastAsia"/>
          <w:szCs w:val="21"/>
        </w:rPr>
      </w:pPr>
      <w:r>
        <w:rPr>
          <w:rFonts w:asciiTheme="minorEastAsia" w:hAnsiTheme="minorEastAsia"/>
          <w:szCs w:val="21"/>
        </w:rPr>
        <w:t>样品作为响应文件的一部分，除非另有说明，中标单位的样品不再退还，未中标单位须在中标公告发布后五个工作日内，前往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pPr>
        <w:pStyle w:val="4"/>
        <w:spacing w:line="360" w:lineRule="auto"/>
        <w:ind w:firstLine="482"/>
      </w:pPr>
      <w:bookmarkStart w:id="73" w:name="_Toc55548516"/>
      <w:bookmarkStart w:id="74" w:name="_Ref179619638"/>
      <w:bookmarkStart w:id="75" w:name="_Toc5724"/>
      <w:r>
        <w:t>投标截止期</w:t>
      </w:r>
      <w:bookmarkEnd w:id="73"/>
      <w:bookmarkEnd w:id="74"/>
      <w:bookmarkEnd w:id="75"/>
    </w:p>
    <w:p>
      <w:pPr>
        <w:spacing w:line="360" w:lineRule="auto"/>
        <w:ind w:firstLine="420" w:firstLineChars="200"/>
        <w:rPr>
          <w:rFonts w:asciiTheme="minorEastAsia" w:hAnsiTheme="minorEastAsia"/>
          <w:szCs w:val="21"/>
        </w:rPr>
      </w:pPr>
      <w:bookmarkStart w:id="76"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中规定的截止日期和时间将响应文件递交至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76"/>
    </w:p>
    <w:p>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可以通过修改竞价文件自行决定酌情推迟投标截止期。在此情况下，招标人和投标人受投标截止期制约的所有权利和义务均应延长至新的截止期。 </w:t>
      </w:r>
    </w:p>
    <w:p>
      <w:pPr>
        <w:pStyle w:val="4"/>
        <w:spacing w:line="360" w:lineRule="auto"/>
        <w:ind w:firstLine="482"/>
      </w:pPr>
      <w:bookmarkStart w:id="77" w:name="_Ref179619679"/>
      <w:bookmarkStart w:id="78" w:name="_Toc55548517"/>
      <w:bookmarkStart w:id="79" w:name="_Toc3231"/>
      <w:r>
        <w:t>迟交的响应文件</w:t>
      </w:r>
      <w:bookmarkEnd w:id="77"/>
      <w:bookmarkEnd w:id="78"/>
      <w:bookmarkEnd w:id="79"/>
    </w:p>
    <w:p>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的截止期后收到的任何响应文件。</w:t>
      </w:r>
    </w:p>
    <w:p>
      <w:pPr>
        <w:pStyle w:val="4"/>
        <w:spacing w:line="360" w:lineRule="auto"/>
        <w:ind w:firstLine="482"/>
      </w:pPr>
      <w:bookmarkStart w:id="80" w:name="_Toc55548518"/>
      <w:bookmarkStart w:id="81" w:name="_Ref179619013"/>
      <w:bookmarkStart w:id="82" w:name="_Toc865"/>
      <w:r>
        <w:t>响应文件的修改与撤回</w:t>
      </w:r>
      <w:bookmarkEnd w:id="80"/>
      <w:bookmarkEnd w:id="81"/>
      <w:bookmarkEnd w:id="82"/>
    </w:p>
    <w:p>
      <w:pPr>
        <w:spacing w:line="360" w:lineRule="auto"/>
        <w:ind w:firstLine="420" w:firstLineChars="200"/>
        <w:rPr>
          <w:rFonts w:asciiTheme="minorEastAsia" w:hAnsiTheme="minorEastAsia"/>
          <w:szCs w:val="21"/>
        </w:rPr>
      </w:pPr>
      <w:r>
        <w:rPr>
          <w:rFonts w:asciiTheme="minorEastAsia" w:hAnsiTheme="minorEastAsia"/>
          <w:szCs w:val="21"/>
        </w:rPr>
        <w:t>投标人在递交响应文件后，可以修改或撤回其投标，但投标人必须在规定的投标截止期之前将修改或撤回的书面通知递交到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pPr>
        <w:spacing w:line="360" w:lineRule="auto"/>
        <w:ind w:firstLine="420" w:firstLineChars="200"/>
        <w:rPr>
          <w:rFonts w:asciiTheme="minorEastAsia" w:hAnsiTheme="minorEastAsia"/>
          <w:szCs w:val="21"/>
        </w:rPr>
      </w:pPr>
      <w:r>
        <w:rPr>
          <w:rFonts w:asciiTheme="minorEastAsia" w:hAnsiTheme="minorEastAsia"/>
          <w:szCs w:val="21"/>
        </w:rPr>
        <w:t>投标人的修改或撤回通知应按本须知规定编制、密封、标记和递交。</w:t>
      </w:r>
    </w:p>
    <w:p>
      <w:pPr>
        <w:spacing w:line="360" w:lineRule="auto"/>
        <w:ind w:firstLine="420" w:firstLineChars="200"/>
        <w:rPr>
          <w:rFonts w:asciiTheme="minorEastAsia" w:hAnsiTheme="minorEastAsia"/>
          <w:szCs w:val="21"/>
        </w:rPr>
      </w:pPr>
      <w:r>
        <w:rPr>
          <w:rFonts w:asciiTheme="minorEastAsia" w:hAnsiTheme="minorEastAsia"/>
          <w:szCs w:val="21"/>
        </w:rPr>
        <w:t>在投标截止期之后，投标人不得对其投标做任何修改。</w:t>
      </w:r>
    </w:p>
    <w:p>
      <w:pPr>
        <w:spacing w:line="360" w:lineRule="auto"/>
        <w:ind w:firstLine="420" w:firstLineChars="200"/>
        <w:rPr>
          <w:rFonts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pPr>
        <w:pStyle w:val="4"/>
        <w:spacing w:line="360" w:lineRule="auto"/>
        <w:ind w:firstLine="482"/>
      </w:pPr>
      <w:bookmarkStart w:id="83" w:name="_Toc55548519"/>
      <w:bookmarkStart w:id="84" w:name="_Toc22375"/>
      <w:r>
        <w:t>响应文件的退还</w:t>
      </w:r>
      <w:bookmarkEnd w:id="83"/>
      <w:bookmarkEnd w:id="84"/>
    </w:p>
    <w:p>
      <w:pPr>
        <w:spacing w:line="360" w:lineRule="auto"/>
        <w:ind w:firstLine="420" w:firstLineChars="200"/>
        <w:rPr>
          <w:rFonts w:asciiTheme="minorEastAsia" w:hAnsiTheme="minorEastAsia"/>
          <w:szCs w:val="21"/>
        </w:rPr>
      </w:pPr>
      <w:r>
        <w:rPr>
          <w:rFonts w:asciiTheme="minorEastAsia" w:hAnsiTheme="minorEastAsia"/>
          <w:szCs w:val="21"/>
        </w:rPr>
        <w:t>除非竞价文件另有规定或说明，响应文件一律不予退还。</w:t>
      </w:r>
    </w:p>
    <w:p>
      <w:pPr>
        <w:pStyle w:val="5"/>
        <w:ind w:firstLine="482"/>
      </w:pPr>
      <w:bookmarkStart w:id="85" w:name="_Toc9126"/>
      <w:bookmarkStart w:id="86" w:name="_Toc27271"/>
      <w:bookmarkStart w:id="87" w:name="_Toc55548520"/>
      <w:r>
        <w:t>五、开标与评标</w:t>
      </w:r>
      <w:bookmarkEnd w:id="85"/>
      <w:bookmarkEnd w:id="86"/>
      <w:bookmarkEnd w:id="87"/>
    </w:p>
    <w:p>
      <w:pPr>
        <w:pStyle w:val="4"/>
        <w:spacing w:line="360" w:lineRule="auto"/>
        <w:ind w:firstLine="482"/>
      </w:pPr>
      <w:bookmarkStart w:id="88" w:name="_Toc21095"/>
      <w:bookmarkStart w:id="89" w:name="_Toc55548521"/>
      <w:r>
        <w:t>开标</w:t>
      </w:r>
      <w:bookmarkEnd w:id="88"/>
      <w:bookmarkEnd w:id="89"/>
    </w:p>
    <w:p>
      <w:pPr>
        <w:spacing w:line="360" w:lineRule="auto"/>
        <w:ind w:firstLine="420" w:firstLineChars="200"/>
        <w:rPr>
          <w:rFonts w:asciiTheme="minorEastAsia" w:hAnsiTheme="minorEastAsia"/>
          <w:szCs w:val="21"/>
        </w:rPr>
      </w:pPr>
      <w:bookmarkStart w:id="90"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w:t>
      </w:r>
      <w:bookmarkEnd w:id="90"/>
    </w:p>
    <w:p>
      <w:pPr>
        <w:spacing w:line="360" w:lineRule="auto"/>
        <w:ind w:firstLine="420" w:firstLineChars="200"/>
        <w:rPr>
          <w:rFonts w:asciiTheme="minorEastAsia" w:hAnsiTheme="minorEastAsia"/>
          <w:szCs w:val="21"/>
        </w:rPr>
      </w:pPr>
      <w:r>
        <w:rPr>
          <w:rFonts w:asciiTheme="minorEastAsia" w:hAnsiTheme="minorEastAsia"/>
          <w:szCs w:val="21"/>
        </w:rPr>
        <w:t>除了按照本须知的规定原封退回迟到的投标之外，开标时将不得拒绝任何已购买竞价文件的投标人的投标。</w:t>
      </w:r>
    </w:p>
    <w:p>
      <w:pPr>
        <w:pStyle w:val="4"/>
        <w:spacing w:line="360" w:lineRule="auto"/>
        <w:ind w:firstLine="482"/>
      </w:pPr>
      <w:bookmarkStart w:id="91" w:name="_Toc55548522"/>
      <w:bookmarkStart w:id="92" w:name="_Toc1622"/>
      <w:r>
        <w:t>资格核查</w:t>
      </w:r>
      <w:bookmarkEnd w:id="91"/>
      <w:bookmarkEnd w:id="92"/>
    </w:p>
    <w:p>
      <w:pPr>
        <w:spacing w:line="360" w:lineRule="auto"/>
        <w:ind w:firstLine="420" w:firstLineChars="200"/>
        <w:rPr>
          <w:rFonts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就响应文件中的资格证明等内容对投标供应商进行资格核查，核查不合格的，认定其投标无效。核查合格的响应文件提交评标委员会进行评审。</w:t>
      </w:r>
    </w:p>
    <w:p>
      <w:pPr>
        <w:spacing w:line="360" w:lineRule="auto"/>
        <w:ind w:firstLine="422" w:firstLineChars="200"/>
        <w:rPr>
          <w:rFonts w:asciiTheme="minorEastAsia" w:hAnsiTheme="minorEastAsia"/>
          <w:b/>
          <w:szCs w:val="21"/>
        </w:rPr>
      </w:pPr>
      <w:r>
        <w:rPr>
          <w:rFonts w:asciiTheme="minorEastAsia" w:hAnsiTheme="minorEastAsia"/>
          <w:b/>
          <w:szCs w:val="21"/>
        </w:rPr>
        <w:t>1) 资格瑕疵</w:t>
      </w:r>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资格证明文件未提供或不符合竞价文件要求的；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pPr>
        <w:pStyle w:val="4"/>
        <w:spacing w:line="360" w:lineRule="auto"/>
        <w:ind w:firstLine="482"/>
      </w:pPr>
      <w:bookmarkStart w:id="93" w:name="_Toc55548523"/>
      <w:bookmarkStart w:id="94" w:name="_Toc31201"/>
      <w:r>
        <w:t>评标委员会和评标方法</w:t>
      </w:r>
      <w:bookmarkEnd w:id="93"/>
      <w:bookmarkEnd w:id="94"/>
    </w:p>
    <w:p>
      <w:pPr>
        <w:spacing w:line="360" w:lineRule="auto"/>
        <w:ind w:firstLine="420" w:firstLineChars="200"/>
        <w:rPr>
          <w:rFonts w:asciiTheme="minorEastAsia" w:hAnsiTheme="minorEastAsia"/>
          <w:szCs w:val="21"/>
        </w:rPr>
      </w:pPr>
      <w:r>
        <w:rPr>
          <w:rFonts w:asciiTheme="minorEastAsia" w:hAnsiTheme="minorEastAsia"/>
          <w:szCs w:val="21"/>
        </w:rPr>
        <w:t>评标委员会根据招标项目的特点进行组建，并负责评标工作。评标委员会由招标人代表</w:t>
      </w:r>
      <w:r>
        <w:rPr>
          <w:rFonts w:hint="eastAsia" w:asciiTheme="minorEastAsia" w:hAnsiTheme="minorEastAsia"/>
          <w:szCs w:val="21"/>
        </w:rPr>
        <w:t>随机抽取3位副高级以上专业委员</w:t>
      </w:r>
      <w:r>
        <w:rPr>
          <w:rFonts w:asciiTheme="minorEastAsia" w:hAnsiTheme="minorEastAsia"/>
          <w:szCs w:val="21"/>
        </w:rPr>
        <w:t>组成，成员人数为</w:t>
      </w:r>
      <w:r>
        <w:rPr>
          <w:rFonts w:hint="eastAsia" w:asciiTheme="minorEastAsia" w:hAnsiTheme="minorEastAsia"/>
          <w:szCs w:val="21"/>
        </w:rPr>
        <w:t>三</w:t>
      </w:r>
      <w:r>
        <w:rPr>
          <w:rFonts w:asciiTheme="minorEastAsia" w:hAnsiTheme="minorEastAsia"/>
          <w:szCs w:val="21"/>
        </w:rPr>
        <w:t>人或</w:t>
      </w:r>
      <w:r>
        <w:rPr>
          <w:rFonts w:hint="eastAsia" w:asciiTheme="minorEastAsia" w:hAnsiTheme="minorEastAsia"/>
          <w:szCs w:val="21"/>
        </w:rPr>
        <w:t>三</w:t>
      </w:r>
      <w:r>
        <w:rPr>
          <w:rFonts w:asciiTheme="minorEastAsia" w:hAnsiTheme="minorEastAsia"/>
          <w:szCs w:val="21"/>
        </w:rPr>
        <w:t>人以上单数。</w:t>
      </w:r>
    </w:p>
    <w:p>
      <w:pPr>
        <w:spacing w:line="360" w:lineRule="auto"/>
        <w:ind w:firstLine="420" w:firstLineChars="200"/>
        <w:rPr>
          <w:rFonts w:asciiTheme="minorEastAsia" w:hAnsiTheme="minorEastAsia"/>
          <w:szCs w:val="21"/>
        </w:rPr>
      </w:pPr>
      <w:bookmarkStart w:id="95"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5"/>
    </w:p>
    <w:p>
      <w:pPr>
        <w:spacing w:line="360" w:lineRule="auto"/>
        <w:ind w:firstLine="420" w:firstLineChars="200"/>
        <w:rPr>
          <w:rFonts w:asciiTheme="minorEastAsia" w:hAnsiTheme="minorEastAsia"/>
          <w:szCs w:val="21"/>
        </w:rPr>
      </w:pPr>
      <w:r>
        <w:rPr>
          <w:rFonts w:asciiTheme="minorEastAsia" w:hAnsiTheme="minorEastAsia"/>
          <w:szCs w:val="21"/>
        </w:rPr>
        <w:t>评标委员会对响应文件的评审内容，分为商务评议、技术评议和价格评议/综合评议。评审流程包括资格性检查、符合性检查、澄清问题、比较与评价、推荐中标候选人或确定中标人、编写评标报告等步骤。</w:t>
      </w:r>
    </w:p>
    <w:p>
      <w:pPr>
        <w:spacing w:line="360" w:lineRule="auto"/>
        <w:ind w:firstLine="420" w:firstLineChars="200"/>
        <w:rPr>
          <w:rFonts w:asciiTheme="minorEastAsia" w:hAnsiTheme="minorEastAsia"/>
          <w:szCs w:val="21"/>
        </w:rPr>
      </w:pPr>
      <w:bookmarkStart w:id="96" w:name="_Ref179619857"/>
      <w:r>
        <w:rPr>
          <w:rFonts w:asciiTheme="minorEastAsia" w:hAnsiTheme="minorEastAsia"/>
          <w:szCs w:val="21"/>
        </w:rPr>
        <w:t>在评标期间，评标委员会可要求投标人对其响应文件进行澄清，但不得寻求、提供或允许对投标价格等实质性内容做任何更改。有关澄清的要求和答复均应以书面形式提交。</w:t>
      </w:r>
      <w:bookmarkEnd w:id="96"/>
    </w:p>
    <w:p>
      <w:pPr>
        <w:spacing w:line="360" w:lineRule="auto"/>
        <w:ind w:firstLine="420" w:firstLineChars="200"/>
        <w:rPr>
          <w:rFonts w:asciiTheme="minorEastAsia" w:hAnsiTheme="minorEastAsia"/>
          <w:szCs w:val="21"/>
        </w:rPr>
      </w:pPr>
      <w:bookmarkStart w:id="97" w:name="_Toc3712"/>
      <w:bookmarkStart w:id="98" w:name="_Toc10952"/>
      <w:bookmarkStart w:id="99" w:name="_Toc27507"/>
      <w:bookmarkStart w:id="100" w:name="_Toc16749"/>
      <w:r>
        <w:rPr>
          <w:rFonts w:hint="eastAsia" w:asciiTheme="minorEastAsia" w:hAnsiTheme="minorEastAsia"/>
          <w:szCs w:val="21"/>
        </w:rPr>
        <w:t>不同投标人提供相同品牌产品</w:t>
      </w:r>
      <w:bookmarkEnd w:id="97"/>
      <w:bookmarkEnd w:id="98"/>
      <w:bookmarkEnd w:id="99"/>
      <w:bookmarkEnd w:id="100"/>
    </w:p>
    <w:p>
      <w:pPr>
        <w:spacing w:line="360" w:lineRule="auto"/>
        <w:ind w:firstLine="420" w:firstLineChars="200"/>
        <w:rPr>
          <w:rFonts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竞价文件规定的方式确定一个参加评标的投标人，竞价文件未规定的采取随机抽取方式确定，其他投标无效。</w:t>
      </w:r>
    </w:p>
    <w:p>
      <w:pPr>
        <w:spacing w:line="360" w:lineRule="auto"/>
        <w:ind w:firstLine="420" w:firstLineChars="200"/>
        <w:rPr>
          <w:rFonts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价文件规定的方式确定一个投标人获得中标人推荐资格，竞价文件未规定的采取随机抽取方式确定，其他同品牌投标人不作为中标候选人。</w:t>
      </w:r>
    </w:p>
    <w:p>
      <w:pPr>
        <w:spacing w:line="360" w:lineRule="auto"/>
        <w:ind w:firstLine="420" w:firstLineChars="200"/>
        <w:rPr>
          <w:rFonts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pPr>
        <w:pStyle w:val="4"/>
        <w:spacing w:line="360" w:lineRule="auto"/>
        <w:ind w:firstLine="482"/>
      </w:pPr>
      <w:bookmarkStart w:id="101" w:name="_Toc21426"/>
      <w:bookmarkStart w:id="102" w:name="_Toc55548524"/>
      <w:r>
        <w:rPr>
          <w:rFonts w:hint="eastAsia"/>
        </w:rPr>
        <w:t>响应文件的初审</w:t>
      </w:r>
      <w:bookmarkEnd w:id="101"/>
      <w:bookmarkEnd w:id="102"/>
    </w:p>
    <w:p>
      <w:pPr>
        <w:spacing w:line="360" w:lineRule="auto"/>
        <w:ind w:firstLine="420" w:firstLineChars="200"/>
        <w:rPr>
          <w:rFonts w:asciiTheme="minorEastAsia" w:hAnsiTheme="minorEastAsia"/>
          <w:szCs w:val="21"/>
        </w:rPr>
      </w:pPr>
      <w:r>
        <w:rPr>
          <w:rFonts w:asciiTheme="minorEastAsia" w:hAnsiTheme="minorEastAsia"/>
          <w:szCs w:val="21"/>
        </w:rPr>
        <w:t>评标委员会将审查响应文件是否完整、总体编排是否有序、文件签署是否合格等。</w:t>
      </w:r>
    </w:p>
    <w:p>
      <w:pPr>
        <w:spacing w:line="360" w:lineRule="auto"/>
        <w:ind w:firstLine="420" w:firstLineChars="200"/>
        <w:rPr>
          <w:rFonts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响应文件中明细表内容不相符的，以开标一览表为准；若用文字表示的数值与用数字表示的数值不一致，以文字表示的数值为准。如果投标人不接受对其错误的更正，其投标将被拒绝。</w:t>
      </w:r>
    </w:p>
    <w:p>
      <w:pPr>
        <w:spacing w:line="360" w:lineRule="auto"/>
        <w:ind w:firstLine="420" w:firstLineChars="200"/>
        <w:rPr>
          <w:rFonts w:asciiTheme="minorEastAsia" w:hAnsiTheme="minorEastAsia"/>
          <w:szCs w:val="21"/>
        </w:rPr>
      </w:pPr>
      <w:r>
        <w:rPr>
          <w:rFonts w:asciiTheme="minorEastAsia" w:hAnsiTheme="minorEastAsia"/>
          <w:szCs w:val="21"/>
        </w:rPr>
        <w:t>响应文件中的缺漏项将按以下方法更正：以所有投标报价中该项最高报价核算其缺漏项金额，缺漏项金额大于或等于其投标总价的1%时，视为重大投标漏项，该投标作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pPr>
        <w:spacing w:line="360" w:lineRule="auto"/>
        <w:ind w:firstLine="420" w:firstLineChars="200"/>
        <w:rPr>
          <w:rFonts w:asciiTheme="minorEastAsia" w:hAnsiTheme="minorEastAsia"/>
          <w:szCs w:val="21"/>
        </w:rPr>
      </w:pPr>
      <w:r>
        <w:rPr>
          <w:rFonts w:asciiTheme="minorEastAsia" w:hAnsiTheme="minorEastAsia"/>
          <w:szCs w:val="21"/>
        </w:rPr>
        <w:t>对于响应文件中不构成实质性偏差的不正规、不一致或不规则，评标委员会可以接受，但这种接受不能损害或影响任何投标人的相对排序。</w:t>
      </w:r>
    </w:p>
    <w:p>
      <w:pPr>
        <w:spacing w:line="360" w:lineRule="auto"/>
        <w:ind w:firstLine="420" w:firstLineChars="200"/>
        <w:rPr>
          <w:rFonts w:asciiTheme="minorEastAsia" w:hAnsiTheme="minorEastAsia"/>
          <w:szCs w:val="21"/>
        </w:rPr>
      </w:pPr>
      <w:r>
        <w:rPr>
          <w:rFonts w:asciiTheme="minorEastAsia" w:hAnsiTheme="minorEastAsia"/>
          <w:szCs w:val="21"/>
        </w:rPr>
        <w:t>在详细评审之前，评标委员将会审查每份响应文件是否实质上响应了竞价文件的要求。实质上响应的投标是与竞价文件要求的关键条款、条件和规格相符，没有重大偏离的投标。例如关于投标保证金、投标人资格要求、关键技术指标要求、投标报价要求和评标标准等。评标委员会审查投标的响应性只根据响应文件本身的内容，而不寻求外部的证据。</w:t>
      </w:r>
    </w:p>
    <w:p>
      <w:pPr>
        <w:spacing w:line="360" w:lineRule="auto"/>
        <w:ind w:firstLine="420" w:firstLineChars="200"/>
        <w:rPr>
          <w:rFonts w:asciiTheme="minorEastAsia" w:hAnsiTheme="minorEastAsia"/>
          <w:szCs w:val="21"/>
        </w:rPr>
      </w:pPr>
      <w:bookmarkStart w:id="103" w:name="_Ref179619330"/>
      <w:r>
        <w:rPr>
          <w:rFonts w:asciiTheme="minorEastAsia" w:hAnsiTheme="minorEastAsia"/>
          <w:szCs w:val="21"/>
        </w:rPr>
        <w:t>实质上没有响应竞价文件要求的投标将被作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3"/>
    </w:p>
    <w:p>
      <w:pPr>
        <w:spacing w:line="360" w:lineRule="auto"/>
        <w:ind w:firstLine="420" w:firstLineChars="200"/>
        <w:rPr>
          <w:rFonts w:asciiTheme="minorEastAsia" w:hAnsiTheme="minorEastAsia"/>
          <w:szCs w:val="21"/>
        </w:rPr>
      </w:pPr>
      <w:bookmarkStart w:id="104" w:name="_Ref179621189"/>
      <w:r>
        <w:rPr>
          <w:rFonts w:asciiTheme="minorEastAsia" w:hAnsiTheme="minorEastAsia"/>
          <w:szCs w:val="21"/>
        </w:rPr>
        <w:t>符合性检查</w:t>
      </w:r>
      <w:bookmarkEnd w:id="104"/>
    </w:p>
    <w:p>
      <w:pPr>
        <w:spacing w:line="360" w:lineRule="auto"/>
        <w:ind w:firstLine="422" w:firstLineChars="200"/>
        <w:rPr>
          <w:rFonts w:asciiTheme="minorEastAsia" w:hAnsiTheme="minorEastAsia"/>
          <w:b/>
          <w:szCs w:val="21"/>
        </w:rPr>
      </w:pPr>
      <w:bookmarkStart w:id="105" w:name="_Toc5963"/>
      <w:bookmarkStart w:id="106" w:name="_Toc2459"/>
      <w:bookmarkStart w:id="107" w:name="_Toc25993"/>
      <w:bookmarkStart w:id="108" w:name="_Toc13273"/>
      <w:bookmarkStart w:id="109" w:name="_Toc32392"/>
      <w:bookmarkStart w:id="110" w:name="_Toc385"/>
      <w:bookmarkStart w:id="111" w:name="_Toc1347"/>
      <w:r>
        <w:rPr>
          <w:rFonts w:asciiTheme="minorEastAsia" w:hAnsiTheme="minorEastAsia"/>
          <w:b/>
          <w:szCs w:val="21"/>
        </w:rPr>
        <w:t>1) 响应文件的有效性、完整性瑕疵</w:t>
      </w:r>
      <w:bookmarkEnd w:id="105"/>
      <w:bookmarkEnd w:id="106"/>
      <w:bookmarkEnd w:id="107"/>
      <w:bookmarkEnd w:id="108"/>
      <w:bookmarkEnd w:id="109"/>
      <w:bookmarkEnd w:id="110"/>
      <w:bookmarkEnd w:id="111"/>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响应文件的数量、制作、密封、标记不符合要求；</w:t>
      </w:r>
      <w:r>
        <w:rPr>
          <w:rFonts w:hint="eastAsia" w:cs="宋体" w:asciiTheme="minorEastAsia" w:hAnsiTheme="minorEastAsia"/>
          <w:szCs w:val="21"/>
        </w:rPr>
        <w:t>②</w:t>
      </w:r>
      <w:r>
        <w:rPr>
          <w:rFonts w:asciiTheme="minorEastAsia" w:hAnsiTheme="minorEastAsia"/>
          <w:szCs w:val="21"/>
        </w:rPr>
        <w:t>响应文件无法定代表人或其授权代表签字，或签字人无法定代表人有效授权的；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签字盖章不符合竞价文件要求的；</w:t>
      </w:r>
      <w:r>
        <w:rPr>
          <w:rFonts w:hint="eastAsia" w:cs="宋体" w:asciiTheme="minorEastAsia" w:hAnsiTheme="minorEastAsia"/>
          <w:szCs w:val="21"/>
        </w:rPr>
        <w:t>④</w:t>
      </w:r>
      <w:r>
        <w:rPr>
          <w:rFonts w:asciiTheme="minorEastAsia" w:hAnsiTheme="minorEastAsia"/>
          <w:szCs w:val="21"/>
        </w:rPr>
        <w:t>响应文件内容有严重缺漏项的；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响应文件的关键内容字迹模糊、无法辨认的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未按竞价文件要求编制。</w:t>
      </w:r>
    </w:p>
    <w:p>
      <w:pPr>
        <w:spacing w:line="360" w:lineRule="auto"/>
        <w:ind w:firstLine="422" w:firstLineChars="200"/>
        <w:rPr>
          <w:rFonts w:asciiTheme="minorEastAsia" w:hAnsiTheme="minorEastAsia"/>
          <w:b/>
          <w:szCs w:val="21"/>
        </w:rPr>
      </w:pPr>
      <w:bookmarkStart w:id="112" w:name="_Toc24825"/>
      <w:bookmarkStart w:id="113" w:name="_Toc17493"/>
      <w:bookmarkStart w:id="114" w:name="_Toc29078"/>
      <w:bookmarkStart w:id="115" w:name="_Toc4787"/>
      <w:bookmarkStart w:id="116" w:name="_Toc6513"/>
      <w:bookmarkStart w:id="117" w:name="_Toc31066"/>
      <w:bookmarkStart w:id="118" w:name="_Toc30904"/>
      <w:r>
        <w:rPr>
          <w:rFonts w:asciiTheme="minorEastAsia" w:hAnsiTheme="minorEastAsia"/>
          <w:b/>
          <w:szCs w:val="21"/>
        </w:rPr>
        <w:t>2) 技术响应瑕疵</w:t>
      </w:r>
      <w:bookmarkEnd w:id="112"/>
      <w:bookmarkEnd w:id="113"/>
      <w:bookmarkEnd w:id="114"/>
      <w:bookmarkEnd w:id="115"/>
      <w:bookmarkEnd w:id="116"/>
      <w:bookmarkEnd w:id="117"/>
      <w:bookmarkEnd w:id="118"/>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响应文件不满足竞价文件中加注星号（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响应文件技术响应与事实不符或虚假投标的；</w:t>
      </w:r>
      <w:r>
        <w:rPr>
          <w:rFonts w:hint="eastAsia" w:cs="宋体" w:asciiTheme="minorEastAsia" w:hAnsiTheme="minorEastAsia"/>
          <w:szCs w:val="21"/>
        </w:rPr>
        <w:t>④</w:t>
      </w:r>
      <w:r>
        <w:rPr>
          <w:rFonts w:asciiTheme="minorEastAsia" w:hAnsiTheme="minorEastAsia"/>
          <w:szCs w:val="21"/>
        </w:rPr>
        <w:t>投标人复制竞价文件的技术规格相关部分内容作为其响应文件的一部分的；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其他未实质性响应竞价文件技术要求的。</w:t>
      </w:r>
    </w:p>
    <w:p>
      <w:pPr>
        <w:spacing w:line="360" w:lineRule="auto"/>
        <w:ind w:firstLine="422" w:firstLineChars="200"/>
        <w:rPr>
          <w:rFonts w:asciiTheme="minorEastAsia" w:hAnsiTheme="minorEastAsia"/>
          <w:b/>
          <w:szCs w:val="21"/>
        </w:rPr>
      </w:pPr>
      <w:bookmarkStart w:id="119" w:name="_Toc32692"/>
      <w:bookmarkStart w:id="120" w:name="_Toc19531"/>
      <w:bookmarkStart w:id="121" w:name="_Toc6987"/>
      <w:bookmarkStart w:id="122" w:name="_Toc27147"/>
      <w:bookmarkStart w:id="123" w:name="_Toc13742"/>
      <w:bookmarkStart w:id="124" w:name="_Toc9317"/>
      <w:bookmarkStart w:id="125" w:name="_Toc16856"/>
      <w:r>
        <w:rPr>
          <w:rFonts w:asciiTheme="minorEastAsia" w:hAnsiTheme="minorEastAsia"/>
          <w:b/>
          <w:szCs w:val="21"/>
        </w:rPr>
        <w:t>3) 商务响应瑕疵</w:t>
      </w:r>
      <w:bookmarkEnd w:id="119"/>
      <w:bookmarkEnd w:id="120"/>
      <w:bookmarkEnd w:id="121"/>
      <w:bookmarkEnd w:id="122"/>
      <w:bookmarkEnd w:id="123"/>
      <w:bookmarkEnd w:id="124"/>
      <w:bookmarkEnd w:id="125"/>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竞价文件加注星号（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招标项目完成期未满足竞价文件要求的；</w:t>
      </w:r>
      <w:r>
        <w:rPr>
          <w:rFonts w:hint="eastAsia" w:cs="宋体" w:asciiTheme="minorEastAsia" w:hAnsiTheme="minorEastAsia"/>
          <w:szCs w:val="21"/>
        </w:rPr>
        <w:t>③</w:t>
      </w:r>
      <w:r>
        <w:rPr>
          <w:rFonts w:asciiTheme="minorEastAsia" w:hAnsiTheme="minorEastAsia"/>
          <w:szCs w:val="21"/>
        </w:rPr>
        <w:t>响应文件载明的货物包装方式、检验标准和方法不符合竞价文件要求的；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响应文件附有招标人不能接受的条件的；</w:t>
      </w:r>
      <w:r>
        <w:rPr>
          <w:rFonts w:hint="eastAsia" w:cs="宋体" w:asciiTheme="minorEastAsia" w:hAnsiTheme="minorEastAsia"/>
          <w:szCs w:val="21"/>
        </w:rPr>
        <w:t>⑥</w:t>
      </w:r>
      <w:r>
        <w:rPr>
          <w:rFonts w:hint="eastAsia" w:asciiTheme="minorEastAsia" w:hAnsiTheme="minorEastAsia"/>
          <w:szCs w:val="21"/>
        </w:rPr>
        <w:t>响应文件中附有招标人不能接受的条件；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其他未实质性响应竞价文件商务要求的。</w:t>
      </w:r>
    </w:p>
    <w:p>
      <w:pPr>
        <w:spacing w:line="360" w:lineRule="auto"/>
        <w:ind w:firstLine="422" w:firstLineChars="200"/>
        <w:rPr>
          <w:rFonts w:asciiTheme="minorEastAsia" w:hAnsiTheme="minorEastAsia"/>
          <w:b/>
          <w:szCs w:val="21"/>
        </w:rPr>
      </w:pPr>
      <w:r>
        <w:rPr>
          <w:rFonts w:asciiTheme="minorEastAsia" w:hAnsiTheme="minorEastAsia"/>
          <w:b/>
          <w:szCs w:val="21"/>
        </w:rPr>
        <w:t>4）违规行为</w:t>
      </w:r>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拒不按照要求对响应文件进行澄清、说明或者补正的；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pPr>
        <w:spacing w:line="360" w:lineRule="auto"/>
        <w:ind w:firstLine="422" w:firstLineChars="200"/>
        <w:rPr>
          <w:rFonts w:asciiTheme="minorEastAsia" w:hAnsiTheme="minorEastAsia"/>
          <w:b/>
          <w:szCs w:val="21"/>
        </w:rPr>
      </w:pPr>
      <w:r>
        <w:rPr>
          <w:rFonts w:hint="eastAsia" w:asciiTheme="minorEastAsia" w:hAnsiTheme="minorEastAsia"/>
          <w:b/>
          <w:szCs w:val="21"/>
        </w:rPr>
        <w:t>投标报价</w:t>
      </w:r>
    </w:p>
    <w:p>
      <w:pPr>
        <w:spacing w:line="360" w:lineRule="auto"/>
        <w:ind w:firstLine="420" w:firstLineChars="200"/>
        <w:rPr>
          <w:rFonts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投标报价超出预算控制金额上限，或超过竞价文件规定的最高投标限价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pPr>
        <w:spacing w:line="360" w:lineRule="auto"/>
        <w:ind w:firstLine="422" w:firstLineChars="200"/>
        <w:rPr>
          <w:rFonts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）法律法规及竞价文件中规定的其它情形。</w:t>
      </w:r>
    </w:p>
    <w:p>
      <w:pPr>
        <w:spacing w:line="360" w:lineRule="auto"/>
        <w:ind w:firstLine="420" w:firstLineChars="200"/>
        <w:rPr>
          <w:rFonts w:asciiTheme="minorEastAsia" w:hAnsiTheme="minorEastAsia"/>
          <w:szCs w:val="21"/>
        </w:rPr>
      </w:pPr>
      <w:r>
        <w:rPr>
          <w:rFonts w:asciiTheme="minorEastAsia" w:hAnsiTheme="minorEastAsia"/>
          <w:szCs w:val="21"/>
        </w:rPr>
        <w:t>根据项目情况，评标委员会有权决定竞价文件中“可能导致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pPr>
        <w:pStyle w:val="4"/>
        <w:spacing w:line="360" w:lineRule="auto"/>
        <w:ind w:firstLine="482"/>
      </w:pPr>
      <w:bookmarkStart w:id="126" w:name="_Toc55548525"/>
      <w:bookmarkStart w:id="127" w:name="_Toc7255"/>
      <w:r>
        <w:rPr>
          <w:rFonts w:hint="eastAsia"/>
        </w:rPr>
        <w:t>评标方法和定标原则</w:t>
      </w:r>
      <w:bookmarkEnd w:id="126"/>
      <w:bookmarkEnd w:id="127"/>
    </w:p>
    <w:p>
      <w:pPr>
        <w:spacing w:line="360" w:lineRule="auto"/>
        <w:ind w:firstLine="420" w:firstLineChars="200"/>
        <w:rPr>
          <w:rFonts w:asciiTheme="minorEastAsia" w:hAnsiTheme="minorEastAsia"/>
          <w:szCs w:val="21"/>
        </w:rPr>
      </w:pPr>
      <w:r>
        <w:rPr>
          <w:rFonts w:asciiTheme="minorEastAsia" w:hAnsiTheme="minorEastAsia"/>
          <w:szCs w:val="21"/>
        </w:rPr>
        <w:t>最低评标价法</w:t>
      </w:r>
    </w:p>
    <w:p>
      <w:pPr>
        <w:spacing w:line="360" w:lineRule="auto"/>
        <w:ind w:firstLine="420" w:firstLineChars="200"/>
        <w:rPr>
          <w:rFonts w:asciiTheme="minorEastAsia" w:hAnsiTheme="minorEastAsia"/>
          <w:szCs w:val="21"/>
        </w:rPr>
      </w:pPr>
      <w:r>
        <w:rPr>
          <w:rFonts w:asciiTheme="minorEastAsia" w:hAnsiTheme="minorEastAsia"/>
          <w:szCs w:val="21"/>
        </w:rPr>
        <w:t>最低评标价法，是指以价格因素确定中标候选人的评标方法，即在满足竞价文件实质性要求前提下，以报价最低的投标供应商作为中标候选人或中标人。完全满足竞价文件的实质性要求，按照报价由低到高的顺序，依据竞价文件中规定的数量或者比例推荐候选中标供应商。</w:t>
      </w:r>
    </w:p>
    <w:p>
      <w:pPr>
        <w:spacing w:line="360" w:lineRule="auto"/>
        <w:ind w:firstLine="420" w:firstLineChars="200"/>
        <w:rPr>
          <w:rFonts w:asciiTheme="minorEastAsia" w:hAnsiTheme="minorEastAsia"/>
          <w:szCs w:val="21"/>
        </w:rPr>
      </w:pPr>
      <w:r>
        <w:rPr>
          <w:rFonts w:asciiTheme="minorEastAsia" w:hAnsiTheme="minorEastAsia"/>
          <w:szCs w:val="21"/>
        </w:rPr>
        <w:t>中标人的投标应当符合竞价文件规定的资质、技术要求和标准，但评标委员会无需对响应文件的技术部分进行价格折算。</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asciiTheme="minorEastAsia" w:hAnsiTheme="minorEastAsia"/>
          <w:szCs w:val="21"/>
        </w:rPr>
      </w:pPr>
      <w:r>
        <w:rPr>
          <w:rFonts w:asciiTheme="minorEastAsia" w:hAnsiTheme="minorEastAsia"/>
          <w:szCs w:val="21"/>
        </w:rPr>
        <w:t>定标原则</w:t>
      </w:r>
    </w:p>
    <w:p>
      <w:pPr>
        <w:spacing w:line="360" w:lineRule="auto"/>
        <w:ind w:firstLine="420" w:firstLineChars="200"/>
        <w:rPr>
          <w:rFonts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pPr>
        <w:spacing w:line="360" w:lineRule="auto"/>
        <w:ind w:firstLine="420" w:firstLineChars="200"/>
        <w:rPr>
          <w:rFonts w:asciiTheme="minorEastAsia" w:hAnsiTheme="minorEastAsia"/>
          <w:szCs w:val="21"/>
        </w:rPr>
      </w:pPr>
      <w:r>
        <w:rPr>
          <w:rFonts w:asciiTheme="minorEastAsia" w:hAnsiTheme="minorEastAsia"/>
          <w:szCs w:val="21"/>
        </w:rPr>
        <w:t>（一）满足竞价文件实质性要求；</w:t>
      </w:r>
    </w:p>
    <w:p>
      <w:pPr>
        <w:spacing w:line="360" w:lineRule="auto"/>
        <w:ind w:firstLine="420" w:firstLineChars="200"/>
        <w:rPr>
          <w:rFonts w:asciiTheme="minorEastAsia" w:hAnsiTheme="minorEastAsia"/>
          <w:szCs w:val="21"/>
        </w:rPr>
      </w:pPr>
      <w:r>
        <w:rPr>
          <w:rFonts w:asciiTheme="minorEastAsia" w:hAnsiTheme="minorEastAsia"/>
          <w:szCs w:val="21"/>
        </w:rPr>
        <w:t>（二）投标的价格最低。</w:t>
      </w:r>
    </w:p>
    <w:p>
      <w:pPr>
        <w:spacing w:line="360" w:lineRule="auto"/>
        <w:ind w:firstLine="420" w:firstLineChars="200"/>
        <w:rPr>
          <w:rFonts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pPr>
        <w:spacing w:line="360" w:lineRule="auto"/>
        <w:ind w:firstLine="420" w:firstLineChars="200"/>
        <w:rPr>
          <w:rFonts w:asciiTheme="minorEastAsia" w:hAnsiTheme="minorEastAsia"/>
          <w:szCs w:val="21"/>
        </w:rPr>
      </w:pPr>
      <w:r>
        <w:rPr>
          <w:rFonts w:asciiTheme="minorEastAsia" w:hAnsiTheme="minorEastAsia"/>
          <w:szCs w:val="21"/>
        </w:rPr>
        <w:t>综合评分法</w:t>
      </w:r>
    </w:p>
    <w:p>
      <w:pPr>
        <w:spacing w:line="360" w:lineRule="auto"/>
        <w:ind w:firstLine="420" w:firstLineChars="200"/>
        <w:rPr>
          <w:rFonts w:asciiTheme="minorEastAsia" w:hAnsiTheme="minorEastAsia"/>
          <w:szCs w:val="21"/>
        </w:rPr>
      </w:pPr>
      <w:r>
        <w:rPr>
          <w:rFonts w:asciiTheme="minorEastAsia" w:hAnsiTheme="minorEastAsia"/>
          <w:szCs w:val="21"/>
        </w:rPr>
        <w:t>综合评分法是指在最大限度满足竞价文件实质性要求前提下，按照竞价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asciiTheme="minorEastAsia" w:hAnsiTheme="minorEastAsia"/>
          <w:szCs w:val="21"/>
        </w:rPr>
      </w:pPr>
      <w:bookmarkStart w:id="128"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竞价文件。</w:t>
      </w:r>
      <w:bookmarkEnd w:id="128"/>
    </w:p>
    <w:p>
      <w:pPr>
        <w:spacing w:line="360" w:lineRule="auto"/>
        <w:ind w:firstLine="420" w:firstLineChars="200"/>
        <w:rPr>
          <w:rFonts w:asciiTheme="minorEastAsia" w:hAnsiTheme="minorEastAsia"/>
          <w:szCs w:val="21"/>
        </w:rPr>
      </w:pPr>
      <w:r>
        <w:rPr>
          <w:rFonts w:asciiTheme="minorEastAsia" w:hAnsiTheme="minorEastAsia"/>
          <w:szCs w:val="21"/>
        </w:rPr>
        <w:t>评标总得分＝（A1×J+A2×S+…An×X）；</w:t>
      </w:r>
    </w:p>
    <w:p>
      <w:pPr>
        <w:spacing w:line="360" w:lineRule="auto"/>
        <w:ind w:firstLine="420" w:firstLineChars="200"/>
        <w:rPr>
          <w:rFonts w:asciiTheme="minorEastAsia" w:hAnsiTheme="minorEastAsia"/>
          <w:szCs w:val="21"/>
        </w:rPr>
      </w:pPr>
      <w:r>
        <w:rPr>
          <w:rFonts w:asciiTheme="minorEastAsia" w:hAnsiTheme="minorEastAsia"/>
          <w:szCs w:val="21"/>
        </w:rPr>
        <w:t>J、S、……X分别为各项评分因素，各因素满分均为100分；</w:t>
      </w:r>
    </w:p>
    <w:p>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asciiTheme="minorEastAsia" w:hAnsiTheme="minorEastAsia"/>
          <w:szCs w:val="21"/>
        </w:rPr>
      </w:pPr>
      <w:r>
        <w:rPr>
          <w:rFonts w:asciiTheme="minorEastAsia" w:hAnsiTheme="minorEastAsia"/>
          <w:szCs w:val="21"/>
        </w:rPr>
        <w:t>价格分计算方法：满足竞价文件要求且投标价格最低的投标报价为评标基准价，其价格分为满分。其他投标人的价格分统一按照下列公式计算：</w:t>
      </w:r>
    </w:p>
    <w:p>
      <w:pPr>
        <w:spacing w:line="360" w:lineRule="auto"/>
        <w:ind w:firstLine="420" w:firstLineChars="200"/>
        <w:rPr>
          <w:rFonts w:asciiTheme="minorEastAsia" w:hAnsiTheme="minorEastAsia"/>
          <w:szCs w:val="21"/>
        </w:rPr>
      </w:pPr>
      <w:r>
        <w:rPr>
          <w:rFonts w:asciiTheme="minorEastAsia" w:hAnsiTheme="minorEastAsia"/>
          <w:szCs w:val="21"/>
        </w:rPr>
        <w:t>投标报价得分=(评标基准价／投标报价)×价格权重×100</w:t>
      </w:r>
    </w:p>
    <w:p>
      <w:pPr>
        <w:spacing w:line="360" w:lineRule="auto"/>
        <w:ind w:firstLine="420" w:firstLineChars="200"/>
        <w:rPr>
          <w:rFonts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pPr>
        <w:spacing w:line="360" w:lineRule="auto"/>
        <w:ind w:firstLine="420" w:firstLineChars="200"/>
        <w:rPr>
          <w:rFonts w:asciiTheme="minorEastAsia" w:hAnsiTheme="minorEastAsia"/>
          <w:szCs w:val="21"/>
        </w:rPr>
      </w:pPr>
      <w:r>
        <w:rPr>
          <w:rFonts w:asciiTheme="minorEastAsia" w:hAnsiTheme="minorEastAsia"/>
          <w:szCs w:val="21"/>
        </w:rPr>
        <w:t>性价比法</w:t>
      </w:r>
    </w:p>
    <w:p>
      <w:pPr>
        <w:spacing w:line="360" w:lineRule="auto"/>
        <w:ind w:firstLine="420" w:firstLineChars="200"/>
        <w:rPr>
          <w:rFonts w:asciiTheme="minorEastAsia" w:hAnsiTheme="minorEastAsia"/>
          <w:szCs w:val="21"/>
        </w:rPr>
      </w:pPr>
      <w:r>
        <w:rPr>
          <w:rFonts w:asciiTheme="minorEastAsia" w:hAnsiTheme="minorEastAsia"/>
          <w:szCs w:val="21"/>
        </w:rPr>
        <w:t>性价比法，是指除价格因素外，经对响应文件进行评审，计算出各评分因素的总分，除以投标报价，以商数最高的投标供应商作为中标候选供应商或中标供应商的评标方法。</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0</w:t>
      </w:r>
      <w:r>
        <w:rPr>
          <w:rFonts w:asciiTheme="minorEastAsia" w:hAnsiTheme="minorEastAsia"/>
          <w:szCs w:val="21"/>
        </w:rPr>
        <w:fldChar w:fldCharType="end"/>
      </w:r>
      <w:r>
        <w:rPr>
          <w:rFonts w:asciiTheme="minorEastAsia" w:hAnsiTheme="minorEastAsia"/>
          <w:szCs w:val="21"/>
        </w:rPr>
        <w:t>条规定，只对确定为实质上响应竞价文件要求的投标进行下一步评定。</w:t>
      </w:r>
    </w:p>
    <w:p>
      <w:pPr>
        <w:spacing w:line="360" w:lineRule="auto"/>
        <w:ind w:firstLine="420" w:firstLineChars="200"/>
        <w:rPr>
          <w:rFonts w:asciiTheme="minorEastAsia" w:hAnsiTheme="minorEastAsia"/>
          <w:szCs w:val="21"/>
        </w:rPr>
      </w:pPr>
      <w:bookmarkStart w:id="129"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竞价文件。</w:t>
      </w:r>
      <w:bookmarkEnd w:id="129"/>
    </w:p>
    <w:p>
      <w:pPr>
        <w:spacing w:line="360" w:lineRule="auto"/>
        <w:ind w:firstLine="420" w:firstLineChars="200"/>
        <w:rPr>
          <w:rFonts w:asciiTheme="minorEastAsia" w:hAnsiTheme="minorEastAsia"/>
          <w:szCs w:val="21"/>
        </w:rPr>
      </w:pPr>
      <w:r>
        <w:rPr>
          <w:rFonts w:asciiTheme="minorEastAsia" w:hAnsiTheme="minorEastAsia"/>
          <w:szCs w:val="21"/>
        </w:rPr>
        <w:t>计算</w:t>
      </w:r>
    </w:p>
    <w:p>
      <w:pPr>
        <w:spacing w:line="360" w:lineRule="auto"/>
        <w:ind w:firstLine="420" w:firstLineChars="200"/>
        <w:rPr>
          <w:rFonts w:asciiTheme="minorEastAsia" w:hAnsiTheme="minorEastAsia"/>
          <w:szCs w:val="21"/>
        </w:rPr>
      </w:pPr>
      <w:r>
        <w:rPr>
          <w:rFonts w:asciiTheme="minorEastAsia" w:hAnsiTheme="minorEastAsia"/>
          <w:szCs w:val="21"/>
        </w:rPr>
        <w:t>评标总得分=Bi/Ni</w:t>
      </w:r>
    </w:p>
    <w:p>
      <w:pPr>
        <w:spacing w:line="360" w:lineRule="auto"/>
        <w:ind w:firstLine="420" w:firstLineChars="200"/>
        <w:rPr>
          <w:rFonts w:asciiTheme="minorEastAsia" w:hAnsiTheme="minorEastAsia"/>
          <w:szCs w:val="21"/>
        </w:rPr>
      </w:pPr>
      <w:r>
        <w:rPr>
          <w:rFonts w:asciiTheme="minorEastAsia" w:hAnsiTheme="minorEastAsia"/>
          <w:szCs w:val="21"/>
        </w:rPr>
        <w:t>Ni——为投标供应商的投标报价；</w:t>
      </w:r>
    </w:p>
    <w:p>
      <w:pPr>
        <w:spacing w:line="360" w:lineRule="auto"/>
        <w:ind w:firstLine="420" w:firstLineChars="200"/>
        <w:rPr>
          <w:rFonts w:asciiTheme="minorEastAsia" w:hAnsiTheme="minorEastAsia"/>
          <w:szCs w:val="21"/>
        </w:rPr>
      </w:pPr>
      <w:r>
        <w:rPr>
          <w:rFonts w:asciiTheme="minorEastAsia" w:hAnsiTheme="minorEastAsia"/>
          <w:szCs w:val="21"/>
        </w:rPr>
        <w:t>Bi——为投标供应商的综合得分，其中Bi＝（A1×J+A2×C+…+An×F）；</w:t>
      </w:r>
    </w:p>
    <w:p>
      <w:pPr>
        <w:spacing w:line="360" w:lineRule="auto"/>
        <w:ind w:firstLine="420" w:firstLineChars="200"/>
        <w:rPr>
          <w:rFonts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asciiTheme="minorEastAsia" w:hAnsiTheme="minorEastAsia"/>
          <w:szCs w:val="21"/>
        </w:rPr>
      </w:pPr>
      <w:r>
        <w:rPr>
          <w:rFonts w:asciiTheme="minorEastAsia" w:hAnsiTheme="minorEastAsia"/>
          <w:szCs w:val="21"/>
        </w:rPr>
        <w:t>定标原则</w:t>
      </w:r>
    </w:p>
    <w:p>
      <w:pPr>
        <w:spacing w:line="360" w:lineRule="auto"/>
        <w:ind w:firstLine="420" w:firstLineChars="200"/>
        <w:rPr>
          <w:rFonts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pPr>
        <w:pStyle w:val="5"/>
        <w:ind w:firstLine="482"/>
      </w:pPr>
      <w:bookmarkStart w:id="130" w:name="_Toc31060"/>
      <w:bookmarkStart w:id="131" w:name="_Toc12447"/>
      <w:bookmarkStart w:id="132" w:name="_Toc55548528"/>
      <w:r>
        <w:t>六、授予合同</w:t>
      </w:r>
      <w:bookmarkEnd w:id="130"/>
      <w:bookmarkEnd w:id="131"/>
      <w:bookmarkEnd w:id="132"/>
    </w:p>
    <w:p>
      <w:pPr>
        <w:pStyle w:val="4"/>
        <w:spacing w:line="360" w:lineRule="auto"/>
        <w:ind w:firstLine="482"/>
      </w:pPr>
      <w:bookmarkStart w:id="133" w:name="_Toc55548529"/>
      <w:bookmarkStart w:id="134" w:name="_Toc4551"/>
      <w:r>
        <w:rPr>
          <w:rFonts w:hint="eastAsia"/>
        </w:rPr>
        <w:t>最终审查</w:t>
      </w:r>
      <w:bookmarkEnd w:id="133"/>
      <w:bookmarkEnd w:id="134"/>
    </w:p>
    <w:p>
      <w:pPr>
        <w:spacing w:line="360" w:lineRule="auto"/>
        <w:ind w:firstLine="420" w:firstLineChars="200"/>
        <w:rPr>
          <w:rFonts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pPr>
        <w:spacing w:line="360" w:lineRule="auto"/>
        <w:ind w:firstLine="420" w:firstLineChars="200"/>
        <w:rPr>
          <w:rFonts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pPr>
        <w:spacing w:line="360" w:lineRule="auto"/>
        <w:ind w:firstLine="420" w:firstLineChars="200"/>
        <w:rPr>
          <w:rFonts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pPr>
        <w:pStyle w:val="4"/>
        <w:spacing w:line="360" w:lineRule="auto"/>
        <w:ind w:firstLine="482"/>
      </w:pPr>
      <w:bookmarkStart w:id="135" w:name="_Toc9998"/>
      <w:bookmarkStart w:id="136" w:name="_Toc55548530"/>
      <w:r>
        <w:rPr>
          <w:rFonts w:hint="eastAsia"/>
        </w:rPr>
        <w:t>合同授予标准</w:t>
      </w:r>
      <w:bookmarkEnd w:id="135"/>
      <w:bookmarkEnd w:id="136"/>
    </w:p>
    <w:p>
      <w:pPr>
        <w:spacing w:line="360" w:lineRule="auto"/>
        <w:ind w:firstLine="420" w:firstLineChars="200"/>
        <w:rPr>
          <w:rFonts w:asciiTheme="minorEastAsia" w:hAnsiTheme="minorEastAsia"/>
          <w:szCs w:val="21"/>
        </w:rPr>
      </w:pPr>
      <w:r>
        <w:rPr>
          <w:rFonts w:asciiTheme="minorEastAsia" w:hAnsiTheme="minorEastAsia"/>
          <w:szCs w:val="21"/>
        </w:rPr>
        <w:t>评标委员会将把合同授予被确定为实质上响应竞价文件的要求并有履行合同能力的最低评标价的投标人或综合评价得分最高的投标人或评标总商数最高的投标人。</w:t>
      </w:r>
    </w:p>
    <w:p>
      <w:pPr>
        <w:pStyle w:val="4"/>
        <w:spacing w:line="360" w:lineRule="auto"/>
        <w:ind w:firstLine="482"/>
      </w:pPr>
      <w:bookmarkStart w:id="137" w:name="_Toc55548532"/>
      <w:bookmarkStart w:id="138" w:name="_Toc29853"/>
      <w:r>
        <w:rPr>
          <w:rFonts w:hint="eastAsia"/>
        </w:rPr>
        <w:t>中标结果公示</w:t>
      </w:r>
      <w:bookmarkEnd w:id="137"/>
      <w:bookmarkEnd w:id="138"/>
    </w:p>
    <w:p>
      <w:pPr>
        <w:spacing w:line="360" w:lineRule="auto"/>
        <w:ind w:firstLine="420" w:firstLineChars="200"/>
        <w:rPr>
          <w:rFonts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http://www.bawjxt.net/bacdc/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pPr>
        <w:spacing w:line="360" w:lineRule="auto"/>
        <w:ind w:firstLine="420" w:firstLineChars="200"/>
        <w:rPr>
          <w:rFonts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pPr>
        <w:pStyle w:val="4"/>
        <w:spacing w:line="360" w:lineRule="auto"/>
        <w:ind w:firstLine="482"/>
      </w:pPr>
      <w:bookmarkStart w:id="139" w:name="_Toc5257"/>
      <w:bookmarkStart w:id="140" w:name="_Ref179619923"/>
      <w:bookmarkStart w:id="141" w:name="_Toc55548533"/>
      <w:r>
        <w:rPr>
          <w:rFonts w:hint="eastAsia"/>
        </w:rPr>
        <w:t>接受和拒绝任何或所有投标的权力</w:t>
      </w:r>
      <w:bookmarkEnd w:id="139"/>
      <w:bookmarkEnd w:id="140"/>
      <w:bookmarkEnd w:id="141"/>
    </w:p>
    <w:p>
      <w:pPr>
        <w:spacing w:line="360" w:lineRule="auto"/>
        <w:ind w:firstLine="420" w:firstLineChars="200"/>
        <w:rPr>
          <w:rFonts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pPr>
        <w:pStyle w:val="4"/>
        <w:spacing w:line="360" w:lineRule="auto"/>
        <w:ind w:firstLine="482"/>
      </w:pPr>
      <w:bookmarkStart w:id="142" w:name="_Toc1842"/>
      <w:bookmarkStart w:id="143" w:name="_Toc55548534"/>
      <w:r>
        <w:rPr>
          <w:rFonts w:hint="eastAsia"/>
        </w:rPr>
        <w:t>中标通知书</w:t>
      </w:r>
      <w:bookmarkEnd w:id="142"/>
      <w:bookmarkEnd w:id="143"/>
    </w:p>
    <w:p>
      <w:pPr>
        <w:spacing w:line="360" w:lineRule="auto"/>
        <w:ind w:firstLine="420" w:firstLineChars="200"/>
        <w:rPr>
          <w:rFonts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pPr>
        <w:spacing w:line="360" w:lineRule="auto"/>
        <w:ind w:firstLine="420" w:firstLineChars="200"/>
        <w:rPr>
          <w:rFonts w:asciiTheme="minorEastAsia" w:hAnsiTheme="minorEastAsia"/>
          <w:szCs w:val="21"/>
        </w:rPr>
      </w:pPr>
      <w:r>
        <w:rPr>
          <w:rFonts w:asciiTheme="minorEastAsia" w:hAnsiTheme="minorEastAsia"/>
          <w:szCs w:val="21"/>
        </w:rPr>
        <w:t>《中标通知书》是合同的一个组成部分。</w:t>
      </w:r>
    </w:p>
    <w:p>
      <w:pPr>
        <w:pStyle w:val="4"/>
        <w:spacing w:line="360" w:lineRule="auto"/>
        <w:ind w:firstLine="482"/>
      </w:pPr>
      <w:bookmarkStart w:id="144" w:name="_Ref179619520"/>
      <w:bookmarkStart w:id="145" w:name="_Toc11931"/>
      <w:bookmarkStart w:id="146" w:name="_Toc55548535"/>
      <w:r>
        <w:rPr>
          <w:rFonts w:hint="eastAsia"/>
        </w:rPr>
        <w:t>签订合同</w:t>
      </w:r>
      <w:bookmarkEnd w:id="144"/>
      <w:bookmarkEnd w:id="145"/>
      <w:bookmarkEnd w:id="146"/>
    </w:p>
    <w:p>
      <w:pPr>
        <w:spacing w:line="360" w:lineRule="auto"/>
        <w:ind w:firstLine="420" w:firstLineChars="200"/>
        <w:rPr>
          <w:rFonts w:asciiTheme="minorEastAsia" w:hAnsiTheme="minorEastAsia"/>
          <w:szCs w:val="21"/>
        </w:rPr>
      </w:pPr>
      <w:r>
        <w:rPr>
          <w:rFonts w:asciiTheme="minorEastAsia" w:hAnsiTheme="minorEastAsia"/>
          <w:szCs w:val="21"/>
        </w:rPr>
        <w:t>《中标通知书》发出后10个工作日内，中标人应按照竞价文件和中标人的响应文件订立书面合同。中标人不得与招标人再订立背离合同实质性内容的其他协议。</w:t>
      </w:r>
    </w:p>
    <w:p>
      <w:pPr>
        <w:spacing w:line="360" w:lineRule="auto"/>
        <w:ind w:firstLine="420" w:firstLineChars="200"/>
        <w:rPr>
          <w:rFonts w:asciiTheme="minorEastAsia" w:hAnsiTheme="minorEastAsia"/>
          <w:szCs w:val="21"/>
        </w:rPr>
      </w:pPr>
      <w:r>
        <w:rPr>
          <w:rFonts w:asciiTheme="minorEastAsia" w:hAnsiTheme="minorEastAsia"/>
          <w:szCs w:val="21"/>
        </w:rPr>
        <w:t>竞价文件、中标人的响应文件及其澄清文件等，均为签订合同的依据。</w:t>
      </w:r>
    </w:p>
    <w:p>
      <w:pPr>
        <w:spacing w:line="360" w:lineRule="auto"/>
        <w:ind w:firstLine="420" w:firstLineChars="200"/>
        <w:rPr>
          <w:rFonts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147" w:name="_Toc61880307"/>
      <w:bookmarkStart w:id="148" w:name="_Toc61539111"/>
      <w:bookmarkStart w:id="149" w:name="_Toc86939331"/>
      <w:r>
        <w:rPr>
          <w:rFonts w:hint="eastAsia"/>
        </w:rPr>
        <w:t>第四章  附件－响应文件格式</w:t>
      </w:r>
      <w:bookmarkEnd w:id="147"/>
      <w:bookmarkEnd w:id="148"/>
      <w:bookmarkEnd w:id="149"/>
    </w:p>
    <w:p>
      <w:pPr>
        <w:spacing w:line="360" w:lineRule="auto"/>
        <w:ind w:firstLine="420" w:firstLineChars="200"/>
        <w:rPr>
          <w:rFonts w:asciiTheme="minorEastAsia" w:hAnsiTheme="minorEastAsia"/>
          <w:szCs w:val="21"/>
        </w:rPr>
      </w:pPr>
      <w:r>
        <w:rPr>
          <w:rFonts w:hint="eastAsia" w:asciiTheme="minorEastAsia" w:hAnsiTheme="minorEastAsia"/>
          <w:szCs w:val="21"/>
        </w:rPr>
        <w:t>附件1：投标函格式</w:t>
      </w:r>
    </w:p>
    <w:p>
      <w:pPr>
        <w:keepNext/>
        <w:keepLines/>
        <w:spacing w:before="160" w:after="170"/>
        <w:ind w:firstLine="602" w:firstLineChars="200"/>
        <w:jc w:val="center"/>
        <w:outlineLvl w:val="4"/>
        <w:rPr>
          <w:b/>
          <w:bCs/>
          <w:sz w:val="30"/>
          <w:szCs w:val="28"/>
        </w:rPr>
      </w:pPr>
      <w:bookmarkStart w:id="150" w:name="_Toc55548538"/>
      <w:r>
        <w:rPr>
          <w:rFonts w:hint="eastAsia"/>
          <w:b/>
          <w:bCs/>
          <w:sz w:val="30"/>
          <w:szCs w:val="28"/>
        </w:rPr>
        <w:t>投标函</w:t>
      </w:r>
      <w:bookmarkEnd w:id="150"/>
    </w:p>
    <w:p>
      <w:pPr>
        <w:spacing w:line="360" w:lineRule="auto"/>
        <w:ind w:firstLine="420" w:firstLineChars="200"/>
        <w:rPr>
          <w:rFonts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竞价文件，经详细研究，我们决定参加该项目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1、我方愿以《开标一览表》中填写的投标总价并按照竞价文件中的一切要求，承担上述项目的全部工作。</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2、我方提交的响应文件为：投标书正本一份，副本二份，电子档文件一份。</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3、如果我们投标书被接受，我们将履行竞价文件中规定的每一项要求，按期、按质、按量完成任务。</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4、我们愿意提供竞价文件中要求的所有资料，且所递交的响应文件在投标有效期（即90天）内有效，在此期间内我方的投标有可能中标，我方将受此约束。</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7、我们同意竞价文件之规定，遵守有关招标的各项规定。</w:t>
      </w:r>
    </w:p>
    <w:p>
      <w:pPr>
        <w:spacing w:line="360" w:lineRule="auto"/>
        <w:ind w:firstLine="420" w:firstLineChars="200"/>
        <w:rPr>
          <w:rFonts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pPr>
        <w:spacing w:line="360" w:lineRule="auto"/>
        <w:ind w:firstLine="420" w:firstLineChars="200"/>
        <w:rPr>
          <w:rFonts w:asciiTheme="minorEastAsia" w:hAnsiTheme="minorEastAsia"/>
          <w:color w:val="000000"/>
          <w:szCs w:val="21"/>
        </w:rPr>
      </w:pP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单    位： （盖章）</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授权代表或法人代表： （签字）</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地    址： </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电    话：     </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传    真：</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邮    编：</w:t>
      </w:r>
    </w:p>
    <w:p>
      <w:pPr>
        <w:spacing w:line="360" w:lineRule="auto"/>
        <w:ind w:firstLine="420" w:firstLineChars="200"/>
        <w:rPr>
          <w:rFonts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pPr>
        <w:keepNext/>
        <w:keepLines/>
        <w:spacing w:before="160" w:after="170"/>
        <w:ind w:firstLine="602" w:firstLineChars="200"/>
        <w:jc w:val="center"/>
        <w:outlineLvl w:val="4"/>
        <w:rPr>
          <w:b/>
          <w:bCs/>
          <w:sz w:val="30"/>
          <w:szCs w:val="28"/>
        </w:rPr>
      </w:pPr>
      <w:bookmarkStart w:id="151" w:name="_Toc55548539"/>
      <w:bookmarkStart w:id="152" w:name="_Toc30545"/>
      <w:r>
        <w:rPr>
          <w:rFonts w:hint="eastAsia"/>
          <w:b/>
          <w:bCs/>
          <w:sz w:val="30"/>
          <w:szCs w:val="28"/>
        </w:rPr>
        <w:t>政府采购投标及履约承诺函</w:t>
      </w:r>
      <w:bookmarkEnd w:id="151"/>
    </w:p>
    <w:p>
      <w:pPr>
        <w:spacing w:line="276" w:lineRule="auto"/>
        <w:ind w:firstLine="420" w:firstLineChars="200"/>
        <w:rPr>
          <w:rFonts w:asciiTheme="minorEastAsia" w:hAnsiTheme="minorEastAsia"/>
          <w:szCs w:val="21"/>
        </w:rPr>
      </w:pPr>
      <w:r>
        <w:rPr>
          <w:rFonts w:hint="eastAsia" w:asciiTheme="minorEastAsia" w:hAnsiTheme="minorEastAsia"/>
          <w:szCs w:val="21"/>
        </w:rPr>
        <w:t>致：深圳市宝安区疾病预防控制中心</w:t>
      </w:r>
    </w:p>
    <w:p>
      <w:pPr>
        <w:spacing w:line="276" w:lineRule="auto"/>
        <w:ind w:right="-815" w:firstLine="420" w:firstLineChars="200"/>
        <w:rPr>
          <w:rFonts w:asciiTheme="minorEastAsia" w:hAnsiTheme="minorEastAsia"/>
          <w:szCs w:val="21"/>
        </w:rPr>
      </w:pPr>
      <w:r>
        <w:rPr>
          <w:rFonts w:hint="eastAsia" w:asciiTheme="minorEastAsia" w:hAnsiTheme="minorEastAsia"/>
          <w:szCs w:val="21"/>
        </w:rPr>
        <w:t>我公司承诺：</w:t>
      </w:r>
    </w:p>
    <w:p>
      <w:pPr>
        <w:spacing w:line="276"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pPr>
        <w:spacing w:line="276"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pPr>
        <w:spacing w:line="276"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pPr>
        <w:spacing w:line="276"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pPr>
        <w:spacing w:line="276"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pPr>
        <w:spacing w:line="276"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pPr>
        <w:spacing w:line="276"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276"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8.我公司如果中标，做到守信，不偷工减料，依照本项目竞价文件需求内容、签署的采购合同及本公司在投标中所作的一切承诺履约。项目验收达到全部指标合格，力争优良。</w:t>
      </w:r>
    </w:p>
    <w:p>
      <w:pPr>
        <w:spacing w:line="276"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竞价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20" w:firstLineChars="200"/>
        <w:rPr>
          <w:rFonts w:asciiTheme="minorEastAsia" w:hAnsiTheme="minorEastAsia"/>
          <w:szCs w:val="21"/>
        </w:rPr>
      </w:pPr>
      <w:r>
        <w:rPr>
          <w:rFonts w:hint="eastAsia" w:asciiTheme="minorEastAsia" w:hAnsiTheme="minorEastAsia"/>
          <w:szCs w:val="21"/>
        </w:rPr>
        <w:t>10.我公司已认真核实了响应文件的全部内容，所有资料均为真实资料。我公司对响应文件中全部投标资料的真实性负责，如被证实我公司的响应文件中存在虚假资料的，则视为我公司隐瞒真实情况、提供虚假资料，我公司愿意接受主管部门作出的行政处罚。</w:t>
      </w:r>
    </w:p>
    <w:p>
      <w:pPr>
        <w:spacing w:line="276" w:lineRule="auto"/>
        <w:ind w:firstLine="420" w:firstLineChars="200"/>
        <w:rPr>
          <w:rFonts w:asciiTheme="minorEastAsia" w:hAnsiTheme="minorEastAsia"/>
          <w:szCs w:val="21"/>
        </w:rPr>
      </w:pPr>
      <w:r>
        <w:rPr>
          <w:rFonts w:hint="eastAsia" w:asciiTheme="minorEastAsia" w:hAnsiTheme="minorEastAsia"/>
          <w:szCs w:val="21"/>
        </w:rPr>
        <w:t>11.我公司承诺本项目非联合体投标，不非法转包、分包。</w:t>
      </w:r>
    </w:p>
    <w:p>
      <w:pPr>
        <w:spacing w:line="276"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pPr>
        <w:adjustRightInd w:val="0"/>
        <w:snapToGrid w:val="0"/>
        <w:spacing w:line="276" w:lineRule="auto"/>
        <w:ind w:firstLine="422" w:firstLineChars="200"/>
        <w:rPr>
          <w:rFonts w:asciiTheme="minorEastAsia" w:hAnsiTheme="minorEastAsia"/>
          <w:b/>
          <w:snapToGrid w:val="0"/>
          <w:kern w:val="0"/>
          <w:szCs w:val="21"/>
        </w:rPr>
      </w:pPr>
    </w:p>
    <w:p>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spacing w:line="276" w:lineRule="auto"/>
        <w:ind w:firstLine="420" w:firstLineChars="200"/>
        <w:rPr>
          <w:rFonts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pPr>
        <w:spacing w:line="360" w:lineRule="auto"/>
        <w:ind w:firstLine="420" w:firstLineChars="200"/>
        <w:rPr>
          <w:rFonts w:asciiTheme="minorEastAsia" w:hAnsiTheme="minorEastAsia"/>
          <w:szCs w:val="21"/>
        </w:rPr>
      </w:pPr>
      <w:r>
        <w:rPr>
          <w:rFonts w:hint="eastAsia" w:asciiTheme="minorEastAsia" w:hAnsiTheme="minorEastAsia"/>
          <w:szCs w:val="21"/>
        </w:rPr>
        <w:t>附件3：诚信承诺函格式</w:t>
      </w:r>
      <w:bookmarkEnd w:id="152"/>
    </w:p>
    <w:p>
      <w:pPr>
        <w:keepNext/>
        <w:keepLines/>
        <w:spacing w:before="160" w:after="170"/>
        <w:ind w:firstLine="602" w:firstLineChars="200"/>
        <w:jc w:val="center"/>
        <w:outlineLvl w:val="4"/>
        <w:rPr>
          <w:b/>
          <w:bCs/>
          <w:snapToGrid w:val="0"/>
          <w:sz w:val="30"/>
          <w:szCs w:val="28"/>
        </w:rPr>
      </w:pPr>
      <w:bookmarkStart w:id="153" w:name="_Toc55548540"/>
      <w:r>
        <w:rPr>
          <w:rFonts w:hint="eastAsia"/>
          <w:b/>
          <w:bCs/>
          <w:snapToGrid w:val="0"/>
          <w:sz w:val="30"/>
          <w:szCs w:val="28"/>
        </w:rPr>
        <w:t>诚信承诺函</w:t>
      </w:r>
      <w:bookmarkEnd w:id="153"/>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响应文件与事实情况不符，我司自愿承担“隐瞒真实情况，提供虚假资料”以及其他一切不利的法律后果。</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（三）在响应文件中未说明且未经采购人同意，将中标项目分包给他人，情节严重的；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特此承诺。</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pPr>
        <w:spacing w:line="360" w:lineRule="auto"/>
        <w:ind w:firstLine="420" w:firstLineChars="200"/>
        <w:rPr>
          <w:rFonts w:asciiTheme="minorEastAsia" w:hAnsiTheme="minorEastAsia"/>
          <w:szCs w:val="21"/>
        </w:rPr>
      </w:pPr>
    </w:p>
    <w:p>
      <w:pPr>
        <w:spacing w:line="360" w:lineRule="auto"/>
        <w:ind w:firstLine="422" w:firstLineChars="200"/>
        <w:rPr>
          <w:rFonts w:asciiTheme="minorEastAsia" w:hAnsiTheme="minorEastAsia"/>
          <w:b/>
          <w:szCs w:val="21"/>
        </w:rPr>
      </w:pPr>
    </w:p>
    <w:p>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54" w:name="_Toc6706"/>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4"/>
    </w:p>
    <w:p>
      <w:pPr>
        <w:keepNext/>
        <w:keepLines/>
        <w:spacing w:before="160" w:after="170"/>
        <w:ind w:firstLine="602" w:firstLineChars="200"/>
        <w:jc w:val="center"/>
        <w:outlineLvl w:val="4"/>
        <w:rPr>
          <w:b/>
          <w:bCs/>
          <w:sz w:val="30"/>
          <w:szCs w:val="28"/>
        </w:rPr>
      </w:pPr>
      <w:bookmarkStart w:id="155" w:name="_Toc55548541"/>
      <w:r>
        <w:rPr>
          <w:rFonts w:hint="eastAsia"/>
          <w:b/>
          <w:bCs/>
          <w:sz w:val="30"/>
          <w:szCs w:val="28"/>
        </w:rPr>
        <w:t>开标一览表</w:t>
      </w:r>
      <w:bookmarkEnd w:id="155"/>
    </w:p>
    <w:p>
      <w:pPr>
        <w:spacing w:line="360" w:lineRule="auto"/>
        <w:ind w:firstLine="420" w:firstLineChars="200"/>
        <w:rPr>
          <w:rFonts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5"/>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项目名称/包号</w:t>
            </w:r>
          </w:p>
        </w:tc>
        <w:tc>
          <w:tcPr>
            <w:tcW w:w="2562"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投标总价</w:t>
            </w:r>
          </w:p>
          <w:p>
            <w:pPr>
              <w:spacing w:line="360" w:lineRule="auto"/>
              <w:ind w:firstLine="420" w:firstLineChars="200"/>
              <w:rPr>
                <w:rFonts w:asciiTheme="minorEastAsia" w:hAnsiTheme="minorEastAsia"/>
                <w:szCs w:val="21"/>
              </w:rPr>
            </w:pPr>
            <w:r>
              <w:rPr>
                <w:rFonts w:hint="eastAsia" w:asciiTheme="minorEastAsia" w:hAnsiTheme="minorEastAsia"/>
                <w:szCs w:val="21"/>
              </w:rPr>
              <w:t>（人民币元）</w:t>
            </w:r>
          </w:p>
        </w:tc>
        <w:tc>
          <w:tcPr>
            <w:tcW w:w="2694"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交货期/服务期</w:t>
            </w:r>
          </w:p>
        </w:tc>
        <w:tc>
          <w:tcPr>
            <w:tcW w:w="1493"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pPr>
              <w:spacing w:line="360" w:lineRule="auto"/>
              <w:ind w:firstLine="420" w:firstLineChars="200"/>
              <w:rPr>
                <w:rFonts w:asciiTheme="minorEastAsia" w:hAnsiTheme="minorEastAsia"/>
                <w:szCs w:val="21"/>
              </w:rPr>
            </w:pPr>
          </w:p>
        </w:tc>
        <w:tc>
          <w:tcPr>
            <w:tcW w:w="2562" w:type="dxa"/>
          </w:tcPr>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pPr>
              <w:spacing w:line="360" w:lineRule="auto"/>
              <w:ind w:firstLine="420" w:firstLineChars="200"/>
              <w:rPr>
                <w:rFonts w:asciiTheme="minorEastAsia" w:hAnsiTheme="minorEastAsia"/>
                <w:szCs w:val="21"/>
              </w:rPr>
            </w:pPr>
          </w:p>
        </w:tc>
        <w:tc>
          <w:tcPr>
            <w:tcW w:w="1493" w:type="dxa"/>
          </w:tcPr>
          <w:p>
            <w:pPr>
              <w:spacing w:line="360" w:lineRule="auto"/>
              <w:ind w:firstLine="420" w:firstLineChars="200"/>
              <w:rPr>
                <w:rFonts w:asciiTheme="minorEastAsia" w:hAnsiTheme="minorEastAsia"/>
                <w:szCs w:val="21"/>
              </w:rPr>
            </w:pPr>
          </w:p>
        </w:tc>
      </w:tr>
    </w:tbl>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投标供应商：</w:t>
      </w:r>
    </w:p>
    <w:p>
      <w:pPr>
        <w:spacing w:line="360" w:lineRule="auto"/>
        <w:ind w:firstLine="420" w:firstLineChars="200"/>
        <w:rPr>
          <w:rFonts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注：</w:t>
      </w:r>
    </w:p>
    <w:p>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、本竞价文件中所称“交货期/服务期”指所有货物运抵现场安装调试完毕后交付用户验收和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、依据《评标委员会和评标方法暂行规定》第25条规定，“响应文件载明的招标项目完成期限超过竞价文件规定的期限”的（即交货期或完工期超过竞价文件要求期限），响应文件将作投标无效处理。</w:t>
      </w:r>
    </w:p>
    <w:p>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6"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56"/>
    </w:p>
    <w:p>
      <w:pPr>
        <w:keepNext/>
        <w:keepLines/>
        <w:spacing w:before="160" w:after="170"/>
        <w:ind w:firstLine="602" w:firstLineChars="200"/>
        <w:jc w:val="center"/>
        <w:outlineLvl w:val="4"/>
        <w:rPr>
          <w:b/>
          <w:bCs/>
          <w:sz w:val="30"/>
          <w:szCs w:val="28"/>
        </w:rPr>
      </w:pPr>
      <w:bookmarkStart w:id="157" w:name="_Toc55548542"/>
      <w:r>
        <w:rPr>
          <w:rFonts w:hint="eastAsia"/>
          <w:b/>
          <w:bCs/>
          <w:sz w:val="30"/>
          <w:szCs w:val="28"/>
        </w:rPr>
        <w:t>分项报价清单</w:t>
      </w:r>
      <w:bookmarkEnd w:id="157"/>
    </w:p>
    <w:tbl>
      <w:tblPr>
        <w:tblStyle w:val="15"/>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pPr>
              <w:spacing w:line="360" w:lineRule="auto"/>
              <w:ind w:firstLine="420" w:firstLineChars="200"/>
              <w:rPr>
                <w:rFonts w:asciiTheme="minorEastAsia" w:hAnsiTheme="minorEastAsia"/>
                <w:color w:val="000000"/>
                <w:szCs w:val="21"/>
              </w:rPr>
            </w:pPr>
          </w:p>
        </w:tc>
      </w:tr>
    </w:tbl>
    <w:p>
      <w:pPr>
        <w:spacing w:line="360" w:lineRule="auto"/>
        <w:ind w:firstLine="420" w:firstLineChars="200"/>
        <w:rPr>
          <w:rFonts w:asciiTheme="minorEastAsia" w:hAnsiTheme="minorEastAsia"/>
          <w:szCs w:val="21"/>
        </w:rPr>
      </w:pPr>
      <w:r>
        <w:rPr>
          <w:rFonts w:hint="eastAsia" w:asciiTheme="minorEastAsia" w:hAnsiTheme="minorEastAsia"/>
          <w:szCs w:val="21"/>
        </w:rPr>
        <w:t>注：</w:t>
      </w:r>
    </w:p>
    <w:p>
      <w:pPr>
        <w:spacing w:line="360" w:lineRule="auto"/>
        <w:ind w:firstLine="420" w:firstLineChars="200"/>
        <w:rPr>
          <w:rFonts w:asciiTheme="minorEastAsia" w:hAnsiTheme="minorEastAsia"/>
          <w:szCs w:val="21"/>
        </w:rPr>
      </w:pPr>
      <w:r>
        <w:rPr>
          <w:rFonts w:hint="eastAsia" w:asciiTheme="minorEastAsia" w:hAnsiTheme="minorEastAsia"/>
          <w:szCs w:val="21"/>
        </w:rPr>
        <w:t>1、所有价格应按“采购文件”中规定的货币单位填写；</w:t>
      </w:r>
    </w:p>
    <w:p>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pPr>
        <w:spacing w:line="360" w:lineRule="auto"/>
        <w:ind w:firstLine="420" w:firstLineChars="200"/>
        <w:rPr>
          <w:rFonts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pPr>
        <w:spacing w:line="360" w:lineRule="auto"/>
        <w:ind w:firstLine="420" w:firstLineChars="200"/>
        <w:rPr>
          <w:rFonts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ind w:firstLine="420" w:firstLineChars="200"/>
        <w:rPr>
          <w:rFonts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pPr>
        <w:spacing w:line="360" w:lineRule="auto"/>
        <w:ind w:firstLine="420" w:firstLineChars="200"/>
        <w:rPr>
          <w:rFonts w:asciiTheme="minorEastAsia" w:hAnsiTheme="minorEastAsia"/>
          <w:szCs w:val="21"/>
        </w:rPr>
      </w:pPr>
      <w:r>
        <w:rPr>
          <w:rFonts w:hint="eastAsia" w:asciiTheme="minorEastAsia" w:hAnsiTheme="minorEastAsia"/>
          <w:szCs w:val="21"/>
        </w:rPr>
        <w:t>6、开标一览表的投标总价必须与项目报价表的投标总价一致。</w:t>
      </w:r>
    </w:p>
    <w:p>
      <w:pPr>
        <w:spacing w:line="360" w:lineRule="auto"/>
        <w:ind w:firstLine="420" w:firstLineChars="200"/>
        <w:rPr>
          <w:rFonts w:asciiTheme="minorEastAsia" w:hAnsiTheme="minorEastAsia"/>
          <w:szCs w:val="21"/>
        </w:rPr>
      </w:pPr>
      <w:r>
        <w:rPr>
          <w:rFonts w:hint="eastAsia" w:asciiTheme="minorEastAsia" w:hAnsiTheme="minorEastAsia"/>
          <w:szCs w:val="21"/>
        </w:rPr>
        <w:t>7、“原产地”是指该产品的实际生产加工地，而非品牌总公司所在地。</w:t>
      </w:r>
    </w:p>
    <w:p>
      <w:pPr>
        <w:spacing w:line="360" w:lineRule="auto"/>
        <w:ind w:firstLine="420" w:firstLineChars="200"/>
      </w:pPr>
    </w:p>
    <w:p>
      <w:pPr>
        <w:spacing w:line="360" w:lineRule="auto"/>
      </w:pPr>
    </w:p>
    <w:p>
      <w:pPr>
        <w:spacing w:line="360" w:lineRule="auto"/>
        <w:ind w:firstLine="420" w:firstLineChars="200"/>
      </w:pPr>
    </w:p>
    <w:p>
      <w:pPr>
        <w:spacing w:line="360" w:lineRule="auto"/>
        <w:ind w:firstLine="420" w:firstLineChars="200"/>
        <w:rPr>
          <w:rFonts w:asciiTheme="minorEastAsia" w:hAnsiTheme="minorEastAsia"/>
          <w:szCs w:val="21"/>
        </w:rPr>
      </w:pPr>
      <w:bookmarkStart w:id="158" w:name="_Toc32280"/>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58"/>
    </w:p>
    <w:p>
      <w:pPr>
        <w:keepNext/>
        <w:keepLines/>
        <w:spacing w:before="160" w:after="170"/>
        <w:ind w:firstLine="602" w:firstLineChars="200"/>
        <w:jc w:val="center"/>
        <w:outlineLvl w:val="4"/>
        <w:rPr>
          <w:b/>
          <w:bCs/>
          <w:sz w:val="30"/>
          <w:szCs w:val="28"/>
        </w:rPr>
      </w:pPr>
      <w:bookmarkStart w:id="159" w:name="_Toc55548545"/>
      <w:bookmarkStart w:id="160" w:name="_Toc2383"/>
      <w:r>
        <w:rPr>
          <w:rFonts w:hint="eastAsia"/>
          <w:b/>
          <w:bCs/>
          <w:sz w:val="30"/>
          <w:szCs w:val="28"/>
        </w:rPr>
        <w:t>法定代表人证明书</w:t>
      </w:r>
      <w:bookmarkEnd w:id="159"/>
    </w:p>
    <w:p>
      <w:pPr>
        <w:tabs>
          <w:tab w:val="left" w:pos="900"/>
        </w:tabs>
        <w:spacing w:line="360" w:lineRule="auto"/>
        <w:ind w:firstLine="420" w:firstLineChars="200"/>
        <w:rPr>
          <w:rFonts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pPr>
        <w:spacing w:line="360" w:lineRule="auto"/>
        <w:ind w:firstLine="420" w:firstLineChars="200"/>
        <w:rPr>
          <w:rFonts w:asciiTheme="minorEastAsia" w:hAnsiTheme="minorEastAsia"/>
          <w:szCs w:val="21"/>
        </w:rPr>
      </w:pPr>
      <w:r>
        <w:rPr>
          <w:rFonts w:hint="eastAsia" w:asciiTheme="minorEastAsia" w:hAnsiTheme="minorEastAsia"/>
          <w:szCs w:val="21"/>
        </w:rPr>
        <w:t>有效日期与本公司响应文件中标注的投标有效期相同。</w:t>
      </w:r>
      <w:r>
        <w:rPr>
          <w:rFonts w:asciiTheme="minorEastAsia" w:hAnsiTheme="minorEastAsia"/>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附：</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营业执照（注册号）：                       </w:t>
      </w:r>
    </w:p>
    <w:p>
      <w:pPr>
        <w:spacing w:line="360" w:lineRule="auto"/>
        <w:ind w:firstLine="420" w:firstLineChars="200"/>
        <w:rPr>
          <w:rFonts w:asciiTheme="minorEastAsia" w:hAnsiTheme="minorEastAsia"/>
          <w:szCs w:val="21"/>
        </w:rPr>
      </w:pPr>
      <w:r>
        <w:rPr>
          <w:rFonts w:hint="eastAsia" w:asciiTheme="minorEastAsia" w:hAnsiTheme="minorEastAsia"/>
          <w:szCs w:val="21"/>
        </w:rPr>
        <w:t>经济性质：</w:t>
      </w:r>
    </w:p>
    <w:p>
      <w:pPr>
        <w:spacing w:line="360" w:lineRule="auto"/>
        <w:ind w:firstLine="420" w:firstLineChars="200"/>
        <w:rPr>
          <w:rFonts w:asciiTheme="minorEastAsia" w:hAnsiTheme="minorEastAsia"/>
          <w:szCs w:val="21"/>
        </w:rPr>
      </w:pPr>
      <w:r>
        <w:rPr>
          <w:rFonts w:hint="eastAsia" w:asciiTheme="minorEastAsia" w:hAnsiTheme="minorEastAsia"/>
          <w:szCs w:val="21"/>
        </w:rPr>
        <w:t>主营（产）：</w:t>
      </w:r>
    </w:p>
    <w:p>
      <w:pPr>
        <w:spacing w:line="360" w:lineRule="auto"/>
        <w:ind w:firstLine="420" w:firstLineChars="200"/>
        <w:rPr>
          <w:rFonts w:asciiTheme="minorEastAsia" w:hAnsiTheme="minorEastAsia"/>
          <w:szCs w:val="21"/>
        </w:rPr>
      </w:pPr>
      <w:r>
        <w:rPr>
          <w:rFonts w:hint="eastAsia" w:asciiTheme="minorEastAsia" w:hAnsiTheme="minorEastAsia"/>
          <w:szCs w:val="21"/>
        </w:rPr>
        <w:t>兼营（产）：</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v:textbox>
              </v:rect>
            </w:pict>
          </mc:Fallback>
        </mc:AlternateContent>
      </w: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r>
        <w:rPr>
          <w:rFonts w:hint="eastAsia" w:asciiTheme="minorEastAsia" w:hAnsiTheme="minorEastAsia"/>
          <w:b/>
          <w:bCs/>
          <w:szCs w:val="21"/>
        </w:rPr>
        <w:t xml:space="preserve">                         </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pPr>
        <w:ind w:firstLine="420" w:firstLineChars="200"/>
      </w:pPr>
    </w:p>
    <w:p>
      <w:pPr>
        <w:adjustRightInd w:val="0"/>
        <w:snapToGrid w:val="0"/>
        <w:spacing w:line="360" w:lineRule="auto"/>
        <w:ind w:firstLine="422" w:firstLineChars="200"/>
        <w:rPr>
          <w:rFonts w:asciiTheme="minorEastAsia" w:hAnsiTheme="minorEastAsia"/>
          <w:b/>
          <w:snapToGrid w:val="0"/>
          <w:kern w:val="0"/>
          <w:szCs w:val="21"/>
        </w:rPr>
      </w:pPr>
    </w:p>
    <w:p>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60"/>
      <w:r>
        <w:rPr>
          <w:rFonts w:hint="eastAsia" w:asciiTheme="minorEastAsia" w:hAnsiTheme="minorEastAsia"/>
          <w:szCs w:val="21"/>
        </w:rPr>
        <w:t>法定代表人授权委托证明书</w:t>
      </w:r>
    </w:p>
    <w:p>
      <w:pPr>
        <w:keepNext/>
        <w:keepLines/>
        <w:spacing w:before="160" w:after="170"/>
        <w:ind w:firstLine="602" w:firstLineChars="200"/>
        <w:jc w:val="center"/>
        <w:outlineLvl w:val="4"/>
        <w:rPr>
          <w:b/>
          <w:bCs/>
          <w:sz w:val="30"/>
          <w:szCs w:val="28"/>
        </w:rPr>
      </w:pPr>
      <w:bookmarkStart w:id="161" w:name="_Toc55548546"/>
      <w:bookmarkStart w:id="162" w:name="_Toc437"/>
      <w:r>
        <w:rPr>
          <w:rFonts w:hint="eastAsia"/>
          <w:b/>
          <w:bCs/>
          <w:sz w:val="30"/>
          <w:szCs w:val="28"/>
        </w:rPr>
        <w:t>法定代表人授权委托书</w:t>
      </w:r>
      <w:bookmarkEnd w:id="161"/>
    </w:p>
    <w:p>
      <w:pPr>
        <w:spacing w:line="360" w:lineRule="auto"/>
        <w:ind w:firstLine="420" w:firstLineChars="200"/>
        <w:rPr>
          <w:rFonts w:asciiTheme="minorEastAsia" w:hAnsiTheme="minorEastAsia"/>
          <w:b/>
          <w:bCs/>
          <w:szCs w:val="21"/>
        </w:rPr>
      </w:pPr>
      <w:r>
        <w:rPr>
          <w:rFonts w:hint="eastAsia" w:asciiTheme="minorEastAsia" w:hAnsiTheme="minorEastAsia"/>
          <w:szCs w:val="21"/>
        </w:rPr>
        <w:t>深圳市宝安区疾病预防控制中心</w:t>
      </w:r>
      <w:r>
        <w:rPr>
          <w:rFonts w:hint="eastAsia" w:asciiTheme="minorEastAsia" w:hAnsiTheme="minorEastAsia"/>
          <w:b/>
          <w:bCs/>
          <w:szCs w:val="21"/>
        </w:rPr>
        <w:t>：</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pPr>
        <w:spacing w:line="360" w:lineRule="auto"/>
        <w:ind w:firstLine="420" w:firstLineChars="200"/>
        <w:rPr>
          <w:rFonts w:asciiTheme="minorEastAsia" w:hAnsiTheme="minorEastAsia"/>
          <w:szCs w:val="21"/>
        </w:rPr>
      </w:pPr>
    </w:p>
    <w:p>
      <w:pPr>
        <w:adjustRightInd w:val="0"/>
        <w:snapToGrid w:val="0"/>
        <w:spacing w:line="360" w:lineRule="auto"/>
        <w:ind w:firstLine="422" w:firstLineChars="200"/>
        <w:rPr>
          <w:rFonts w:asciiTheme="minorEastAsia" w:hAnsiTheme="minorEastAsia"/>
          <w:b/>
          <w:bCs/>
          <w:szCs w:val="21"/>
        </w:rPr>
      </w:pPr>
      <w:r>
        <w:rPr>
          <w:rFonts w:hint="eastAsia" w:asciiTheme="minorEastAsia" w:hAnsiTheme="minorEastAsia"/>
          <w:b/>
          <w:bCs/>
          <w:szCs w:val="21"/>
        </w:rPr>
        <w:t>附授权代表情况：</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职务：</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身份证号码：</w:t>
      </w:r>
    </w:p>
    <w:p>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 xml:space="preserve">电话： </w:t>
      </w:r>
    </w:p>
    <w:p>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法人代表：（签章）</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pPr>
        <w:spacing w:line="360" w:lineRule="auto"/>
        <w:ind w:firstLine="420" w:firstLineChars="200"/>
        <w:rPr>
          <w:rFonts w:asciiTheme="minorEastAsia" w:hAnsiTheme="minorEastAsia"/>
          <w:szCs w:val="21"/>
        </w:rPr>
      </w:pPr>
      <w:bookmarkStart w:id="163"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v:textbox>
              </v:rect>
            </w:pict>
          </mc:Fallback>
        </mc:AlternateContent>
      </w:r>
      <w:bookmarkEnd w:id="163"/>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tabs>
          <w:tab w:val="left" w:pos="5115"/>
        </w:tabs>
        <w:spacing w:line="360" w:lineRule="auto"/>
        <w:ind w:firstLine="420" w:firstLineChars="200"/>
        <w:rPr>
          <w:rFonts w:asciiTheme="minorEastAsia" w:hAnsiTheme="minorEastAsia"/>
          <w:szCs w:val="21"/>
        </w:rPr>
      </w:pPr>
      <w:r>
        <w:rPr>
          <w:rFonts w:asciiTheme="minorEastAsia" w:hAnsiTheme="minorEastAsia"/>
          <w:szCs w:val="21"/>
        </w:rPr>
        <w:tab/>
      </w:r>
    </w:p>
    <w:p>
      <w:pPr>
        <w:spacing w:line="360" w:lineRule="auto"/>
        <w:ind w:firstLine="420" w:firstLineChars="200"/>
        <w:rPr>
          <w:rFonts w:asciiTheme="minorEastAsia" w:hAnsiTheme="minorEastAsia"/>
          <w:szCs w:val="21"/>
        </w:rPr>
      </w:pPr>
    </w:p>
    <w:p>
      <w:pPr>
        <w:adjustRightInd w:val="0"/>
        <w:snapToGrid w:val="0"/>
        <w:spacing w:line="360" w:lineRule="auto"/>
        <w:ind w:firstLine="422" w:firstLineChars="200"/>
        <w:rPr>
          <w:rFonts w:asciiTheme="minorEastAsia" w:hAnsiTheme="minorEastAsia"/>
          <w:b/>
          <w:snapToGrid w:val="0"/>
          <w:kern w:val="0"/>
          <w:szCs w:val="21"/>
        </w:rPr>
      </w:pPr>
    </w:p>
    <w:p>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2"/>
      <w:r>
        <w:rPr>
          <w:rFonts w:hint="eastAsia" w:asciiTheme="minorEastAsia" w:hAnsiTheme="minorEastAsia"/>
          <w:szCs w:val="21"/>
        </w:rPr>
        <w:t>（如有）</w:t>
      </w:r>
    </w:p>
    <w:p>
      <w:pPr>
        <w:keepNext/>
        <w:keepLines/>
        <w:spacing w:before="160" w:after="170"/>
        <w:ind w:firstLine="602" w:firstLineChars="200"/>
        <w:jc w:val="center"/>
        <w:outlineLvl w:val="4"/>
        <w:rPr>
          <w:b/>
          <w:bCs/>
          <w:sz w:val="30"/>
          <w:szCs w:val="28"/>
        </w:rPr>
      </w:pPr>
      <w:bookmarkStart w:id="164" w:name="_Toc55548547"/>
      <w:r>
        <w:rPr>
          <w:rFonts w:hint="eastAsia"/>
          <w:b/>
          <w:bCs/>
          <w:sz w:val="30"/>
          <w:szCs w:val="28"/>
        </w:rPr>
        <w:t>项目实施方案</w:t>
      </w:r>
      <w:bookmarkEnd w:id="164"/>
    </w:p>
    <w:p>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asciiTheme="minorEastAsia" w:hAnsiTheme="minorEastAsia"/>
          <w:szCs w:val="21"/>
        </w:rPr>
      </w:pPr>
      <w:r>
        <w:rPr>
          <w:rFonts w:hint="eastAsia" w:asciiTheme="minorEastAsia" w:hAnsiTheme="minorEastAsia"/>
          <w:szCs w:val="21"/>
        </w:rPr>
        <w:t>1、项目实施方案、实施进度表</w:t>
      </w:r>
    </w:p>
    <w:p>
      <w:pPr>
        <w:spacing w:line="360" w:lineRule="auto"/>
        <w:ind w:firstLine="420" w:firstLineChars="200"/>
        <w:rPr>
          <w:rFonts w:asciiTheme="minorEastAsia" w:hAnsiTheme="minorEastAsia"/>
          <w:szCs w:val="21"/>
        </w:rPr>
      </w:pPr>
      <w:r>
        <w:rPr>
          <w:rFonts w:hint="eastAsia" w:asciiTheme="minorEastAsia" w:hAnsiTheme="minorEastAsia"/>
          <w:szCs w:val="21"/>
        </w:rPr>
        <w:t>2、相关配套措施</w:t>
      </w:r>
    </w:p>
    <w:p>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（备注：该部分须与“技术保障措施”、“商务需求”等部分承诺的内容相呼应，不得前后矛盾。）</w:t>
      </w:r>
    </w:p>
    <w:p>
      <w:pPr>
        <w:spacing w:line="360" w:lineRule="auto"/>
        <w:rPr>
          <w:rFonts w:asciiTheme="minorEastAsia" w:hAnsiTheme="minorEastAsia"/>
          <w:szCs w:val="21"/>
        </w:rPr>
      </w:pPr>
    </w:p>
    <w:p>
      <w:pPr>
        <w:spacing w:line="360" w:lineRule="auto"/>
        <w:ind w:firstLine="420" w:firstLineChars="200"/>
        <w:rPr>
          <w:rFonts w:asciiTheme="minorEastAsia" w:hAnsiTheme="minorEastAsia"/>
          <w:szCs w:val="21"/>
        </w:rPr>
      </w:pPr>
      <w:bookmarkStart w:id="165" w:name="_Toc3861"/>
      <w:bookmarkStart w:id="166" w:name="_Hlk109050114"/>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65"/>
      <w:r>
        <w:rPr>
          <w:rFonts w:hint="eastAsia" w:asciiTheme="minorEastAsia" w:hAnsiTheme="minorEastAsia"/>
          <w:szCs w:val="21"/>
        </w:rPr>
        <w:t>（如有）</w:t>
      </w:r>
      <w:bookmarkEnd w:id="166"/>
    </w:p>
    <w:p>
      <w:pPr>
        <w:keepNext/>
        <w:keepLines/>
        <w:spacing w:before="160" w:after="170"/>
        <w:ind w:firstLine="602" w:firstLineChars="200"/>
        <w:jc w:val="center"/>
        <w:outlineLvl w:val="4"/>
        <w:rPr>
          <w:b/>
          <w:bCs/>
          <w:sz w:val="30"/>
          <w:szCs w:val="28"/>
        </w:rPr>
      </w:pPr>
      <w:bookmarkStart w:id="167" w:name="_Toc55548548"/>
      <w:r>
        <w:rPr>
          <w:rFonts w:hint="eastAsia"/>
          <w:b/>
          <w:bCs/>
          <w:sz w:val="30"/>
          <w:szCs w:val="28"/>
        </w:rPr>
        <w:t>售后服务方案</w:t>
      </w:r>
      <w:bookmarkEnd w:id="167"/>
    </w:p>
    <w:p>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pPr>
        <w:spacing w:line="360" w:lineRule="auto"/>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pPr>
        <w:spacing w:line="360" w:lineRule="auto"/>
        <w:ind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（备注：该部分须与“商务需求”承诺的内容相呼应，不得前后矛盾。）</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：技术规格偏离表（如有）</w:t>
      </w:r>
    </w:p>
    <w:p>
      <w:pPr>
        <w:snapToGrid w:val="0"/>
        <w:spacing w:line="360" w:lineRule="auto"/>
        <w:jc w:val="center"/>
        <w:rPr>
          <w:b/>
        </w:rPr>
      </w:pPr>
      <w:bookmarkStart w:id="168" w:name="_Hlk109050125"/>
      <w:r>
        <w:rPr>
          <w:rFonts w:hint="eastAsia"/>
          <w:b/>
        </w:rPr>
        <w:t>技术规格偏离表</w:t>
      </w:r>
    </w:p>
    <w:bookmarkEnd w:id="168"/>
    <w:tbl>
      <w:tblPr>
        <w:tblStyle w:val="15"/>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360" w:lineRule="auto"/>
        <w:ind w:firstLine="420" w:firstLineChars="200"/>
        <w:rPr>
          <w:rFonts w:asciiTheme="minorEastAsia" w:hAnsiTheme="minorEastAsia"/>
          <w:szCs w:val="21"/>
        </w:rPr>
      </w:pPr>
    </w:p>
    <w:sectPr>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jc w:val="right"/>
      <w:rPr>
        <w:sz w:val="21"/>
        <w:szCs w:val="21"/>
      </w:rPr>
    </w:pPr>
    <w:bookmarkStart w:id="169" w:name="_Hlk69568634"/>
    <w:bookmarkStart w:id="170" w:name="_Hlk69568635"/>
    <w:r>
      <w:rPr>
        <w:rFonts w:hint="eastAsia"/>
        <w:sz w:val="21"/>
        <w:szCs w:val="21"/>
      </w:rPr>
      <w:t>深圳市宝安区疾病预防控制中心采购文件</w:t>
    </w:r>
    <w:bookmarkEnd w:id="169"/>
    <w:bookmarkEnd w:id="17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abstractNum w:abstractNumId="1">
    <w:nsid w:val="541285ED"/>
    <w:multiLevelType w:val="singleLevel"/>
    <w:tmpl w:val="541285ED"/>
    <w:lvl w:ilvl="0" w:tentative="0">
      <w:start w:val="1"/>
      <w:numFmt w:val="decimal"/>
      <w:lvlText w:val="%1."/>
      <w:lvlJc w:val="left"/>
      <w:pPr>
        <w:tabs>
          <w:tab w:val="left" w:pos="312"/>
        </w:tabs>
      </w:pPr>
    </w:lvl>
  </w:abstractNum>
  <w:abstractNum w:abstractNumId="2">
    <w:nsid w:val="7E612A72"/>
    <w:multiLevelType w:val="multilevel"/>
    <w:tmpl w:val="7E612A7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TRiY2QxYmJlMjllYWNhNjZjMTAzYThmMWJiZjQifQ=="/>
    <w:docVar w:name="KSO_WPS_MARK_KEY" w:val="02bda868-be3e-4296-8faf-8b913a9facf9"/>
  </w:docVars>
  <w:rsids>
    <w:rsidRoot w:val="00B27035"/>
    <w:rsid w:val="0000394F"/>
    <w:rsid w:val="00007A13"/>
    <w:rsid w:val="0001637F"/>
    <w:rsid w:val="00016C99"/>
    <w:rsid w:val="00016D41"/>
    <w:rsid w:val="00016DCD"/>
    <w:rsid w:val="00020F66"/>
    <w:rsid w:val="000236B7"/>
    <w:rsid w:val="000253BA"/>
    <w:rsid w:val="00026541"/>
    <w:rsid w:val="000272A3"/>
    <w:rsid w:val="0003138A"/>
    <w:rsid w:val="0004025C"/>
    <w:rsid w:val="00042723"/>
    <w:rsid w:val="00046F21"/>
    <w:rsid w:val="00050084"/>
    <w:rsid w:val="00050A98"/>
    <w:rsid w:val="000530FF"/>
    <w:rsid w:val="00053E10"/>
    <w:rsid w:val="000620DD"/>
    <w:rsid w:val="000627B7"/>
    <w:rsid w:val="00063FB1"/>
    <w:rsid w:val="00073E9D"/>
    <w:rsid w:val="00081A9E"/>
    <w:rsid w:val="00081D87"/>
    <w:rsid w:val="00084CCE"/>
    <w:rsid w:val="00086C55"/>
    <w:rsid w:val="00086E51"/>
    <w:rsid w:val="00090FD5"/>
    <w:rsid w:val="00092A23"/>
    <w:rsid w:val="000968DD"/>
    <w:rsid w:val="000970E6"/>
    <w:rsid w:val="00097201"/>
    <w:rsid w:val="000974D9"/>
    <w:rsid w:val="000A013F"/>
    <w:rsid w:val="000A0BB6"/>
    <w:rsid w:val="000A4FF3"/>
    <w:rsid w:val="000A599B"/>
    <w:rsid w:val="000B13D0"/>
    <w:rsid w:val="000B2D75"/>
    <w:rsid w:val="000B3923"/>
    <w:rsid w:val="000B59F8"/>
    <w:rsid w:val="000B77F9"/>
    <w:rsid w:val="000B7EE0"/>
    <w:rsid w:val="000C561C"/>
    <w:rsid w:val="000C62B0"/>
    <w:rsid w:val="000C6CE9"/>
    <w:rsid w:val="000C77E7"/>
    <w:rsid w:val="000D08A9"/>
    <w:rsid w:val="000D2247"/>
    <w:rsid w:val="000D2EB8"/>
    <w:rsid w:val="000D2FD9"/>
    <w:rsid w:val="000D476C"/>
    <w:rsid w:val="000D5D45"/>
    <w:rsid w:val="000D6859"/>
    <w:rsid w:val="000E5888"/>
    <w:rsid w:val="000F0F3D"/>
    <w:rsid w:val="000F22EF"/>
    <w:rsid w:val="000F2D0A"/>
    <w:rsid w:val="000F6C66"/>
    <w:rsid w:val="00100950"/>
    <w:rsid w:val="001043DC"/>
    <w:rsid w:val="00105F6E"/>
    <w:rsid w:val="00111B38"/>
    <w:rsid w:val="00112A97"/>
    <w:rsid w:val="00113156"/>
    <w:rsid w:val="00115CD5"/>
    <w:rsid w:val="0011797C"/>
    <w:rsid w:val="00125726"/>
    <w:rsid w:val="00125ACF"/>
    <w:rsid w:val="00125C6A"/>
    <w:rsid w:val="0012743D"/>
    <w:rsid w:val="00127C7B"/>
    <w:rsid w:val="00130814"/>
    <w:rsid w:val="001329BA"/>
    <w:rsid w:val="00132BE3"/>
    <w:rsid w:val="0013335C"/>
    <w:rsid w:val="00136300"/>
    <w:rsid w:val="00136387"/>
    <w:rsid w:val="00137876"/>
    <w:rsid w:val="00141B51"/>
    <w:rsid w:val="001465AC"/>
    <w:rsid w:val="0014672D"/>
    <w:rsid w:val="00146F48"/>
    <w:rsid w:val="0015271F"/>
    <w:rsid w:val="001530A4"/>
    <w:rsid w:val="00154141"/>
    <w:rsid w:val="00161418"/>
    <w:rsid w:val="001624BB"/>
    <w:rsid w:val="00162B15"/>
    <w:rsid w:val="00163FBC"/>
    <w:rsid w:val="00165B6A"/>
    <w:rsid w:val="001675F7"/>
    <w:rsid w:val="001678F7"/>
    <w:rsid w:val="00170E6B"/>
    <w:rsid w:val="00174DAC"/>
    <w:rsid w:val="001750E4"/>
    <w:rsid w:val="00180C24"/>
    <w:rsid w:val="001810ED"/>
    <w:rsid w:val="001813DD"/>
    <w:rsid w:val="00183CCF"/>
    <w:rsid w:val="00184BFC"/>
    <w:rsid w:val="00186E97"/>
    <w:rsid w:val="00187BC0"/>
    <w:rsid w:val="00187D1A"/>
    <w:rsid w:val="001905F7"/>
    <w:rsid w:val="00192254"/>
    <w:rsid w:val="001930C9"/>
    <w:rsid w:val="001938DE"/>
    <w:rsid w:val="0019395A"/>
    <w:rsid w:val="00196D20"/>
    <w:rsid w:val="001A2D67"/>
    <w:rsid w:val="001A36D0"/>
    <w:rsid w:val="001A4CC2"/>
    <w:rsid w:val="001A5C2B"/>
    <w:rsid w:val="001A7960"/>
    <w:rsid w:val="001B12BF"/>
    <w:rsid w:val="001B23C7"/>
    <w:rsid w:val="001B287A"/>
    <w:rsid w:val="001B54B5"/>
    <w:rsid w:val="001C32B9"/>
    <w:rsid w:val="001C421C"/>
    <w:rsid w:val="001C42E8"/>
    <w:rsid w:val="001C7175"/>
    <w:rsid w:val="001C7613"/>
    <w:rsid w:val="001D1989"/>
    <w:rsid w:val="001D283D"/>
    <w:rsid w:val="001D5451"/>
    <w:rsid w:val="001D77FD"/>
    <w:rsid w:val="001D7F0D"/>
    <w:rsid w:val="001E5120"/>
    <w:rsid w:val="001F5585"/>
    <w:rsid w:val="002023D7"/>
    <w:rsid w:val="00204EC0"/>
    <w:rsid w:val="00205A0F"/>
    <w:rsid w:val="00216C6D"/>
    <w:rsid w:val="00217F05"/>
    <w:rsid w:val="002219B9"/>
    <w:rsid w:val="002243E9"/>
    <w:rsid w:val="0022497B"/>
    <w:rsid w:val="00227BE1"/>
    <w:rsid w:val="00227CFD"/>
    <w:rsid w:val="0023071D"/>
    <w:rsid w:val="00232ED4"/>
    <w:rsid w:val="00234ACA"/>
    <w:rsid w:val="002350B3"/>
    <w:rsid w:val="00235B08"/>
    <w:rsid w:val="002429FB"/>
    <w:rsid w:val="00245BA9"/>
    <w:rsid w:val="002514E8"/>
    <w:rsid w:val="00253FCC"/>
    <w:rsid w:val="0025405F"/>
    <w:rsid w:val="002549AE"/>
    <w:rsid w:val="002570EC"/>
    <w:rsid w:val="002577FC"/>
    <w:rsid w:val="002607D8"/>
    <w:rsid w:val="00262959"/>
    <w:rsid w:val="00262E3B"/>
    <w:rsid w:val="00264146"/>
    <w:rsid w:val="00267B16"/>
    <w:rsid w:val="00270DED"/>
    <w:rsid w:val="00270EE6"/>
    <w:rsid w:val="002732D3"/>
    <w:rsid w:val="00273963"/>
    <w:rsid w:val="00273DD4"/>
    <w:rsid w:val="00274ADF"/>
    <w:rsid w:val="00275639"/>
    <w:rsid w:val="002830A3"/>
    <w:rsid w:val="00283FB4"/>
    <w:rsid w:val="002844D3"/>
    <w:rsid w:val="002849C2"/>
    <w:rsid w:val="00285211"/>
    <w:rsid w:val="00287092"/>
    <w:rsid w:val="0028748D"/>
    <w:rsid w:val="0029003B"/>
    <w:rsid w:val="002905B6"/>
    <w:rsid w:val="0029095D"/>
    <w:rsid w:val="00291C54"/>
    <w:rsid w:val="00297795"/>
    <w:rsid w:val="002A4499"/>
    <w:rsid w:val="002A5BFA"/>
    <w:rsid w:val="002B7314"/>
    <w:rsid w:val="002C089E"/>
    <w:rsid w:val="002C0C26"/>
    <w:rsid w:val="002C12DB"/>
    <w:rsid w:val="002C4251"/>
    <w:rsid w:val="002D3543"/>
    <w:rsid w:val="002D5E47"/>
    <w:rsid w:val="002D70BB"/>
    <w:rsid w:val="002E00B6"/>
    <w:rsid w:val="002E0D63"/>
    <w:rsid w:val="002E202E"/>
    <w:rsid w:val="002E3D64"/>
    <w:rsid w:val="002E5E70"/>
    <w:rsid w:val="002F46DB"/>
    <w:rsid w:val="002F5862"/>
    <w:rsid w:val="00300139"/>
    <w:rsid w:val="003020A7"/>
    <w:rsid w:val="0030630F"/>
    <w:rsid w:val="00306350"/>
    <w:rsid w:val="00307947"/>
    <w:rsid w:val="00310DF6"/>
    <w:rsid w:val="00312AEB"/>
    <w:rsid w:val="00314147"/>
    <w:rsid w:val="00314D97"/>
    <w:rsid w:val="00320C6D"/>
    <w:rsid w:val="003234C1"/>
    <w:rsid w:val="00323F20"/>
    <w:rsid w:val="003259E0"/>
    <w:rsid w:val="00327B91"/>
    <w:rsid w:val="00331BF3"/>
    <w:rsid w:val="00335D20"/>
    <w:rsid w:val="00337BFB"/>
    <w:rsid w:val="0034222B"/>
    <w:rsid w:val="00342375"/>
    <w:rsid w:val="00343516"/>
    <w:rsid w:val="0034487A"/>
    <w:rsid w:val="00344D4A"/>
    <w:rsid w:val="00347B67"/>
    <w:rsid w:val="003531DE"/>
    <w:rsid w:val="003568C3"/>
    <w:rsid w:val="0035752B"/>
    <w:rsid w:val="00357856"/>
    <w:rsid w:val="00357903"/>
    <w:rsid w:val="00360311"/>
    <w:rsid w:val="00362847"/>
    <w:rsid w:val="00365501"/>
    <w:rsid w:val="00370E38"/>
    <w:rsid w:val="003722DC"/>
    <w:rsid w:val="003765D8"/>
    <w:rsid w:val="00376712"/>
    <w:rsid w:val="00386497"/>
    <w:rsid w:val="00387FB4"/>
    <w:rsid w:val="003904C8"/>
    <w:rsid w:val="00392140"/>
    <w:rsid w:val="003948C4"/>
    <w:rsid w:val="00395BD5"/>
    <w:rsid w:val="003A2EF2"/>
    <w:rsid w:val="003B2B54"/>
    <w:rsid w:val="003B4C25"/>
    <w:rsid w:val="003B533D"/>
    <w:rsid w:val="003B5F69"/>
    <w:rsid w:val="003B664A"/>
    <w:rsid w:val="003D0F25"/>
    <w:rsid w:val="003D1BFD"/>
    <w:rsid w:val="003D1C8B"/>
    <w:rsid w:val="003D3A10"/>
    <w:rsid w:val="003D3BF6"/>
    <w:rsid w:val="003D3E40"/>
    <w:rsid w:val="003D56EF"/>
    <w:rsid w:val="003E2496"/>
    <w:rsid w:val="003E34DF"/>
    <w:rsid w:val="003E47FF"/>
    <w:rsid w:val="003F3926"/>
    <w:rsid w:val="003F3E99"/>
    <w:rsid w:val="003F49FA"/>
    <w:rsid w:val="003F4A52"/>
    <w:rsid w:val="003F4C21"/>
    <w:rsid w:val="003F6BD9"/>
    <w:rsid w:val="003F7F46"/>
    <w:rsid w:val="00400BDD"/>
    <w:rsid w:val="0040568B"/>
    <w:rsid w:val="00405B4F"/>
    <w:rsid w:val="00412ADA"/>
    <w:rsid w:val="00415ABB"/>
    <w:rsid w:val="00416CB7"/>
    <w:rsid w:val="00417556"/>
    <w:rsid w:val="004224DA"/>
    <w:rsid w:val="00422C93"/>
    <w:rsid w:val="004240F2"/>
    <w:rsid w:val="004247C2"/>
    <w:rsid w:val="0042484C"/>
    <w:rsid w:val="00425768"/>
    <w:rsid w:val="00431B05"/>
    <w:rsid w:val="00432BF0"/>
    <w:rsid w:val="004434FC"/>
    <w:rsid w:val="00444B83"/>
    <w:rsid w:val="004478C6"/>
    <w:rsid w:val="00450E1D"/>
    <w:rsid w:val="004512C7"/>
    <w:rsid w:val="004537FB"/>
    <w:rsid w:val="0045391A"/>
    <w:rsid w:val="00457D84"/>
    <w:rsid w:val="00460BB8"/>
    <w:rsid w:val="00461FA3"/>
    <w:rsid w:val="00462785"/>
    <w:rsid w:val="00463221"/>
    <w:rsid w:val="00463FD1"/>
    <w:rsid w:val="00473B47"/>
    <w:rsid w:val="00474DE6"/>
    <w:rsid w:val="00476B74"/>
    <w:rsid w:val="00481776"/>
    <w:rsid w:val="0048183C"/>
    <w:rsid w:val="00483481"/>
    <w:rsid w:val="0048440E"/>
    <w:rsid w:val="00484718"/>
    <w:rsid w:val="00486D13"/>
    <w:rsid w:val="00487BC8"/>
    <w:rsid w:val="00491DD6"/>
    <w:rsid w:val="00492556"/>
    <w:rsid w:val="00492D8F"/>
    <w:rsid w:val="00494048"/>
    <w:rsid w:val="004970F8"/>
    <w:rsid w:val="00497DBD"/>
    <w:rsid w:val="004A0DAF"/>
    <w:rsid w:val="004A34CF"/>
    <w:rsid w:val="004A46F4"/>
    <w:rsid w:val="004A4795"/>
    <w:rsid w:val="004A4B94"/>
    <w:rsid w:val="004B08D4"/>
    <w:rsid w:val="004B0DCA"/>
    <w:rsid w:val="004B2A93"/>
    <w:rsid w:val="004B4E87"/>
    <w:rsid w:val="004B6E5B"/>
    <w:rsid w:val="004C08AC"/>
    <w:rsid w:val="004C0B66"/>
    <w:rsid w:val="004C2C78"/>
    <w:rsid w:val="004C3F49"/>
    <w:rsid w:val="004D1B14"/>
    <w:rsid w:val="004D4DA5"/>
    <w:rsid w:val="004E07C0"/>
    <w:rsid w:val="004E308C"/>
    <w:rsid w:val="004E46CB"/>
    <w:rsid w:val="004E725F"/>
    <w:rsid w:val="004F0148"/>
    <w:rsid w:val="004F2B76"/>
    <w:rsid w:val="004F3645"/>
    <w:rsid w:val="00500D01"/>
    <w:rsid w:val="00506D14"/>
    <w:rsid w:val="0051196C"/>
    <w:rsid w:val="005137DA"/>
    <w:rsid w:val="005214AC"/>
    <w:rsid w:val="00521779"/>
    <w:rsid w:val="005260A9"/>
    <w:rsid w:val="00526344"/>
    <w:rsid w:val="00527EDC"/>
    <w:rsid w:val="00531911"/>
    <w:rsid w:val="00532B33"/>
    <w:rsid w:val="00535430"/>
    <w:rsid w:val="00536246"/>
    <w:rsid w:val="005472BC"/>
    <w:rsid w:val="0054740D"/>
    <w:rsid w:val="00552059"/>
    <w:rsid w:val="00552C93"/>
    <w:rsid w:val="005561D7"/>
    <w:rsid w:val="00561C21"/>
    <w:rsid w:val="00561D31"/>
    <w:rsid w:val="00563895"/>
    <w:rsid w:val="005645E6"/>
    <w:rsid w:val="0056787E"/>
    <w:rsid w:val="00567D46"/>
    <w:rsid w:val="0057769D"/>
    <w:rsid w:val="0058113E"/>
    <w:rsid w:val="0058285B"/>
    <w:rsid w:val="005846F2"/>
    <w:rsid w:val="00584F0C"/>
    <w:rsid w:val="005854FB"/>
    <w:rsid w:val="00585A02"/>
    <w:rsid w:val="00586966"/>
    <w:rsid w:val="00591CA5"/>
    <w:rsid w:val="00591D1A"/>
    <w:rsid w:val="00592F00"/>
    <w:rsid w:val="0059488B"/>
    <w:rsid w:val="00594D83"/>
    <w:rsid w:val="005A14F3"/>
    <w:rsid w:val="005A1CC5"/>
    <w:rsid w:val="005A5612"/>
    <w:rsid w:val="005B2452"/>
    <w:rsid w:val="005B4C1F"/>
    <w:rsid w:val="005B7C95"/>
    <w:rsid w:val="005C0612"/>
    <w:rsid w:val="005C0DB9"/>
    <w:rsid w:val="005C0FF6"/>
    <w:rsid w:val="005C18B9"/>
    <w:rsid w:val="005C21EE"/>
    <w:rsid w:val="005C376C"/>
    <w:rsid w:val="005C39EA"/>
    <w:rsid w:val="005D2961"/>
    <w:rsid w:val="005D2B9C"/>
    <w:rsid w:val="005D2D8F"/>
    <w:rsid w:val="005D6EF3"/>
    <w:rsid w:val="005D7164"/>
    <w:rsid w:val="005D7190"/>
    <w:rsid w:val="005E11F0"/>
    <w:rsid w:val="005E12D5"/>
    <w:rsid w:val="005E3883"/>
    <w:rsid w:val="005F3217"/>
    <w:rsid w:val="005F34BB"/>
    <w:rsid w:val="005F72F4"/>
    <w:rsid w:val="005F73F0"/>
    <w:rsid w:val="006058BB"/>
    <w:rsid w:val="00606500"/>
    <w:rsid w:val="00606715"/>
    <w:rsid w:val="00611947"/>
    <w:rsid w:val="00617363"/>
    <w:rsid w:val="006224E7"/>
    <w:rsid w:val="00623981"/>
    <w:rsid w:val="00624FEC"/>
    <w:rsid w:val="0062754D"/>
    <w:rsid w:val="006345F3"/>
    <w:rsid w:val="00635A1A"/>
    <w:rsid w:val="006407B7"/>
    <w:rsid w:val="0064183A"/>
    <w:rsid w:val="0065138F"/>
    <w:rsid w:val="00651FD0"/>
    <w:rsid w:val="00653282"/>
    <w:rsid w:val="00655479"/>
    <w:rsid w:val="0065567F"/>
    <w:rsid w:val="006557EE"/>
    <w:rsid w:val="00655894"/>
    <w:rsid w:val="006568AF"/>
    <w:rsid w:val="00660AF8"/>
    <w:rsid w:val="00660BB2"/>
    <w:rsid w:val="006617BD"/>
    <w:rsid w:val="00661AAF"/>
    <w:rsid w:val="0066471D"/>
    <w:rsid w:val="00664B30"/>
    <w:rsid w:val="00665979"/>
    <w:rsid w:val="00665C9C"/>
    <w:rsid w:val="00666DAC"/>
    <w:rsid w:val="006728BE"/>
    <w:rsid w:val="00673CA0"/>
    <w:rsid w:val="00674B5A"/>
    <w:rsid w:val="00684DAC"/>
    <w:rsid w:val="00685691"/>
    <w:rsid w:val="00687623"/>
    <w:rsid w:val="00690937"/>
    <w:rsid w:val="0069104B"/>
    <w:rsid w:val="006A2C16"/>
    <w:rsid w:val="006A6F1C"/>
    <w:rsid w:val="006B10AC"/>
    <w:rsid w:val="006B15B6"/>
    <w:rsid w:val="006B1DB6"/>
    <w:rsid w:val="006B2FC4"/>
    <w:rsid w:val="006B302C"/>
    <w:rsid w:val="006B39F9"/>
    <w:rsid w:val="006B5CA7"/>
    <w:rsid w:val="006C2747"/>
    <w:rsid w:val="006C60D3"/>
    <w:rsid w:val="006D0495"/>
    <w:rsid w:val="006D0AA6"/>
    <w:rsid w:val="006D36F6"/>
    <w:rsid w:val="006D52B6"/>
    <w:rsid w:val="006D63F9"/>
    <w:rsid w:val="006D67E5"/>
    <w:rsid w:val="006D74CC"/>
    <w:rsid w:val="006E3571"/>
    <w:rsid w:val="006F1F93"/>
    <w:rsid w:val="006F34C6"/>
    <w:rsid w:val="006F41DA"/>
    <w:rsid w:val="007056E5"/>
    <w:rsid w:val="00705BD8"/>
    <w:rsid w:val="007067D3"/>
    <w:rsid w:val="00712BD7"/>
    <w:rsid w:val="00714B64"/>
    <w:rsid w:val="00715E57"/>
    <w:rsid w:val="00721170"/>
    <w:rsid w:val="007231EE"/>
    <w:rsid w:val="0072335A"/>
    <w:rsid w:val="00724B87"/>
    <w:rsid w:val="0073452B"/>
    <w:rsid w:val="007459E7"/>
    <w:rsid w:val="007506FD"/>
    <w:rsid w:val="00751A67"/>
    <w:rsid w:val="007549C8"/>
    <w:rsid w:val="007554E3"/>
    <w:rsid w:val="0075689D"/>
    <w:rsid w:val="00762137"/>
    <w:rsid w:val="00766224"/>
    <w:rsid w:val="00766F64"/>
    <w:rsid w:val="00767104"/>
    <w:rsid w:val="00767478"/>
    <w:rsid w:val="007674F3"/>
    <w:rsid w:val="0077138C"/>
    <w:rsid w:val="007754EA"/>
    <w:rsid w:val="007911A0"/>
    <w:rsid w:val="00791410"/>
    <w:rsid w:val="00792052"/>
    <w:rsid w:val="0079207E"/>
    <w:rsid w:val="00793A6A"/>
    <w:rsid w:val="00793E70"/>
    <w:rsid w:val="00795EEA"/>
    <w:rsid w:val="007A2875"/>
    <w:rsid w:val="007A31B9"/>
    <w:rsid w:val="007A5E09"/>
    <w:rsid w:val="007A6077"/>
    <w:rsid w:val="007A7D9F"/>
    <w:rsid w:val="007B0B0E"/>
    <w:rsid w:val="007B1962"/>
    <w:rsid w:val="007B2CF3"/>
    <w:rsid w:val="007B4661"/>
    <w:rsid w:val="007B4C65"/>
    <w:rsid w:val="007B71E6"/>
    <w:rsid w:val="007C65B3"/>
    <w:rsid w:val="007C6D54"/>
    <w:rsid w:val="007D1216"/>
    <w:rsid w:val="007D2242"/>
    <w:rsid w:val="007D60DA"/>
    <w:rsid w:val="007E14DB"/>
    <w:rsid w:val="007E21BE"/>
    <w:rsid w:val="007E2F5A"/>
    <w:rsid w:val="007E3C03"/>
    <w:rsid w:val="007E4868"/>
    <w:rsid w:val="007E5008"/>
    <w:rsid w:val="007E639A"/>
    <w:rsid w:val="007E6A9D"/>
    <w:rsid w:val="007F11C6"/>
    <w:rsid w:val="007F1909"/>
    <w:rsid w:val="007F482C"/>
    <w:rsid w:val="007F4EB1"/>
    <w:rsid w:val="007F5918"/>
    <w:rsid w:val="00805C93"/>
    <w:rsid w:val="0080742D"/>
    <w:rsid w:val="00817206"/>
    <w:rsid w:val="00820766"/>
    <w:rsid w:val="0082380B"/>
    <w:rsid w:val="008251A1"/>
    <w:rsid w:val="008263E2"/>
    <w:rsid w:val="008263E4"/>
    <w:rsid w:val="0083051C"/>
    <w:rsid w:val="008309A8"/>
    <w:rsid w:val="00833FA9"/>
    <w:rsid w:val="008403CD"/>
    <w:rsid w:val="0084094C"/>
    <w:rsid w:val="008427DA"/>
    <w:rsid w:val="00842966"/>
    <w:rsid w:val="008455C7"/>
    <w:rsid w:val="00850054"/>
    <w:rsid w:val="0085171D"/>
    <w:rsid w:val="00854F19"/>
    <w:rsid w:val="008565A0"/>
    <w:rsid w:val="00857094"/>
    <w:rsid w:val="00861A84"/>
    <w:rsid w:val="00865720"/>
    <w:rsid w:val="00870650"/>
    <w:rsid w:val="008709AD"/>
    <w:rsid w:val="00871563"/>
    <w:rsid w:val="00871AB4"/>
    <w:rsid w:val="008737E6"/>
    <w:rsid w:val="00875B2C"/>
    <w:rsid w:val="0087626E"/>
    <w:rsid w:val="00877379"/>
    <w:rsid w:val="008807FE"/>
    <w:rsid w:val="00881C68"/>
    <w:rsid w:val="0088252F"/>
    <w:rsid w:val="00885641"/>
    <w:rsid w:val="008861D0"/>
    <w:rsid w:val="00886513"/>
    <w:rsid w:val="00887EC0"/>
    <w:rsid w:val="00893BD2"/>
    <w:rsid w:val="008A13AD"/>
    <w:rsid w:val="008A25D3"/>
    <w:rsid w:val="008A4861"/>
    <w:rsid w:val="008A4CB4"/>
    <w:rsid w:val="008A5E40"/>
    <w:rsid w:val="008A65A3"/>
    <w:rsid w:val="008A6A3B"/>
    <w:rsid w:val="008B1F31"/>
    <w:rsid w:val="008B2E71"/>
    <w:rsid w:val="008B64EF"/>
    <w:rsid w:val="008B7729"/>
    <w:rsid w:val="008C3446"/>
    <w:rsid w:val="008C480B"/>
    <w:rsid w:val="008C7B89"/>
    <w:rsid w:val="008C7C25"/>
    <w:rsid w:val="008D19C5"/>
    <w:rsid w:val="008D26F9"/>
    <w:rsid w:val="008D3CDF"/>
    <w:rsid w:val="008D5116"/>
    <w:rsid w:val="008E0FFC"/>
    <w:rsid w:val="008E2F0D"/>
    <w:rsid w:val="008E4F01"/>
    <w:rsid w:val="008E53DE"/>
    <w:rsid w:val="008E756B"/>
    <w:rsid w:val="008F4FC5"/>
    <w:rsid w:val="008F55F8"/>
    <w:rsid w:val="008F59A9"/>
    <w:rsid w:val="009016ED"/>
    <w:rsid w:val="009023CA"/>
    <w:rsid w:val="009063D1"/>
    <w:rsid w:val="00911F33"/>
    <w:rsid w:val="0091227D"/>
    <w:rsid w:val="00912EFF"/>
    <w:rsid w:val="00913747"/>
    <w:rsid w:val="00913757"/>
    <w:rsid w:val="00916D2F"/>
    <w:rsid w:val="00921B57"/>
    <w:rsid w:val="009240C5"/>
    <w:rsid w:val="00930AE6"/>
    <w:rsid w:val="009316D6"/>
    <w:rsid w:val="009419C6"/>
    <w:rsid w:val="00942EE7"/>
    <w:rsid w:val="00945543"/>
    <w:rsid w:val="00945D1E"/>
    <w:rsid w:val="009462F5"/>
    <w:rsid w:val="009509C6"/>
    <w:rsid w:val="00953BDB"/>
    <w:rsid w:val="009550B7"/>
    <w:rsid w:val="009551C2"/>
    <w:rsid w:val="00955F27"/>
    <w:rsid w:val="009577F3"/>
    <w:rsid w:val="00957AAC"/>
    <w:rsid w:val="009600F3"/>
    <w:rsid w:val="00963C1D"/>
    <w:rsid w:val="00966013"/>
    <w:rsid w:val="009763C1"/>
    <w:rsid w:val="00980AEC"/>
    <w:rsid w:val="009817D5"/>
    <w:rsid w:val="009828B2"/>
    <w:rsid w:val="00983F17"/>
    <w:rsid w:val="00986C27"/>
    <w:rsid w:val="00987911"/>
    <w:rsid w:val="009940DA"/>
    <w:rsid w:val="009A14F1"/>
    <w:rsid w:val="009A14FC"/>
    <w:rsid w:val="009A2C14"/>
    <w:rsid w:val="009A2D94"/>
    <w:rsid w:val="009B027B"/>
    <w:rsid w:val="009B0B06"/>
    <w:rsid w:val="009B215B"/>
    <w:rsid w:val="009B49A7"/>
    <w:rsid w:val="009B511A"/>
    <w:rsid w:val="009B6DBF"/>
    <w:rsid w:val="009B78E0"/>
    <w:rsid w:val="009C136C"/>
    <w:rsid w:val="009C13FB"/>
    <w:rsid w:val="009C3577"/>
    <w:rsid w:val="009D0140"/>
    <w:rsid w:val="009D1ED7"/>
    <w:rsid w:val="009D2EED"/>
    <w:rsid w:val="009D33E5"/>
    <w:rsid w:val="009D69AC"/>
    <w:rsid w:val="009E2191"/>
    <w:rsid w:val="009E2DF6"/>
    <w:rsid w:val="009E33AD"/>
    <w:rsid w:val="009E489A"/>
    <w:rsid w:val="009E5198"/>
    <w:rsid w:val="009E7909"/>
    <w:rsid w:val="009E7AED"/>
    <w:rsid w:val="009F3DD5"/>
    <w:rsid w:val="009F44F1"/>
    <w:rsid w:val="009F51D2"/>
    <w:rsid w:val="009F55D5"/>
    <w:rsid w:val="009F6601"/>
    <w:rsid w:val="009F718C"/>
    <w:rsid w:val="00A027F7"/>
    <w:rsid w:val="00A02C9B"/>
    <w:rsid w:val="00A02E18"/>
    <w:rsid w:val="00A032CD"/>
    <w:rsid w:val="00A069B6"/>
    <w:rsid w:val="00A074EF"/>
    <w:rsid w:val="00A10E96"/>
    <w:rsid w:val="00A11DA8"/>
    <w:rsid w:val="00A142B0"/>
    <w:rsid w:val="00A14D8B"/>
    <w:rsid w:val="00A162F6"/>
    <w:rsid w:val="00A1645C"/>
    <w:rsid w:val="00A201D9"/>
    <w:rsid w:val="00A218D6"/>
    <w:rsid w:val="00A239ED"/>
    <w:rsid w:val="00A24AE0"/>
    <w:rsid w:val="00A310B6"/>
    <w:rsid w:val="00A31944"/>
    <w:rsid w:val="00A374C0"/>
    <w:rsid w:val="00A45F09"/>
    <w:rsid w:val="00A46D3B"/>
    <w:rsid w:val="00A5098C"/>
    <w:rsid w:val="00A51C85"/>
    <w:rsid w:val="00A57EBB"/>
    <w:rsid w:val="00A60952"/>
    <w:rsid w:val="00A60D7F"/>
    <w:rsid w:val="00A60D89"/>
    <w:rsid w:val="00A60EC4"/>
    <w:rsid w:val="00A6357A"/>
    <w:rsid w:val="00A63D62"/>
    <w:rsid w:val="00A6426E"/>
    <w:rsid w:val="00A643B5"/>
    <w:rsid w:val="00A649B8"/>
    <w:rsid w:val="00A64B9D"/>
    <w:rsid w:val="00A6519A"/>
    <w:rsid w:val="00A665BF"/>
    <w:rsid w:val="00A66941"/>
    <w:rsid w:val="00A67361"/>
    <w:rsid w:val="00A67450"/>
    <w:rsid w:val="00A757EA"/>
    <w:rsid w:val="00A77684"/>
    <w:rsid w:val="00A804E2"/>
    <w:rsid w:val="00A83284"/>
    <w:rsid w:val="00A83993"/>
    <w:rsid w:val="00A86F04"/>
    <w:rsid w:val="00AA0A7F"/>
    <w:rsid w:val="00AA37F1"/>
    <w:rsid w:val="00AA3988"/>
    <w:rsid w:val="00AA45BA"/>
    <w:rsid w:val="00AA5B34"/>
    <w:rsid w:val="00AA5D8D"/>
    <w:rsid w:val="00AA6794"/>
    <w:rsid w:val="00AB5CB3"/>
    <w:rsid w:val="00AB5D1D"/>
    <w:rsid w:val="00AC0D8B"/>
    <w:rsid w:val="00AC3837"/>
    <w:rsid w:val="00AC44F0"/>
    <w:rsid w:val="00AC5EF8"/>
    <w:rsid w:val="00AD1BEB"/>
    <w:rsid w:val="00AD2111"/>
    <w:rsid w:val="00AD21D5"/>
    <w:rsid w:val="00AD42B4"/>
    <w:rsid w:val="00AD50B7"/>
    <w:rsid w:val="00AD7E8D"/>
    <w:rsid w:val="00AE032D"/>
    <w:rsid w:val="00AE449B"/>
    <w:rsid w:val="00AE72AB"/>
    <w:rsid w:val="00AE78B1"/>
    <w:rsid w:val="00AF2E0D"/>
    <w:rsid w:val="00AF3EA3"/>
    <w:rsid w:val="00AF4405"/>
    <w:rsid w:val="00AF740C"/>
    <w:rsid w:val="00B00ACC"/>
    <w:rsid w:val="00B00C44"/>
    <w:rsid w:val="00B02508"/>
    <w:rsid w:val="00B02C9B"/>
    <w:rsid w:val="00B13AB1"/>
    <w:rsid w:val="00B17A94"/>
    <w:rsid w:val="00B21FB4"/>
    <w:rsid w:val="00B27035"/>
    <w:rsid w:val="00B30B35"/>
    <w:rsid w:val="00B32164"/>
    <w:rsid w:val="00B32F32"/>
    <w:rsid w:val="00B331DF"/>
    <w:rsid w:val="00B35B9D"/>
    <w:rsid w:val="00B40B8D"/>
    <w:rsid w:val="00B4196D"/>
    <w:rsid w:val="00B42A58"/>
    <w:rsid w:val="00B4633F"/>
    <w:rsid w:val="00B50DB2"/>
    <w:rsid w:val="00B524CE"/>
    <w:rsid w:val="00B5284E"/>
    <w:rsid w:val="00B533AF"/>
    <w:rsid w:val="00B537DA"/>
    <w:rsid w:val="00B54A3F"/>
    <w:rsid w:val="00B56CB2"/>
    <w:rsid w:val="00B61C61"/>
    <w:rsid w:val="00B63752"/>
    <w:rsid w:val="00B640C8"/>
    <w:rsid w:val="00B64FE8"/>
    <w:rsid w:val="00B70132"/>
    <w:rsid w:val="00B7357C"/>
    <w:rsid w:val="00B736D6"/>
    <w:rsid w:val="00B73E65"/>
    <w:rsid w:val="00B741DD"/>
    <w:rsid w:val="00B75547"/>
    <w:rsid w:val="00B76306"/>
    <w:rsid w:val="00B763EB"/>
    <w:rsid w:val="00B76E48"/>
    <w:rsid w:val="00B77508"/>
    <w:rsid w:val="00B775C9"/>
    <w:rsid w:val="00B77E1B"/>
    <w:rsid w:val="00B80124"/>
    <w:rsid w:val="00B90430"/>
    <w:rsid w:val="00B938C7"/>
    <w:rsid w:val="00B96CC4"/>
    <w:rsid w:val="00BA1052"/>
    <w:rsid w:val="00BA191C"/>
    <w:rsid w:val="00BA1DAD"/>
    <w:rsid w:val="00BA25AD"/>
    <w:rsid w:val="00BA28BD"/>
    <w:rsid w:val="00BA5D8C"/>
    <w:rsid w:val="00BC0516"/>
    <w:rsid w:val="00BC2FED"/>
    <w:rsid w:val="00BC3264"/>
    <w:rsid w:val="00BC3A3D"/>
    <w:rsid w:val="00BC4182"/>
    <w:rsid w:val="00BC4AA0"/>
    <w:rsid w:val="00BC71EC"/>
    <w:rsid w:val="00BD0B8A"/>
    <w:rsid w:val="00BD351E"/>
    <w:rsid w:val="00BD46C4"/>
    <w:rsid w:val="00BD5C35"/>
    <w:rsid w:val="00BE1D99"/>
    <w:rsid w:val="00BE23B9"/>
    <w:rsid w:val="00BE4657"/>
    <w:rsid w:val="00BF1223"/>
    <w:rsid w:val="00BF3ADD"/>
    <w:rsid w:val="00BF51A1"/>
    <w:rsid w:val="00BF6E77"/>
    <w:rsid w:val="00C00565"/>
    <w:rsid w:val="00C0683B"/>
    <w:rsid w:val="00C11BAF"/>
    <w:rsid w:val="00C17C22"/>
    <w:rsid w:val="00C21F05"/>
    <w:rsid w:val="00C24421"/>
    <w:rsid w:val="00C24CF5"/>
    <w:rsid w:val="00C25B04"/>
    <w:rsid w:val="00C30332"/>
    <w:rsid w:val="00C33FC8"/>
    <w:rsid w:val="00C349AB"/>
    <w:rsid w:val="00C356F5"/>
    <w:rsid w:val="00C37BAB"/>
    <w:rsid w:val="00C4123C"/>
    <w:rsid w:val="00C4135E"/>
    <w:rsid w:val="00C42C4C"/>
    <w:rsid w:val="00C435EF"/>
    <w:rsid w:val="00C436B7"/>
    <w:rsid w:val="00C43A9E"/>
    <w:rsid w:val="00C445BC"/>
    <w:rsid w:val="00C452E0"/>
    <w:rsid w:val="00C45A07"/>
    <w:rsid w:val="00C461C0"/>
    <w:rsid w:val="00C51038"/>
    <w:rsid w:val="00C53685"/>
    <w:rsid w:val="00C53B8C"/>
    <w:rsid w:val="00C54590"/>
    <w:rsid w:val="00C54C0A"/>
    <w:rsid w:val="00C55B4E"/>
    <w:rsid w:val="00C60169"/>
    <w:rsid w:val="00C609F7"/>
    <w:rsid w:val="00C60C70"/>
    <w:rsid w:val="00C63322"/>
    <w:rsid w:val="00C63DBA"/>
    <w:rsid w:val="00C66F8B"/>
    <w:rsid w:val="00C77418"/>
    <w:rsid w:val="00C87668"/>
    <w:rsid w:val="00C9059A"/>
    <w:rsid w:val="00C92E18"/>
    <w:rsid w:val="00C96F99"/>
    <w:rsid w:val="00C97ECB"/>
    <w:rsid w:val="00CA03D2"/>
    <w:rsid w:val="00CA17E0"/>
    <w:rsid w:val="00CA3542"/>
    <w:rsid w:val="00CA64A0"/>
    <w:rsid w:val="00CA6E11"/>
    <w:rsid w:val="00CB53A1"/>
    <w:rsid w:val="00CB682E"/>
    <w:rsid w:val="00CB6EF7"/>
    <w:rsid w:val="00CC0B91"/>
    <w:rsid w:val="00CC2104"/>
    <w:rsid w:val="00CC2DFF"/>
    <w:rsid w:val="00CC3BAE"/>
    <w:rsid w:val="00CC5694"/>
    <w:rsid w:val="00CC6334"/>
    <w:rsid w:val="00CC7092"/>
    <w:rsid w:val="00CC7F32"/>
    <w:rsid w:val="00CD44F8"/>
    <w:rsid w:val="00CD7ED6"/>
    <w:rsid w:val="00CE03C2"/>
    <w:rsid w:val="00CE1C0B"/>
    <w:rsid w:val="00CE4007"/>
    <w:rsid w:val="00CF0718"/>
    <w:rsid w:val="00CF442C"/>
    <w:rsid w:val="00CF59EE"/>
    <w:rsid w:val="00D00895"/>
    <w:rsid w:val="00D00C1D"/>
    <w:rsid w:val="00D019D3"/>
    <w:rsid w:val="00D04EFB"/>
    <w:rsid w:val="00D05C96"/>
    <w:rsid w:val="00D07F61"/>
    <w:rsid w:val="00D121F2"/>
    <w:rsid w:val="00D128DB"/>
    <w:rsid w:val="00D16D64"/>
    <w:rsid w:val="00D20075"/>
    <w:rsid w:val="00D21978"/>
    <w:rsid w:val="00D21E3F"/>
    <w:rsid w:val="00D246A8"/>
    <w:rsid w:val="00D24885"/>
    <w:rsid w:val="00D26440"/>
    <w:rsid w:val="00D27C91"/>
    <w:rsid w:val="00D319C3"/>
    <w:rsid w:val="00D407CB"/>
    <w:rsid w:val="00D425C6"/>
    <w:rsid w:val="00D428A8"/>
    <w:rsid w:val="00D4292D"/>
    <w:rsid w:val="00D42B1C"/>
    <w:rsid w:val="00D46AB3"/>
    <w:rsid w:val="00D516E0"/>
    <w:rsid w:val="00D52046"/>
    <w:rsid w:val="00D52471"/>
    <w:rsid w:val="00D53B1B"/>
    <w:rsid w:val="00D54E6C"/>
    <w:rsid w:val="00D54F48"/>
    <w:rsid w:val="00D55DA3"/>
    <w:rsid w:val="00D55FA7"/>
    <w:rsid w:val="00D56956"/>
    <w:rsid w:val="00D57811"/>
    <w:rsid w:val="00D654B1"/>
    <w:rsid w:val="00D65753"/>
    <w:rsid w:val="00D65B12"/>
    <w:rsid w:val="00D672AA"/>
    <w:rsid w:val="00D70E8F"/>
    <w:rsid w:val="00D71D82"/>
    <w:rsid w:val="00D76F49"/>
    <w:rsid w:val="00D77DF6"/>
    <w:rsid w:val="00D80D99"/>
    <w:rsid w:val="00D841FD"/>
    <w:rsid w:val="00D846D8"/>
    <w:rsid w:val="00D914B0"/>
    <w:rsid w:val="00D93093"/>
    <w:rsid w:val="00D942FA"/>
    <w:rsid w:val="00D964CA"/>
    <w:rsid w:val="00D9655A"/>
    <w:rsid w:val="00DA0306"/>
    <w:rsid w:val="00DA0A15"/>
    <w:rsid w:val="00DA0C45"/>
    <w:rsid w:val="00DA3107"/>
    <w:rsid w:val="00DA37CC"/>
    <w:rsid w:val="00DB11B3"/>
    <w:rsid w:val="00DB4C26"/>
    <w:rsid w:val="00DB4DB4"/>
    <w:rsid w:val="00DB4F3C"/>
    <w:rsid w:val="00DB7859"/>
    <w:rsid w:val="00DC161B"/>
    <w:rsid w:val="00DC1AD7"/>
    <w:rsid w:val="00DC21E6"/>
    <w:rsid w:val="00DC664D"/>
    <w:rsid w:val="00DD0AA7"/>
    <w:rsid w:val="00DD2DB5"/>
    <w:rsid w:val="00DD3270"/>
    <w:rsid w:val="00DD4C84"/>
    <w:rsid w:val="00DD7C57"/>
    <w:rsid w:val="00DE39A2"/>
    <w:rsid w:val="00DE6373"/>
    <w:rsid w:val="00DE63AC"/>
    <w:rsid w:val="00DF0796"/>
    <w:rsid w:val="00DF127E"/>
    <w:rsid w:val="00DF2ECA"/>
    <w:rsid w:val="00DF446C"/>
    <w:rsid w:val="00DF768B"/>
    <w:rsid w:val="00DF77E7"/>
    <w:rsid w:val="00E02155"/>
    <w:rsid w:val="00E045A1"/>
    <w:rsid w:val="00E052F6"/>
    <w:rsid w:val="00E05A31"/>
    <w:rsid w:val="00E07FA0"/>
    <w:rsid w:val="00E17025"/>
    <w:rsid w:val="00E17EA3"/>
    <w:rsid w:val="00E20A7B"/>
    <w:rsid w:val="00E24B4A"/>
    <w:rsid w:val="00E31592"/>
    <w:rsid w:val="00E32D31"/>
    <w:rsid w:val="00E4039F"/>
    <w:rsid w:val="00E419E0"/>
    <w:rsid w:val="00E452D2"/>
    <w:rsid w:val="00E45C42"/>
    <w:rsid w:val="00E477F2"/>
    <w:rsid w:val="00E47A8D"/>
    <w:rsid w:val="00E5125C"/>
    <w:rsid w:val="00E5127B"/>
    <w:rsid w:val="00E55EFA"/>
    <w:rsid w:val="00E60DCF"/>
    <w:rsid w:val="00E62194"/>
    <w:rsid w:val="00E66D09"/>
    <w:rsid w:val="00E71544"/>
    <w:rsid w:val="00E747E7"/>
    <w:rsid w:val="00E7494D"/>
    <w:rsid w:val="00E774D0"/>
    <w:rsid w:val="00E810BD"/>
    <w:rsid w:val="00E81975"/>
    <w:rsid w:val="00E81F69"/>
    <w:rsid w:val="00E83D09"/>
    <w:rsid w:val="00E85D49"/>
    <w:rsid w:val="00E8649E"/>
    <w:rsid w:val="00E91443"/>
    <w:rsid w:val="00E92A2D"/>
    <w:rsid w:val="00EA0149"/>
    <w:rsid w:val="00EA0AA3"/>
    <w:rsid w:val="00EA4E6D"/>
    <w:rsid w:val="00EB3315"/>
    <w:rsid w:val="00EB3BCA"/>
    <w:rsid w:val="00EB4F55"/>
    <w:rsid w:val="00EB508D"/>
    <w:rsid w:val="00EC38B0"/>
    <w:rsid w:val="00EC43D8"/>
    <w:rsid w:val="00EE06C8"/>
    <w:rsid w:val="00EE0AD9"/>
    <w:rsid w:val="00EE12E6"/>
    <w:rsid w:val="00EE15A4"/>
    <w:rsid w:val="00EE2F50"/>
    <w:rsid w:val="00EF3E9B"/>
    <w:rsid w:val="00EF41F0"/>
    <w:rsid w:val="00EF67C5"/>
    <w:rsid w:val="00EF6855"/>
    <w:rsid w:val="00EF77FA"/>
    <w:rsid w:val="00F02352"/>
    <w:rsid w:val="00F03DAF"/>
    <w:rsid w:val="00F04551"/>
    <w:rsid w:val="00F05A6D"/>
    <w:rsid w:val="00F06531"/>
    <w:rsid w:val="00F10924"/>
    <w:rsid w:val="00F109D0"/>
    <w:rsid w:val="00F153E2"/>
    <w:rsid w:val="00F16D96"/>
    <w:rsid w:val="00F21C53"/>
    <w:rsid w:val="00F22DC0"/>
    <w:rsid w:val="00F277EB"/>
    <w:rsid w:val="00F27C48"/>
    <w:rsid w:val="00F3076C"/>
    <w:rsid w:val="00F32963"/>
    <w:rsid w:val="00F414BC"/>
    <w:rsid w:val="00F447B7"/>
    <w:rsid w:val="00F4480E"/>
    <w:rsid w:val="00F51931"/>
    <w:rsid w:val="00F53078"/>
    <w:rsid w:val="00F55E6A"/>
    <w:rsid w:val="00F56248"/>
    <w:rsid w:val="00F56A6E"/>
    <w:rsid w:val="00F57194"/>
    <w:rsid w:val="00F63359"/>
    <w:rsid w:val="00F633E3"/>
    <w:rsid w:val="00F66168"/>
    <w:rsid w:val="00F66A91"/>
    <w:rsid w:val="00F67F01"/>
    <w:rsid w:val="00F703EE"/>
    <w:rsid w:val="00F71631"/>
    <w:rsid w:val="00F71E09"/>
    <w:rsid w:val="00F728FD"/>
    <w:rsid w:val="00F7399A"/>
    <w:rsid w:val="00F74A11"/>
    <w:rsid w:val="00F77BE9"/>
    <w:rsid w:val="00F80E67"/>
    <w:rsid w:val="00F8219C"/>
    <w:rsid w:val="00F835A4"/>
    <w:rsid w:val="00F842A9"/>
    <w:rsid w:val="00F84912"/>
    <w:rsid w:val="00F914A2"/>
    <w:rsid w:val="00F91577"/>
    <w:rsid w:val="00F944AB"/>
    <w:rsid w:val="00F96976"/>
    <w:rsid w:val="00F96D60"/>
    <w:rsid w:val="00FA22E9"/>
    <w:rsid w:val="00FA4902"/>
    <w:rsid w:val="00FA7FA3"/>
    <w:rsid w:val="00FB1917"/>
    <w:rsid w:val="00FB6E20"/>
    <w:rsid w:val="00FC097B"/>
    <w:rsid w:val="00FC5177"/>
    <w:rsid w:val="00FD2559"/>
    <w:rsid w:val="00FD2E15"/>
    <w:rsid w:val="00FD3F8A"/>
    <w:rsid w:val="00FD484A"/>
    <w:rsid w:val="00FD484E"/>
    <w:rsid w:val="00FE305B"/>
    <w:rsid w:val="00FE3D27"/>
    <w:rsid w:val="00FE4F9C"/>
    <w:rsid w:val="00FF21D8"/>
    <w:rsid w:val="00FF48FD"/>
    <w:rsid w:val="00FF5757"/>
    <w:rsid w:val="00FF7D0D"/>
    <w:rsid w:val="04B95D27"/>
    <w:rsid w:val="05A86160"/>
    <w:rsid w:val="0D2F096C"/>
    <w:rsid w:val="120A5960"/>
    <w:rsid w:val="24930B4D"/>
    <w:rsid w:val="2D5C1491"/>
    <w:rsid w:val="2F292845"/>
    <w:rsid w:val="386309F1"/>
    <w:rsid w:val="39977B25"/>
    <w:rsid w:val="3ECF5007"/>
    <w:rsid w:val="408D55B4"/>
    <w:rsid w:val="48594249"/>
    <w:rsid w:val="4A912D42"/>
    <w:rsid w:val="4C9B5863"/>
    <w:rsid w:val="58A43150"/>
    <w:rsid w:val="5AA72723"/>
    <w:rsid w:val="64B92463"/>
    <w:rsid w:val="7CCE5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100" w:after="90"/>
      <w:jc w:val="center"/>
      <w:outlineLvl w:val="0"/>
    </w:pPr>
    <w:rPr>
      <w:b/>
      <w:bCs/>
      <w:kern w:val="44"/>
      <w:sz w:val="36"/>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4"/>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6"/>
    <w:unhideWhenUsed/>
    <w:qFormat/>
    <w:uiPriority w:val="9"/>
    <w:pPr>
      <w:keepNext/>
      <w:keepLines/>
      <w:spacing w:before="160" w:after="170"/>
      <w:ind w:firstLine="200" w:firstLineChars="200"/>
      <w:outlineLvl w:val="4"/>
    </w:pPr>
    <w:rPr>
      <w:b/>
      <w:bCs/>
      <w:sz w:val="24"/>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Normal Indent"/>
    <w:basedOn w:val="1"/>
    <w:link w:val="22"/>
    <w:qFormat/>
    <w:uiPriority w:val="0"/>
    <w:pPr>
      <w:ind w:firstLine="420" w:firstLineChars="200"/>
    </w:pPr>
    <w:rPr>
      <w:rFonts w:ascii="Times New Roman" w:hAnsi="Times New Roman" w:eastAsia="宋体" w:cs="Times New Roman"/>
      <w:szCs w:val="24"/>
    </w:rPr>
  </w:style>
  <w:style w:type="paragraph" w:styleId="7">
    <w:name w:val="annotation text"/>
    <w:basedOn w:val="1"/>
    <w:link w:val="35"/>
    <w:semiHidden/>
    <w:unhideWhenUsed/>
    <w:qFormat/>
    <w:uiPriority w:val="99"/>
    <w:pPr>
      <w:jc w:val="left"/>
    </w:pPr>
  </w:style>
  <w:style w:type="paragraph" w:styleId="8">
    <w:name w:val="Plain Text"/>
    <w:basedOn w:val="1"/>
    <w:link w:val="32"/>
    <w:qFormat/>
    <w:uiPriority w:val="99"/>
    <w:rPr>
      <w:rFonts w:ascii="宋体" w:hAnsi="Courier New" w:eastAsia="宋体" w:cs="Times New Roman"/>
      <w:kern w:val="10"/>
      <w:szCs w:val="21"/>
    </w:rPr>
  </w:style>
  <w:style w:type="paragraph" w:styleId="9">
    <w:name w:val="Balloon Text"/>
    <w:basedOn w:val="1"/>
    <w:link w:val="28"/>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0000FF"/>
      <w:u w:val="single"/>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正文缩进 字符"/>
    <w:link w:val="6"/>
    <w:qFormat/>
    <w:uiPriority w:val="0"/>
    <w:rPr>
      <w:rFonts w:ascii="Times New Roman" w:hAnsi="Times New Roman" w:eastAsia="宋体" w:cs="Times New Roman"/>
      <w:szCs w:val="24"/>
    </w:rPr>
  </w:style>
  <w:style w:type="table" w:customStyle="1" w:styleId="23">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4 字符"/>
    <w:basedOn w:val="17"/>
    <w:link w:val="4"/>
    <w:qFormat/>
    <w:uiPriority w:val="0"/>
    <w:rPr>
      <w:rFonts w:ascii="Cambria" w:hAnsi="Cambria" w:eastAsia="宋体" w:cs="Times New Roman"/>
      <w:b/>
      <w:bCs/>
      <w:sz w:val="24"/>
      <w:szCs w:val="28"/>
    </w:rPr>
  </w:style>
  <w:style w:type="character" w:customStyle="1" w:styleId="25">
    <w:name w:val="标题 1 字符"/>
    <w:basedOn w:val="17"/>
    <w:link w:val="2"/>
    <w:qFormat/>
    <w:uiPriority w:val="9"/>
    <w:rPr>
      <w:b/>
      <w:bCs/>
      <w:kern w:val="44"/>
      <w:sz w:val="36"/>
      <w:szCs w:val="44"/>
    </w:rPr>
  </w:style>
  <w:style w:type="character" w:customStyle="1" w:styleId="26">
    <w:name w:val="标题 5 字符"/>
    <w:basedOn w:val="17"/>
    <w:link w:val="5"/>
    <w:qFormat/>
    <w:uiPriority w:val="9"/>
    <w:rPr>
      <w:b/>
      <w:bCs/>
      <w:sz w:val="24"/>
      <w:szCs w:val="28"/>
    </w:rPr>
  </w:style>
  <w:style w:type="paragraph" w:customStyle="1" w:styleId="2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8">
    <w:name w:val="批注框文本 字符"/>
    <w:basedOn w:val="17"/>
    <w:link w:val="9"/>
    <w:semiHidden/>
    <w:uiPriority w:val="99"/>
    <w:rPr>
      <w:rFonts w:asciiTheme="minorHAnsi" w:hAnsiTheme="minorHAnsi" w:eastAsiaTheme="minorEastAsia" w:cstheme="minorBidi"/>
      <w:kern w:val="2"/>
      <w:sz w:val="18"/>
      <w:szCs w:val="18"/>
    </w:rPr>
  </w:style>
  <w:style w:type="paragraph" w:styleId="29">
    <w:name w:val="List Paragraph"/>
    <w:basedOn w:val="1"/>
    <w:unhideWhenUsed/>
    <w:qFormat/>
    <w:uiPriority w:val="99"/>
    <w:pPr>
      <w:ind w:firstLine="420" w:firstLineChars="200"/>
    </w:pPr>
  </w:style>
  <w:style w:type="table" w:customStyle="1" w:styleId="30">
    <w:name w:val="网格型2"/>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纯文本 字符"/>
    <w:basedOn w:val="17"/>
    <w:qFormat/>
    <w:uiPriority w:val="99"/>
    <w:rPr>
      <w:rFonts w:hAnsi="Courier New" w:cs="Courier New" w:asciiTheme="minorEastAsia" w:eastAsiaTheme="minorEastAsia"/>
      <w:kern w:val="2"/>
      <w:sz w:val="21"/>
      <w:szCs w:val="22"/>
    </w:rPr>
  </w:style>
  <w:style w:type="character" w:customStyle="1" w:styleId="32">
    <w:name w:val="纯文本 字符1"/>
    <w:link w:val="8"/>
    <w:qFormat/>
    <w:uiPriority w:val="0"/>
    <w:rPr>
      <w:rFonts w:ascii="宋体" w:hAnsi="Courier New"/>
      <w:kern w:val="10"/>
      <w:sz w:val="21"/>
      <w:szCs w:val="21"/>
    </w:rPr>
  </w:style>
  <w:style w:type="character" w:customStyle="1" w:styleId="33">
    <w:name w:val="标题 2 字符"/>
    <w:basedOn w:val="17"/>
    <w:link w:val="3"/>
    <w:qFormat/>
    <w:uiPriority w:val="9"/>
    <w:rPr>
      <w:rFonts w:asciiTheme="majorHAnsi" w:hAnsiTheme="majorHAnsi" w:eastAsiaTheme="majorEastAsia" w:cstheme="majorBidi"/>
      <w:b/>
      <w:bCs/>
      <w:kern w:val="2"/>
      <w:sz w:val="32"/>
      <w:szCs w:val="32"/>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批注文字 字符"/>
    <w:basedOn w:val="17"/>
    <w:link w:val="7"/>
    <w:semiHidden/>
    <w:qFormat/>
    <w:uiPriority w:val="99"/>
    <w:rPr>
      <w:rFonts w:asciiTheme="minorHAnsi" w:hAnsiTheme="minorHAnsi" w:eastAsiaTheme="minorEastAsia" w:cstheme="minorBidi"/>
      <w:kern w:val="2"/>
      <w:sz w:val="21"/>
      <w:szCs w:val="22"/>
    </w:rPr>
  </w:style>
  <w:style w:type="paragraph" w:customStyle="1" w:styleId="36">
    <w:name w:val="_Style 35"/>
    <w:basedOn w:val="1"/>
    <w:next w:val="29"/>
    <w:qFormat/>
    <w:uiPriority w:val="34"/>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27</Pages>
  <Words>14425</Words>
  <Characters>14772</Characters>
  <Lines>110</Lines>
  <Paragraphs>31</Paragraphs>
  <TotalTime>57</TotalTime>
  <ScaleCrop>false</ScaleCrop>
  <LinksUpToDate>false</LinksUpToDate>
  <CharactersWithSpaces>15070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郑培燊</cp:lastModifiedBy>
  <cp:lastPrinted>2024-06-27T09:20:00Z</cp:lastPrinted>
  <dcterms:modified xsi:type="dcterms:W3CDTF">2024-07-03T07:55:02Z</dcterms:modified>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0D55612956424807B5A111C58344467A</vt:lpwstr>
  </property>
</Properties>
</file>