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jc w:val="center"/>
        <w:rPr>
          <w:b/>
          <w:sz w:val="44"/>
          <w:szCs w:val="44"/>
        </w:rPr>
      </w:pPr>
      <w:r>
        <w:rPr>
          <w:rFonts w:hint="eastAsia"/>
          <w:b/>
          <w:sz w:val="44"/>
          <w:szCs w:val="44"/>
        </w:rPr>
        <w:t>宝安疾控采购服务年度委托项目</w:t>
      </w:r>
    </w:p>
    <w:p>
      <w:pPr>
        <w:jc w:val="center"/>
        <w:rPr>
          <w:b/>
          <w:sz w:val="44"/>
          <w:szCs w:val="44"/>
        </w:rPr>
      </w:pPr>
    </w:p>
    <w:p>
      <w:pPr>
        <w:jc w:val="center"/>
        <w:rPr>
          <w:b/>
          <w:sz w:val="30"/>
          <w:szCs w:val="30"/>
        </w:rPr>
      </w:pPr>
      <w:r>
        <w:rPr>
          <w:rFonts w:hint="eastAsia"/>
          <w:b/>
          <w:sz w:val="30"/>
          <w:szCs w:val="30"/>
        </w:rPr>
        <w:t>项目编号：</w:t>
      </w:r>
      <w:bookmarkStart w:id="0" w:name="_Hlk161679009"/>
      <w:r>
        <w:rPr>
          <w:b/>
          <w:sz w:val="30"/>
          <w:szCs w:val="30"/>
        </w:rPr>
        <w:t>BACDCCG202</w:t>
      </w:r>
      <w:r>
        <w:rPr>
          <w:rFonts w:hint="eastAsia"/>
          <w:b/>
          <w:sz w:val="30"/>
          <w:szCs w:val="30"/>
        </w:rPr>
        <w:t>400</w:t>
      </w:r>
      <w:bookmarkEnd w:id="0"/>
      <w:r>
        <w:rPr>
          <w:rFonts w:hint="eastAsia"/>
          <w:b/>
          <w:sz w:val="30"/>
          <w:szCs w:val="30"/>
        </w:rPr>
        <w:t>5</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b/>
          <w:sz w:val="72"/>
          <w:szCs w:val="72"/>
        </w:rPr>
      </w:pPr>
      <w:r>
        <w:rPr>
          <w:rFonts w:hint="eastAsia"/>
          <w:b/>
          <w:sz w:val="72"/>
          <w:szCs w:val="72"/>
        </w:rPr>
        <w:t>招标文件</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pPr>
    </w:p>
    <w:p>
      <w:pPr>
        <w:spacing w:line="360" w:lineRule="auto"/>
      </w:pPr>
    </w:p>
    <w:p>
      <w:pPr>
        <w:spacing w:line="360" w:lineRule="auto"/>
        <w:ind w:firstLine="420" w:firstLineChars="200"/>
      </w:pPr>
    </w:p>
    <w:p>
      <w:pPr>
        <w:spacing w:line="360" w:lineRule="auto"/>
        <w:jc w:val="center"/>
        <w:rPr>
          <w:b/>
          <w:sz w:val="30"/>
          <w:szCs w:val="30"/>
        </w:rPr>
      </w:pPr>
      <w:r>
        <w:rPr>
          <w:rFonts w:hint="eastAsia"/>
          <w:b/>
          <w:sz w:val="30"/>
          <w:szCs w:val="30"/>
        </w:rPr>
        <w:t>深圳市宝安区疾病预防控制中心</w:t>
      </w:r>
    </w:p>
    <w:p>
      <w:pPr>
        <w:spacing w:line="360" w:lineRule="auto"/>
        <w:jc w:val="center"/>
        <w:rPr>
          <w:b/>
          <w:sz w:val="30"/>
          <w:szCs w:val="30"/>
        </w:rPr>
      </w:pPr>
      <w:r>
        <w:rPr>
          <w:rFonts w:hint="eastAsia"/>
          <w:b/>
          <w:sz w:val="30"/>
          <w:szCs w:val="30"/>
        </w:rPr>
        <w:t>二〇二四年四月</w:t>
      </w:r>
    </w:p>
    <w:p>
      <w:pPr>
        <w:spacing w:line="360" w:lineRule="auto"/>
        <w:ind w:firstLine="420" w:firstLineChars="200"/>
      </w:pPr>
    </w:p>
    <w:p>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p>
      <w:pPr>
        <w:pStyle w:val="2"/>
      </w:pPr>
      <w:bookmarkStart w:id="1" w:name="_Toc61539108"/>
      <w:bookmarkStart w:id="2" w:name="_Toc86939328"/>
      <w:r>
        <w:rPr>
          <w:rFonts w:hint="eastAsia"/>
        </w:rPr>
        <w:t xml:space="preserve">第一章  </w:t>
      </w:r>
      <w:bookmarkEnd w:id="1"/>
      <w:r>
        <w:rPr>
          <w:rFonts w:hint="eastAsia"/>
        </w:rPr>
        <w:t>招标公告</w:t>
      </w:r>
      <w:bookmarkEnd w:id="2"/>
    </w:p>
    <w:p>
      <w:pPr>
        <w:spacing w:line="360" w:lineRule="auto"/>
        <w:ind w:firstLine="420" w:firstLineChars="200"/>
      </w:pPr>
      <w:bookmarkStart w:id="3" w:name="_Hlk69568487"/>
      <w:r>
        <w:rPr>
          <w:rFonts w:hint="eastAsia"/>
        </w:rPr>
        <w:t>深圳市宝安区疾病预防控制中心</w:t>
      </w:r>
      <w:bookmarkEnd w:id="3"/>
      <w:r>
        <w:rPr>
          <w:rFonts w:hint="eastAsia"/>
          <w:color w:val="000000" w:themeColor="text1"/>
          <w14:textFill>
            <w14:solidFill>
              <w14:schemeClr w14:val="tx1"/>
            </w14:solidFill>
          </w14:textFill>
        </w:rPr>
        <w:t>就宝安疾控采购服务年度委托项目</w:t>
      </w:r>
      <w:r>
        <w:rPr>
          <w:rFonts w:hint="eastAsia"/>
        </w:rPr>
        <w:t>接受以下投标人提交密封响应文件。有关事项如下：</w:t>
      </w:r>
    </w:p>
    <w:p>
      <w:pPr>
        <w:pStyle w:val="5"/>
        <w:ind w:firstLine="482"/>
      </w:pPr>
      <w:bookmarkStart w:id="4" w:name="_Hlk69568538"/>
      <w:r>
        <w:rPr>
          <w:rFonts w:hint="eastAsia"/>
        </w:rPr>
        <w:t>一、项目基本信息</w:t>
      </w:r>
    </w:p>
    <w:p>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目名称：宝安疾控采购服务年度委托项目</w:t>
      </w:r>
    </w:p>
    <w:p>
      <w:pPr>
        <w:spacing w:line="360" w:lineRule="auto"/>
        <w:ind w:firstLine="420" w:firstLineChars="200"/>
      </w:pPr>
      <w:r>
        <w:rPr>
          <w:rFonts w:hint="eastAsia"/>
        </w:rPr>
        <w:t>2、</w:t>
      </w:r>
      <w:r>
        <w:t>项目编号：BACDCCG202400</w:t>
      </w:r>
      <w:r>
        <w:rPr>
          <w:rFonts w:hint="eastAsia"/>
        </w:rPr>
        <w:t>5</w:t>
      </w:r>
    </w:p>
    <w:p>
      <w:pPr>
        <w:spacing w:line="360" w:lineRule="auto"/>
        <w:ind w:firstLine="420" w:firstLineChars="200"/>
      </w:pPr>
      <w:r>
        <w:rPr>
          <w:rFonts w:hint="eastAsia"/>
        </w:rPr>
        <w:t>3、项目类别：服务类</w:t>
      </w:r>
    </w:p>
    <w:p>
      <w:pPr>
        <w:spacing w:line="360" w:lineRule="auto"/>
        <w:ind w:firstLine="420" w:firstLineChars="200"/>
      </w:pPr>
      <w:r>
        <w:t>4</w:t>
      </w:r>
      <w:r>
        <w:rPr>
          <w:rFonts w:hint="eastAsia"/>
        </w:rPr>
        <w:t>、</w:t>
      </w:r>
      <w:r>
        <w:t>采购单位：</w:t>
      </w:r>
      <w:r>
        <w:rPr>
          <w:rFonts w:hint="eastAsia"/>
        </w:rPr>
        <w:t>深圳市宝安区疾病预防控制中心</w:t>
      </w:r>
    </w:p>
    <w:p>
      <w:pPr>
        <w:spacing w:line="360" w:lineRule="auto"/>
        <w:ind w:firstLine="420" w:firstLineChars="200"/>
      </w:pPr>
      <w:r>
        <w:t>5</w:t>
      </w:r>
      <w:r>
        <w:rPr>
          <w:rFonts w:hint="eastAsia"/>
        </w:rPr>
        <w:t>、采购方式：公开招标</w:t>
      </w:r>
    </w:p>
    <w:p>
      <w:pPr>
        <w:spacing w:line="360" w:lineRule="auto"/>
        <w:ind w:firstLine="420" w:firstLineChars="200"/>
      </w:pPr>
      <w:r>
        <w:rPr>
          <w:rFonts w:hint="eastAsia"/>
        </w:rPr>
        <w:t>6、评标方法：综合评分法</w:t>
      </w:r>
    </w:p>
    <w:bookmarkEnd w:id="4"/>
    <w:p>
      <w:pPr>
        <w:pStyle w:val="5"/>
        <w:ind w:firstLine="482"/>
      </w:pPr>
      <w:r>
        <w:rPr>
          <w:rFonts w:hint="eastAsia"/>
        </w:rPr>
        <w:t>二、采购预算</w:t>
      </w:r>
    </w:p>
    <w:p>
      <w:pPr>
        <w:spacing w:line="360" w:lineRule="auto"/>
        <w:ind w:firstLine="420" w:firstLineChars="200"/>
      </w:pPr>
      <w:r>
        <w:rPr>
          <w:rFonts w:hint="eastAsia"/>
        </w:rPr>
        <w:t>本项目采购预算金额为0元。</w:t>
      </w:r>
    </w:p>
    <w:p>
      <w:pPr>
        <w:pStyle w:val="5"/>
        <w:ind w:firstLine="482"/>
      </w:pPr>
      <w:bookmarkStart w:id="5" w:name="_Hlk69568757"/>
      <w:r>
        <w:rPr>
          <w:rFonts w:hint="eastAsia"/>
        </w:rPr>
        <w:t>三、需落实的采购政策</w:t>
      </w:r>
    </w:p>
    <w:p>
      <w:pPr>
        <w:spacing w:line="360" w:lineRule="auto"/>
        <w:ind w:firstLine="420" w:firstLineChars="200"/>
      </w:pPr>
      <w:r>
        <w:rPr>
          <w:rFonts w:hint="eastAsia"/>
        </w:rPr>
        <w:t>按照相关规定执行，详见采购需求标准。</w:t>
      </w:r>
    </w:p>
    <w:p>
      <w:pPr>
        <w:pStyle w:val="5"/>
        <w:ind w:firstLine="482"/>
      </w:pPr>
      <w:r>
        <w:rPr>
          <w:rFonts w:hint="eastAsia"/>
        </w:rPr>
        <w:t>四、供应商资格要求</w:t>
      </w:r>
    </w:p>
    <w:p>
      <w:pPr>
        <w:spacing w:line="360" w:lineRule="auto"/>
        <w:ind w:firstLine="420" w:firstLineChars="200"/>
      </w:pPr>
      <w:r>
        <w:rPr>
          <w:rFonts w:hint="eastAsia"/>
        </w:rPr>
        <w:t>1、</w:t>
      </w:r>
      <w:bookmarkStart w:id="6" w:name="_Hlk145674892"/>
      <w:r>
        <w:rPr>
          <w:rFonts w:hint="eastAsia"/>
        </w:rPr>
        <w:t>投标人</w:t>
      </w:r>
      <w:bookmarkEnd w:id="6"/>
      <w:r>
        <w:rPr>
          <w:rFonts w:hint="eastAsia"/>
        </w:rPr>
        <w:t>必须是在中华人民共和国境内注册的独立法人或其他组织</w:t>
      </w:r>
      <w:bookmarkStart w:id="7" w:name="_Hlk145674976"/>
      <w:r>
        <w:rPr>
          <w:rFonts w:hint="eastAsia"/>
        </w:rPr>
        <w:t>（提供营业执照复印件）；</w:t>
      </w:r>
      <w:bookmarkEnd w:id="7"/>
    </w:p>
    <w:p>
      <w:pPr>
        <w:spacing w:line="360" w:lineRule="auto"/>
        <w:ind w:firstLine="420" w:firstLineChars="200"/>
      </w:pPr>
      <w:r>
        <w:rPr>
          <w:rFonts w:hint="eastAsia"/>
        </w:rPr>
        <w:t>2、投标人参加本次政府采购活动前3年内在经营活动中没有重大违法记录（提供声明函）；</w:t>
      </w:r>
    </w:p>
    <w:p>
      <w:pPr>
        <w:spacing w:line="360" w:lineRule="auto"/>
        <w:ind w:firstLine="420" w:firstLineChars="200"/>
      </w:pPr>
      <w:r>
        <w:rPr>
          <w:rFonts w:hint="eastAsia"/>
        </w:rPr>
        <w:t>3、截至开标时间为止，未被深圳市各级政府采购主管部门行政处罚（指禁止参与政府采购活动且在有效期内）的投标人；</w:t>
      </w:r>
    </w:p>
    <w:p>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网上查询)；</w:t>
      </w:r>
    </w:p>
    <w:p>
      <w:pPr>
        <w:spacing w:line="360" w:lineRule="auto"/>
        <w:ind w:firstLine="420" w:firstLineChars="200"/>
      </w:pPr>
      <w:r>
        <w:rPr>
          <w:rFonts w:hint="eastAsia"/>
        </w:rPr>
        <w:t>5、本项目不接受联合体投标。</w:t>
      </w:r>
    </w:p>
    <w:p>
      <w:pPr>
        <w:pStyle w:val="5"/>
        <w:ind w:firstLine="482"/>
      </w:pPr>
      <w:r>
        <w:rPr>
          <w:rFonts w:hint="eastAsia"/>
        </w:rPr>
        <w:t>五、获取采购文件的时间、地点及方式</w:t>
      </w:r>
    </w:p>
    <w:bookmarkEnd w:id="5"/>
    <w:p>
      <w:pPr>
        <w:spacing w:line="360" w:lineRule="auto"/>
        <w:ind w:firstLine="420" w:firstLineChars="200"/>
      </w:pPr>
      <w:r>
        <w:rPr>
          <w:rFonts w:hint="eastAsia"/>
        </w:rPr>
        <w:t>1、获取采购文件时间：2024年</w:t>
      </w:r>
      <w:r>
        <w:rPr>
          <w:rFonts w:hint="eastAsia"/>
          <w:lang w:val="en-US" w:eastAsia="zh-CN"/>
        </w:rPr>
        <w:t>4</w:t>
      </w:r>
      <w:r>
        <w:rPr>
          <w:rFonts w:hint="eastAsia"/>
        </w:rPr>
        <w:t>月</w:t>
      </w:r>
      <w:r>
        <w:rPr>
          <w:rFonts w:hint="eastAsia"/>
          <w:lang w:val="en-US" w:eastAsia="zh-CN"/>
        </w:rPr>
        <w:t>30</w:t>
      </w:r>
      <w:r>
        <w:rPr>
          <w:rFonts w:hint="eastAsia"/>
        </w:rPr>
        <w:t>日起至2024年</w:t>
      </w:r>
      <w:r>
        <w:rPr>
          <w:rFonts w:hint="eastAsia"/>
          <w:lang w:val="en-US" w:eastAsia="zh-CN"/>
        </w:rPr>
        <w:t>5</w:t>
      </w:r>
      <w:r>
        <w:rPr>
          <w:rFonts w:hint="eastAsia"/>
        </w:rPr>
        <w:t>月</w:t>
      </w:r>
      <w:r>
        <w:rPr>
          <w:rFonts w:hint="eastAsia"/>
          <w:lang w:val="en-US" w:eastAsia="zh-CN"/>
        </w:rPr>
        <w:t>10</w:t>
      </w:r>
      <w:r>
        <w:rPr>
          <w:rFonts w:hint="eastAsia"/>
        </w:rPr>
        <w:t>日（节假日除外），上午9：00～11：30，下午14：00～17：30（北京时间）。</w:t>
      </w:r>
    </w:p>
    <w:p>
      <w:pPr>
        <w:spacing w:line="360" w:lineRule="auto"/>
        <w:ind w:firstLine="420" w:firstLineChars="200"/>
      </w:pPr>
      <w:r>
        <w:rPr>
          <w:rFonts w:hint="eastAsia"/>
        </w:rPr>
        <w:t>2、获取采购文件地点：深圳市宝安区海秀路3号（深圳市宝安区疾病预防控制中心）512。</w:t>
      </w:r>
    </w:p>
    <w:p>
      <w:pPr>
        <w:spacing w:line="360" w:lineRule="auto"/>
        <w:ind w:firstLine="420" w:firstLineChars="200"/>
        <w:rPr>
          <w:rFonts w:hint="eastAsia"/>
        </w:rPr>
      </w:pPr>
      <w:r>
        <w:rPr>
          <w:rFonts w:hint="eastAsia"/>
        </w:rPr>
        <w:t>3、获取采购文件方式：现场领取或线上自行下载，</w:t>
      </w:r>
      <w:r>
        <w:fldChar w:fldCharType="begin"/>
      </w:r>
      <w:r>
        <w:instrText xml:space="preserve"> HYPERLINK "mailto:参与本项目的投标人需将报名资料（营业执照、报名登记表）发送电子版至78749200@qq.com" </w:instrText>
      </w:r>
      <w:r>
        <w:fldChar w:fldCharType="separate"/>
      </w:r>
      <w:r>
        <w:rPr>
          <w:rStyle w:val="19"/>
          <w:rFonts w:hint="eastAsia"/>
        </w:rPr>
        <w:t>参与本项目的投标人需将报名资料（营业执照、报名登记表）发送电子版至787492</w:t>
      </w:r>
      <w:r>
        <w:rPr>
          <w:rStyle w:val="19"/>
          <w:rFonts w:hint="eastAsia"/>
          <w:lang w:val="en-US" w:eastAsia="zh-CN"/>
        </w:rPr>
        <w:t>7</w:t>
      </w:r>
      <w:r>
        <w:rPr>
          <w:rStyle w:val="19"/>
          <w:rFonts w:hint="eastAsia"/>
        </w:rPr>
        <w:t>00</w:t>
      </w:r>
      <w:r>
        <w:rPr>
          <w:rStyle w:val="19"/>
        </w:rPr>
        <w:t>@qq.com</w:t>
      </w:r>
      <w:r>
        <w:rPr>
          <w:rStyle w:val="19"/>
        </w:rPr>
        <w:fldChar w:fldCharType="end"/>
      </w:r>
      <w:r>
        <w:rPr>
          <w:rFonts w:hint="eastAsia"/>
        </w:rPr>
        <w:t>。</w:t>
      </w:r>
    </w:p>
    <w:p>
      <w:pPr>
        <w:spacing w:line="360" w:lineRule="auto"/>
        <w:ind w:firstLine="420" w:firstLineChars="200"/>
      </w:pPr>
      <w:r>
        <w:rPr>
          <w:rFonts w:hint="eastAsia"/>
        </w:rPr>
        <w:t>4、联系人：郑工</w:t>
      </w:r>
    </w:p>
    <w:p>
      <w:pPr>
        <w:spacing w:line="360" w:lineRule="auto"/>
        <w:ind w:firstLine="420" w:firstLineChars="200"/>
      </w:pPr>
      <w:r>
        <w:rPr>
          <w:rFonts w:hint="eastAsia"/>
        </w:rPr>
        <w:t>5、联系电话：0755-2370307</w:t>
      </w:r>
      <w:r>
        <w:t>5</w:t>
      </w:r>
      <w:bookmarkStart w:id="160" w:name="_GoBack"/>
      <w:bookmarkEnd w:id="160"/>
    </w:p>
    <w:p>
      <w:pPr>
        <w:pStyle w:val="5"/>
        <w:ind w:firstLine="482"/>
      </w:pPr>
      <w:r>
        <w:rPr>
          <w:rFonts w:hint="eastAsia"/>
        </w:rPr>
        <w:t>六、投标截止时间</w:t>
      </w:r>
    </w:p>
    <w:p>
      <w:pPr>
        <w:spacing w:line="360" w:lineRule="auto"/>
        <w:ind w:firstLine="420" w:firstLineChars="200"/>
      </w:pPr>
      <w:r>
        <w:rPr>
          <w:rFonts w:hint="eastAsia"/>
        </w:rPr>
        <w:t>1、递交响应文件时间：2024年</w:t>
      </w:r>
      <w:r>
        <w:rPr>
          <w:rFonts w:hint="eastAsia"/>
          <w:lang w:val="en-US" w:eastAsia="zh-CN"/>
        </w:rPr>
        <w:t>5</w:t>
      </w:r>
      <w:r>
        <w:rPr>
          <w:rFonts w:hint="eastAsia"/>
        </w:rPr>
        <w:t>月</w:t>
      </w:r>
      <w:r>
        <w:rPr>
          <w:rFonts w:hint="eastAsia"/>
          <w:lang w:val="en-US" w:eastAsia="zh-CN"/>
        </w:rPr>
        <w:t>13</w:t>
      </w:r>
      <w:r>
        <w:rPr>
          <w:rFonts w:hint="eastAsia"/>
        </w:rPr>
        <w:t>日下午1</w:t>
      </w:r>
      <w:r>
        <w:t>4</w:t>
      </w:r>
      <w:r>
        <w:rPr>
          <w:rFonts w:hint="eastAsia"/>
        </w:rPr>
        <w:t>：00前（可快递，以签收时间为准）。</w:t>
      </w:r>
    </w:p>
    <w:p>
      <w:pPr>
        <w:spacing w:line="360" w:lineRule="auto"/>
        <w:ind w:firstLine="420" w:firstLineChars="200"/>
      </w:pPr>
      <w:r>
        <w:rPr>
          <w:rFonts w:hint="eastAsia"/>
        </w:rPr>
        <w:t>2、递交响应文件地点：深圳市宝安区海秀路3号（深圳市宝安区疾病预防控制中心）516，如无法进入大楼可放置保安室。</w:t>
      </w:r>
    </w:p>
    <w:p>
      <w:pPr>
        <w:spacing w:line="360" w:lineRule="auto"/>
        <w:ind w:firstLine="420" w:firstLineChars="200"/>
      </w:pPr>
      <w:r>
        <w:rPr>
          <w:rFonts w:hint="eastAsia"/>
        </w:rPr>
        <w:t>3、开标时间：2024年</w:t>
      </w:r>
      <w:r>
        <w:rPr>
          <w:rFonts w:hint="eastAsia"/>
          <w:lang w:val="en-US" w:eastAsia="zh-CN"/>
        </w:rPr>
        <w:t>5</w:t>
      </w:r>
      <w:r>
        <w:rPr>
          <w:rFonts w:hint="eastAsia"/>
        </w:rPr>
        <w:t>月</w:t>
      </w:r>
      <w:r>
        <w:rPr>
          <w:rFonts w:hint="eastAsia"/>
          <w:lang w:val="en-US" w:eastAsia="zh-CN"/>
        </w:rPr>
        <w:t>13</w:t>
      </w:r>
      <w:r>
        <w:rPr>
          <w:rFonts w:hint="eastAsia"/>
        </w:rPr>
        <w:t>日下午</w:t>
      </w:r>
      <w:r>
        <w:t>14</w:t>
      </w:r>
      <w:r>
        <w:rPr>
          <w:rFonts w:hint="eastAsia"/>
        </w:rPr>
        <w:t>:</w:t>
      </w:r>
      <w:r>
        <w:t>30</w:t>
      </w:r>
      <w:r>
        <w:rPr>
          <w:rFonts w:hint="eastAsia"/>
        </w:rPr>
        <w:t>。</w:t>
      </w:r>
    </w:p>
    <w:p>
      <w:pPr>
        <w:pStyle w:val="5"/>
        <w:ind w:firstLine="482"/>
      </w:pPr>
      <w:r>
        <w:rPr>
          <w:rFonts w:hint="eastAsia"/>
        </w:rPr>
        <w:t>七、采购公告查询：</w:t>
      </w:r>
    </w:p>
    <w:p>
      <w:pPr>
        <w:spacing w:line="360" w:lineRule="auto"/>
        <w:ind w:firstLine="420" w:firstLineChars="200"/>
      </w:pPr>
      <w:r>
        <w:t>http://www.bawjxt.net/bacdc/</w:t>
      </w:r>
      <w:r>
        <w:rPr>
          <w:rFonts w:hint="eastAsia"/>
        </w:rPr>
        <w:t xml:space="preserve"> (深圳市宝安区疾病预防控制中心官网)</w:t>
      </w:r>
    </w:p>
    <w:p>
      <w:pPr>
        <w:spacing w:line="360" w:lineRule="auto"/>
        <w:ind w:firstLine="420" w:firstLineChars="200"/>
      </w:pPr>
    </w:p>
    <w:p>
      <w:pPr>
        <w:spacing w:line="360" w:lineRule="auto"/>
        <w:ind w:firstLine="420" w:firstLineChars="200"/>
      </w:pPr>
    </w:p>
    <w:p>
      <w:pPr>
        <w:spacing w:line="360" w:lineRule="auto"/>
        <w:ind w:firstLine="5460" w:firstLineChars="2600"/>
      </w:pPr>
      <w:r>
        <w:rPr>
          <w:rFonts w:hint="eastAsia"/>
        </w:rPr>
        <w:t>深圳市宝安区疾病预防控制中心</w:t>
      </w:r>
    </w:p>
    <w:p>
      <w:pPr>
        <w:spacing w:line="360" w:lineRule="auto"/>
        <w:ind w:firstLine="5880" w:firstLineChars="2800"/>
      </w:pPr>
      <w:r>
        <w:rPr>
          <w:rFonts w:hint="eastAsia"/>
        </w:rPr>
        <w:t>2</w:t>
      </w:r>
      <w:r>
        <w:t>02</w:t>
      </w:r>
      <w:r>
        <w:rPr>
          <w:rFonts w:hint="eastAsia"/>
        </w:rPr>
        <w:t>4年</w:t>
      </w:r>
      <w:r>
        <w:rPr>
          <w:rFonts w:hint="eastAsia"/>
          <w:lang w:val="en-US" w:eastAsia="zh-CN"/>
        </w:rPr>
        <w:t>4</w:t>
      </w:r>
      <w:r>
        <w:rPr>
          <w:rFonts w:hint="eastAsia"/>
        </w:rPr>
        <w:t>月</w:t>
      </w:r>
      <w:r>
        <w:rPr>
          <w:rFonts w:hint="eastAsia"/>
          <w:lang w:val="en-US" w:eastAsia="zh-CN"/>
        </w:rPr>
        <w:t>3</w:t>
      </w:r>
      <w:r>
        <w:rPr>
          <w:rFonts w:hint="eastAsia"/>
        </w:rPr>
        <w:t>0日</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8" w:name="_Toc61539109"/>
      <w:bookmarkStart w:id="9" w:name="_Toc86939329"/>
      <w:r>
        <w:rPr>
          <w:rFonts w:hint="eastAsia"/>
        </w:rPr>
        <w:t>第二章  用户需求书</w:t>
      </w:r>
      <w:bookmarkEnd w:id="8"/>
      <w:bookmarkEnd w:id="9"/>
    </w:p>
    <w:p>
      <w:pPr>
        <w:pStyle w:val="3"/>
      </w:pPr>
      <w:bookmarkStart w:id="10" w:name="_Toc86939330"/>
      <w:bookmarkStart w:id="11" w:name="_Toc86741961"/>
      <w:r>
        <w:rPr>
          <w:rFonts w:hint="eastAsia"/>
        </w:rPr>
        <w:t>一、服务要求</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1．项目背景：根据《深圳市财政委员会关于规范深圳市社会采购代理机构管理有关事项的通知》的有关规定，为切实履行政府采购主体责任，本单位现通过公开招标确定</w:t>
      </w:r>
      <w:r>
        <w:rPr>
          <w:rFonts w:hint="eastAsia" w:asciiTheme="minorEastAsia" w:hAnsiTheme="minorEastAsia"/>
          <w:szCs w:val="21"/>
          <w:lang w:val="en-US" w:eastAsia="zh-CN"/>
        </w:rPr>
        <w:t>3</w:t>
      </w:r>
      <w:r>
        <w:rPr>
          <w:rFonts w:hint="eastAsia" w:asciiTheme="minorEastAsia" w:hAnsiTheme="minorEastAsia"/>
          <w:szCs w:val="21"/>
        </w:rPr>
        <w:t>家社会采购代理机构（以下称“代理机构”），作为本单位集中采购目录以外、采购限额标准以上项目及自行采购项目的备选社会采购代理机构，自服务期间采购项目以实际委托为准，按照采购项目“总量均衡”的原则，在具体采购项目实施过程中进行抽签选择。</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2.服务范围：</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代理本单位货物、服务及工程项目的招标采购工作，从编制招标采购文件至招标采购档案归档的全过程，包括但不限于以下工作内容：</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（1）审核采购需求内容；</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（2）编制、发售、解释招标采购文件；</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（3）针对技术复杂采购项目组织专家对招标采购文件进行论证；</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（4）在监督管理部门指定媒体上发布采购信息公告；</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（5）协助采购人对供应商进行资格审查；</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（6）组织现场踏勘和答疑；</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（7）负责收取响应人提交的资料及原件核对工作，并按要求做好有关登记签收记录；</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（8）依法抽取专家组建评审委员会；</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（9）落实评审地点，组织评审工作，并做好评审记录；</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（10）整理评审报告送采购人及有关部门；</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（11）在监督管理部门指定媒体上发布成交（成交）公告，发送成交（成交）通知书；</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（12）整理相关表格、文件，办理相应备案及归档手续；</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（13）招标采购失败后须负责重新招标采购所有事宜；</w:t>
      </w:r>
    </w:p>
    <w:p>
      <w:pPr>
        <w:tabs>
          <w:tab w:val="left" w:pos="907"/>
        </w:tabs>
        <w:spacing w:line="360" w:lineRule="auto"/>
        <w:ind w:firstLine="420" w:firstLineChars="200"/>
        <w:rPr>
          <w:rFonts w:asciiTheme="minorEastAsia" w:hAnsiTheme="minorEastAsia"/>
          <w:szCs w:val="21"/>
        </w:rPr>
      </w:pPr>
      <w:r>
        <w:rPr>
          <w:rFonts w:hint="eastAsia" w:asciiTheme="minorEastAsia" w:hAnsiTheme="minorEastAsia"/>
          <w:szCs w:val="21"/>
        </w:rPr>
        <w:t>（14）法律法规规定的其他事项。</w:t>
      </w:r>
    </w:p>
    <w:p>
      <w:pPr>
        <w:spacing w:line="360" w:lineRule="auto"/>
        <w:ind w:firstLine="480" w:firstLineChars="200"/>
        <w:jc w:val="left"/>
        <w:rPr>
          <w:rFonts w:ascii="宋体" w:hAnsi="宋体"/>
          <w:sz w:val="24"/>
        </w:rPr>
      </w:pPr>
      <w:r>
        <w:rPr>
          <w:rFonts w:hint="eastAsia" w:ascii="宋体" w:hAnsi="宋体"/>
          <w:sz w:val="24"/>
        </w:rPr>
        <w:t>3. 服务内容、技术标准、工作质量要求：</w:t>
      </w:r>
    </w:p>
    <w:p>
      <w:pPr>
        <w:spacing w:line="360" w:lineRule="auto"/>
        <w:ind w:firstLine="480" w:firstLineChars="200"/>
        <w:jc w:val="left"/>
        <w:rPr>
          <w:rFonts w:ascii="宋体" w:hAnsi="宋体"/>
          <w:sz w:val="24"/>
        </w:rPr>
      </w:pPr>
      <w:r>
        <w:rPr>
          <w:rFonts w:hint="eastAsia" w:ascii="宋体" w:hAnsi="宋体"/>
          <w:sz w:val="24"/>
        </w:rPr>
        <w:t>（1）代理机构应保持高度的工作独立性，确保采购各工作环节做到合法、合规、公正、专业，不受外界的任何干扰与干预，达到公开招标规模的工程项目必须严格执行国家现行的、最新的招标、政府采购等法律法规、行业标准（含执行国家对招标公告媒体发布的要求）；对于政府采购项目，应严格执行国家政府采购法等相关法律法规及相关政府采购政策组织开展采购活动。</w:t>
      </w:r>
    </w:p>
    <w:p>
      <w:pPr>
        <w:spacing w:line="360" w:lineRule="auto"/>
        <w:ind w:firstLine="480" w:firstLineChars="200"/>
        <w:jc w:val="left"/>
        <w:rPr>
          <w:rFonts w:ascii="宋体" w:hAnsi="宋体"/>
          <w:sz w:val="24"/>
        </w:rPr>
      </w:pPr>
      <w:r>
        <w:rPr>
          <w:rFonts w:hint="eastAsia" w:ascii="宋体" w:hAnsi="宋体"/>
          <w:sz w:val="24"/>
        </w:rPr>
        <w:t>（2）代理机构应严格按照《政府采购代理机构管理暂行办法》（财库〔2018〕2号）进行规范化服务，遵守采购人对招标代理机构的管理要求，执行采购人提出的不违反法律规定的要求。服务期内，无正当理由不得拒绝委托。已接受委托的项目，代理机构必须按照合同要求按时按质完成任务。未经采购人书面同意，不得擅自将受托项目转委托给第三方承担。</w:t>
      </w:r>
    </w:p>
    <w:p>
      <w:pPr>
        <w:spacing w:line="360" w:lineRule="auto"/>
        <w:ind w:firstLine="480" w:firstLineChars="200"/>
        <w:jc w:val="left"/>
        <w:rPr>
          <w:rFonts w:ascii="宋体" w:hAnsi="宋体"/>
          <w:sz w:val="24"/>
        </w:rPr>
      </w:pPr>
      <w:r>
        <w:rPr>
          <w:rFonts w:hint="eastAsia" w:ascii="宋体" w:hAnsi="宋体"/>
          <w:sz w:val="24"/>
        </w:rPr>
        <w:t>（3）代理机构拟派的项目组成员人数未经采购人同意，代理机构不得擅自变更项目负责人及项目班子成员，采购与招标代理相关工作均由项目组成员完成。</w:t>
      </w:r>
    </w:p>
    <w:p>
      <w:pPr>
        <w:spacing w:line="360" w:lineRule="auto"/>
        <w:ind w:firstLine="480" w:firstLineChars="200"/>
        <w:jc w:val="left"/>
        <w:rPr>
          <w:rFonts w:ascii="宋体" w:hAnsi="宋体"/>
          <w:sz w:val="24"/>
        </w:rPr>
      </w:pPr>
      <w:r>
        <w:rPr>
          <w:rFonts w:hint="eastAsia" w:ascii="宋体" w:hAnsi="宋体"/>
          <w:sz w:val="24"/>
        </w:rPr>
        <w:t>（4）项目组成员应熟悉国家有关部门关于项目招标、政府采购等方面现行、最新的法律法规及相关政策、做法，并有丰富的基建工程、货物、服务等项目招标采购实操经验。</w:t>
      </w:r>
    </w:p>
    <w:p>
      <w:pPr>
        <w:spacing w:line="360" w:lineRule="auto"/>
        <w:ind w:firstLine="480" w:firstLineChars="200"/>
        <w:jc w:val="left"/>
        <w:rPr>
          <w:rFonts w:ascii="宋体" w:hAnsi="宋体"/>
          <w:sz w:val="24"/>
        </w:rPr>
      </w:pPr>
      <w:r>
        <w:rPr>
          <w:rFonts w:hint="eastAsia" w:ascii="宋体" w:hAnsi="宋体"/>
          <w:sz w:val="24"/>
        </w:rPr>
        <w:t>（5）抽取评审专家的服务要求：对于委托采购与招标的采购项目，代理机构应严格按照《深圳经济特区政府采购条例》和《招标投标法》等有关法律法规以及国家相关部门的最新规定执行；委托采购与招标的采购项目，代理机构应按规定在政府采购专家库内通过随机抽取的方式抽取专家参与采购项目的评审。</w:t>
      </w:r>
    </w:p>
    <w:p>
      <w:pPr>
        <w:spacing w:line="360" w:lineRule="auto"/>
        <w:ind w:firstLine="480" w:firstLineChars="200"/>
        <w:jc w:val="left"/>
        <w:rPr>
          <w:rFonts w:ascii="宋体" w:hAnsi="宋体"/>
          <w:sz w:val="24"/>
        </w:rPr>
      </w:pPr>
      <w:r>
        <w:rPr>
          <w:rFonts w:hint="eastAsia" w:ascii="宋体" w:hAnsi="宋体"/>
          <w:sz w:val="24"/>
        </w:rPr>
        <w:t>（6）信息发布要求：代理机构在受委托的采购项目实施过程中须按相关规定将相关信息在中国政府采购网、深圳政府采购智慧平台等媒介公开。</w:t>
      </w:r>
    </w:p>
    <w:p>
      <w:pPr>
        <w:spacing w:line="360" w:lineRule="auto"/>
        <w:ind w:firstLine="480" w:firstLineChars="200"/>
        <w:jc w:val="left"/>
        <w:rPr>
          <w:rFonts w:ascii="宋体" w:hAnsi="宋体"/>
          <w:sz w:val="24"/>
        </w:rPr>
      </w:pPr>
      <w:r>
        <w:rPr>
          <w:rFonts w:hint="eastAsia" w:ascii="宋体" w:hAnsi="宋体"/>
          <w:sz w:val="24"/>
        </w:rPr>
        <w:t>（7）工作时限一般要求：按照相关法律法规要求时间执行。</w:t>
      </w:r>
    </w:p>
    <w:p>
      <w:pPr>
        <w:spacing w:line="360" w:lineRule="auto"/>
        <w:ind w:firstLine="480" w:firstLineChars="200"/>
        <w:jc w:val="left"/>
        <w:rPr>
          <w:rFonts w:ascii="宋体" w:hAnsi="宋体"/>
          <w:sz w:val="24"/>
        </w:rPr>
      </w:pPr>
      <w:r>
        <w:rPr>
          <w:rFonts w:hint="eastAsia" w:ascii="宋体" w:hAnsi="宋体"/>
          <w:sz w:val="24"/>
        </w:rPr>
        <w:t>（8）代理机构在承接代理业务时，应当依法与采购人签订项目的代理委托书，并按合同委托范围开展工作。</w:t>
      </w:r>
    </w:p>
    <w:p>
      <w:pPr>
        <w:spacing w:line="360" w:lineRule="auto"/>
        <w:ind w:firstLine="480" w:firstLineChars="200"/>
        <w:jc w:val="left"/>
        <w:rPr>
          <w:rFonts w:ascii="宋体" w:hAnsi="宋体"/>
          <w:sz w:val="24"/>
        </w:rPr>
      </w:pPr>
      <w:r>
        <w:rPr>
          <w:rFonts w:hint="eastAsia" w:ascii="宋体" w:hAnsi="宋体"/>
          <w:sz w:val="24"/>
        </w:rPr>
        <w:t>（9）代理机构在履约其代理项目过程中发生重新招标的，由该代理机构继续承担该项代理业务直至完成合同要求的任务，法律法规另有规定的从其规定。</w:t>
      </w:r>
    </w:p>
    <w:p>
      <w:pPr>
        <w:spacing w:line="360" w:lineRule="auto"/>
        <w:ind w:firstLine="480" w:firstLineChars="200"/>
        <w:jc w:val="left"/>
        <w:rPr>
          <w:rFonts w:ascii="宋体" w:hAnsi="宋体"/>
          <w:sz w:val="24"/>
        </w:rPr>
      </w:pPr>
      <w:r>
        <w:rPr>
          <w:rFonts w:hint="eastAsia" w:ascii="宋体" w:hAnsi="宋体"/>
          <w:sz w:val="24"/>
        </w:rPr>
        <w:t>（10）代理机构不得与所代理招标项目的响应人（供应商）有隶属关系或者合作经营关系或者其它利益关系；代理机构工作人员如与代理的招标项目潜在供应商（响应人）有任何利益关系或存在依法应当回避的情况的，应主动提出回避。</w:t>
      </w:r>
    </w:p>
    <w:p>
      <w:pPr>
        <w:spacing w:line="360" w:lineRule="auto"/>
        <w:ind w:firstLine="480" w:firstLineChars="200"/>
        <w:jc w:val="left"/>
        <w:rPr>
          <w:rFonts w:ascii="宋体" w:hAnsi="宋体"/>
          <w:sz w:val="24"/>
        </w:rPr>
      </w:pPr>
      <w:r>
        <w:rPr>
          <w:rFonts w:hint="eastAsia" w:ascii="宋体" w:hAnsi="宋体"/>
          <w:sz w:val="24"/>
        </w:rPr>
        <w:t>（11）不得接受与代理的招标项目相关的响应（投标）咨询业务，也不得参加所代理项目的响应（投标）；不得接受所有供应商（响应人）的礼品、宴请和任何其它好处，不得泄露招标、评标、定标过程中依法需要保密的内容；招标完成后，未经采购人书面同意，代理机构不得泄漏与其代理的招标相关的任何资料和情况。</w:t>
      </w:r>
    </w:p>
    <w:p>
      <w:pPr>
        <w:pStyle w:val="3"/>
      </w:pPr>
      <w:r>
        <w:rPr>
          <w:rFonts w:hint="eastAsia"/>
        </w:rPr>
        <w:t>二、商务要求：</w:t>
      </w:r>
    </w:p>
    <w:p>
      <w:pPr>
        <w:numPr>
          <w:ilvl w:val="0"/>
          <w:numId w:val="1"/>
        </w:numPr>
        <w:spacing w:line="360" w:lineRule="auto"/>
        <w:ind w:firstLine="480" w:firstLineChars="200"/>
        <w:jc w:val="left"/>
        <w:rPr>
          <w:rFonts w:ascii="宋体" w:hAnsi="宋体"/>
          <w:sz w:val="24"/>
        </w:rPr>
      </w:pPr>
      <w:r>
        <w:rPr>
          <w:rFonts w:hint="eastAsia" w:ascii="宋体" w:hAnsi="宋体"/>
          <w:sz w:val="24"/>
        </w:rPr>
        <w:t>服务期限：本项目合同期一年，本次项目合同期满后，采购单位可依据对中标供应商的考核情况以及《深圳经济特区政府采购条例》第三十八条的规定续签合同,长期服务政府采购合同履行期限最长不得超过三十六个月,特殊情况需要延长的,经主管部门批准可以适当延长,但是延长期限最长不得超过六个月。</w:t>
      </w:r>
    </w:p>
    <w:p>
      <w:pPr>
        <w:numPr>
          <w:ilvl w:val="0"/>
          <w:numId w:val="1"/>
        </w:numPr>
        <w:spacing w:line="360" w:lineRule="auto"/>
        <w:ind w:firstLine="480" w:firstLineChars="200"/>
        <w:jc w:val="left"/>
        <w:rPr>
          <w:rFonts w:ascii="宋体" w:hAnsi="宋体"/>
          <w:sz w:val="24"/>
        </w:rPr>
      </w:pPr>
      <w:r>
        <w:rPr>
          <w:rFonts w:hint="eastAsia" w:ascii="宋体" w:hAnsi="宋体"/>
          <w:sz w:val="24"/>
        </w:rPr>
        <w:t>收费标准：收费标准：参照《深圳市财政委员会关于规范深圳市社会采购代理机构管理有关事项的补充通知》深财购〔2018〕27号相关收费标准，以成交价（成交价）为计费基数，具体见下表：</w:t>
      </w:r>
    </w:p>
    <w:p>
      <w:pPr>
        <w:pStyle w:val="30"/>
        <w:widowControl/>
        <w:shd w:val="clear" w:color="auto" w:fill="F8F9FA"/>
        <w:spacing w:line="540" w:lineRule="atLeast"/>
        <w:ind w:left="420" w:firstLine="0" w:firstLineChars="0"/>
        <w:jc w:val="center"/>
        <w:rPr>
          <w:rFonts w:cs="Arial" w:asciiTheme="minorEastAsia" w:hAnsiTheme="minorEastAsia"/>
          <w:color w:val="333333"/>
          <w:kern w:val="0"/>
          <w:sz w:val="24"/>
          <w:szCs w:val="24"/>
        </w:rPr>
      </w:pPr>
      <w:r>
        <w:rPr>
          <w:rFonts w:cs="Arial" w:asciiTheme="minorEastAsia" w:hAnsiTheme="minorEastAsia"/>
          <w:color w:val="333333"/>
          <w:kern w:val="0"/>
          <w:sz w:val="24"/>
          <w:szCs w:val="24"/>
        </w:rPr>
        <w:t>代理费用参考标准</w:t>
      </w:r>
    </w:p>
    <w:tbl>
      <w:tblPr>
        <w:tblStyle w:val="16"/>
        <w:tblW w:w="8359" w:type="dxa"/>
        <w:tblInd w:w="0" w:type="dxa"/>
        <w:tblLayout w:type="autofit"/>
        <w:tblCellMar>
          <w:top w:w="15" w:type="dxa"/>
          <w:left w:w="15" w:type="dxa"/>
          <w:bottom w:w="15" w:type="dxa"/>
          <w:right w:w="15" w:type="dxa"/>
        </w:tblCellMar>
      </w:tblPr>
      <w:tblGrid>
        <w:gridCol w:w="3876"/>
        <w:gridCol w:w="1494"/>
        <w:gridCol w:w="1495"/>
        <w:gridCol w:w="1494"/>
      </w:tblGrid>
      <w:tr>
        <w:tblPrEx>
          <w:tblCellMar>
            <w:top w:w="15" w:type="dxa"/>
            <w:left w:w="15" w:type="dxa"/>
            <w:bottom w:w="15" w:type="dxa"/>
            <w:right w:w="15" w:type="dxa"/>
          </w:tblCellMar>
        </w:tblPrEx>
        <w:trPr>
          <w:trHeight w:val="87" w:hRule="atLeast"/>
        </w:trPr>
        <w:tc>
          <w:tcPr>
            <w:tcW w:w="3876" w:type="dxa"/>
            <w:tcBorders>
              <w:top w:val="single" w:color="auto" w:sz="8" w:space="0"/>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服费务类率型</w:t>
            </w:r>
          </w:p>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中标金额</w:t>
            </w:r>
          </w:p>
        </w:tc>
        <w:tc>
          <w:tcPr>
            <w:tcW w:w="1494"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货物采购</w:t>
            </w:r>
          </w:p>
        </w:tc>
        <w:tc>
          <w:tcPr>
            <w:tcW w:w="1495"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服务采购</w:t>
            </w:r>
          </w:p>
        </w:tc>
        <w:tc>
          <w:tcPr>
            <w:tcW w:w="1494" w:type="dxa"/>
            <w:tcBorders>
              <w:top w:val="single" w:color="auto" w:sz="8" w:space="0"/>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b/>
                <w:bCs/>
                <w:color w:val="333333"/>
                <w:kern w:val="0"/>
                <w:sz w:val="24"/>
                <w:szCs w:val="24"/>
              </w:rPr>
              <w:t>工程采购</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100万元以下</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1.5%</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1.5%</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100万元（含）-500万元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1.1%</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0.8%</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0.7%</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500万元（含）-1000万元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0.8%</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0.45%</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0.55%</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1000万元（含）-5000万元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0.5%</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0.25%</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0.35%</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5000万元（含）-1亿元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0.25%</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0.1%</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0.2%</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1亿元（含）-5亿元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0.05%</w:t>
            </w:r>
          </w:p>
        </w:tc>
        <w:tc>
          <w:tcPr>
            <w:tcW w:w="1495"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0.05%</w:t>
            </w:r>
          </w:p>
        </w:tc>
        <w:tc>
          <w:tcPr>
            <w:tcW w:w="1494" w:type="dxa"/>
            <w:tcBorders>
              <w:top w:val="nil"/>
              <w:left w:val="nil"/>
              <w:bottom w:val="single" w:color="auto" w:sz="8" w:space="0"/>
              <w:right w:val="single" w:color="auto" w:sz="8" w:space="0"/>
            </w:tcBorders>
            <w:tcMar>
              <w:top w:w="27" w:type="dxa"/>
              <w:left w:w="136" w:type="dxa"/>
              <w:bottom w:w="27" w:type="dxa"/>
              <w:right w:w="136" w:type="dxa"/>
            </w:tcMar>
            <w:vAlign w:val="cente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0.05%</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5亿元（含）-10亿元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0.035%</w:t>
            </w:r>
          </w:p>
        </w:tc>
        <w:tc>
          <w:tcPr>
            <w:tcW w:w="1495"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0.035%</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0.035%</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10亿元（含）-50亿元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0.008%</w:t>
            </w:r>
          </w:p>
        </w:tc>
        <w:tc>
          <w:tcPr>
            <w:tcW w:w="1495"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0.008%</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0.008%</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50亿元（含）-100亿元</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0.006%</w:t>
            </w:r>
          </w:p>
        </w:tc>
        <w:tc>
          <w:tcPr>
            <w:tcW w:w="1495"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0.006%</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0.006%</w:t>
            </w:r>
          </w:p>
        </w:tc>
      </w:tr>
      <w:tr>
        <w:tblPrEx>
          <w:tblCellMar>
            <w:top w:w="15" w:type="dxa"/>
            <w:left w:w="15" w:type="dxa"/>
            <w:bottom w:w="15" w:type="dxa"/>
            <w:right w:w="15" w:type="dxa"/>
          </w:tblCellMar>
        </w:tblPrEx>
        <w:trPr>
          <w:trHeight w:val="87" w:hRule="atLeast"/>
        </w:trPr>
        <w:tc>
          <w:tcPr>
            <w:tcW w:w="3876" w:type="dxa"/>
            <w:tcBorders>
              <w:top w:val="nil"/>
              <w:left w:val="single" w:color="auto" w:sz="8" w:space="0"/>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100亿元（含）以上</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0.004%</w:t>
            </w:r>
          </w:p>
        </w:tc>
        <w:tc>
          <w:tcPr>
            <w:tcW w:w="1495"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0.004%</w:t>
            </w:r>
          </w:p>
        </w:tc>
        <w:tc>
          <w:tcPr>
            <w:tcW w:w="1494" w:type="dxa"/>
            <w:tcBorders>
              <w:top w:val="nil"/>
              <w:left w:val="nil"/>
              <w:bottom w:val="single" w:color="auto" w:sz="8" w:space="0"/>
              <w:right w:val="single" w:color="auto" w:sz="8" w:space="0"/>
            </w:tcBorders>
            <w:tcMar>
              <w:top w:w="27" w:type="dxa"/>
              <w:left w:w="136" w:type="dxa"/>
              <w:bottom w:w="27" w:type="dxa"/>
              <w:right w:w="136" w:type="dxa"/>
            </w:tcMar>
          </w:tcPr>
          <w:p>
            <w:pPr>
              <w:widowControl/>
              <w:wordWrap w:val="0"/>
              <w:spacing w:line="326" w:lineRule="atLeast"/>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0.004%</w:t>
            </w:r>
          </w:p>
        </w:tc>
      </w:tr>
    </w:tbl>
    <w:p>
      <w:pPr>
        <w:pStyle w:val="30"/>
        <w:adjustRightInd w:val="0"/>
        <w:spacing w:line="360" w:lineRule="auto"/>
        <w:ind w:left="420" w:firstLine="0" w:firstLineChars="0"/>
        <w:jc w:val="left"/>
        <w:textAlignment w:val="baseline"/>
        <w:rPr>
          <w:rFonts w:asciiTheme="minorEastAsia" w:hAnsiTheme="minorEastAsia"/>
          <w:kern w:val="0"/>
          <w:sz w:val="24"/>
          <w:szCs w:val="24"/>
        </w:rPr>
      </w:pPr>
      <w:r>
        <w:rPr>
          <w:rFonts w:hint="eastAsia" w:asciiTheme="minorEastAsia" w:hAnsiTheme="minorEastAsia"/>
          <w:kern w:val="0"/>
          <w:sz w:val="24"/>
          <w:szCs w:val="24"/>
        </w:rPr>
        <w:t>注：（1）按本表费率计算的收费为招标代理服务全过程的收费基准价格。</w:t>
      </w:r>
    </w:p>
    <w:p>
      <w:pPr>
        <w:pStyle w:val="30"/>
        <w:adjustRightInd w:val="0"/>
        <w:spacing w:line="360" w:lineRule="auto"/>
        <w:ind w:left="420" w:firstLine="480"/>
        <w:jc w:val="left"/>
        <w:textAlignment w:val="baseline"/>
        <w:rPr>
          <w:rFonts w:cs="宋体" w:asciiTheme="minorEastAsia" w:hAnsiTheme="minorEastAsia"/>
          <w:kern w:val="0"/>
          <w:sz w:val="24"/>
          <w:szCs w:val="24"/>
        </w:rPr>
      </w:pPr>
      <w:r>
        <w:rPr>
          <w:rFonts w:hint="eastAsia" w:asciiTheme="minorEastAsia" w:hAnsiTheme="minorEastAsia"/>
          <w:kern w:val="0"/>
          <w:sz w:val="24"/>
          <w:szCs w:val="24"/>
        </w:rPr>
        <w:t>（2）招标代理服务收费按差额定率累进法计算，收费低于6000元时，按照6000元收取。</w:t>
      </w:r>
    </w:p>
    <w:p>
      <w:pPr>
        <w:pStyle w:val="30"/>
        <w:adjustRightInd w:val="0"/>
        <w:spacing w:line="360" w:lineRule="auto"/>
        <w:ind w:left="420" w:firstLine="480"/>
        <w:jc w:val="left"/>
        <w:textAlignment w:val="baseline"/>
        <w:rPr>
          <w:rFonts w:cs="宋体" w:asciiTheme="minorEastAsia" w:hAnsiTheme="minorEastAsia"/>
          <w:kern w:val="0"/>
          <w:sz w:val="24"/>
          <w:szCs w:val="24"/>
        </w:rPr>
      </w:pPr>
      <w:r>
        <w:rPr>
          <w:rFonts w:hint="eastAsia" w:cs="宋体" w:asciiTheme="minorEastAsia" w:hAnsiTheme="minorEastAsia"/>
          <w:kern w:val="0"/>
          <w:sz w:val="24"/>
          <w:szCs w:val="24"/>
        </w:rPr>
        <w:t>（3）代理服务费</w:t>
      </w:r>
      <w:r>
        <w:rPr>
          <w:rFonts w:asciiTheme="minorEastAsia" w:hAnsiTheme="minorEastAsia"/>
          <w:kern w:val="0"/>
          <w:sz w:val="24"/>
          <w:szCs w:val="24"/>
        </w:rPr>
        <w:t>包含了</w:t>
      </w:r>
      <w:r>
        <w:rPr>
          <w:rFonts w:hint="eastAsia" w:asciiTheme="minorEastAsia" w:hAnsiTheme="minorEastAsia"/>
          <w:kern w:val="0"/>
          <w:sz w:val="24"/>
          <w:szCs w:val="24"/>
        </w:rPr>
        <w:t>采购</w:t>
      </w:r>
      <w:r>
        <w:rPr>
          <w:rFonts w:asciiTheme="minorEastAsia" w:hAnsiTheme="minorEastAsia"/>
          <w:kern w:val="0"/>
          <w:sz w:val="24"/>
          <w:szCs w:val="24"/>
        </w:rPr>
        <w:t>人委托的招标、采购项目</w:t>
      </w:r>
      <w:r>
        <w:rPr>
          <w:rFonts w:hint="eastAsia" w:asciiTheme="minorEastAsia" w:hAnsiTheme="minorEastAsia"/>
          <w:kern w:val="0"/>
          <w:sz w:val="24"/>
          <w:szCs w:val="24"/>
        </w:rPr>
        <w:t>依法依规</w:t>
      </w:r>
      <w:r>
        <w:rPr>
          <w:rFonts w:asciiTheme="minorEastAsia" w:hAnsiTheme="minorEastAsia"/>
          <w:kern w:val="0"/>
          <w:sz w:val="24"/>
          <w:szCs w:val="24"/>
        </w:rPr>
        <w:t>在</w:t>
      </w:r>
      <w:r>
        <w:rPr>
          <w:rFonts w:hint="eastAsia" w:asciiTheme="minorEastAsia" w:hAnsiTheme="minorEastAsia"/>
          <w:kern w:val="0"/>
          <w:sz w:val="24"/>
          <w:szCs w:val="24"/>
        </w:rPr>
        <w:t>相关</w:t>
      </w:r>
      <w:r>
        <w:rPr>
          <w:rFonts w:asciiTheme="minorEastAsia" w:hAnsiTheme="minorEastAsia"/>
          <w:kern w:val="0"/>
          <w:sz w:val="24"/>
          <w:szCs w:val="24"/>
        </w:rPr>
        <w:t>指定媒体</w:t>
      </w:r>
      <w:r>
        <w:rPr>
          <w:rFonts w:hint="eastAsia" w:asciiTheme="minorEastAsia" w:hAnsiTheme="minorEastAsia"/>
          <w:kern w:val="0"/>
          <w:sz w:val="24"/>
          <w:szCs w:val="24"/>
        </w:rPr>
        <w:t>（含报纸）</w:t>
      </w:r>
      <w:r>
        <w:rPr>
          <w:rFonts w:asciiTheme="minorEastAsia" w:hAnsiTheme="minorEastAsia"/>
          <w:kern w:val="0"/>
          <w:sz w:val="24"/>
          <w:szCs w:val="24"/>
        </w:rPr>
        <w:t>发布招标公告的刊登费用、评标</w:t>
      </w:r>
      <w:r>
        <w:rPr>
          <w:rFonts w:hint="eastAsia" w:asciiTheme="minorEastAsia" w:hAnsiTheme="minorEastAsia"/>
          <w:kern w:val="0"/>
          <w:sz w:val="24"/>
          <w:szCs w:val="24"/>
        </w:rPr>
        <w:t>（评审）</w:t>
      </w:r>
      <w:r>
        <w:rPr>
          <w:rFonts w:asciiTheme="minorEastAsia" w:hAnsiTheme="minorEastAsia"/>
          <w:kern w:val="0"/>
          <w:sz w:val="24"/>
          <w:szCs w:val="24"/>
        </w:rPr>
        <w:t>费（</w:t>
      </w:r>
      <w:r>
        <w:rPr>
          <w:rFonts w:hint="eastAsia" w:asciiTheme="minorEastAsia" w:hAnsiTheme="minorEastAsia"/>
          <w:kern w:val="0"/>
          <w:sz w:val="24"/>
          <w:szCs w:val="24"/>
        </w:rPr>
        <w:t>包括但不限于评审费、因采购人直接申请非招标采购方式须邀请专家对项目作相关评审证明意见所需费用、因招标失败需邀请专家对招标文件评审是否具有不合理条款的论证意见所需费用、评标（评审）期间评标委员会成员的误餐费、交通费等需要抽取或邀请专家参与的费用</w:t>
      </w:r>
      <w:r>
        <w:rPr>
          <w:rFonts w:asciiTheme="minorEastAsia" w:hAnsiTheme="minorEastAsia"/>
          <w:kern w:val="0"/>
          <w:sz w:val="24"/>
          <w:szCs w:val="24"/>
        </w:rPr>
        <w:t>）等其他在招标过程中发生的一切费用。</w:t>
      </w:r>
      <w:r>
        <w:rPr>
          <w:rFonts w:hint="eastAsia" w:asciiTheme="minorEastAsia" w:hAnsiTheme="minorEastAsia"/>
          <w:kern w:val="0"/>
          <w:sz w:val="24"/>
          <w:szCs w:val="24"/>
        </w:rPr>
        <w:t>由代理项目确定的成交供应商支付，代理机构开具正规发票给代理项目成交供应商。</w:t>
      </w:r>
    </w:p>
    <w:p>
      <w:pPr>
        <w:numPr>
          <w:ilvl w:val="0"/>
          <w:numId w:val="1"/>
        </w:numPr>
        <w:spacing w:line="360" w:lineRule="auto"/>
        <w:ind w:firstLine="480" w:firstLineChars="200"/>
        <w:jc w:val="left"/>
        <w:rPr>
          <w:rFonts w:ascii="宋体" w:hAnsi="宋体"/>
          <w:sz w:val="24"/>
        </w:rPr>
      </w:pPr>
      <w:r>
        <w:rPr>
          <w:rFonts w:hint="eastAsia" w:ascii="宋体" w:hAnsi="宋体"/>
          <w:sz w:val="24"/>
        </w:rPr>
        <w:t>验收方式：以收到每个项目的归档资料为准。</w:t>
      </w:r>
    </w:p>
    <w:p>
      <w:pPr>
        <w:pStyle w:val="3"/>
        <w:rPr>
          <w:rFonts w:ascii="仿宋" w:hAnsi="仿宋" w:eastAsia="仿宋"/>
          <w:b w:val="0"/>
          <w:color w:val="000000"/>
        </w:rPr>
      </w:pPr>
      <w:r>
        <w:rPr>
          <w:rFonts w:hint="eastAsia"/>
        </w:rPr>
        <w:t>三、评审因素和评审标准</w:t>
      </w:r>
    </w:p>
    <w:tbl>
      <w:tblPr>
        <w:tblStyle w:val="16"/>
        <w:tblW w:w="9754" w:type="dxa"/>
        <w:jc w:val="center"/>
        <w:tblCellSpacing w:w="0" w:type="dxa"/>
        <w:tblLayout w:type="autofit"/>
        <w:tblCellMar>
          <w:top w:w="45" w:type="dxa"/>
          <w:left w:w="45" w:type="dxa"/>
          <w:bottom w:w="45" w:type="dxa"/>
          <w:right w:w="45" w:type="dxa"/>
        </w:tblCellMar>
      </w:tblPr>
      <w:tblGrid>
        <w:gridCol w:w="754"/>
        <w:gridCol w:w="1223"/>
        <w:gridCol w:w="850"/>
        <w:gridCol w:w="5732"/>
        <w:gridCol w:w="96"/>
        <w:gridCol w:w="1099"/>
      </w:tblGrid>
      <w:tr>
        <w:tblPrEx>
          <w:tblCellMar>
            <w:top w:w="45" w:type="dxa"/>
            <w:left w:w="45" w:type="dxa"/>
            <w:bottom w:w="45" w:type="dxa"/>
            <w:right w:w="45" w:type="dxa"/>
          </w:tblCellMar>
        </w:tblPrEx>
        <w:trPr>
          <w:gridAfter w:val="1"/>
          <w:wAfter w:w="1099" w:type="dxa"/>
          <w:tblCellSpacing w:w="0" w:type="dxa"/>
          <w:jc w:val="center"/>
        </w:trPr>
        <w:tc>
          <w:tcPr>
            <w:tcW w:w="0" w:type="auto"/>
            <w:gridSpan w:val="4"/>
            <w:tcBorders>
              <w:top w:val="nil"/>
              <w:left w:val="nil"/>
              <w:bottom w:val="nil"/>
              <w:right w:val="nil"/>
            </w:tcBorders>
            <w:vAlign w:val="center"/>
          </w:tcPr>
          <w:p>
            <w:pPr>
              <w:rPr>
                <w:rFonts w:ascii="宋体" w:hAnsi="宋体"/>
                <w:b/>
                <w:bCs/>
                <w:sz w:val="24"/>
              </w:rPr>
            </w:pPr>
            <w:r>
              <w:rPr>
                <w:b/>
                <w:bCs/>
              </w:rPr>
              <w:t>评标方法：综合评分法</w:t>
            </w:r>
          </w:p>
        </w:tc>
        <w:tc>
          <w:tcPr>
            <w:tcW w:w="0" w:type="auto"/>
            <w:tcBorders>
              <w:top w:val="nil"/>
              <w:left w:val="nil"/>
              <w:bottom w:val="nil"/>
              <w:right w:val="nil"/>
            </w:tcBorders>
            <w:vAlign w:val="center"/>
          </w:tcPr>
          <w:p>
            <w:pPr>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blCellSpacing w:w="0" w:type="dxa"/>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b/>
                <w:sz w:val="24"/>
                <w:szCs w:val="24"/>
                <w:lang w:val="zh-CN"/>
              </w:rPr>
            </w:pPr>
            <w:r>
              <w:rPr>
                <w:rFonts w:hint="eastAsia" w:cs="仿宋" w:asciiTheme="minorEastAsia" w:hAnsiTheme="minorEastAsia"/>
                <w:b/>
                <w:sz w:val="24"/>
                <w:szCs w:val="24"/>
                <w:lang w:val="zh-CN"/>
              </w:rPr>
              <w:t>评分项及评分规则</w:t>
            </w:r>
          </w:p>
        </w:tc>
        <w:tc>
          <w:tcPr>
            <w:tcW w:w="1195" w:type="dxa"/>
            <w:gridSpan w:val="2"/>
            <w:vAlign w:val="center"/>
          </w:tcPr>
          <w:p>
            <w:pPr>
              <w:autoSpaceDE w:val="0"/>
              <w:autoSpaceDN w:val="0"/>
              <w:adjustRightInd w:val="0"/>
              <w:spacing w:line="360" w:lineRule="exact"/>
              <w:jc w:val="center"/>
              <w:rPr>
                <w:rFonts w:cs="仿宋" w:asciiTheme="minorEastAsia" w:hAnsiTheme="minorEastAsia"/>
                <w:b/>
                <w:sz w:val="24"/>
                <w:szCs w:val="24"/>
                <w:lang w:val="zh-CN"/>
              </w:rPr>
            </w:pPr>
            <w:r>
              <w:rPr>
                <w:rFonts w:hint="eastAsia" w:cs="仿宋" w:asciiTheme="minorEastAsia" w:hAnsiTheme="minorEastAsia"/>
                <w:b/>
                <w:sz w:val="24"/>
                <w:szCs w:val="24"/>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tblCellSpacing w:w="0" w:type="dxa"/>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b/>
                <w:sz w:val="24"/>
                <w:szCs w:val="24"/>
              </w:rPr>
            </w:pPr>
            <w:r>
              <w:rPr>
                <w:rFonts w:hint="eastAsia" w:cs="仿宋" w:asciiTheme="minorEastAsia" w:hAnsiTheme="minorEastAsia"/>
                <w:b/>
                <w:sz w:val="24"/>
                <w:szCs w:val="24"/>
              </w:rPr>
              <w:t>一、技术部分</w:t>
            </w:r>
          </w:p>
        </w:tc>
        <w:tc>
          <w:tcPr>
            <w:tcW w:w="1195" w:type="dxa"/>
            <w:gridSpan w:val="2"/>
            <w:vAlign w:val="center"/>
          </w:tcPr>
          <w:p>
            <w:pPr>
              <w:autoSpaceDE w:val="0"/>
              <w:autoSpaceDN w:val="0"/>
              <w:adjustRightInd w:val="0"/>
              <w:spacing w:line="360" w:lineRule="exact"/>
              <w:jc w:val="center"/>
              <w:rPr>
                <w:rFonts w:cs="仿宋" w:asciiTheme="minorEastAsia" w:hAnsiTheme="minorEastAsia"/>
                <w:b/>
                <w:sz w:val="24"/>
                <w:szCs w:val="24"/>
              </w:rPr>
            </w:pPr>
            <w:r>
              <w:rPr>
                <w:rFonts w:hint="eastAsia" w:cs="仿宋" w:asciiTheme="minorEastAsia" w:hAnsiTheme="minorEastAsia"/>
                <w:b/>
                <w:sz w:val="24"/>
                <w:szCs w:val="24"/>
              </w:rPr>
              <w:t>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序号</w:t>
            </w:r>
          </w:p>
        </w:tc>
        <w:tc>
          <w:tcPr>
            <w:tcW w:w="1223"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内容</w:t>
            </w:r>
          </w:p>
        </w:tc>
        <w:tc>
          <w:tcPr>
            <w:tcW w:w="850"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权重</w:t>
            </w:r>
          </w:p>
        </w:tc>
        <w:tc>
          <w:tcPr>
            <w:tcW w:w="5732"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评分规则</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2"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1</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招标代理实施方案</w:t>
            </w:r>
          </w:p>
        </w:tc>
        <w:tc>
          <w:tcPr>
            <w:tcW w:w="850" w:type="dxa"/>
            <w:vAlign w:val="center"/>
          </w:tcPr>
          <w:p>
            <w:pPr>
              <w:widowControl/>
              <w:spacing w:line="360" w:lineRule="exact"/>
              <w:jc w:val="center"/>
              <w:rPr>
                <w:rFonts w:asciiTheme="minorEastAsia" w:hAnsiTheme="minorEastAsia"/>
                <w:kern w:val="0"/>
                <w:sz w:val="24"/>
                <w:szCs w:val="24"/>
              </w:rPr>
            </w:pPr>
            <w:r>
              <w:rPr>
                <w:rFonts w:asciiTheme="minorEastAsia" w:hAnsiTheme="minorEastAsia"/>
                <w:kern w:val="0"/>
                <w:sz w:val="24"/>
                <w:szCs w:val="24"/>
              </w:rPr>
              <w:t>12</w:t>
            </w:r>
          </w:p>
        </w:tc>
        <w:tc>
          <w:tcPr>
            <w:tcW w:w="5732" w:type="dxa"/>
            <w:vAlign w:val="center"/>
          </w:tcPr>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（一）评分内容：投标人提供完整详细的招标代理实施方案（方案内容包括但不限于：招标流程、审核制度、避免及处理异议投诉的措施、保密措施）评标委员会根据流程方案的依法合规性进行打分：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（二）评分依据：</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评价为优得12分，评价为良得8分，评价为中得4分，其他情况不得分。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2"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2</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质量保障措施</w:t>
            </w:r>
          </w:p>
        </w:tc>
        <w:tc>
          <w:tcPr>
            <w:tcW w:w="850"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12</w:t>
            </w:r>
          </w:p>
        </w:tc>
        <w:tc>
          <w:tcPr>
            <w:tcW w:w="5732" w:type="dxa"/>
            <w:vAlign w:val="center"/>
          </w:tcPr>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一）评分内容：投标人提供完整详细的质量保障措施方案（方案内容包括但不限于：编制招标文件的保障措施、组织开评标过程的保障措施、招标项目相关资料归档的措施）评标委员会根据流程方案的依法合规性进行打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（二）评分依据：</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评价为优得12分，评价为良得8分，评价为中得4分，其他情况不得分。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9"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3</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质疑回复承诺</w:t>
            </w:r>
          </w:p>
        </w:tc>
        <w:tc>
          <w:tcPr>
            <w:tcW w:w="850"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5</w:t>
            </w:r>
          </w:p>
        </w:tc>
        <w:tc>
          <w:tcPr>
            <w:tcW w:w="5732" w:type="dxa"/>
            <w:vAlign w:val="center"/>
          </w:tcPr>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（一）评分内容：</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投标人在接到质疑投诉时告知采购人，并且提出参考意见协助采购人做出质疑回复得3分。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（二）评分依据：</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提供承诺函，格式自拟，未按要求提供有效证明材料或提供不清晰导致评委无法识别的不计得分。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2"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4</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响应时间承诺</w:t>
            </w:r>
          </w:p>
        </w:tc>
        <w:tc>
          <w:tcPr>
            <w:tcW w:w="850"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5</w:t>
            </w:r>
          </w:p>
        </w:tc>
        <w:tc>
          <w:tcPr>
            <w:tcW w:w="5732" w:type="dxa"/>
            <w:vAlign w:val="center"/>
          </w:tcPr>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（一）评分内容：</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（1）普通招标项目：自接到采购人的采购需求起，</w:t>
            </w:r>
            <w:r>
              <w:rPr>
                <w:rFonts w:asciiTheme="minorEastAsia" w:hAnsiTheme="minorEastAsia"/>
                <w:kern w:val="0"/>
                <w:sz w:val="24"/>
                <w:szCs w:val="24"/>
              </w:rPr>
              <w:t>2</w:t>
            </w:r>
            <w:r>
              <w:rPr>
                <w:rFonts w:hint="eastAsia" w:asciiTheme="minorEastAsia" w:hAnsiTheme="minorEastAsia"/>
                <w:kern w:val="0"/>
                <w:sz w:val="24"/>
                <w:szCs w:val="24"/>
              </w:rPr>
              <w:t>个工作日内完成招标文件的编制得2分；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（2）紧急招标项目：自接到采购人的采购需求起，</w:t>
            </w:r>
            <w:r>
              <w:rPr>
                <w:rFonts w:asciiTheme="minorEastAsia" w:hAnsiTheme="minorEastAsia"/>
                <w:kern w:val="0"/>
                <w:sz w:val="24"/>
                <w:szCs w:val="24"/>
              </w:rPr>
              <w:t>1</w:t>
            </w:r>
            <w:r>
              <w:rPr>
                <w:rFonts w:hint="eastAsia" w:asciiTheme="minorEastAsia" w:hAnsiTheme="minorEastAsia"/>
                <w:kern w:val="0"/>
                <w:sz w:val="24"/>
                <w:szCs w:val="24"/>
              </w:rPr>
              <w:t>个工作日内完成招标文件的编制得2分；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（3）招标文件和中标结果确定后当日发布公告或者公示得1分。</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（二）评分依据：</w:t>
            </w:r>
          </w:p>
          <w:p>
            <w:pPr>
              <w:autoSpaceDE w:val="0"/>
              <w:autoSpaceDN w:val="0"/>
              <w:adjustRightInd w:val="0"/>
              <w:spacing w:line="360" w:lineRule="exact"/>
              <w:rPr>
                <w:rFonts w:asciiTheme="minorEastAsia" w:hAnsiTheme="minorEastAsia"/>
                <w:kern w:val="0"/>
                <w:sz w:val="24"/>
                <w:szCs w:val="24"/>
              </w:rPr>
            </w:pPr>
            <w:r>
              <w:rPr>
                <w:rFonts w:hint="eastAsia" w:asciiTheme="minorEastAsia" w:hAnsiTheme="minorEastAsia"/>
                <w:kern w:val="0"/>
                <w:sz w:val="24"/>
                <w:szCs w:val="24"/>
              </w:rPr>
              <w:t>提供承诺函，格式自拟，未按要求提供有效证明材料或提供不清晰导致评委无法识别的不计得分。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2"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cs="仿宋" w:asciiTheme="minorEastAsia" w:hAnsiTheme="minorEastAsia"/>
                <w:sz w:val="24"/>
                <w:szCs w:val="24"/>
                <w:lang w:val="zh-CN"/>
              </w:rPr>
              <w:t>5</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拟安排的项目负责人</w:t>
            </w:r>
          </w:p>
        </w:tc>
        <w:tc>
          <w:tcPr>
            <w:tcW w:w="850"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6</w:t>
            </w:r>
          </w:p>
        </w:tc>
        <w:tc>
          <w:tcPr>
            <w:tcW w:w="5732" w:type="dxa"/>
            <w:vAlign w:val="center"/>
          </w:tcPr>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（一）评分内容：</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拟安排于本项目的负责人（仅限1人）：</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（1）学历为全日制本科或以上得3分；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（2）具备政府部门颁发的中级或以上专业技术资格证书得3分；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（二）评分依据：</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提供项目负责人学历证书、以上相关资格证书复印件，未按要求提供有效证明材料或提供不清晰导致评委无法识别的不计得分。</w:t>
            </w:r>
          </w:p>
        </w:tc>
        <w:tc>
          <w:tcPr>
            <w:tcW w:w="1195" w:type="dxa"/>
            <w:gridSpan w:val="2"/>
            <w:vAlign w:val="center"/>
          </w:tcPr>
          <w:p>
            <w:pPr>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7"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cs="仿宋" w:asciiTheme="minorEastAsia" w:hAnsiTheme="minorEastAsia"/>
                <w:sz w:val="24"/>
                <w:szCs w:val="24"/>
              </w:rPr>
              <w:t>6</w:t>
            </w:r>
          </w:p>
        </w:tc>
        <w:tc>
          <w:tcPr>
            <w:tcW w:w="1223"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拟安排的项目团队成员</w:t>
            </w:r>
          </w:p>
        </w:tc>
        <w:tc>
          <w:tcPr>
            <w:tcW w:w="850" w:type="dxa"/>
            <w:vAlign w:val="center"/>
          </w:tcPr>
          <w:p>
            <w:pPr>
              <w:widowControl/>
              <w:spacing w:line="360" w:lineRule="exact"/>
              <w:jc w:val="center"/>
              <w:rPr>
                <w:rFonts w:asciiTheme="minorEastAsia" w:hAnsiTheme="minorEastAsia"/>
                <w:kern w:val="0"/>
                <w:sz w:val="24"/>
                <w:szCs w:val="24"/>
              </w:rPr>
            </w:pPr>
            <w:r>
              <w:rPr>
                <w:rFonts w:hint="eastAsia" w:asciiTheme="minorEastAsia" w:hAnsiTheme="minorEastAsia"/>
                <w:kern w:val="0"/>
                <w:sz w:val="24"/>
                <w:szCs w:val="24"/>
              </w:rPr>
              <w:t>9</w:t>
            </w:r>
          </w:p>
        </w:tc>
        <w:tc>
          <w:tcPr>
            <w:tcW w:w="5732" w:type="dxa"/>
            <w:vAlign w:val="center"/>
          </w:tcPr>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（一）评分内容：</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拟安排于本项目的项目团队成员（项目负责人除外）为5人或以上：</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（1）团队成员中每1人具备全日制本科或以上学历得1分，上限3分；</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（4）团队成员中每1人具备政府部门颁发的中级或以上专业技术资格证书得1分，上限</w:t>
            </w:r>
            <w:r>
              <w:rPr>
                <w:rFonts w:asciiTheme="minorEastAsia" w:hAnsiTheme="minorEastAsia"/>
                <w:kern w:val="0"/>
                <w:sz w:val="24"/>
                <w:szCs w:val="24"/>
              </w:rPr>
              <w:t>3</w:t>
            </w:r>
            <w:r>
              <w:rPr>
                <w:rFonts w:hint="eastAsia" w:asciiTheme="minorEastAsia" w:hAnsiTheme="minorEastAsia"/>
                <w:kern w:val="0"/>
                <w:sz w:val="24"/>
                <w:szCs w:val="24"/>
              </w:rPr>
              <w:t>分；</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（）团队成员中每1人具备政府采购协会颁发的培训证书得1分，上限3分；</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（二）评分依据：</w:t>
            </w:r>
          </w:p>
          <w:p>
            <w:pPr>
              <w:widowControl/>
              <w:snapToGri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提供团队成员学历证书复印件、以上相关资格证书复印件及近三个月社会保险购买证明文件复印件等证明材料，同一人有多项证书可重复得分，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blCellSpacing w:w="0" w:type="dxa"/>
          <w:jc w:val="center"/>
        </w:trPr>
        <w:tc>
          <w:tcPr>
            <w:tcW w:w="754" w:type="dxa"/>
            <w:vAlign w:val="center"/>
          </w:tcPr>
          <w:p>
            <w:pPr>
              <w:widowControl/>
              <w:snapToGrid w:val="0"/>
              <w:spacing w:line="360" w:lineRule="exact"/>
              <w:jc w:val="center"/>
              <w:rPr>
                <w:rFonts w:cs="宋体" w:asciiTheme="minorEastAsia" w:hAnsiTheme="minorEastAsia"/>
                <w:kern w:val="0"/>
                <w:sz w:val="24"/>
                <w:szCs w:val="24"/>
              </w:rPr>
            </w:pPr>
            <w:r>
              <w:rPr>
                <w:rFonts w:cs="宋体" w:asciiTheme="minorEastAsia" w:hAnsiTheme="minorEastAsia"/>
                <w:kern w:val="0"/>
                <w:sz w:val="24"/>
                <w:szCs w:val="24"/>
              </w:rPr>
              <w:t>7</w:t>
            </w:r>
          </w:p>
        </w:tc>
        <w:tc>
          <w:tcPr>
            <w:tcW w:w="1223" w:type="dxa"/>
            <w:vAlign w:val="center"/>
          </w:tcPr>
          <w:p>
            <w:pPr>
              <w:widowControl/>
              <w:spacing w:line="360" w:lineRule="exact"/>
              <w:jc w:val="center"/>
              <w:rPr>
                <w:rFonts w:cs="宋体" w:asciiTheme="minorEastAsia" w:hAnsiTheme="minorEastAsia"/>
                <w:sz w:val="24"/>
                <w:szCs w:val="24"/>
              </w:rPr>
            </w:pPr>
            <w:r>
              <w:rPr>
                <w:rFonts w:hint="eastAsia" w:cs="宋体" w:asciiTheme="minorEastAsia" w:hAnsiTheme="minorEastAsia"/>
                <w:sz w:val="24"/>
                <w:szCs w:val="24"/>
              </w:rPr>
              <w:t>基础设施</w:t>
            </w:r>
          </w:p>
        </w:tc>
        <w:tc>
          <w:tcPr>
            <w:tcW w:w="850" w:type="dxa"/>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0</w:t>
            </w:r>
            <w:r>
              <w:rPr>
                <w:rFonts w:hint="eastAsia" w:cs="宋体" w:asciiTheme="minorEastAsia" w:hAnsiTheme="minorEastAsia"/>
                <w:kern w:val="0"/>
                <w:sz w:val="24"/>
                <w:szCs w:val="24"/>
              </w:rPr>
              <w:t>分</w:t>
            </w:r>
          </w:p>
        </w:tc>
        <w:tc>
          <w:tcPr>
            <w:tcW w:w="5732" w:type="dxa"/>
            <w:vAlign w:val="center"/>
          </w:tcPr>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（一）评分内容：投标人开评标室需具备监控、录音、办公等设备，在此基础上进行以下评审：</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（1）投标人在深圳每具备1间开评标室得1分，上限6分；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（2）投标人在深圳办公面积大于200平米得2分，其他情况不得分；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（4）投标人具备独立档案室得1分；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（5）投标人具备独立监控室得1分；</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（二）评分依据：</w:t>
            </w:r>
          </w:p>
          <w:p>
            <w:pPr>
              <w:autoSpaceDE w:val="0"/>
              <w:autoSpaceDN w:val="0"/>
              <w:adjustRightInd w:val="0"/>
              <w:spacing w:line="360" w:lineRule="exact"/>
              <w:rPr>
                <w:rFonts w:cs="宋体" w:asciiTheme="minorEastAsia" w:hAnsiTheme="minorEastAsia"/>
                <w:sz w:val="24"/>
                <w:szCs w:val="24"/>
              </w:rPr>
            </w:pPr>
            <w:r>
              <w:rPr>
                <w:rFonts w:hint="eastAsia" w:cs="宋体" w:asciiTheme="minorEastAsia" w:hAnsiTheme="minorEastAsia"/>
                <w:sz w:val="24"/>
                <w:szCs w:val="24"/>
              </w:rPr>
              <w:t>提供目录清单、相关照片、产权证明等证明材料，未按要求提供有效证明材料或提供不清晰导致评委无法识别的不计得分。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6" w:hRule="atLeast"/>
          <w:tblCellSpacing w:w="0" w:type="dxa"/>
          <w:jc w:val="center"/>
        </w:trPr>
        <w:tc>
          <w:tcPr>
            <w:tcW w:w="754" w:type="dxa"/>
            <w:vAlign w:val="center"/>
          </w:tcPr>
          <w:p>
            <w:pPr>
              <w:widowControl/>
              <w:snapToGrid w:val="0"/>
              <w:spacing w:line="360" w:lineRule="exact"/>
              <w:jc w:val="center"/>
              <w:rPr>
                <w:rFonts w:asciiTheme="minorEastAsia" w:hAnsiTheme="minorEastAsia"/>
                <w:kern w:val="0"/>
                <w:sz w:val="24"/>
                <w:szCs w:val="24"/>
              </w:rPr>
            </w:pPr>
            <w:r>
              <w:rPr>
                <w:rFonts w:asciiTheme="minorEastAsia" w:hAnsiTheme="minorEastAsia"/>
                <w:kern w:val="0"/>
                <w:sz w:val="24"/>
                <w:szCs w:val="24"/>
              </w:rPr>
              <w:t>8</w:t>
            </w:r>
          </w:p>
        </w:tc>
        <w:tc>
          <w:tcPr>
            <w:tcW w:w="1223" w:type="dxa"/>
            <w:vAlign w:val="center"/>
          </w:tcPr>
          <w:p>
            <w:pPr>
              <w:widowControl/>
              <w:spacing w:line="360" w:lineRule="exact"/>
              <w:jc w:val="center"/>
              <w:rPr>
                <w:rFonts w:cs="宋体" w:asciiTheme="minorEastAsia" w:hAnsiTheme="minorEastAsia"/>
                <w:sz w:val="24"/>
                <w:szCs w:val="24"/>
              </w:rPr>
            </w:pPr>
            <w:r>
              <w:rPr>
                <w:rFonts w:hint="eastAsia" w:cs="宋体" w:asciiTheme="minorEastAsia" w:hAnsiTheme="minorEastAsia"/>
                <w:sz w:val="24"/>
                <w:szCs w:val="24"/>
              </w:rPr>
              <w:t>电子招投标平台</w:t>
            </w:r>
          </w:p>
        </w:tc>
        <w:tc>
          <w:tcPr>
            <w:tcW w:w="850" w:type="dxa"/>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5732" w:type="dxa"/>
            <w:vAlign w:val="center"/>
          </w:tcPr>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（一）评分内容：</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投标人具备电子招投标系统，包括但不限于以下功能（项目立项、线上报名、电子开标、线上评标、自动汇总评标报告信息等）。</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（二）评分依据：</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提供系统操作流程截图，未按要求提供有效证明材料或提供不清晰导致评委无法识别的不计得分。</w:t>
            </w:r>
          </w:p>
        </w:tc>
        <w:tc>
          <w:tcPr>
            <w:tcW w:w="1195" w:type="dxa"/>
            <w:gridSpan w:val="2"/>
            <w:vAlign w:val="center"/>
          </w:tcPr>
          <w:p>
            <w:pPr>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tblCellSpacing w:w="0" w:type="dxa"/>
          <w:jc w:val="center"/>
        </w:trPr>
        <w:tc>
          <w:tcPr>
            <w:tcW w:w="8559" w:type="dxa"/>
            <w:gridSpan w:val="4"/>
            <w:vAlign w:val="center"/>
          </w:tcPr>
          <w:p>
            <w:pPr>
              <w:autoSpaceDE w:val="0"/>
              <w:autoSpaceDN w:val="0"/>
              <w:adjustRightInd w:val="0"/>
              <w:spacing w:line="360" w:lineRule="exact"/>
              <w:jc w:val="center"/>
              <w:rPr>
                <w:rFonts w:cs="仿宋" w:asciiTheme="minorEastAsia" w:hAnsiTheme="minorEastAsia"/>
                <w:b/>
                <w:sz w:val="24"/>
                <w:szCs w:val="24"/>
              </w:rPr>
            </w:pPr>
            <w:r>
              <w:rPr>
                <w:rFonts w:hint="eastAsia" w:cs="仿宋" w:asciiTheme="minorEastAsia" w:hAnsiTheme="minorEastAsia"/>
                <w:b/>
                <w:sz w:val="24"/>
                <w:szCs w:val="24"/>
                <w:lang w:val="zh-CN"/>
              </w:rPr>
              <w:t>二、商务部分</w:t>
            </w:r>
          </w:p>
        </w:tc>
        <w:tc>
          <w:tcPr>
            <w:tcW w:w="1195" w:type="dxa"/>
            <w:gridSpan w:val="2"/>
            <w:vAlign w:val="center"/>
          </w:tcPr>
          <w:p>
            <w:pPr>
              <w:autoSpaceDE w:val="0"/>
              <w:autoSpaceDN w:val="0"/>
              <w:adjustRightInd w:val="0"/>
              <w:spacing w:line="360" w:lineRule="exact"/>
              <w:jc w:val="center"/>
              <w:rPr>
                <w:rFonts w:cs="仿宋" w:asciiTheme="minorEastAsia" w:hAnsiTheme="minorEastAsia"/>
                <w:b/>
                <w:sz w:val="24"/>
                <w:szCs w:val="24"/>
              </w:rPr>
            </w:pPr>
            <w:r>
              <w:rPr>
                <w:rFonts w:hint="eastAsia" w:cs="仿宋" w:asciiTheme="minorEastAsia" w:hAnsiTheme="minorEastAsia"/>
                <w:b/>
                <w:sz w:val="24"/>
                <w:szCs w:val="24"/>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lang w:val="zh-CN"/>
              </w:rPr>
              <w:t>序号</w:t>
            </w:r>
          </w:p>
        </w:tc>
        <w:tc>
          <w:tcPr>
            <w:tcW w:w="1223"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lang w:val="zh-CN"/>
              </w:rPr>
              <w:t>内容</w:t>
            </w:r>
          </w:p>
        </w:tc>
        <w:tc>
          <w:tcPr>
            <w:tcW w:w="850"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lang w:val="zh-CN"/>
              </w:rPr>
              <w:t>权重</w:t>
            </w:r>
          </w:p>
        </w:tc>
        <w:tc>
          <w:tcPr>
            <w:tcW w:w="5732" w:type="dxa"/>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lang w:val="zh-CN"/>
              </w:rPr>
              <w:t>评分规则</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1</w:t>
            </w:r>
          </w:p>
        </w:tc>
        <w:tc>
          <w:tcPr>
            <w:tcW w:w="1223" w:type="dxa"/>
            <w:vAlign w:val="center"/>
          </w:tcPr>
          <w:p>
            <w:pPr>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资质证书</w:t>
            </w:r>
          </w:p>
        </w:tc>
        <w:tc>
          <w:tcPr>
            <w:tcW w:w="850" w:type="dxa"/>
            <w:vAlign w:val="center"/>
          </w:tcPr>
          <w:p>
            <w:pPr>
              <w:spacing w:line="360" w:lineRule="exact"/>
              <w:jc w:val="center"/>
              <w:rPr>
                <w:rFonts w:cs="宋体" w:asciiTheme="minorEastAsia" w:hAnsiTheme="minorEastAsia"/>
                <w:sz w:val="24"/>
                <w:szCs w:val="24"/>
              </w:rPr>
            </w:pPr>
            <w:r>
              <w:rPr>
                <w:rFonts w:cs="宋体" w:asciiTheme="minorEastAsia" w:hAnsiTheme="minorEastAsia"/>
                <w:sz w:val="24"/>
                <w:szCs w:val="24"/>
              </w:rPr>
              <w:t>6</w:t>
            </w:r>
          </w:p>
        </w:tc>
        <w:tc>
          <w:tcPr>
            <w:tcW w:w="5732" w:type="dxa"/>
            <w:vAlign w:val="center"/>
          </w:tcPr>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（一）评分内容：</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（1）投标人在深圳市政府采购监管网备案得2分；</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（2）投标人工程建设平台备案得2分；</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（3）投标人在国际招标网备案得2分。</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（二）评分依据：</w:t>
            </w:r>
          </w:p>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提供以上相关备案截图，未按要求提供有效证明材料或提供不清晰导致评委无法识别的不计得分。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rPr>
            </w:pPr>
            <w:r>
              <w:rPr>
                <w:rFonts w:hint="eastAsia" w:cs="仿宋" w:asciiTheme="minorEastAsia" w:hAnsiTheme="minorEastAsia"/>
                <w:sz w:val="24"/>
                <w:szCs w:val="24"/>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cs="仿宋" w:asciiTheme="minorEastAsia" w:hAnsiTheme="minorEastAsia"/>
                <w:sz w:val="24"/>
                <w:szCs w:val="24"/>
                <w:lang w:val="zh-CN"/>
              </w:rPr>
              <w:t>2</w:t>
            </w:r>
          </w:p>
        </w:tc>
        <w:tc>
          <w:tcPr>
            <w:tcW w:w="1223" w:type="dxa"/>
            <w:vAlign w:val="center"/>
          </w:tcPr>
          <w:p>
            <w:pPr>
              <w:spacing w:line="360" w:lineRule="exact"/>
              <w:jc w:val="center"/>
              <w:rPr>
                <w:rFonts w:asciiTheme="minorEastAsia" w:hAnsiTheme="minorEastAsia"/>
                <w:kern w:val="0"/>
                <w:sz w:val="24"/>
                <w:szCs w:val="24"/>
              </w:rPr>
            </w:pPr>
            <w:r>
              <w:rPr>
                <w:rFonts w:hint="eastAsia" w:cs="宋体" w:asciiTheme="minorEastAsia" w:hAnsiTheme="minorEastAsia"/>
                <w:color w:val="000000"/>
                <w:kern w:val="0"/>
                <w:sz w:val="24"/>
                <w:szCs w:val="24"/>
              </w:rPr>
              <w:t>投标人体系认证情况</w:t>
            </w:r>
          </w:p>
        </w:tc>
        <w:tc>
          <w:tcPr>
            <w:tcW w:w="850" w:type="dxa"/>
            <w:vAlign w:val="center"/>
          </w:tcPr>
          <w:p>
            <w:pPr>
              <w:spacing w:line="360" w:lineRule="exact"/>
              <w:jc w:val="center"/>
              <w:rPr>
                <w:rFonts w:asciiTheme="minorEastAsia" w:hAnsiTheme="minorEastAsia"/>
                <w:kern w:val="0"/>
                <w:sz w:val="24"/>
                <w:szCs w:val="24"/>
              </w:rPr>
            </w:pPr>
            <w:r>
              <w:rPr>
                <w:rFonts w:hint="eastAsia" w:cs="宋体" w:asciiTheme="minorEastAsia" w:hAnsiTheme="minorEastAsia"/>
                <w:sz w:val="24"/>
                <w:szCs w:val="24"/>
              </w:rPr>
              <w:t>6</w:t>
            </w:r>
          </w:p>
        </w:tc>
        <w:tc>
          <w:tcPr>
            <w:tcW w:w="5732" w:type="dxa"/>
            <w:vAlign w:val="center"/>
          </w:tcPr>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（一）评分内容：</w:t>
            </w:r>
          </w:p>
          <w:p>
            <w:pPr>
              <w:autoSpaceDE w:val="0"/>
              <w:autoSpaceDN w:val="0"/>
              <w:adjustRightIn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投标人具备</w:t>
            </w:r>
            <w:r>
              <w:rPr>
                <w:rFonts w:hint="eastAsia" w:asciiTheme="minorEastAsia" w:hAnsiTheme="minorEastAsia"/>
                <w:bCs/>
                <w:sz w:val="24"/>
                <w:szCs w:val="24"/>
              </w:rPr>
              <w:t>ISO9001</w:t>
            </w:r>
            <w:r>
              <w:rPr>
                <w:rFonts w:hint="eastAsia" w:asciiTheme="minorEastAsia" w:hAnsiTheme="minorEastAsia"/>
                <w:kern w:val="0"/>
                <w:sz w:val="24"/>
                <w:szCs w:val="24"/>
              </w:rPr>
              <w:t>质量管理体系认证证书、</w:t>
            </w:r>
            <w:r>
              <w:rPr>
                <w:rFonts w:asciiTheme="minorEastAsia" w:hAnsiTheme="minorEastAsia"/>
                <w:kern w:val="0"/>
                <w:sz w:val="24"/>
                <w:szCs w:val="24"/>
              </w:rPr>
              <w:t>ISO14001</w:t>
            </w:r>
            <w:r>
              <w:rPr>
                <w:rFonts w:hint="eastAsia" w:asciiTheme="minorEastAsia" w:hAnsiTheme="minorEastAsia"/>
                <w:kern w:val="0"/>
                <w:sz w:val="24"/>
                <w:szCs w:val="24"/>
              </w:rPr>
              <w:t>环境管理体系认证证书、</w:t>
            </w:r>
            <w:r>
              <w:rPr>
                <w:rFonts w:asciiTheme="minorEastAsia" w:hAnsiTheme="minorEastAsia"/>
                <w:kern w:val="0"/>
                <w:sz w:val="24"/>
                <w:szCs w:val="24"/>
              </w:rPr>
              <w:t>OHSAS18001</w:t>
            </w:r>
            <w:r>
              <w:rPr>
                <w:rFonts w:hint="eastAsia" w:asciiTheme="minorEastAsia" w:hAnsiTheme="minorEastAsia"/>
                <w:kern w:val="0"/>
                <w:sz w:val="24"/>
                <w:szCs w:val="24"/>
              </w:rPr>
              <w:t>或ISO45001职业健康安全管理体系认证证书，以上所有证书认证范围要求包含：招标代理。每提供1个有效认证证书得2分，最高得6分。</w:t>
            </w:r>
          </w:p>
          <w:p>
            <w:pPr>
              <w:autoSpaceDE w:val="0"/>
              <w:autoSpaceDN w:val="0"/>
              <w:adjustRightIn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（二）评分依据：</w:t>
            </w:r>
          </w:p>
          <w:p>
            <w:pPr>
              <w:autoSpaceDE w:val="0"/>
              <w:autoSpaceDN w:val="0"/>
              <w:adjustRightIn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提供</w:t>
            </w:r>
            <w:r>
              <w:rPr>
                <w:rFonts w:hint="eastAsia" w:asciiTheme="minorEastAsia" w:hAnsiTheme="minorEastAsia"/>
                <w:sz w:val="24"/>
                <w:szCs w:val="24"/>
              </w:rPr>
              <w:t>以上证书</w:t>
            </w:r>
            <w:r>
              <w:rPr>
                <w:rFonts w:hint="eastAsia" w:asciiTheme="minorEastAsia" w:hAnsiTheme="minorEastAsia"/>
                <w:kern w:val="0"/>
                <w:sz w:val="24"/>
                <w:szCs w:val="24"/>
              </w:rPr>
              <w:t>复印件（证书必须在有效期内的方为有效），</w:t>
            </w:r>
            <w:r>
              <w:rPr>
                <w:rFonts w:hint="eastAsia" w:cs="仿宋" w:asciiTheme="minorEastAsia" w:hAnsiTheme="minorEastAsia"/>
                <w:sz w:val="24"/>
                <w:szCs w:val="24"/>
                <w:lang w:val="zh-CN"/>
              </w:rPr>
              <w:t>未按要求提供有效证明材料或提供不清晰导致评委无法识别的不计得分。</w:t>
            </w:r>
          </w:p>
        </w:tc>
        <w:tc>
          <w:tcPr>
            <w:tcW w:w="1195" w:type="dxa"/>
            <w:gridSpan w:val="2"/>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0"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cs="仿宋" w:asciiTheme="minorEastAsia" w:hAnsiTheme="minorEastAsia"/>
                <w:sz w:val="24"/>
                <w:szCs w:val="24"/>
              </w:rPr>
              <w:t>3</w:t>
            </w:r>
          </w:p>
        </w:tc>
        <w:tc>
          <w:tcPr>
            <w:tcW w:w="1223" w:type="dxa"/>
            <w:vAlign w:val="center"/>
          </w:tcPr>
          <w:p>
            <w:pPr>
              <w:adjustRightInd w:val="0"/>
              <w:snapToGrid w:val="0"/>
              <w:spacing w:line="360" w:lineRule="exact"/>
              <w:jc w:val="center"/>
              <w:rPr>
                <w:rFonts w:asciiTheme="minorEastAsia" w:hAnsiTheme="minorEastAsia"/>
                <w:snapToGrid w:val="0"/>
                <w:kern w:val="0"/>
                <w:sz w:val="24"/>
                <w:szCs w:val="24"/>
              </w:rPr>
            </w:pPr>
            <w:r>
              <w:rPr>
                <w:rFonts w:hint="eastAsia" w:cs="宋体" w:asciiTheme="minorEastAsia" w:hAnsiTheme="minorEastAsia"/>
                <w:color w:val="000000"/>
                <w:kern w:val="0"/>
                <w:sz w:val="24"/>
                <w:szCs w:val="24"/>
              </w:rPr>
              <w:t>同类项目业绩情况</w:t>
            </w:r>
          </w:p>
        </w:tc>
        <w:tc>
          <w:tcPr>
            <w:tcW w:w="850" w:type="dxa"/>
            <w:vAlign w:val="center"/>
          </w:tcPr>
          <w:p>
            <w:pPr>
              <w:adjustRightInd w:val="0"/>
              <w:snapToGrid w:val="0"/>
              <w:spacing w:line="360" w:lineRule="exact"/>
              <w:jc w:val="center"/>
              <w:rPr>
                <w:rFonts w:asciiTheme="minorEastAsia" w:hAnsiTheme="minorEastAsia"/>
                <w:snapToGrid w:val="0"/>
                <w:kern w:val="0"/>
                <w:sz w:val="24"/>
                <w:szCs w:val="24"/>
              </w:rPr>
            </w:pPr>
            <w:r>
              <w:rPr>
                <w:rFonts w:asciiTheme="minorEastAsia" w:hAnsiTheme="minorEastAsia"/>
                <w:snapToGrid w:val="0"/>
                <w:kern w:val="0"/>
                <w:sz w:val="24"/>
                <w:szCs w:val="24"/>
              </w:rPr>
              <w:t>1</w:t>
            </w:r>
            <w:r>
              <w:rPr>
                <w:rFonts w:hint="eastAsia" w:asciiTheme="minorEastAsia" w:hAnsiTheme="minorEastAsia"/>
                <w:snapToGrid w:val="0"/>
                <w:kern w:val="0"/>
                <w:sz w:val="24"/>
                <w:szCs w:val="24"/>
              </w:rPr>
              <w:t>2</w:t>
            </w:r>
          </w:p>
        </w:tc>
        <w:tc>
          <w:tcPr>
            <w:tcW w:w="5732" w:type="dxa"/>
            <w:vAlign w:val="center"/>
          </w:tcPr>
          <w:p>
            <w:pPr>
              <w:pStyle w:val="39"/>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（一）评分内容：</w:t>
            </w:r>
          </w:p>
          <w:p>
            <w:pPr>
              <w:adjustRightInd w:val="0"/>
              <w:snapToGrid w:val="0"/>
              <w:spacing w:line="360" w:lineRule="exact"/>
              <w:rPr>
                <w:rFonts w:cs="宋体" w:asciiTheme="minorEastAsia" w:hAnsiTheme="minorEastAsia"/>
                <w:sz w:val="24"/>
                <w:szCs w:val="24"/>
              </w:rPr>
            </w:pPr>
            <w:r>
              <w:rPr>
                <w:rFonts w:hint="eastAsia" w:cs="宋体" w:asciiTheme="minorEastAsia" w:hAnsiTheme="minorEastAsia"/>
                <w:sz w:val="24"/>
                <w:szCs w:val="24"/>
              </w:rPr>
              <w:t>（1）20</w:t>
            </w:r>
            <w:r>
              <w:rPr>
                <w:rFonts w:cs="宋体" w:asciiTheme="minorEastAsia" w:hAnsiTheme="minorEastAsia"/>
                <w:sz w:val="24"/>
                <w:szCs w:val="24"/>
              </w:rPr>
              <w:t>2</w:t>
            </w:r>
            <w:r>
              <w:rPr>
                <w:rFonts w:hint="eastAsia" w:cs="宋体" w:asciiTheme="minorEastAsia" w:hAnsiTheme="minorEastAsia"/>
                <w:sz w:val="24"/>
                <w:szCs w:val="24"/>
              </w:rPr>
              <w:t>3年1月1日至本项目开标之日（以合同签订日期为准），投标人具有</w:t>
            </w:r>
            <w:r>
              <w:rPr>
                <w:rFonts w:hint="eastAsia" w:cs="宋体" w:asciiTheme="minorEastAsia" w:hAnsiTheme="minorEastAsia"/>
                <w:bCs/>
                <w:sz w:val="24"/>
                <w:szCs w:val="24"/>
              </w:rPr>
              <w:t>医疗行业年度委托业绩</w:t>
            </w:r>
            <w:r>
              <w:rPr>
                <w:rFonts w:hint="eastAsia" w:cs="宋体" w:asciiTheme="minorEastAsia" w:hAnsiTheme="minorEastAsia"/>
                <w:sz w:val="24"/>
                <w:szCs w:val="24"/>
              </w:rPr>
              <w:t>，每提供1个项目得2分,上限10分；</w:t>
            </w:r>
          </w:p>
          <w:p>
            <w:pPr>
              <w:adjustRightInd w:val="0"/>
              <w:snapToGrid w:val="0"/>
              <w:spacing w:line="360" w:lineRule="exact"/>
              <w:rPr>
                <w:rFonts w:cs="宋体" w:asciiTheme="minorEastAsia" w:hAnsiTheme="minorEastAsia"/>
                <w:sz w:val="24"/>
                <w:szCs w:val="24"/>
              </w:rPr>
            </w:pPr>
            <w:r>
              <w:rPr>
                <w:rFonts w:hint="eastAsia" w:cs="宋体" w:asciiTheme="minorEastAsia" w:hAnsiTheme="minorEastAsia"/>
                <w:sz w:val="24"/>
                <w:szCs w:val="24"/>
              </w:rPr>
              <w:t>（3）2023年1月1日至本项目开标之日（以合同签订日期为准），每提供1个工程类项目得1分，上限2分。</w:t>
            </w:r>
          </w:p>
          <w:p>
            <w:pPr>
              <w:autoSpaceDE w:val="0"/>
              <w:autoSpaceDN w:val="0"/>
              <w:adjustRightInd w:val="0"/>
              <w:spacing w:line="360" w:lineRule="exact"/>
              <w:jc w:val="left"/>
              <w:rPr>
                <w:rFonts w:asciiTheme="minorEastAsia" w:hAnsiTheme="minorEastAsia"/>
                <w:kern w:val="0"/>
                <w:sz w:val="24"/>
                <w:szCs w:val="24"/>
              </w:rPr>
            </w:pPr>
            <w:r>
              <w:rPr>
                <w:rFonts w:hint="eastAsia" w:asciiTheme="minorEastAsia" w:hAnsiTheme="minorEastAsia"/>
                <w:kern w:val="0"/>
                <w:sz w:val="24"/>
                <w:szCs w:val="24"/>
              </w:rPr>
              <w:t>（二）评分依据：</w:t>
            </w:r>
          </w:p>
          <w:p>
            <w:pPr>
              <w:adjustRightInd w:val="0"/>
              <w:snapToGrid w:val="0"/>
              <w:spacing w:line="360" w:lineRule="exact"/>
              <w:rPr>
                <w:rFonts w:asciiTheme="minorEastAsia" w:hAnsiTheme="minorEastAsia"/>
                <w:sz w:val="24"/>
                <w:szCs w:val="24"/>
              </w:rPr>
            </w:pPr>
            <w:r>
              <w:rPr>
                <w:rFonts w:hint="eastAsia" w:cs="仿宋" w:asciiTheme="minorEastAsia" w:hAnsiTheme="minorEastAsia"/>
                <w:sz w:val="24"/>
                <w:szCs w:val="24"/>
              </w:rPr>
              <w:t>提供合同关键页或委托函等证明材料，且提供的材料各项信息不得有任何遮挡，合同需体现签订日期，未按要求提供有效证明材料或提供不清晰导致评委无法识别的不计得分。</w:t>
            </w:r>
          </w:p>
        </w:tc>
        <w:tc>
          <w:tcPr>
            <w:tcW w:w="1195" w:type="dxa"/>
            <w:gridSpan w:val="2"/>
            <w:vAlign w:val="center"/>
          </w:tcPr>
          <w:p>
            <w:pPr>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tblCellSpacing w:w="0" w:type="dxa"/>
          <w:jc w:val="center"/>
        </w:trPr>
        <w:tc>
          <w:tcPr>
            <w:tcW w:w="754" w:type="dxa"/>
            <w:vAlign w:val="center"/>
          </w:tcPr>
          <w:p>
            <w:pPr>
              <w:widowControl/>
              <w:snapToGrid w:val="0"/>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223" w:type="dxa"/>
            <w:vAlign w:val="center"/>
          </w:tcPr>
          <w:p>
            <w:pPr>
              <w:spacing w:line="360" w:lineRule="exact"/>
              <w:jc w:val="center"/>
              <w:rPr>
                <w:rFonts w:cs="仿宋" w:asciiTheme="minorEastAsia" w:hAnsiTheme="minorEastAsia"/>
                <w:sz w:val="24"/>
                <w:szCs w:val="24"/>
              </w:rPr>
            </w:pPr>
            <w:r>
              <w:rPr>
                <w:rFonts w:hint="eastAsia" w:cs="仿宋" w:asciiTheme="minorEastAsia" w:hAnsiTheme="minorEastAsia"/>
                <w:sz w:val="24"/>
                <w:szCs w:val="24"/>
              </w:rPr>
              <w:t>荣誉证书</w:t>
            </w:r>
          </w:p>
        </w:tc>
        <w:tc>
          <w:tcPr>
            <w:tcW w:w="850" w:type="dxa"/>
            <w:vAlign w:val="center"/>
          </w:tcPr>
          <w:p>
            <w:pPr>
              <w:spacing w:line="360" w:lineRule="exact"/>
              <w:jc w:val="center"/>
              <w:rPr>
                <w:rFonts w:cs="仿宋" w:asciiTheme="minorEastAsia" w:hAnsiTheme="minorEastAsia"/>
                <w:sz w:val="24"/>
                <w:szCs w:val="24"/>
              </w:rPr>
            </w:pPr>
            <w:r>
              <w:rPr>
                <w:rFonts w:hint="eastAsia" w:cs="仿宋" w:asciiTheme="minorEastAsia" w:hAnsiTheme="minorEastAsia"/>
                <w:sz w:val="24"/>
                <w:szCs w:val="24"/>
              </w:rPr>
              <w:t>4</w:t>
            </w:r>
          </w:p>
        </w:tc>
        <w:tc>
          <w:tcPr>
            <w:tcW w:w="5732" w:type="dxa"/>
            <w:vAlign w:val="center"/>
          </w:tcPr>
          <w:p>
            <w:pPr>
              <w:tabs>
                <w:tab w:val="left" w:pos="175"/>
              </w:tabs>
              <w:spacing w:line="360" w:lineRule="exact"/>
              <w:ind w:left="33"/>
              <w:jc w:val="left"/>
              <w:rPr>
                <w:rFonts w:asciiTheme="minorEastAsia" w:hAnsiTheme="minorEastAsia"/>
                <w:sz w:val="24"/>
                <w:szCs w:val="24"/>
              </w:rPr>
            </w:pPr>
            <w:r>
              <w:rPr>
                <w:rFonts w:hint="eastAsia" w:asciiTheme="minorEastAsia" w:hAnsiTheme="minorEastAsia"/>
                <w:sz w:val="24"/>
                <w:szCs w:val="24"/>
              </w:rPr>
              <w:t>（一）评分内容：</w:t>
            </w:r>
          </w:p>
          <w:p>
            <w:pPr>
              <w:tabs>
                <w:tab w:val="left" w:pos="175"/>
              </w:tabs>
              <w:spacing w:line="360" w:lineRule="exact"/>
              <w:ind w:left="33"/>
              <w:jc w:val="left"/>
              <w:rPr>
                <w:rFonts w:asciiTheme="minorEastAsia" w:hAnsiTheme="minorEastAsia"/>
                <w:sz w:val="24"/>
                <w:szCs w:val="24"/>
              </w:rPr>
            </w:pPr>
            <w:r>
              <w:rPr>
                <w:rFonts w:hint="eastAsia" w:asciiTheme="minorEastAsia" w:hAnsiTheme="minorEastAsia"/>
                <w:sz w:val="24"/>
                <w:szCs w:val="24"/>
              </w:rPr>
              <w:t>（1）投标人具备省级政府采购协会会员证书得2分，具备市级政府采购协会会员证书得2分。</w:t>
            </w:r>
          </w:p>
          <w:p>
            <w:pPr>
              <w:tabs>
                <w:tab w:val="left" w:pos="175"/>
              </w:tabs>
              <w:spacing w:line="360" w:lineRule="exact"/>
              <w:ind w:left="33"/>
              <w:jc w:val="left"/>
              <w:rPr>
                <w:rFonts w:asciiTheme="minorEastAsia" w:hAnsiTheme="minorEastAsia"/>
                <w:sz w:val="24"/>
                <w:szCs w:val="24"/>
              </w:rPr>
            </w:pPr>
            <w:r>
              <w:rPr>
                <w:rFonts w:hint="eastAsia" w:asciiTheme="minorEastAsia" w:hAnsiTheme="minorEastAsia"/>
                <w:sz w:val="24"/>
                <w:szCs w:val="24"/>
              </w:rPr>
              <w:t>（二）评分依据：</w:t>
            </w:r>
          </w:p>
          <w:p>
            <w:pPr>
              <w:tabs>
                <w:tab w:val="left" w:pos="175"/>
              </w:tabs>
              <w:spacing w:line="360" w:lineRule="exact"/>
              <w:ind w:left="33"/>
              <w:jc w:val="left"/>
              <w:rPr>
                <w:rFonts w:asciiTheme="minorEastAsia" w:hAnsiTheme="minorEastAsia"/>
                <w:sz w:val="24"/>
                <w:szCs w:val="24"/>
              </w:rPr>
            </w:pPr>
            <w:r>
              <w:rPr>
                <w:rFonts w:hint="eastAsia" w:asciiTheme="minorEastAsia" w:hAnsiTheme="minorEastAsia"/>
                <w:sz w:val="24"/>
                <w:szCs w:val="24"/>
              </w:rPr>
              <w:t>提供以上相关证书复印件，未按要求提供有效证明材料或提供不清晰导致评委无法识别的不计得分。</w:t>
            </w:r>
          </w:p>
        </w:tc>
        <w:tc>
          <w:tcPr>
            <w:tcW w:w="1195" w:type="dxa"/>
            <w:gridSpan w:val="2"/>
            <w:vAlign w:val="center"/>
          </w:tcPr>
          <w:p>
            <w:pPr>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4" w:hRule="atLeast"/>
          <w:tblCellSpacing w:w="0" w:type="dxa"/>
          <w:jc w:val="center"/>
        </w:trPr>
        <w:tc>
          <w:tcPr>
            <w:tcW w:w="754" w:type="dxa"/>
            <w:vAlign w:val="center"/>
          </w:tcPr>
          <w:p>
            <w:pPr>
              <w:autoSpaceDE w:val="0"/>
              <w:autoSpaceDN w:val="0"/>
              <w:adjustRightInd w:val="0"/>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rPr>
              <w:t>5</w:t>
            </w:r>
          </w:p>
        </w:tc>
        <w:tc>
          <w:tcPr>
            <w:tcW w:w="1223" w:type="dxa"/>
            <w:vAlign w:val="center"/>
          </w:tcPr>
          <w:p>
            <w:pPr>
              <w:spacing w:line="360" w:lineRule="exact"/>
              <w:jc w:val="center"/>
              <w:rPr>
                <w:rFonts w:cs="仿宋" w:asciiTheme="minorEastAsia" w:hAnsiTheme="minorEastAsia"/>
                <w:sz w:val="24"/>
                <w:szCs w:val="24"/>
              </w:rPr>
            </w:pPr>
            <w:r>
              <w:rPr>
                <w:rFonts w:hint="eastAsia" w:cs="仿宋" w:asciiTheme="minorEastAsia" w:hAnsiTheme="minorEastAsia"/>
                <w:sz w:val="24"/>
                <w:szCs w:val="24"/>
              </w:rPr>
              <w:t>诚信评审</w:t>
            </w:r>
          </w:p>
        </w:tc>
        <w:tc>
          <w:tcPr>
            <w:tcW w:w="850" w:type="dxa"/>
            <w:vAlign w:val="center"/>
          </w:tcPr>
          <w:p>
            <w:pPr>
              <w:spacing w:line="360" w:lineRule="exact"/>
              <w:jc w:val="center"/>
              <w:rPr>
                <w:rFonts w:cs="仿宋" w:asciiTheme="minorEastAsia" w:hAnsiTheme="minorEastAsia"/>
                <w:sz w:val="24"/>
                <w:szCs w:val="24"/>
              </w:rPr>
            </w:pPr>
            <w:r>
              <w:rPr>
                <w:rFonts w:hint="eastAsia" w:cs="仿宋" w:asciiTheme="minorEastAsia" w:hAnsiTheme="minorEastAsia"/>
                <w:sz w:val="24"/>
                <w:szCs w:val="24"/>
              </w:rPr>
              <w:t>5</w:t>
            </w:r>
          </w:p>
        </w:tc>
        <w:tc>
          <w:tcPr>
            <w:tcW w:w="5732" w:type="dxa"/>
            <w:vAlign w:val="center"/>
          </w:tcPr>
          <w:p>
            <w:pPr>
              <w:adjustRightInd w:val="0"/>
              <w:snapToGrid w:val="0"/>
              <w:spacing w:line="360" w:lineRule="exact"/>
              <w:rPr>
                <w:rFonts w:cs="宋体" w:asciiTheme="minorEastAsia" w:hAnsiTheme="minorEastAsia"/>
                <w:sz w:val="24"/>
                <w:szCs w:val="24"/>
              </w:rPr>
            </w:pPr>
            <w:r>
              <w:rPr>
                <w:rFonts w:hint="eastAsia" w:cs="宋体" w:asciiTheme="minorEastAsia" w:hAnsiTheme="minorEastAsia"/>
                <w:sz w:val="24"/>
                <w:szCs w:val="24"/>
              </w:rPr>
              <w:t>根据《深圳市财政委员会关于印发&lt;深圳市政府采购供应商诚信管理暂行办法操作细则&gt;的通知》（深财购〔2017〕42号），供应商未达到行政处罚情形但存在违规违约行为被记入诚信档案且处于对外公告期限内的，本项得0分。</w:t>
            </w:r>
          </w:p>
          <w:p>
            <w:pPr>
              <w:adjustRightInd w:val="0"/>
              <w:snapToGrid w:val="0"/>
              <w:spacing w:line="360" w:lineRule="exact"/>
              <w:rPr>
                <w:rFonts w:cs="宋体" w:asciiTheme="minorEastAsia" w:hAnsiTheme="minorEastAsia"/>
                <w:sz w:val="24"/>
                <w:szCs w:val="24"/>
              </w:rPr>
            </w:pPr>
            <w:r>
              <w:rPr>
                <w:rFonts w:hint="eastAsia" w:cs="宋体" w:asciiTheme="minorEastAsia" w:hAnsiTheme="minorEastAsia"/>
                <w:sz w:val="24"/>
                <w:szCs w:val="24"/>
              </w:rPr>
              <w:t>投标文件中无需提供证明材料，由评审委员会根据招标文件的规定进行评审。</w:t>
            </w:r>
          </w:p>
        </w:tc>
        <w:tc>
          <w:tcPr>
            <w:tcW w:w="1195" w:type="dxa"/>
            <w:gridSpan w:val="2"/>
            <w:vAlign w:val="center"/>
          </w:tcPr>
          <w:p>
            <w:pPr>
              <w:spacing w:line="360" w:lineRule="exact"/>
              <w:jc w:val="center"/>
              <w:rPr>
                <w:rFonts w:cs="仿宋" w:asciiTheme="minorEastAsia" w:hAnsiTheme="minorEastAsia"/>
                <w:sz w:val="24"/>
                <w:szCs w:val="24"/>
                <w:lang w:val="zh-CN"/>
              </w:rPr>
            </w:pPr>
            <w:r>
              <w:rPr>
                <w:rFonts w:hint="eastAsia" w:cs="仿宋" w:asciiTheme="minorEastAsia" w:hAnsiTheme="minorEastAsia"/>
                <w:sz w:val="24"/>
                <w:szCs w:val="24"/>
                <w:lang w:val="zh-CN"/>
              </w:rPr>
              <w:t>专家打分</w:t>
            </w:r>
          </w:p>
        </w:tc>
      </w:tr>
    </w:tbl>
    <w:p>
      <w:pPr>
        <w:spacing w:line="360" w:lineRule="auto"/>
        <w:ind w:firstLine="480" w:firstLineChars="200"/>
        <w:jc w:val="left"/>
        <w:rPr>
          <w:rFonts w:ascii="宋体" w:hAnsi="宋体"/>
          <w:sz w:val="24"/>
        </w:rPr>
        <w:sectPr>
          <w:pgSz w:w="11906" w:h="16838"/>
          <w:pgMar w:top="1418" w:right="1474" w:bottom="1418" w:left="1474" w:header="851" w:footer="992" w:gutter="0"/>
          <w:cols w:space="425" w:num="1"/>
          <w:docGrid w:type="lines" w:linePitch="312" w:charSpace="0"/>
        </w:sectPr>
      </w:pPr>
    </w:p>
    <w:p>
      <w:pPr>
        <w:pStyle w:val="2"/>
      </w:pPr>
      <w:r>
        <w:rPr>
          <w:rFonts w:hint="eastAsia"/>
        </w:rPr>
        <w:t>第三章  投标人须知</w:t>
      </w:r>
      <w:bookmarkEnd w:id="10"/>
      <w:bookmarkEnd w:id="11"/>
    </w:p>
    <w:p>
      <w:pPr>
        <w:pStyle w:val="5"/>
        <w:ind w:firstLine="482"/>
      </w:pPr>
      <w:bookmarkStart w:id="12" w:name="_Toc55548492"/>
      <w:r>
        <w:t>一、说明</w:t>
      </w:r>
      <w:bookmarkEnd w:id="12"/>
    </w:p>
    <w:p>
      <w:pPr>
        <w:pStyle w:val="4"/>
        <w:spacing w:line="360" w:lineRule="auto"/>
        <w:ind w:firstLine="482"/>
      </w:pPr>
      <w:bookmarkStart w:id="13" w:name="_Toc18091"/>
      <w:bookmarkStart w:id="14" w:name="_Toc55548493"/>
      <w:r>
        <w:t>招标人及资金来源</w:t>
      </w:r>
      <w:bookmarkEnd w:id="13"/>
      <w:bookmarkEnd w:id="14"/>
    </w:p>
    <w:p>
      <w:pPr>
        <w:spacing w:line="360" w:lineRule="auto"/>
        <w:ind w:firstLine="420" w:firstLineChars="200"/>
        <w:rPr>
          <w:rFonts w:asciiTheme="minorEastAsia" w:hAnsiTheme="minorEastAsia"/>
          <w:szCs w:val="21"/>
        </w:rPr>
      </w:pPr>
      <w:bookmarkStart w:id="15"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5"/>
    </w:p>
    <w:p>
      <w:pPr>
        <w:pStyle w:val="4"/>
        <w:spacing w:line="360" w:lineRule="auto"/>
        <w:ind w:firstLine="482"/>
      </w:pPr>
      <w:bookmarkStart w:id="16" w:name="_Toc55548494"/>
      <w:bookmarkStart w:id="17" w:name="_Toc29370"/>
      <w:r>
        <w:t>合格的投标人</w:t>
      </w:r>
      <w:bookmarkEnd w:id="16"/>
      <w:bookmarkEnd w:id="17"/>
    </w:p>
    <w:p>
      <w:pPr>
        <w:spacing w:line="360" w:lineRule="auto"/>
        <w:ind w:firstLine="420" w:firstLineChars="200"/>
        <w:rPr>
          <w:rFonts w:asciiTheme="minorEastAsia" w:hAnsiTheme="minorEastAsia"/>
          <w:szCs w:val="21"/>
        </w:rPr>
      </w:pPr>
      <w:bookmarkStart w:id="18" w:name="_Ref179620057"/>
      <w:r>
        <w:rPr>
          <w:rFonts w:asciiTheme="minorEastAsia" w:hAnsiTheme="minorEastAsia"/>
          <w:szCs w:val="21"/>
        </w:rPr>
        <w:t>合格的投标人</w:t>
      </w:r>
      <w:bookmarkEnd w:id="18"/>
    </w:p>
    <w:p>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pPr>
        <w:pStyle w:val="4"/>
        <w:spacing w:line="360" w:lineRule="auto"/>
        <w:ind w:firstLine="482"/>
      </w:pPr>
      <w:bookmarkStart w:id="19" w:name="_Toc55548495"/>
      <w:bookmarkStart w:id="20" w:name="_Toc12412"/>
      <w:r>
        <w:t>合格的货物和服务</w:t>
      </w:r>
      <w:bookmarkEnd w:id="19"/>
      <w:bookmarkEnd w:id="20"/>
    </w:p>
    <w:p>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pPr>
        <w:pStyle w:val="4"/>
        <w:spacing w:line="360" w:lineRule="auto"/>
        <w:ind w:firstLine="482"/>
      </w:pPr>
      <w:bookmarkStart w:id="21" w:name="_Toc25686"/>
      <w:bookmarkStart w:id="22" w:name="_Toc55548496"/>
      <w:r>
        <w:t>投标费用</w:t>
      </w:r>
      <w:bookmarkEnd w:id="21"/>
      <w:bookmarkEnd w:id="22"/>
    </w:p>
    <w:p>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pPr>
        <w:pStyle w:val="4"/>
        <w:spacing w:line="360" w:lineRule="auto"/>
        <w:ind w:firstLine="482"/>
      </w:pPr>
      <w:bookmarkStart w:id="23" w:name="_Toc10390"/>
      <w:bookmarkStart w:id="24" w:name="_Toc55548497"/>
      <w:r>
        <w:t>踏勘现场</w:t>
      </w:r>
      <w:bookmarkEnd w:id="23"/>
      <w:bookmarkEnd w:id="24"/>
    </w:p>
    <w:p>
      <w:pPr>
        <w:spacing w:line="360" w:lineRule="auto"/>
        <w:ind w:firstLine="420" w:firstLineChars="200"/>
        <w:rPr>
          <w:rFonts w:asciiTheme="minorEastAsia" w:hAnsiTheme="minorEastAsia"/>
          <w:szCs w:val="21"/>
        </w:rPr>
      </w:pPr>
      <w:bookmarkStart w:id="25"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将组织投标人对项目现场及周围环境进行踏勘，以便投标人获取须自己负责的有关编制响应文件和签署合同所需的所有资料。踏勘现场所发生的费用由投标人自己承担。</w:t>
      </w:r>
      <w:bookmarkEnd w:id="25"/>
    </w:p>
    <w:p>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pPr>
        <w:pStyle w:val="5"/>
        <w:ind w:firstLine="482"/>
      </w:pPr>
      <w:bookmarkStart w:id="26" w:name="_Toc55548498"/>
      <w:bookmarkStart w:id="27" w:name="_Toc6043"/>
      <w:bookmarkStart w:id="28" w:name="_Toc1751"/>
      <w:r>
        <w:t>二、竞价文件</w:t>
      </w:r>
      <w:bookmarkEnd w:id="26"/>
      <w:bookmarkEnd w:id="27"/>
      <w:bookmarkEnd w:id="28"/>
    </w:p>
    <w:p>
      <w:pPr>
        <w:pStyle w:val="4"/>
        <w:spacing w:line="360" w:lineRule="auto"/>
        <w:ind w:firstLine="482"/>
      </w:pPr>
      <w:bookmarkStart w:id="29" w:name="_Toc19397"/>
      <w:bookmarkStart w:id="30" w:name="_Toc55548499"/>
      <w:r>
        <w:t>竞价文件的构成</w:t>
      </w:r>
      <w:bookmarkEnd w:id="29"/>
      <w:bookmarkEnd w:id="30"/>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响应文件格式</w:t>
      </w:r>
    </w:p>
    <w:p>
      <w:pPr>
        <w:spacing w:line="360" w:lineRule="auto"/>
        <w:ind w:firstLine="420" w:firstLineChars="200"/>
        <w:rPr>
          <w:rFonts w:asciiTheme="minorEastAsia" w:hAnsiTheme="minorEastAsia"/>
          <w:szCs w:val="21"/>
        </w:rPr>
      </w:pPr>
      <w:r>
        <w:rPr>
          <w:rFonts w:asciiTheme="minorEastAsia" w:hAnsiTheme="minorEastAsia"/>
          <w:szCs w:val="21"/>
        </w:rPr>
        <w:t>投标人应认真阅读竞价文件中所有的事项、格式、条款和技术规格等。投标人没有按照竞价文件要求提交全部资料，或者投标没有对竞价文件在各方面都作出实质性响应是投标人的风险，并可能导致其投标被拒绝。</w:t>
      </w:r>
    </w:p>
    <w:p>
      <w:pPr>
        <w:pStyle w:val="4"/>
        <w:spacing w:line="360" w:lineRule="auto"/>
        <w:ind w:firstLine="482"/>
      </w:pPr>
      <w:bookmarkStart w:id="31" w:name="_Toc31711"/>
      <w:bookmarkStart w:id="32" w:name="_Toc55548500"/>
      <w:r>
        <w:t>竞价文件的澄清</w:t>
      </w:r>
      <w:bookmarkEnd w:id="31"/>
      <w:bookmarkEnd w:id="32"/>
    </w:p>
    <w:p>
      <w:pPr>
        <w:spacing w:line="360" w:lineRule="auto"/>
        <w:ind w:firstLine="420" w:firstLineChars="200"/>
        <w:rPr>
          <w:rFonts w:asciiTheme="minorEastAsia" w:hAnsiTheme="minorEastAsia"/>
          <w:szCs w:val="21"/>
        </w:rPr>
      </w:pPr>
      <w:r>
        <w:rPr>
          <w:rFonts w:asciiTheme="minorEastAsia" w:hAnsiTheme="minorEastAsia"/>
          <w:szCs w:val="21"/>
        </w:rPr>
        <w:t>任何要求对竞价文件进行澄清的潜在投标人，均应以书面形式通知招标人。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对其在投标截止期五日以前收到的对竞价文件的澄清要求均以书面形式予以答复，同时将书面答复方式发给每个购买竞价文件的潜在投标人(答复中不包括问题的来源)。</w:t>
      </w:r>
    </w:p>
    <w:p>
      <w:pPr>
        <w:pStyle w:val="4"/>
        <w:spacing w:line="360" w:lineRule="auto"/>
        <w:ind w:firstLine="482"/>
      </w:pPr>
      <w:bookmarkStart w:id="33" w:name="_Toc55548501"/>
      <w:bookmarkStart w:id="34" w:name="_Ref179619612"/>
      <w:bookmarkStart w:id="35" w:name="_Toc21781"/>
      <w:r>
        <w:t>竞价文件的修改</w:t>
      </w:r>
      <w:bookmarkEnd w:id="33"/>
      <w:bookmarkEnd w:id="34"/>
      <w:bookmarkEnd w:id="35"/>
    </w:p>
    <w:p>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在投标截止时间三日前，招标人可主动地或在解答潜在投标人提出的澄清问题时对竞价文件进行修改。澄清或修改时间不足三日的，</w:t>
      </w:r>
      <w:r>
        <w:rPr>
          <w:rFonts w:hint="eastAsia" w:asciiTheme="minorEastAsia" w:hAnsiTheme="minorEastAsia"/>
          <w:szCs w:val="21"/>
        </w:rPr>
        <w:t>本中心</w:t>
      </w:r>
      <w:r>
        <w:rPr>
          <w:rFonts w:asciiTheme="minorEastAsia" w:hAnsiTheme="minorEastAsia"/>
          <w:szCs w:val="21"/>
        </w:rPr>
        <w:t>在征得已获取竞价文件的供应商同意并书面确认后，可不改变投标截至时间。</w:t>
      </w:r>
    </w:p>
    <w:p>
      <w:pPr>
        <w:spacing w:line="360" w:lineRule="auto"/>
        <w:ind w:firstLine="420" w:firstLineChars="200"/>
        <w:rPr>
          <w:rFonts w:asciiTheme="minorEastAsia" w:hAnsiTheme="minorEastAsia"/>
          <w:szCs w:val="21"/>
        </w:rPr>
      </w:pPr>
      <w:bookmarkStart w:id="36" w:name="_Ref179619147"/>
      <w:r>
        <w:rPr>
          <w:rFonts w:asciiTheme="minorEastAsia" w:hAnsiTheme="minorEastAsia"/>
          <w:szCs w:val="21"/>
        </w:rPr>
        <w:t>竞价文件的修改是竞价文件的组成部分，竞价文件的修改均在</w:t>
      </w:r>
      <w:r>
        <w:rPr>
          <w:rFonts w:hint="eastAsia" w:asciiTheme="minorEastAsia" w:hAnsiTheme="minorEastAsia"/>
          <w:kern w:val="0"/>
          <w:szCs w:val="21"/>
        </w:rPr>
        <w:t>http://www.bawjxt.net/bacdc/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6"/>
    </w:p>
    <w:p>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为使投标人准备投标时有充分时间对竞价文件的修改部分进行研究，招标人可适当推迟投标截止期。</w:t>
      </w:r>
    </w:p>
    <w:p>
      <w:pPr>
        <w:pStyle w:val="5"/>
        <w:ind w:firstLine="482"/>
      </w:pPr>
      <w:bookmarkStart w:id="37" w:name="_Toc55548502"/>
      <w:bookmarkStart w:id="38" w:name="_Toc20164"/>
      <w:bookmarkStart w:id="39" w:name="_Toc6740"/>
      <w:r>
        <w:t>三、响应文件的编制</w:t>
      </w:r>
      <w:bookmarkEnd w:id="37"/>
      <w:bookmarkEnd w:id="38"/>
      <w:bookmarkEnd w:id="39"/>
    </w:p>
    <w:p>
      <w:pPr>
        <w:pStyle w:val="4"/>
        <w:spacing w:line="360" w:lineRule="auto"/>
        <w:ind w:firstLine="482"/>
      </w:pPr>
      <w:bookmarkStart w:id="40" w:name="_Toc28578"/>
      <w:bookmarkStart w:id="41" w:name="_Toc55548503"/>
      <w:r>
        <w:t>投标的语言</w:t>
      </w:r>
      <w:bookmarkEnd w:id="40"/>
      <w:bookmarkEnd w:id="41"/>
    </w:p>
    <w:p>
      <w:pPr>
        <w:spacing w:line="360" w:lineRule="auto"/>
        <w:ind w:firstLine="420" w:firstLineChars="200"/>
        <w:rPr>
          <w:rFonts w:asciiTheme="minorEastAsia" w:hAnsiTheme="minorEastAsia"/>
          <w:szCs w:val="21"/>
        </w:rPr>
      </w:pPr>
      <w:bookmarkStart w:id="42" w:name="_Ref179620571"/>
      <w:r>
        <w:rPr>
          <w:rFonts w:asciiTheme="minorEastAsia" w:hAnsiTheme="minorEastAsia"/>
          <w:szCs w:val="21"/>
        </w:rPr>
        <w:t>投标人提交的响应文件以及投标人与招标人就有关投标的所有来往函电均应使用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的翻译本，在解释响应文件时以翻译本为准。</w:t>
      </w:r>
      <w:bookmarkEnd w:id="42"/>
    </w:p>
    <w:p>
      <w:pPr>
        <w:pStyle w:val="4"/>
        <w:spacing w:line="360" w:lineRule="auto"/>
        <w:ind w:firstLine="482"/>
      </w:pPr>
      <w:bookmarkStart w:id="43" w:name="_Toc31114"/>
      <w:bookmarkStart w:id="44" w:name="_Toc55548504"/>
      <w:r>
        <w:t>投标范围及响应文件中计量单位的使用</w:t>
      </w:r>
      <w:bookmarkEnd w:id="43"/>
      <w:bookmarkEnd w:id="44"/>
    </w:p>
    <w:p>
      <w:pPr>
        <w:spacing w:line="360" w:lineRule="auto"/>
        <w:ind w:firstLine="420" w:firstLineChars="200"/>
        <w:rPr>
          <w:rFonts w:asciiTheme="minorEastAsia" w:hAnsiTheme="minorEastAsia"/>
          <w:szCs w:val="21"/>
        </w:rPr>
      </w:pPr>
      <w:r>
        <w:rPr>
          <w:rFonts w:asciiTheme="minorEastAsia" w:hAnsiTheme="minorEastAsia"/>
          <w:szCs w:val="21"/>
        </w:rPr>
        <w:t>投标人可对竞价文件中“用户需求书”中所述的所有货物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pPr>
        <w:spacing w:line="360" w:lineRule="auto"/>
        <w:ind w:firstLine="420" w:firstLineChars="200"/>
        <w:rPr>
          <w:rFonts w:asciiTheme="minorEastAsia" w:hAnsiTheme="minorEastAsia"/>
          <w:szCs w:val="21"/>
        </w:rPr>
      </w:pPr>
      <w:r>
        <w:rPr>
          <w:rFonts w:asciiTheme="minorEastAsia" w:hAnsiTheme="minorEastAsia"/>
          <w:szCs w:val="21"/>
        </w:rPr>
        <w:t>响应文件中所使用的计量单位，除竞价文件中有特殊要求外，应采用中华人民共和国法定计量单位。</w:t>
      </w:r>
    </w:p>
    <w:p>
      <w:pPr>
        <w:spacing w:line="360" w:lineRule="auto"/>
        <w:ind w:firstLine="420" w:firstLineChars="200"/>
        <w:rPr>
          <w:rFonts w:asciiTheme="minorEastAsia" w:hAnsiTheme="minorEastAsia"/>
          <w:szCs w:val="21"/>
        </w:rPr>
      </w:pPr>
      <w:r>
        <w:rPr>
          <w:rFonts w:asciiTheme="minorEastAsia" w:hAnsiTheme="minorEastAsia"/>
          <w:szCs w:val="21"/>
        </w:rPr>
        <w:t>除非另有说明，本竞价文件中所称“日”均指日历日，响应文件中需以日历日对竞价文件作出响应。评审时，对投标中出现的“工作日”按五个工作日折合七个日历日计算，且评标委员会可能会就有关日期作出对该投标人不利的折算或量化，投标人不得对此提出异议，否则其投标将被拒绝。</w:t>
      </w:r>
    </w:p>
    <w:p>
      <w:pPr>
        <w:pStyle w:val="4"/>
        <w:spacing w:line="360" w:lineRule="auto"/>
        <w:ind w:firstLine="482"/>
      </w:pPr>
      <w:bookmarkStart w:id="45" w:name="_Toc55548505"/>
      <w:bookmarkStart w:id="46" w:name="_Toc4999"/>
      <w:r>
        <w:t>响应文件的构成</w:t>
      </w:r>
      <w:bookmarkEnd w:id="45"/>
      <w:bookmarkEnd w:id="46"/>
    </w:p>
    <w:p>
      <w:pPr>
        <w:spacing w:line="360" w:lineRule="auto"/>
        <w:ind w:firstLine="420" w:firstLineChars="200"/>
        <w:rPr>
          <w:rFonts w:asciiTheme="minorEastAsia" w:hAnsiTheme="minorEastAsia"/>
          <w:szCs w:val="21"/>
        </w:rPr>
      </w:pPr>
      <w:r>
        <w:rPr>
          <w:rFonts w:asciiTheme="minorEastAsia" w:hAnsiTheme="minorEastAsia"/>
          <w:szCs w:val="21"/>
        </w:rPr>
        <w:t>投标人应完整地按竞价文件提供的响应文件格式制作响应文件。</w:t>
      </w:r>
    </w:p>
    <w:p>
      <w:pPr>
        <w:pStyle w:val="4"/>
        <w:spacing w:line="360" w:lineRule="auto"/>
        <w:ind w:firstLine="482"/>
      </w:pPr>
      <w:bookmarkStart w:id="47" w:name="_Toc55548507"/>
      <w:bookmarkStart w:id="48" w:name="_Toc12177"/>
      <w:r>
        <w:t>响应文件的编写</w:t>
      </w:r>
      <w:bookmarkEnd w:id="47"/>
      <w:bookmarkEnd w:id="48"/>
    </w:p>
    <w:p>
      <w:pPr>
        <w:spacing w:line="360" w:lineRule="auto"/>
        <w:ind w:firstLine="420" w:firstLineChars="200"/>
        <w:rPr>
          <w:rFonts w:asciiTheme="minorEastAsia" w:hAnsiTheme="minorEastAsia"/>
          <w:szCs w:val="21"/>
        </w:rPr>
      </w:pPr>
      <w:r>
        <w:rPr>
          <w:rFonts w:asciiTheme="minorEastAsia" w:hAnsiTheme="minorEastAsia"/>
          <w:szCs w:val="21"/>
        </w:rPr>
        <w:t>投标人应按竞价文件的规定，及附件要求的内容和格式完整地填写和提供资料，并保证所提供的全部资料的真实性。</w:t>
      </w:r>
    </w:p>
    <w:p>
      <w:pPr>
        <w:pStyle w:val="4"/>
        <w:spacing w:line="360" w:lineRule="auto"/>
        <w:ind w:firstLine="482"/>
      </w:pPr>
      <w:bookmarkStart w:id="49" w:name="_Toc55548508"/>
      <w:bookmarkStart w:id="50" w:name="_Toc26930"/>
      <w:r>
        <w:t>投标报价</w:t>
      </w:r>
      <w:bookmarkEnd w:id="49"/>
      <w:bookmarkEnd w:id="50"/>
    </w:p>
    <w:p>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pPr>
        <w:spacing w:line="360" w:lineRule="auto"/>
        <w:ind w:firstLine="420" w:firstLineChars="200"/>
        <w:rPr>
          <w:rFonts w:asciiTheme="minorEastAsia" w:hAnsiTheme="minorEastAsia"/>
          <w:szCs w:val="21"/>
        </w:rPr>
      </w:pPr>
      <w:bookmarkStart w:id="51" w:name="_Ref179619251"/>
      <w:r>
        <w:rPr>
          <w:rFonts w:asciiTheme="minorEastAsia" w:hAnsiTheme="minorEastAsia"/>
          <w:szCs w:val="21"/>
        </w:rPr>
        <w:t>投标人应在投标分项报价表上标明投标货物及相关服务的单价(如适用)和总价，并由法定代表人或其授权代表签署。投标总价中不得包含竞价文件要求以外的内容，否则，在评标时不予核减。</w:t>
      </w:r>
      <w:bookmarkEnd w:id="51"/>
    </w:p>
    <w:p>
      <w:pPr>
        <w:spacing w:line="360" w:lineRule="auto"/>
        <w:ind w:firstLine="420" w:firstLineChars="200"/>
        <w:rPr>
          <w:rFonts w:asciiTheme="minorEastAsia" w:hAnsiTheme="minorEastAsia"/>
          <w:szCs w:val="21"/>
        </w:rPr>
      </w:pPr>
      <w:bookmarkStart w:id="52"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2"/>
    </w:p>
    <w:p>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pPr>
        <w:spacing w:line="360" w:lineRule="auto"/>
        <w:ind w:firstLine="420" w:firstLineChars="200"/>
        <w:rPr>
          <w:rFonts w:asciiTheme="minorEastAsia" w:hAnsiTheme="minorEastAsia"/>
          <w:szCs w:val="21"/>
        </w:rPr>
      </w:pPr>
      <w:bookmarkStart w:id="53" w:name="_Ref179620755"/>
      <w:r>
        <w:rPr>
          <w:rFonts w:asciiTheme="minorEastAsia" w:hAnsiTheme="minorEastAsia"/>
          <w:szCs w:val="21"/>
        </w:rPr>
        <w:t>其他伴随服务的费用(如有)。</w:t>
      </w:r>
      <w:bookmarkEnd w:id="53"/>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投标人根据本须知的规定将投标价分成几部分，只是为了方便招标人对响应文件进行比较，并不限制招标人以上述任何条件订立合同的权力。 </w:t>
      </w:r>
    </w:p>
    <w:p>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pPr>
        <w:pStyle w:val="4"/>
        <w:spacing w:line="360" w:lineRule="auto"/>
        <w:ind w:firstLine="482"/>
      </w:pPr>
      <w:bookmarkStart w:id="54" w:name="_Toc11635"/>
      <w:bookmarkStart w:id="55" w:name="_Toc55548509"/>
      <w:r>
        <w:t>证明投标人合格和资格的文件</w:t>
      </w:r>
      <w:bookmarkEnd w:id="54"/>
      <w:bookmarkEnd w:id="55"/>
      <w:r>
        <w:t xml:space="preserve"> </w:t>
      </w:r>
    </w:p>
    <w:p>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pPr>
        <w:spacing w:line="360" w:lineRule="auto"/>
        <w:ind w:firstLine="420" w:firstLineChars="200"/>
        <w:rPr>
          <w:rFonts w:asciiTheme="minorEastAsia" w:hAnsiTheme="minorEastAsia"/>
          <w:szCs w:val="21"/>
        </w:rPr>
      </w:pPr>
      <w:r>
        <w:rPr>
          <w:rFonts w:asciiTheme="minorEastAsia" w:hAnsiTheme="minorEastAsia"/>
          <w:szCs w:val="21"/>
        </w:rPr>
        <w:t>竞价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响应文件中注明其制造商身份；代理商参加投标时则须提交相应授权文件，授权文件包括制造商或上级代理商授权（上级代理商授权文件应可追溯至制造商授权文件，并有完整的证明资料）；竞价文件对授权文件有特殊要求的，从其规定；</w:t>
      </w:r>
    </w:p>
    <w:p>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pPr>
        <w:spacing w:line="360" w:lineRule="auto"/>
        <w:ind w:firstLine="420" w:firstLineChars="200"/>
        <w:rPr>
          <w:rFonts w:asciiTheme="minorEastAsia" w:hAnsiTheme="minorEastAsia"/>
          <w:szCs w:val="21"/>
        </w:rPr>
      </w:pPr>
      <w:r>
        <w:rPr>
          <w:rFonts w:asciiTheme="minorEastAsia" w:hAnsiTheme="minorEastAsia"/>
          <w:szCs w:val="21"/>
        </w:rPr>
        <w:t>证明投标人满足竞价文件业绩要求的文件；</w:t>
      </w:r>
    </w:p>
    <w:p>
      <w:pPr>
        <w:spacing w:line="360" w:lineRule="auto"/>
        <w:ind w:firstLine="420" w:firstLineChars="200"/>
        <w:rPr>
          <w:rFonts w:asciiTheme="minorEastAsia" w:hAnsiTheme="minorEastAsia"/>
          <w:szCs w:val="21"/>
        </w:rPr>
      </w:pPr>
      <w:bookmarkStart w:id="56" w:name="_Ref179620846"/>
      <w:r>
        <w:rPr>
          <w:rFonts w:asciiTheme="minorEastAsia" w:hAnsiTheme="minorEastAsia"/>
          <w:szCs w:val="21"/>
        </w:rPr>
        <w:t>投标资料表要求的其它资格证明文件。</w:t>
      </w:r>
      <w:bookmarkEnd w:id="56"/>
    </w:p>
    <w:p>
      <w:pPr>
        <w:pStyle w:val="4"/>
        <w:spacing w:line="360" w:lineRule="auto"/>
        <w:ind w:firstLine="482"/>
      </w:pPr>
      <w:bookmarkStart w:id="57" w:name="_Toc55548510"/>
      <w:bookmarkStart w:id="58" w:name="_Toc28857"/>
      <w:r>
        <w:t>证明货物的合格性和符合竞价文件规定的文件</w:t>
      </w:r>
      <w:bookmarkEnd w:id="57"/>
      <w:bookmarkEnd w:id="58"/>
    </w:p>
    <w:p>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投标人应提交证明文件，证明其拟供的合同项下的货物和服务的合格性符合竞价文件规定。该证明文件作为响应文件的一部分。</w:t>
      </w:r>
    </w:p>
    <w:p>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货物从招标人验收后开始使用至竞价文件规定的保质期内正常、连续地使用所必须的备件和专用工具清单，包括备件和专用工具的货源及现行价格；</w:t>
      </w:r>
    </w:p>
    <w:p>
      <w:pPr>
        <w:spacing w:line="360" w:lineRule="auto"/>
        <w:ind w:firstLine="420" w:firstLineChars="200"/>
        <w:rPr>
          <w:rFonts w:asciiTheme="minorEastAsia" w:hAnsiTheme="minorEastAsia"/>
          <w:szCs w:val="21"/>
        </w:rPr>
      </w:pPr>
      <w:r>
        <w:rPr>
          <w:rFonts w:asciiTheme="minorEastAsia" w:hAnsiTheme="minorEastAsia"/>
          <w:szCs w:val="21"/>
        </w:rPr>
        <w:t>对照竞价文件技术规格，逐条说明所提供货物和服务已对竞价文件的技术规格做出了实质性的响应，并申明与技术规格条文的偏差和例外。特别对有具体参数要求的指标，投标人必须提供所投设备的具体参数值。</w:t>
      </w:r>
    </w:p>
    <w:p>
      <w:pPr>
        <w:spacing w:line="360" w:lineRule="auto"/>
        <w:ind w:firstLine="420" w:firstLineChars="200"/>
        <w:rPr>
          <w:rFonts w:asciiTheme="minorEastAsia" w:hAnsiTheme="minorEastAsia"/>
          <w:szCs w:val="21"/>
        </w:rPr>
      </w:pPr>
      <w:r>
        <w:rPr>
          <w:rFonts w:asciiTheme="minorEastAsia" w:hAnsiTheme="minorEastAsia"/>
          <w:szCs w:val="21"/>
        </w:rPr>
        <w:t>投标人应注意竞价文件的技术规格中指出的工艺、材料和设备的标准以及参照的品牌或型号仅起说明作用，并没有任何限制性。投标人在投标中可以选用替代标准、品牌或型号，但这些替代要实质上满足或超过竞价文件的要求。</w:t>
      </w:r>
    </w:p>
    <w:p>
      <w:pPr>
        <w:pStyle w:val="4"/>
        <w:spacing w:line="360" w:lineRule="auto"/>
        <w:ind w:firstLine="482"/>
      </w:pPr>
      <w:bookmarkStart w:id="59" w:name="_Toc55548511"/>
      <w:bookmarkStart w:id="60" w:name="_Toc1901"/>
      <w:r>
        <w:t>投标有效期</w:t>
      </w:r>
      <w:bookmarkEnd w:id="59"/>
      <w:bookmarkEnd w:id="60"/>
    </w:p>
    <w:p>
      <w:pPr>
        <w:spacing w:line="360" w:lineRule="auto"/>
        <w:ind w:firstLine="420" w:firstLineChars="200"/>
        <w:rPr>
          <w:rFonts w:asciiTheme="minorEastAsia" w:hAnsiTheme="minorEastAsia"/>
          <w:szCs w:val="21"/>
        </w:rPr>
      </w:pPr>
      <w:bookmarkStart w:id="61" w:name="_Ref179620893"/>
      <w:r>
        <w:rPr>
          <w:rFonts w:asciiTheme="minorEastAsia" w:hAnsiTheme="minorEastAsia"/>
          <w:szCs w:val="21"/>
        </w:rPr>
        <w:t>投标有效期不足的投标将被视为非实质性响应，并予以拒绝。</w:t>
      </w:r>
      <w:bookmarkEnd w:id="61"/>
    </w:p>
    <w:p>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Style w:val="4"/>
        <w:spacing w:line="360" w:lineRule="auto"/>
        <w:ind w:firstLine="482"/>
      </w:pPr>
      <w:bookmarkStart w:id="62" w:name="_Toc55548512"/>
      <w:bookmarkStart w:id="63" w:name="_Toc28446"/>
      <w:r>
        <w:t>响应文件的式样和签署</w:t>
      </w:r>
      <w:bookmarkEnd w:id="62"/>
      <w:bookmarkEnd w:id="63"/>
    </w:p>
    <w:p>
      <w:pPr>
        <w:spacing w:line="360" w:lineRule="auto"/>
        <w:ind w:firstLine="420" w:firstLineChars="200"/>
        <w:rPr>
          <w:rFonts w:asciiTheme="minorEastAsia" w:hAnsiTheme="minorEastAsia"/>
          <w:szCs w:val="21"/>
          <w:highlight w:val="yellow"/>
        </w:rPr>
      </w:pPr>
      <w:bookmarkStart w:id="64"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响应文件正本和</w:t>
      </w:r>
      <w:r>
        <w:rPr>
          <w:rFonts w:hint="eastAsia" w:asciiTheme="minorEastAsia" w:hAnsiTheme="minorEastAsia"/>
          <w:b/>
          <w:szCs w:val="21"/>
          <w:highlight w:val="yellow"/>
        </w:rPr>
        <w:t>两份</w:t>
      </w:r>
      <w:r>
        <w:rPr>
          <w:rFonts w:asciiTheme="minorEastAsia" w:hAnsiTheme="minorEastAsia"/>
          <w:szCs w:val="21"/>
          <w:highlight w:val="yellow"/>
        </w:rPr>
        <w:t>副本</w:t>
      </w:r>
      <w:r>
        <w:rPr>
          <w:rFonts w:hint="eastAsia" w:asciiTheme="minorEastAsia" w:hAnsiTheme="minorEastAsia"/>
          <w:szCs w:val="21"/>
          <w:highlight w:val="yellow"/>
        </w:rPr>
        <w:t>，电子版一份</w:t>
      </w:r>
      <w:r>
        <w:rPr>
          <w:rFonts w:asciiTheme="minorEastAsia" w:hAnsiTheme="minorEastAsia"/>
          <w:szCs w:val="21"/>
          <w:highlight w:val="yellow"/>
        </w:rPr>
        <w:t>，每套响应文件须清楚地标明“正本”或“副本”。若副本与正本不符，以正本为准。</w:t>
      </w:r>
      <w:bookmarkEnd w:id="64"/>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响应文件的正本需打印或用不褪色墨水书写，并由法定代表人或经其正式授权的代表签字并加盖单位印章。授权代表须持有书面的《法定代表人授权书》，并将其附在响应文件中。响应文件的副本可采用正本的复印件。</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任何行间插字、涂改和增删，必须由响应文件签字人用姓或首字母在旁边签字或由投标单位加盖公章才有效。</w:t>
      </w:r>
    </w:p>
    <w:p>
      <w:pPr>
        <w:pStyle w:val="4"/>
        <w:spacing w:line="360" w:lineRule="auto"/>
        <w:ind w:firstLine="482"/>
      </w:pPr>
      <w:bookmarkStart w:id="65" w:name="_Toc26845"/>
      <w:bookmarkStart w:id="66" w:name="_Toc9436"/>
      <w:bookmarkStart w:id="67" w:name="_Toc55548513"/>
      <w:r>
        <w:t>四、响应文件的递交</w:t>
      </w:r>
      <w:bookmarkEnd w:id="65"/>
      <w:bookmarkEnd w:id="66"/>
      <w:bookmarkEnd w:id="67"/>
    </w:p>
    <w:p>
      <w:pPr>
        <w:pStyle w:val="4"/>
        <w:spacing w:line="360" w:lineRule="auto"/>
        <w:ind w:firstLine="482"/>
      </w:pPr>
      <w:bookmarkStart w:id="68" w:name="_Toc55548514"/>
      <w:bookmarkStart w:id="69" w:name="_Toc6626"/>
      <w:r>
        <w:t>响应文件的密封和标记</w:t>
      </w:r>
      <w:bookmarkEnd w:id="68"/>
      <w:bookmarkEnd w:id="69"/>
    </w:p>
    <w:p>
      <w:pPr>
        <w:spacing w:line="360" w:lineRule="auto"/>
        <w:ind w:firstLine="420" w:firstLineChars="200"/>
        <w:rPr>
          <w:rFonts w:asciiTheme="minorEastAsia" w:hAnsiTheme="minorEastAsia"/>
          <w:szCs w:val="21"/>
          <w:highlight w:val="yellow"/>
        </w:rPr>
      </w:pPr>
      <w:bookmarkStart w:id="70" w:name="_Ref179620969"/>
      <w:r>
        <w:rPr>
          <w:rFonts w:asciiTheme="minorEastAsia" w:hAnsiTheme="minorEastAsia"/>
          <w:szCs w:val="21"/>
          <w:highlight w:val="yellow"/>
        </w:rPr>
        <w:t>投标人应将响应文件正本和所有的副本封装在一个信封中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0"/>
      <w:r>
        <w:rPr>
          <w:rFonts w:asciiTheme="minorEastAsia" w:hAnsiTheme="minorEastAsia"/>
          <w:szCs w:val="21"/>
          <w:highlight w:val="yellow"/>
        </w:rPr>
        <w:t xml:space="preserve"> </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w:t>
      </w:r>
      <w:r>
        <w:rPr>
          <w:rFonts w:hint="eastAsia" w:asciiTheme="minorEastAsia" w:hAnsiTheme="minorEastAsia"/>
          <w:szCs w:val="21"/>
          <w:highlight w:val="yellow"/>
        </w:rPr>
        <w:t>。</w:t>
      </w:r>
    </w:p>
    <w:p>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内层信封应写明投标人名称和地址，以便将迟交的响应文件能原封退回。</w:t>
      </w:r>
    </w:p>
    <w:p>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对响应文件的误投或提前启封概不负责。</w:t>
      </w:r>
    </w:p>
    <w:p>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投标人同时参加几个包投标时必须按竞价文件要求按包号分别制作响应文件，分别密封递交。</w:t>
      </w:r>
    </w:p>
    <w:p>
      <w:pPr>
        <w:pStyle w:val="4"/>
        <w:spacing w:line="360" w:lineRule="auto"/>
        <w:ind w:firstLine="482"/>
      </w:pPr>
      <w:bookmarkStart w:id="71" w:name="_Toc5724"/>
      <w:bookmarkStart w:id="72" w:name="_Toc55548516"/>
      <w:bookmarkStart w:id="73" w:name="_Ref179619638"/>
      <w:r>
        <w:t>投标截止期</w:t>
      </w:r>
      <w:bookmarkEnd w:id="71"/>
      <w:bookmarkEnd w:id="72"/>
      <w:bookmarkEnd w:id="73"/>
    </w:p>
    <w:p>
      <w:pPr>
        <w:spacing w:line="360" w:lineRule="auto"/>
        <w:ind w:firstLine="420" w:firstLineChars="200"/>
        <w:rPr>
          <w:rFonts w:asciiTheme="minorEastAsia" w:hAnsiTheme="minorEastAsia"/>
          <w:szCs w:val="21"/>
        </w:rPr>
      </w:pPr>
      <w:bookmarkStart w:id="74"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中规定的截止日期和时间将响应文件递交至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4"/>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可以通过修改竞价文件自行决定酌情推迟投标截止期。在此情况下，招标人和投标人受投标截止期制约的所有权利和义务均应延长至新的截止期。 </w:t>
      </w:r>
    </w:p>
    <w:p>
      <w:pPr>
        <w:pStyle w:val="4"/>
        <w:spacing w:line="360" w:lineRule="auto"/>
        <w:ind w:firstLine="482"/>
      </w:pPr>
      <w:bookmarkStart w:id="75" w:name="_Ref179619679"/>
      <w:bookmarkStart w:id="76" w:name="_Toc3231"/>
      <w:bookmarkStart w:id="77" w:name="_Toc55548517"/>
      <w:r>
        <w:t>迟交的响应文件</w:t>
      </w:r>
      <w:bookmarkEnd w:id="75"/>
      <w:bookmarkEnd w:id="76"/>
      <w:bookmarkEnd w:id="77"/>
    </w:p>
    <w:p>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的截止期后收到的任何响应文件。</w:t>
      </w:r>
    </w:p>
    <w:p>
      <w:pPr>
        <w:pStyle w:val="4"/>
        <w:spacing w:line="360" w:lineRule="auto"/>
        <w:ind w:firstLine="482"/>
      </w:pPr>
      <w:bookmarkStart w:id="78" w:name="_Toc865"/>
      <w:bookmarkStart w:id="79" w:name="_Ref179619013"/>
      <w:bookmarkStart w:id="80" w:name="_Toc55548518"/>
      <w:r>
        <w:t>响应文件的修改与撤回</w:t>
      </w:r>
      <w:bookmarkEnd w:id="78"/>
      <w:bookmarkEnd w:id="79"/>
      <w:bookmarkEnd w:id="80"/>
    </w:p>
    <w:p>
      <w:pPr>
        <w:spacing w:line="360" w:lineRule="auto"/>
        <w:ind w:firstLine="420" w:firstLineChars="200"/>
        <w:rPr>
          <w:rFonts w:asciiTheme="minorEastAsia" w:hAnsiTheme="minorEastAsia"/>
          <w:szCs w:val="21"/>
        </w:rPr>
      </w:pPr>
      <w:r>
        <w:rPr>
          <w:rFonts w:asciiTheme="minorEastAsia" w:hAnsiTheme="minorEastAsia"/>
          <w:szCs w:val="21"/>
        </w:rPr>
        <w:t>投标人在递交响应文件后，可以修改或撤回其投标，但投标人必须在规定的投标截止期之前将修改或撤回的书面通知递交到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pPr>
        <w:pStyle w:val="4"/>
        <w:spacing w:line="360" w:lineRule="auto"/>
        <w:ind w:firstLine="482"/>
      </w:pPr>
      <w:bookmarkStart w:id="81" w:name="_Toc55548519"/>
      <w:bookmarkStart w:id="82" w:name="_Toc22375"/>
      <w:r>
        <w:t>响应文件的退还</w:t>
      </w:r>
      <w:bookmarkEnd w:id="81"/>
      <w:bookmarkEnd w:id="82"/>
    </w:p>
    <w:p>
      <w:pPr>
        <w:spacing w:line="360" w:lineRule="auto"/>
        <w:ind w:firstLine="420" w:firstLineChars="200"/>
        <w:rPr>
          <w:rFonts w:asciiTheme="minorEastAsia" w:hAnsiTheme="minorEastAsia"/>
          <w:szCs w:val="21"/>
        </w:rPr>
      </w:pPr>
      <w:r>
        <w:rPr>
          <w:rFonts w:asciiTheme="minorEastAsia" w:hAnsiTheme="minorEastAsia"/>
          <w:szCs w:val="21"/>
        </w:rPr>
        <w:t>除非竞价文件另有规定或说明，响应文件一律不予退还。</w:t>
      </w:r>
    </w:p>
    <w:p>
      <w:pPr>
        <w:pStyle w:val="5"/>
        <w:ind w:firstLine="482"/>
      </w:pPr>
      <w:bookmarkStart w:id="83" w:name="_Toc55548520"/>
      <w:bookmarkStart w:id="84" w:name="_Toc27271"/>
      <w:bookmarkStart w:id="85" w:name="_Toc9126"/>
      <w:r>
        <w:t>五、开标与评标</w:t>
      </w:r>
      <w:bookmarkEnd w:id="83"/>
      <w:bookmarkEnd w:id="84"/>
      <w:bookmarkEnd w:id="85"/>
    </w:p>
    <w:p>
      <w:pPr>
        <w:pStyle w:val="4"/>
        <w:spacing w:line="360" w:lineRule="auto"/>
        <w:ind w:firstLine="482"/>
      </w:pPr>
      <w:bookmarkStart w:id="86" w:name="_Toc55548521"/>
      <w:bookmarkStart w:id="87" w:name="_Toc21095"/>
      <w:r>
        <w:t>开标</w:t>
      </w:r>
      <w:bookmarkEnd w:id="86"/>
      <w:bookmarkEnd w:id="87"/>
    </w:p>
    <w:p>
      <w:pPr>
        <w:spacing w:line="360" w:lineRule="auto"/>
        <w:ind w:firstLine="420" w:firstLineChars="200"/>
        <w:rPr>
          <w:rFonts w:asciiTheme="minorEastAsia" w:hAnsiTheme="minorEastAsia"/>
          <w:szCs w:val="21"/>
        </w:rPr>
      </w:pPr>
      <w:bookmarkStart w:id="88"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w:t>
      </w:r>
      <w:bookmarkEnd w:id="88"/>
    </w:p>
    <w:p>
      <w:pPr>
        <w:spacing w:line="360" w:lineRule="auto"/>
        <w:ind w:firstLine="420" w:firstLineChars="200"/>
        <w:rPr>
          <w:rFonts w:asciiTheme="minorEastAsia" w:hAnsiTheme="minorEastAsia"/>
          <w:szCs w:val="21"/>
        </w:rPr>
      </w:pPr>
      <w:r>
        <w:rPr>
          <w:rFonts w:asciiTheme="minorEastAsia" w:hAnsiTheme="minorEastAsia"/>
          <w:szCs w:val="21"/>
        </w:rPr>
        <w:t>除了按照本须知的规定原封退回迟到的投标之外，开标时将不得拒绝任何已购买竞价文件的投标人的投标。</w:t>
      </w:r>
    </w:p>
    <w:p>
      <w:pPr>
        <w:pStyle w:val="4"/>
        <w:spacing w:line="360" w:lineRule="auto"/>
        <w:ind w:firstLine="482"/>
      </w:pPr>
      <w:bookmarkStart w:id="89" w:name="_Toc1622"/>
      <w:bookmarkStart w:id="90" w:name="_Toc55548522"/>
      <w:r>
        <w:t>资格核查</w:t>
      </w:r>
      <w:bookmarkEnd w:id="89"/>
      <w:bookmarkEnd w:id="90"/>
    </w:p>
    <w:p>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就响应文件中的资格证明等内容对投标供应商进行资格核查，核查不合格的，认定其投标无效。核查合格的响应文件提交评标委员会进行评审。</w:t>
      </w:r>
    </w:p>
    <w:p>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资格证明文件未提供或不符合竞价文件要求的；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pPr>
        <w:pStyle w:val="4"/>
        <w:spacing w:line="360" w:lineRule="auto"/>
        <w:ind w:firstLine="482"/>
      </w:pPr>
      <w:bookmarkStart w:id="91" w:name="_Toc55548523"/>
      <w:bookmarkStart w:id="92" w:name="_Toc31201"/>
      <w:r>
        <w:t>评标委员会和评标方法</w:t>
      </w:r>
      <w:bookmarkEnd w:id="91"/>
      <w:bookmarkEnd w:id="92"/>
    </w:p>
    <w:p>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w:t>
      </w:r>
      <w:r>
        <w:rPr>
          <w:rFonts w:hint="eastAsia" w:asciiTheme="minorEastAsia" w:hAnsiTheme="minorEastAsia"/>
          <w:szCs w:val="21"/>
        </w:rPr>
        <w:t>随机抽取3位副高级以上专业委员</w:t>
      </w:r>
      <w:r>
        <w:rPr>
          <w:rFonts w:asciiTheme="minorEastAsia" w:hAnsiTheme="minorEastAsia"/>
          <w:szCs w:val="21"/>
        </w:rPr>
        <w:t>组成，成员人数为</w:t>
      </w:r>
      <w:r>
        <w:rPr>
          <w:rFonts w:hint="eastAsia" w:asciiTheme="minorEastAsia" w:hAnsiTheme="minorEastAsia"/>
          <w:szCs w:val="21"/>
        </w:rPr>
        <w:t>三</w:t>
      </w:r>
      <w:r>
        <w:rPr>
          <w:rFonts w:asciiTheme="minorEastAsia" w:hAnsiTheme="minorEastAsia"/>
          <w:szCs w:val="21"/>
        </w:rPr>
        <w:t>人或</w:t>
      </w:r>
      <w:r>
        <w:rPr>
          <w:rFonts w:hint="eastAsia" w:asciiTheme="minorEastAsia" w:hAnsiTheme="minorEastAsia"/>
          <w:szCs w:val="21"/>
        </w:rPr>
        <w:t>三</w:t>
      </w:r>
      <w:r>
        <w:rPr>
          <w:rFonts w:asciiTheme="minorEastAsia" w:hAnsiTheme="minorEastAsia"/>
          <w:szCs w:val="21"/>
        </w:rPr>
        <w:t>人以上单数。</w:t>
      </w:r>
    </w:p>
    <w:p>
      <w:pPr>
        <w:spacing w:line="360" w:lineRule="auto"/>
        <w:ind w:firstLine="420" w:firstLineChars="200"/>
        <w:rPr>
          <w:rFonts w:asciiTheme="minorEastAsia" w:hAnsiTheme="minorEastAsia"/>
          <w:szCs w:val="21"/>
        </w:rPr>
      </w:pPr>
      <w:bookmarkStart w:id="93"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3"/>
    </w:p>
    <w:p>
      <w:pPr>
        <w:spacing w:line="360" w:lineRule="auto"/>
        <w:ind w:firstLine="420" w:firstLineChars="200"/>
        <w:rPr>
          <w:rFonts w:asciiTheme="minorEastAsia" w:hAnsiTheme="minorEastAsia"/>
          <w:szCs w:val="21"/>
        </w:rPr>
      </w:pPr>
      <w:r>
        <w:rPr>
          <w:rFonts w:asciiTheme="minorEastAsia" w:hAnsiTheme="minorEastAsia"/>
          <w:szCs w:val="21"/>
        </w:rPr>
        <w:t>评标委员会对响应文件的评审内容，分为商务评议、技术评议和价格评议/综合评议。评审流程包括资格性检查、符合性检查、澄清问题、比较与评价、推荐中标候选人或确定中标人、编写评标报告等步骤。</w:t>
      </w:r>
    </w:p>
    <w:p>
      <w:pPr>
        <w:spacing w:line="360" w:lineRule="auto"/>
        <w:ind w:firstLine="420" w:firstLineChars="200"/>
        <w:rPr>
          <w:rFonts w:asciiTheme="minorEastAsia" w:hAnsiTheme="minorEastAsia"/>
          <w:szCs w:val="21"/>
        </w:rPr>
      </w:pPr>
      <w:bookmarkStart w:id="94" w:name="_Ref179619857"/>
      <w:r>
        <w:rPr>
          <w:rFonts w:asciiTheme="minorEastAsia" w:hAnsiTheme="minorEastAsia"/>
          <w:szCs w:val="21"/>
        </w:rPr>
        <w:t>在评标期间，评标委员会可要求投标人对其响应文件进行澄清，但不得寻求、提供或允许对投标价格等实质性内容做任何更改。有关澄清的要求和答复均应以书面形式提交。</w:t>
      </w:r>
      <w:bookmarkEnd w:id="94"/>
    </w:p>
    <w:p>
      <w:pPr>
        <w:spacing w:line="360" w:lineRule="auto"/>
        <w:ind w:firstLine="420" w:firstLineChars="200"/>
        <w:rPr>
          <w:rFonts w:asciiTheme="minorEastAsia" w:hAnsiTheme="minorEastAsia"/>
          <w:szCs w:val="21"/>
        </w:rPr>
      </w:pPr>
      <w:bookmarkStart w:id="95" w:name="_Toc10952"/>
      <w:bookmarkStart w:id="96" w:name="_Toc27507"/>
      <w:bookmarkStart w:id="97" w:name="_Toc3712"/>
      <w:bookmarkStart w:id="98" w:name="_Toc16749"/>
      <w:r>
        <w:rPr>
          <w:rFonts w:hint="eastAsia" w:asciiTheme="minorEastAsia" w:hAnsiTheme="minorEastAsia"/>
          <w:szCs w:val="21"/>
        </w:rPr>
        <w:t>不同投标人提供相同品牌产品</w:t>
      </w:r>
      <w:bookmarkEnd w:id="95"/>
      <w:bookmarkEnd w:id="96"/>
      <w:bookmarkEnd w:id="97"/>
      <w:bookmarkEnd w:id="98"/>
    </w:p>
    <w:p>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竞价文件规定的方式确定一个参加评标的投标人，竞价文件未规定的采取随机抽取方式确定，其他投标无效。</w:t>
      </w:r>
    </w:p>
    <w:p>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价文件规定的方式确定一个投标人获得中标人推荐资格，竞价文件未规定的采取随机抽取方式确定，其他同品牌投标人不作为中标候选人。</w:t>
      </w:r>
    </w:p>
    <w:p>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pPr>
        <w:pStyle w:val="4"/>
        <w:spacing w:line="360" w:lineRule="auto"/>
        <w:ind w:firstLine="482"/>
      </w:pPr>
      <w:bookmarkStart w:id="99" w:name="_Toc21426"/>
      <w:bookmarkStart w:id="100" w:name="_Toc55548524"/>
      <w:r>
        <w:rPr>
          <w:rFonts w:hint="eastAsia"/>
        </w:rPr>
        <w:t>响应文件的初审</w:t>
      </w:r>
      <w:bookmarkEnd w:id="99"/>
      <w:bookmarkEnd w:id="100"/>
    </w:p>
    <w:p>
      <w:pPr>
        <w:spacing w:line="360" w:lineRule="auto"/>
        <w:ind w:firstLine="420" w:firstLineChars="200"/>
        <w:rPr>
          <w:rFonts w:asciiTheme="minorEastAsia" w:hAnsiTheme="minorEastAsia"/>
          <w:szCs w:val="21"/>
        </w:rPr>
      </w:pPr>
      <w:r>
        <w:rPr>
          <w:rFonts w:asciiTheme="minorEastAsia" w:hAnsiTheme="minorEastAsia"/>
          <w:szCs w:val="21"/>
        </w:rPr>
        <w:t>评标委员会将审查响应文件是否完整、总体编排是否有序、文件签署是否合格等。</w:t>
      </w:r>
    </w:p>
    <w:p>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响应文件中明细表内容不相符的，以开标一览表为准；若用文字表示的数值与用数字表示的数值不一致，以文字表示的数值为准。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响应文件中的缺漏项将按以下方法更正：以所有投标报价中该项最高报价核算其缺漏项金额，缺漏项金额大于或等于其投标总价的1%时，视为重大投标漏项，该投标作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pPr>
        <w:spacing w:line="360" w:lineRule="auto"/>
        <w:ind w:firstLine="420" w:firstLineChars="200"/>
        <w:rPr>
          <w:rFonts w:asciiTheme="minorEastAsia" w:hAnsiTheme="minorEastAsia"/>
          <w:szCs w:val="21"/>
        </w:rPr>
      </w:pPr>
      <w:r>
        <w:rPr>
          <w:rFonts w:asciiTheme="minorEastAsia" w:hAnsiTheme="minorEastAsia"/>
          <w:szCs w:val="21"/>
        </w:rPr>
        <w:t>对于响应文件中不构成实质性偏差的不正规、不一致或不规则，评标委员会可以接受，但这种接受不能损害或影响任何投标人的相对排序。</w:t>
      </w:r>
    </w:p>
    <w:p>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响应文件是否实质上响应了竞价文件的要求。实质上响应的投标是与竞价文件要求的关键条款、条件和规格相符，没有重大偏离的投标。例如关于投标保证金、投标人资格要求、关键技术指标要求、投标报价要求和评标标准等。评标委员会审查投标的响应性只根据响应文件本身的内容，而不寻求外部的证据。</w:t>
      </w:r>
    </w:p>
    <w:p>
      <w:pPr>
        <w:spacing w:line="360" w:lineRule="auto"/>
        <w:ind w:firstLine="420" w:firstLineChars="200"/>
        <w:rPr>
          <w:rFonts w:asciiTheme="minorEastAsia" w:hAnsiTheme="minorEastAsia"/>
          <w:szCs w:val="21"/>
        </w:rPr>
      </w:pPr>
      <w:bookmarkStart w:id="101" w:name="_Ref179619330"/>
      <w:r>
        <w:rPr>
          <w:rFonts w:asciiTheme="minorEastAsia" w:hAnsiTheme="minorEastAsia"/>
          <w:szCs w:val="21"/>
        </w:rPr>
        <w:t>实质上没有响应竞价文件要求的投标将被作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1"/>
    </w:p>
    <w:p>
      <w:pPr>
        <w:spacing w:line="360" w:lineRule="auto"/>
        <w:ind w:firstLine="420" w:firstLineChars="200"/>
        <w:rPr>
          <w:rFonts w:asciiTheme="minorEastAsia" w:hAnsiTheme="minorEastAsia"/>
          <w:szCs w:val="21"/>
        </w:rPr>
      </w:pPr>
      <w:bookmarkStart w:id="102" w:name="_Ref179621189"/>
      <w:r>
        <w:rPr>
          <w:rFonts w:asciiTheme="minorEastAsia" w:hAnsiTheme="minorEastAsia"/>
          <w:szCs w:val="21"/>
        </w:rPr>
        <w:t>符合性检查</w:t>
      </w:r>
      <w:bookmarkEnd w:id="102"/>
    </w:p>
    <w:p>
      <w:pPr>
        <w:spacing w:line="360" w:lineRule="auto"/>
        <w:ind w:firstLine="422" w:firstLineChars="200"/>
        <w:rPr>
          <w:rFonts w:asciiTheme="minorEastAsia" w:hAnsiTheme="minorEastAsia"/>
          <w:b/>
          <w:szCs w:val="21"/>
        </w:rPr>
      </w:pPr>
      <w:bookmarkStart w:id="103" w:name="_Toc1347"/>
      <w:bookmarkStart w:id="104" w:name="_Toc5963"/>
      <w:bookmarkStart w:id="105" w:name="_Toc2459"/>
      <w:bookmarkStart w:id="106" w:name="_Toc13273"/>
      <w:bookmarkStart w:id="107" w:name="_Toc25993"/>
      <w:bookmarkStart w:id="108" w:name="_Toc32392"/>
      <w:bookmarkStart w:id="109" w:name="_Toc385"/>
      <w:r>
        <w:rPr>
          <w:rFonts w:asciiTheme="minorEastAsia" w:hAnsiTheme="minorEastAsia"/>
          <w:b/>
          <w:szCs w:val="21"/>
        </w:rPr>
        <w:t>1) 响应文件的有效性、完整性瑕疵</w:t>
      </w:r>
      <w:bookmarkEnd w:id="103"/>
      <w:bookmarkEnd w:id="104"/>
      <w:bookmarkEnd w:id="105"/>
      <w:bookmarkEnd w:id="106"/>
      <w:bookmarkEnd w:id="107"/>
      <w:bookmarkEnd w:id="108"/>
      <w:bookmarkEnd w:id="109"/>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响应文件的数量、制作、密封、标记不符合要求；</w:t>
      </w:r>
      <w:r>
        <w:rPr>
          <w:rFonts w:hint="eastAsia" w:cs="宋体" w:asciiTheme="minorEastAsia" w:hAnsiTheme="minorEastAsia"/>
          <w:szCs w:val="21"/>
        </w:rPr>
        <w:t>②</w:t>
      </w:r>
      <w:r>
        <w:rPr>
          <w:rFonts w:asciiTheme="minorEastAsia" w:hAnsiTheme="minorEastAsia"/>
          <w:szCs w:val="21"/>
        </w:rPr>
        <w:t>响应文件无法定代表人或其授权代表签字，或签字人无法定代表人有效授权的；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签字盖章不符合竞价文件要求的；</w:t>
      </w:r>
      <w:r>
        <w:rPr>
          <w:rFonts w:hint="eastAsia" w:cs="宋体" w:asciiTheme="minorEastAsia" w:hAnsiTheme="minorEastAsia"/>
          <w:szCs w:val="21"/>
        </w:rPr>
        <w:t>④</w:t>
      </w:r>
      <w:r>
        <w:rPr>
          <w:rFonts w:asciiTheme="minorEastAsia" w:hAnsiTheme="minorEastAsia"/>
          <w:szCs w:val="21"/>
        </w:rPr>
        <w:t>响应文件内容有严重缺漏项的；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响应文件的关键内容字迹模糊、无法辨认的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未按竞价文件要求编制。</w:t>
      </w:r>
    </w:p>
    <w:p>
      <w:pPr>
        <w:spacing w:line="360" w:lineRule="auto"/>
        <w:ind w:firstLine="422" w:firstLineChars="200"/>
        <w:rPr>
          <w:rFonts w:asciiTheme="minorEastAsia" w:hAnsiTheme="minorEastAsia"/>
          <w:b/>
          <w:szCs w:val="21"/>
        </w:rPr>
      </w:pPr>
      <w:bookmarkStart w:id="110" w:name="_Toc6513"/>
      <w:bookmarkStart w:id="111" w:name="_Toc24825"/>
      <w:bookmarkStart w:id="112" w:name="_Toc30904"/>
      <w:bookmarkStart w:id="113" w:name="_Toc17493"/>
      <w:bookmarkStart w:id="114" w:name="_Toc31066"/>
      <w:bookmarkStart w:id="115" w:name="_Toc4787"/>
      <w:bookmarkStart w:id="116" w:name="_Toc29078"/>
      <w:r>
        <w:rPr>
          <w:rFonts w:asciiTheme="minorEastAsia" w:hAnsiTheme="minorEastAsia"/>
          <w:b/>
          <w:szCs w:val="21"/>
        </w:rPr>
        <w:t>2) 技术响应瑕疵</w:t>
      </w:r>
      <w:bookmarkEnd w:id="110"/>
      <w:bookmarkEnd w:id="111"/>
      <w:bookmarkEnd w:id="112"/>
      <w:bookmarkEnd w:id="113"/>
      <w:bookmarkEnd w:id="114"/>
      <w:bookmarkEnd w:id="115"/>
      <w:bookmarkEnd w:id="116"/>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响应文件不满足竞价文件中加注星号（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响应文件技术响应与事实不符或虚假投标的；</w:t>
      </w:r>
      <w:r>
        <w:rPr>
          <w:rFonts w:hint="eastAsia" w:cs="宋体" w:asciiTheme="minorEastAsia" w:hAnsiTheme="minorEastAsia"/>
          <w:szCs w:val="21"/>
        </w:rPr>
        <w:t>④</w:t>
      </w:r>
      <w:r>
        <w:rPr>
          <w:rFonts w:asciiTheme="minorEastAsia" w:hAnsiTheme="minorEastAsia"/>
          <w:szCs w:val="21"/>
        </w:rPr>
        <w:t>投标人复制竞价文件的技术规格相关部分内容作为其响应文件的一部分的；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其他未实质性响应竞价文件技术要求的。</w:t>
      </w:r>
    </w:p>
    <w:p>
      <w:pPr>
        <w:spacing w:line="360" w:lineRule="auto"/>
        <w:ind w:firstLine="422" w:firstLineChars="200"/>
        <w:rPr>
          <w:rFonts w:asciiTheme="minorEastAsia" w:hAnsiTheme="minorEastAsia"/>
          <w:b/>
          <w:szCs w:val="21"/>
        </w:rPr>
      </w:pPr>
      <w:bookmarkStart w:id="117" w:name="_Toc27147"/>
      <w:bookmarkStart w:id="118" w:name="_Toc19531"/>
      <w:bookmarkStart w:id="119" w:name="_Toc6987"/>
      <w:bookmarkStart w:id="120" w:name="_Toc16856"/>
      <w:bookmarkStart w:id="121" w:name="_Toc32692"/>
      <w:bookmarkStart w:id="122" w:name="_Toc9317"/>
      <w:bookmarkStart w:id="123" w:name="_Toc13742"/>
      <w:r>
        <w:rPr>
          <w:rFonts w:asciiTheme="minorEastAsia" w:hAnsiTheme="minorEastAsia"/>
          <w:b/>
          <w:szCs w:val="21"/>
        </w:rPr>
        <w:t>3) 商务响应瑕疵</w:t>
      </w:r>
      <w:bookmarkEnd w:id="117"/>
      <w:bookmarkEnd w:id="118"/>
      <w:bookmarkEnd w:id="119"/>
      <w:bookmarkEnd w:id="120"/>
      <w:bookmarkEnd w:id="121"/>
      <w:bookmarkEnd w:id="122"/>
      <w:bookmarkEnd w:id="123"/>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竞价文件加注星号（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招标项目完成期未满足竞价文件要求的；</w:t>
      </w:r>
      <w:r>
        <w:rPr>
          <w:rFonts w:hint="eastAsia" w:cs="宋体" w:asciiTheme="minorEastAsia" w:hAnsiTheme="minorEastAsia"/>
          <w:szCs w:val="21"/>
        </w:rPr>
        <w:t>③</w:t>
      </w:r>
      <w:r>
        <w:rPr>
          <w:rFonts w:asciiTheme="minorEastAsia" w:hAnsiTheme="minorEastAsia"/>
          <w:szCs w:val="21"/>
        </w:rPr>
        <w:t>响应文件载明的货物包装方式、检验标准和方法不符合竞价文件要求的；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响应文件附有招标人不能接受的条件的；</w:t>
      </w:r>
      <w:r>
        <w:rPr>
          <w:rFonts w:hint="eastAsia" w:cs="宋体" w:asciiTheme="minorEastAsia" w:hAnsiTheme="minorEastAsia"/>
          <w:szCs w:val="21"/>
        </w:rPr>
        <w:t>⑥</w:t>
      </w:r>
      <w:r>
        <w:rPr>
          <w:rFonts w:hint="eastAsia" w:asciiTheme="minorEastAsia" w:hAnsiTheme="minorEastAsia"/>
          <w:szCs w:val="21"/>
        </w:rPr>
        <w:t>响应文件中附有招标人不能接受的条件；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其他未实质性响应竞价文件商务要求的。</w:t>
      </w:r>
    </w:p>
    <w:p>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拒不按照要求对响应文件进行澄清、说明或者补正的；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投标报价超出预算控制金额上限，或超过竞价文件规定的最高投标限价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）法律法规及竞价文件中规定的其它情形。</w:t>
      </w:r>
    </w:p>
    <w:p>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根据项目情况，评标委员会有权决定竞价文件中“可能导致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pPr>
        <w:pStyle w:val="4"/>
        <w:spacing w:line="360" w:lineRule="auto"/>
        <w:ind w:firstLine="482"/>
      </w:pPr>
      <w:bookmarkStart w:id="124" w:name="_Toc7255"/>
      <w:bookmarkStart w:id="125" w:name="_Toc55548525"/>
      <w:r>
        <w:rPr>
          <w:rFonts w:hint="eastAsia"/>
        </w:rPr>
        <w:t>评标方法和定标原则</w:t>
      </w:r>
      <w:bookmarkEnd w:id="124"/>
      <w:bookmarkEnd w:id="125"/>
    </w:p>
    <w:p>
      <w:pPr>
        <w:spacing w:line="360" w:lineRule="auto"/>
        <w:ind w:firstLine="420" w:firstLineChars="200"/>
        <w:rPr>
          <w:rFonts w:asciiTheme="minorEastAsia" w:hAnsiTheme="minorEastAsia"/>
          <w:szCs w:val="21"/>
        </w:rPr>
      </w:pPr>
      <w:r>
        <w:rPr>
          <w:rFonts w:asciiTheme="minorEastAsia" w:hAnsiTheme="minorEastAsia"/>
          <w:szCs w:val="21"/>
        </w:rPr>
        <w:t>最低评标价法</w:t>
      </w:r>
    </w:p>
    <w:p>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竞价文件实质性要求前提下，以报价最低的投标供应商作为中标候选人或中标人。完全满足竞价文件的实质性要求，按照报价由低到高的顺序，依据竞价文件中规定的数量或者比例推荐候选中标供应商。</w:t>
      </w:r>
    </w:p>
    <w:p>
      <w:pPr>
        <w:spacing w:line="360" w:lineRule="auto"/>
        <w:ind w:firstLine="420" w:firstLineChars="200"/>
        <w:rPr>
          <w:rFonts w:asciiTheme="minorEastAsia" w:hAnsiTheme="minorEastAsia"/>
          <w:szCs w:val="21"/>
        </w:rPr>
      </w:pPr>
      <w:r>
        <w:rPr>
          <w:rFonts w:asciiTheme="minorEastAsia" w:hAnsiTheme="minorEastAsia"/>
          <w:szCs w:val="21"/>
        </w:rPr>
        <w:t>中标人的投标应当符合竞价文件规定的资质、技术要求和标准，但评标委员会无需对响应文件的技术部分进行价格折算。</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pPr>
        <w:spacing w:line="360" w:lineRule="auto"/>
        <w:ind w:firstLine="420" w:firstLineChars="200"/>
        <w:rPr>
          <w:rFonts w:asciiTheme="minorEastAsia" w:hAnsiTheme="minorEastAsia"/>
          <w:szCs w:val="21"/>
        </w:rPr>
      </w:pPr>
      <w:r>
        <w:rPr>
          <w:rFonts w:asciiTheme="minorEastAsia" w:hAnsiTheme="minorEastAsia"/>
          <w:szCs w:val="21"/>
        </w:rPr>
        <w:t>（一）满足竞价文件实质性要求；</w:t>
      </w:r>
    </w:p>
    <w:p>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pPr>
        <w:spacing w:line="360" w:lineRule="auto"/>
        <w:ind w:firstLine="420" w:firstLineChars="200"/>
        <w:rPr>
          <w:rFonts w:asciiTheme="minorEastAsia" w:hAnsiTheme="minorEastAsia"/>
          <w:szCs w:val="21"/>
        </w:rPr>
      </w:pPr>
      <w:r>
        <w:rPr>
          <w:rFonts w:asciiTheme="minorEastAsia" w:hAnsiTheme="minorEastAsia"/>
          <w:szCs w:val="21"/>
        </w:rPr>
        <w:t>综合评分法</w:t>
      </w:r>
    </w:p>
    <w:p>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竞价文件实质性要求前提下，按照竞价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评标委员会同时将参照本须知规定，只对确定为实质上响应竞价文件要求的投标进行下一步评定。</w:t>
      </w:r>
    </w:p>
    <w:p>
      <w:pPr>
        <w:spacing w:line="360" w:lineRule="auto"/>
        <w:ind w:firstLine="420" w:firstLineChars="200"/>
        <w:rPr>
          <w:rFonts w:asciiTheme="minorEastAsia" w:hAnsiTheme="minorEastAsia"/>
          <w:szCs w:val="21"/>
        </w:rPr>
      </w:pPr>
      <w:bookmarkStart w:id="126"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竞价文件。</w:t>
      </w:r>
      <w:bookmarkEnd w:id="126"/>
    </w:p>
    <w:p>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价格分计算方法：满足竞价文件要求且投标价格最低的投标报价为评标基准价，其价格分为满分。其他投标人的价格分统一按照下列公式计算：</w:t>
      </w:r>
    </w:p>
    <w:p>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pPr>
        <w:spacing w:line="360" w:lineRule="auto"/>
        <w:ind w:firstLine="420" w:firstLineChars="200"/>
        <w:rPr>
          <w:rFonts w:asciiTheme="minorEastAsia" w:hAnsiTheme="minorEastAsia"/>
          <w:szCs w:val="21"/>
        </w:rPr>
      </w:pPr>
      <w:r>
        <w:rPr>
          <w:rFonts w:asciiTheme="minorEastAsia" w:hAnsiTheme="minorEastAsia"/>
          <w:szCs w:val="21"/>
        </w:rPr>
        <w:t>性价比法</w:t>
      </w:r>
    </w:p>
    <w:p>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性价比法，是指除价格因素外，经对响应文件进行评审，计算出各评分因素的总分，除以投标报价，以商数最高的投标供应商作为中标候选供应商或中标供应商的评标方法。</w:t>
      </w:r>
    </w:p>
    <w:p>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0</w:t>
      </w:r>
      <w:r>
        <w:rPr>
          <w:rFonts w:asciiTheme="minorEastAsia" w:hAnsiTheme="minorEastAsia"/>
          <w:szCs w:val="21"/>
        </w:rPr>
        <w:fldChar w:fldCharType="end"/>
      </w:r>
      <w:r>
        <w:rPr>
          <w:rFonts w:asciiTheme="minorEastAsia" w:hAnsiTheme="minorEastAsia"/>
          <w:szCs w:val="21"/>
        </w:rPr>
        <w:t>条规定，只对确定为实质上响应竞价文件要求的投标进行下一步评定。</w:t>
      </w:r>
    </w:p>
    <w:p>
      <w:pPr>
        <w:spacing w:line="360" w:lineRule="auto"/>
        <w:ind w:firstLine="420" w:firstLineChars="200"/>
        <w:rPr>
          <w:rFonts w:asciiTheme="minorEastAsia" w:hAnsiTheme="minorEastAsia"/>
          <w:szCs w:val="21"/>
        </w:rPr>
      </w:pPr>
      <w:bookmarkStart w:id="127"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竞价文件。</w:t>
      </w:r>
      <w:bookmarkEnd w:id="127"/>
    </w:p>
    <w:p>
      <w:pPr>
        <w:spacing w:line="360" w:lineRule="auto"/>
        <w:ind w:firstLine="420" w:firstLineChars="200"/>
        <w:rPr>
          <w:rFonts w:asciiTheme="minorEastAsia" w:hAnsiTheme="minorEastAsia"/>
          <w:szCs w:val="21"/>
        </w:rPr>
      </w:pPr>
      <w:r>
        <w:rPr>
          <w:rFonts w:asciiTheme="minorEastAsia" w:hAnsiTheme="minorEastAsia"/>
          <w:szCs w:val="21"/>
        </w:rPr>
        <w:t>计算</w:t>
      </w:r>
    </w:p>
    <w:p>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pPr>
        <w:spacing w:line="360" w:lineRule="auto"/>
        <w:ind w:firstLine="420" w:firstLineChars="200"/>
        <w:rPr>
          <w:rFonts w:asciiTheme="minorEastAsia" w:hAnsiTheme="minorEastAsia"/>
          <w:szCs w:val="21"/>
        </w:rPr>
      </w:pPr>
      <w:r>
        <w:rPr>
          <w:rFonts w:asciiTheme="minorEastAsia" w:hAnsiTheme="minorEastAsia"/>
          <w:szCs w:val="21"/>
        </w:rPr>
        <w:t>定标原则</w:t>
      </w:r>
    </w:p>
    <w:p>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pPr>
        <w:pStyle w:val="5"/>
        <w:ind w:firstLine="482"/>
      </w:pPr>
      <w:bookmarkStart w:id="128" w:name="_Toc31060"/>
      <w:bookmarkStart w:id="129" w:name="_Toc55548528"/>
      <w:bookmarkStart w:id="130" w:name="_Toc12447"/>
      <w:r>
        <w:t>六、授予合同</w:t>
      </w:r>
      <w:bookmarkEnd w:id="128"/>
      <w:bookmarkEnd w:id="129"/>
      <w:bookmarkEnd w:id="130"/>
    </w:p>
    <w:p>
      <w:pPr>
        <w:pStyle w:val="4"/>
        <w:spacing w:line="360" w:lineRule="auto"/>
        <w:ind w:firstLine="482"/>
      </w:pPr>
      <w:bookmarkStart w:id="131" w:name="_Toc55548529"/>
      <w:bookmarkStart w:id="132" w:name="_Toc4551"/>
      <w:r>
        <w:rPr>
          <w:rFonts w:hint="eastAsia"/>
        </w:rPr>
        <w:t>最终审查</w:t>
      </w:r>
      <w:bookmarkEnd w:id="131"/>
      <w:bookmarkEnd w:id="132"/>
    </w:p>
    <w:p>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pPr>
        <w:pStyle w:val="4"/>
        <w:spacing w:line="360" w:lineRule="auto"/>
        <w:ind w:firstLine="482"/>
      </w:pPr>
      <w:bookmarkStart w:id="133" w:name="_Toc55548530"/>
      <w:bookmarkStart w:id="134" w:name="_Toc9998"/>
      <w:r>
        <w:rPr>
          <w:rFonts w:hint="eastAsia"/>
        </w:rPr>
        <w:t>合同授予标准</w:t>
      </w:r>
      <w:bookmarkEnd w:id="133"/>
      <w:bookmarkEnd w:id="134"/>
    </w:p>
    <w:p>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评标委员会将把合同授予被确定为实质上响应竞价文件的要求并有履行合同能力的最低评标价的投标人或综合评价得分最高的投标人或评标总商数最高的投标人。</w:t>
      </w:r>
    </w:p>
    <w:p>
      <w:pPr>
        <w:pStyle w:val="4"/>
        <w:spacing w:line="360" w:lineRule="auto"/>
        <w:ind w:firstLine="482"/>
      </w:pPr>
      <w:bookmarkStart w:id="135" w:name="_Toc29853"/>
      <w:bookmarkStart w:id="136" w:name="_Toc55548532"/>
      <w:r>
        <w:rPr>
          <w:rFonts w:hint="eastAsia"/>
        </w:rPr>
        <w:t>中标结果公示</w:t>
      </w:r>
      <w:bookmarkEnd w:id="135"/>
      <w:bookmarkEnd w:id="136"/>
    </w:p>
    <w:p>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http://www.bawjxt.net/bacdc/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Style w:val="4"/>
        <w:spacing w:line="360" w:lineRule="auto"/>
        <w:ind w:firstLine="482"/>
      </w:pPr>
      <w:bookmarkStart w:id="137" w:name="_Toc55548533"/>
      <w:bookmarkStart w:id="138" w:name="_Ref179619923"/>
      <w:bookmarkStart w:id="139" w:name="_Toc5257"/>
      <w:r>
        <w:rPr>
          <w:rFonts w:hint="eastAsia"/>
        </w:rPr>
        <w:t>接受和拒绝任何或所有投标的权力</w:t>
      </w:r>
      <w:bookmarkEnd w:id="137"/>
      <w:bookmarkEnd w:id="138"/>
      <w:bookmarkEnd w:id="139"/>
    </w:p>
    <w:p>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pPr>
        <w:pStyle w:val="4"/>
        <w:spacing w:line="360" w:lineRule="auto"/>
        <w:ind w:firstLine="482"/>
      </w:pPr>
      <w:bookmarkStart w:id="140" w:name="_Toc55548534"/>
      <w:bookmarkStart w:id="141" w:name="_Toc1842"/>
      <w:r>
        <w:rPr>
          <w:rFonts w:hint="eastAsia"/>
        </w:rPr>
        <w:t>中标通知书</w:t>
      </w:r>
      <w:bookmarkEnd w:id="140"/>
      <w:bookmarkEnd w:id="141"/>
    </w:p>
    <w:p>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pPr>
        <w:pStyle w:val="4"/>
        <w:spacing w:line="360" w:lineRule="auto"/>
        <w:ind w:firstLine="482"/>
      </w:pPr>
      <w:bookmarkStart w:id="142" w:name="_Ref179619520"/>
      <w:bookmarkStart w:id="143" w:name="_Toc55548535"/>
      <w:bookmarkStart w:id="144" w:name="_Toc11931"/>
      <w:r>
        <w:rPr>
          <w:rFonts w:hint="eastAsia"/>
        </w:rPr>
        <w:t>签订合同</w:t>
      </w:r>
      <w:bookmarkEnd w:id="142"/>
      <w:bookmarkEnd w:id="143"/>
      <w:bookmarkEnd w:id="144"/>
    </w:p>
    <w:p>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《中标通知书》发出后10个工作日内，中标人应按照竞价文件和中标人的响应文件订立书面合同。中标人不得与招标人再订立背离合同实质性内容的其他协议。</w:t>
      </w:r>
    </w:p>
    <w:p>
      <w:pPr>
        <w:spacing w:line="360" w:lineRule="auto"/>
        <w:ind w:firstLine="420" w:firstLineChars="200"/>
        <w:rPr>
          <w:rFonts w:asciiTheme="minorEastAsia" w:hAnsiTheme="minorEastAsia"/>
          <w:szCs w:val="21"/>
        </w:rPr>
      </w:pPr>
      <w:r>
        <w:rPr>
          <w:rFonts w:asciiTheme="minorEastAsia" w:hAnsiTheme="minorEastAsia"/>
          <w:szCs w:val="21"/>
        </w:rPr>
        <w:t>竞价文件、中标人的响应文件及其澄清文件等，均为签订合同的依据。</w:t>
      </w:r>
    </w:p>
    <w:p>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pPr>
        <w:spacing w:line="360" w:lineRule="auto"/>
        <w:ind w:firstLine="420" w:firstLineChars="200"/>
        <w:sectPr>
          <w:pgSz w:w="11906" w:h="16838"/>
          <w:pgMar w:top="1418" w:right="1474" w:bottom="1418" w:left="1474" w:header="851" w:footer="992" w:gutter="0"/>
          <w:cols w:space="425" w:num="1"/>
          <w:docGrid w:type="lines" w:linePitch="312" w:charSpace="0"/>
        </w:sectPr>
      </w:pPr>
    </w:p>
    <w:p>
      <w:pPr>
        <w:pStyle w:val="2"/>
      </w:pPr>
      <w:bookmarkStart w:id="145" w:name="_Toc86939331"/>
      <w:bookmarkStart w:id="146" w:name="_Toc61539111"/>
      <w:bookmarkStart w:id="147" w:name="_Toc61880307"/>
      <w:r>
        <w:rPr>
          <w:rFonts w:hint="eastAsia"/>
        </w:rPr>
        <w:t>第四章  附件－响应文件格式</w:t>
      </w:r>
      <w:bookmarkEnd w:id="145"/>
      <w:bookmarkEnd w:id="146"/>
      <w:bookmarkEnd w:id="147"/>
    </w:p>
    <w:p>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pPr>
        <w:keepNext/>
        <w:keepLines/>
        <w:spacing w:before="160" w:after="170"/>
        <w:ind w:firstLine="602" w:firstLineChars="200"/>
        <w:jc w:val="center"/>
        <w:outlineLvl w:val="4"/>
        <w:rPr>
          <w:b/>
          <w:bCs/>
          <w:sz w:val="30"/>
          <w:szCs w:val="28"/>
        </w:rPr>
      </w:pPr>
      <w:bookmarkStart w:id="148" w:name="_Toc55548538"/>
      <w:r>
        <w:rPr>
          <w:rFonts w:hint="eastAsia"/>
          <w:b/>
          <w:bCs/>
          <w:sz w:val="30"/>
          <w:szCs w:val="28"/>
        </w:rPr>
        <w:t>投标函</w:t>
      </w:r>
      <w:bookmarkEnd w:id="148"/>
    </w:p>
    <w:p>
      <w:pPr>
        <w:spacing w:line="360" w:lineRule="auto"/>
        <w:ind w:firstLine="420" w:firstLineChars="200"/>
        <w:rPr>
          <w:rFonts w:asciiTheme="minorEastAsia" w:hAnsiTheme="minorEastAsia"/>
          <w:color w:val="000000"/>
          <w:szCs w:val="21"/>
          <w:u w:val="single"/>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竞价文件，经详细研究，我们决定参加该项目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1、我方愿以《开标一览表》中填写的投标总价并按照竞价文件中的一切要求，承担上述项目的全部工作。</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2、我方提交的响应文件为：投标书正本一份，副本二份，电子档文件一份。</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3、如果我们投标书被接受，我们将履行竞价文件中规定的每一项要求，按期、按质、按量完成任务。</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4、我们愿意提供竞价文件中要求的所有资料，且所递交的响应文件在投标有效期（即90天）内有效，在此期间内我方的投标有可能中标，我方将受此约束。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7、我们同意竞价文件之规定，遵守有关招标的各项规定。</w:t>
      </w:r>
    </w:p>
    <w:p>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pPr>
        <w:spacing w:line="360" w:lineRule="auto"/>
        <w:ind w:firstLine="420" w:firstLineChars="200"/>
        <w:rPr>
          <w:rFonts w:asciiTheme="minorEastAsia" w:hAnsiTheme="minorEastAsia"/>
          <w:color w:val="000000"/>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pPr>
        <w:keepNext/>
        <w:keepLines/>
        <w:spacing w:before="160" w:after="170"/>
        <w:ind w:firstLine="602" w:firstLineChars="200"/>
        <w:jc w:val="center"/>
        <w:outlineLvl w:val="4"/>
        <w:rPr>
          <w:b/>
          <w:bCs/>
          <w:sz w:val="30"/>
          <w:szCs w:val="28"/>
        </w:rPr>
      </w:pPr>
      <w:bookmarkStart w:id="149" w:name="_Toc55548539"/>
      <w:bookmarkStart w:id="150" w:name="_Toc30545"/>
      <w:r>
        <w:rPr>
          <w:rFonts w:hint="eastAsia"/>
          <w:b/>
          <w:bCs/>
          <w:sz w:val="30"/>
          <w:szCs w:val="28"/>
        </w:rPr>
        <w:t>政府采购投标及履约承诺函</w:t>
      </w:r>
      <w:bookmarkEnd w:id="149"/>
    </w:p>
    <w:p>
      <w:pPr>
        <w:spacing w:line="276"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pPr>
        <w:spacing w:line="276" w:lineRule="auto"/>
        <w:ind w:right="-815" w:firstLine="420" w:firstLineChars="200"/>
        <w:rPr>
          <w:rFonts w:asciiTheme="minorEastAsia" w:hAnsiTheme="minorEastAsia"/>
          <w:szCs w:val="21"/>
        </w:rPr>
      </w:pPr>
      <w:r>
        <w:rPr>
          <w:rFonts w:hint="eastAsia" w:asciiTheme="minorEastAsia" w:hAnsiTheme="minorEastAsia"/>
          <w:szCs w:val="21"/>
        </w:rPr>
        <w:t>我公司承诺：</w:t>
      </w:r>
    </w:p>
    <w:p>
      <w:pPr>
        <w:spacing w:line="276"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pPr>
        <w:spacing w:line="276"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pPr>
        <w:spacing w:line="276"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pPr>
        <w:spacing w:line="276"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pPr>
        <w:spacing w:line="276"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pPr>
        <w:spacing w:line="276"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pPr>
        <w:spacing w:line="276"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276"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8.我公司如果中标，做到守信，不偷工减料，依照本项目采购文件需求内容、签署的采购合同及本公司在投标中所作的一切承诺履约。项目验收达到全部指标合格，力争优良。</w:t>
      </w:r>
    </w:p>
    <w:p>
      <w:pPr>
        <w:spacing w:line="276"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竞价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10.我公司已认真核实了响应文件的全部内容，所有资料均为真实资料。我公司对响应文件中全部投标资料的真实性负责，如被证实我公司的响应文件中存在虚假资料的，则视为我公司隐瞒真实情况、提供虚假资料，我公司愿意接受主管部门作出的行政处罚。</w:t>
      </w:r>
    </w:p>
    <w:p>
      <w:pPr>
        <w:spacing w:line="276"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pPr>
        <w:spacing w:line="276"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pPr>
        <w:adjustRightInd w:val="0"/>
        <w:snapToGrid w:val="0"/>
        <w:spacing w:line="276" w:lineRule="auto"/>
        <w:ind w:firstLine="422" w:firstLineChars="200"/>
        <w:rPr>
          <w:rFonts w:asciiTheme="minorEastAsia" w:hAnsiTheme="minorEastAsia"/>
          <w:b/>
          <w:snapToGrid w:val="0"/>
          <w:kern w:val="0"/>
          <w:szCs w:val="21"/>
        </w:rPr>
      </w:pP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276"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276"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0"/>
    </w:p>
    <w:p>
      <w:pPr>
        <w:keepNext/>
        <w:keepLines/>
        <w:spacing w:before="160" w:after="170"/>
        <w:ind w:firstLine="602" w:firstLineChars="200"/>
        <w:jc w:val="center"/>
        <w:outlineLvl w:val="4"/>
        <w:rPr>
          <w:b/>
          <w:bCs/>
          <w:snapToGrid w:val="0"/>
          <w:sz w:val="30"/>
          <w:szCs w:val="28"/>
        </w:rPr>
      </w:pPr>
      <w:bookmarkStart w:id="151" w:name="_Toc55548540"/>
      <w:r>
        <w:rPr>
          <w:rFonts w:hint="eastAsia"/>
          <w:b/>
          <w:bCs/>
          <w:snapToGrid w:val="0"/>
          <w:sz w:val="30"/>
          <w:szCs w:val="28"/>
        </w:rPr>
        <w:t>诚信承诺函</w:t>
      </w:r>
      <w:bookmarkEnd w:id="151"/>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响应文件与事实情况不符，我司自愿承担“隐瞒真实情况，提供虚假资料”以及其他一切不利的法律后果。</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（三）在响应文件中未说明且未经采购人同意，将中标项目分包给他人，情节严重的；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pPr>
        <w:spacing w:line="360" w:lineRule="auto"/>
        <w:ind w:firstLine="420" w:firstLineChars="200"/>
        <w:rPr>
          <w:rFonts w:asciiTheme="minorEastAsia" w:hAnsiTheme="minorEastAsia"/>
          <w:szCs w:val="21"/>
        </w:rPr>
      </w:pPr>
    </w:p>
    <w:p>
      <w:pPr>
        <w:spacing w:line="360" w:lineRule="auto"/>
        <w:ind w:firstLine="422" w:firstLineChars="200"/>
        <w:rPr>
          <w:rFonts w:asciiTheme="minorEastAsia" w:hAnsiTheme="minorEastAsia"/>
          <w:b/>
          <w:szCs w:val="21"/>
        </w:rPr>
      </w:pPr>
    </w:p>
    <w:p>
      <w:pPr>
        <w:spacing w:line="360" w:lineRule="auto"/>
        <w:rPr>
          <w:rFonts w:hint="eastAsia"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2" w:name="_Toc6706"/>
    </w:p>
    <w:bookmarkEnd w:id="152"/>
    <w:p>
      <w:pPr>
        <w:spacing w:line="360" w:lineRule="auto"/>
        <w:ind w:firstLine="420" w:firstLineChars="200"/>
      </w:pPr>
    </w:p>
    <w:p>
      <w:pPr>
        <w:spacing w:line="360" w:lineRule="auto"/>
        <w:ind w:firstLine="420" w:firstLineChars="200"/>
        <w:rPr>
          <w:rFonts w:asciiTheme="minorEastAsia" w:hAnsiTheme="minorEastAsia"/>
          <w:szCs w:val="21"/>
        </w:rPr>
      </w:pPr>
      <w:bookmarkStart w:id="153" w:name="_Toc32280"/>
      <w:r>
        <w:rPr>
          <w:rFonts w:hint="eastAsia" w:asciiTheme="minorEastAsia" w:hAnsiTheme="minorEastAsia"/>
          <w:szCs w:val="21"/>
        </w:rPr>
        <w:t>附件4：法定代表人证明书格式</w:t>
      </w:r>
      <w:bookmarkEnd w:id="153"/>
    </w:p>
    <w:p>
      <w:pPr>
        <w:keepNext/>
        <w:keepLines/>
        <w:spacing w:before="160" w:after="170"/>
        <w:ind w:firstLine="602" w:firstLineChars="200"/>
        <w:jc w:val="center"/>
        <w:outlineLvl w:val="4"/>
        <w:rPr>
          <w:b/>
          <w:bCs/>
          <w:sz w:val="30"/>
          <w:szCs w:val="28"/>
        </w:rPr>
      </w:pPr>
      <w:bookmarkStart w:id="154" w:name="_Toc55548545"/>
      <w:bookmarkStart w:id="155" w:name="_Toc2383"/>
      <w:r>
        <w:rPr>
          <w:rFonts w:hint="eastAsia"/>
          <w:b/>
          <w:bCs/>
          <w:sz w:val="30"/>
          <w:szCs w:val="28"/>
        </w:rPr>
        <w:t>法定代表人证明书</w:t>
      </w:r>
      <w:bookmarkEnd w:id="154"/>
    </w:p>
    <w:p>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有效日期与本公司响应文件中标注的投标有效期相同。</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附：</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附法定代表人身份证正反面：</w:t>
      </w: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p>
    <w:p>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pPr>
        <w:ind w:firstLine="420" w:firstLineChars="200"/>
      </w:pPr>
    </w:p>
    <w:p>
      <w:pPr>
        <w:adjustRightInd w:val="0"/>
        <w:snapToGrid w:val="0"/>
        <w:spacing w:line="360" w:lineRule="auto"/>
        <w:ind w:firstLine="422" w:firstLineChars="200"/>
        <w:rPr>
          <w:rFonts w:asciiTheme="minorEastAsia" w:hAnsiTheme="minorEastAsia"/>
          <w:b/>
          <w:snapToGrid w:val="0"/>
          <w:kern w:val="0"/>
          <w:szCs w:val="21"/>
        </w:rPr>
      </w:pPr>
    </w:p>
    <w:p>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pPr>
        <w:spacing w:line="360" w:lineRule="auto"/>
        <w:ind w:firstLine="420" w:firstLineChars="200"/>
        <w:rPr>
          <w:rFonts w:asciiTheme="minorEastAsia" w:hAnsiTheme="minorEastAsia"/>
          <w:szCs w:val="21"/>
        </w:rPr>
      </w:pPr>
      <w:r>
        <w:rPr>
          <w:rFonts w:hint="eastAsia" w:asciiTheme="minorEastAsia" w:hAnsiTheme="minorEastAsia"/>
          <w:szCs w:val="21"/>
        </w:rPr>
        <w:t>附件5：</w:t>
      </w:r>
      <w:bookmarkEnd w:id="155"/>
      <w:r>
        <w:rPr>
          <w:rFonts w:hint="eastAsia" w:asciiTheme="minorEastAsia" w:hAnsiTheme="minorEastAsia"/>
          <w:szCs w:val="21"/>
        </w:rPr>
        <w:t>法定代表人授权委托证明书</w:t>
      </w:r>
    </w:p>
    <w:p>
      <w:pPr>
        <w:keepNext/>
        <w:keepLines/>
        <w:spacing w:before="160" w:after="170"/>
        <w:ind w:firstLine="602" w:firstLineChars="200"/>
        <w:jc w:val="center"/>
        <w:outlineLvl w:val="4"/>
        <w:rPr>
          <w:b/>
          <w:bCs/>
          <w:sz w:val="30"/>
          <w:szCs w:val="28"/>
        </w:rPr>
      </w:pPr>
      <w:bookmarkStart w:id="156" w:name="_Toc55548546"/>
      <w:bookmarkStart w:id="157" w:name="_Toc437"/>
      <w:r>
        <w:rPr>
          <w:rFonts w:hint="eastAsia"/>
          <w:b/>
          <w:bCs/>
          <w:sz w:val="30"/>
          <w:szCs w:val="28"/>
        </w:rPr>
        <w:t>法定代表人授权委托书</w:t>
      </w:r>
      <w:bookmarkEnd w:id="156"/>
    </w:p>
    <w:p>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b/>
          <w:bCs/>
          <w:szCs w:val="21"/>
        </w:rPr>
        <w:t>：</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pPr>
        <w:spacing w:line="360" w:lineRule="auto"/>
        <w:ind w:firstLine="420" w:firstLineChars="200"/>
      </w:pPr>
      <w:r>
        <w:rPr>
          <w:rFonts w:hint="eastAsia"/>
        </w:rPr>
        <w:t>附被授权人（授权代表）身份证正反面：</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pPr>
        <w:spacing w:line="360" w:lineRule="auto"/>
        <w:ind w:firstLine="420" w:firstLineChars="200"/>
        <w:rPr>
          <w:rFonts w:asciiTheme="minorEastAsia" w:hAnsiTheme="minorEastAsia"/>
          <w:szCs w:val="21"/>
        </w:rPr>
      </w:pPr>
    </w:p>
    <w:p>
      <w:pPr>
        <w:adjustRightInd w:val="0"/>
        <w:snapToGrid w:val="0"/>
        <w:spacing w:line="360" w:lineRule="auto"/>
        <w:ind w:firstLine="422" w:firstLineChars="200"/>
        <w:rPr>
          <w:rFonts w:asciiTheme="minorEastAsia" w:hAnsiTheme="minorEastAsia"/>
          <w:b/>
          <w:snapToGrid w:val="0"/>
          <w:kern w:val="0"/>
          <w:szCs w:val="21"/>
        </w:rPr>
      </w:pPr>
    </w:p>
    <w:bookmarkEnd w:id="157"/>
    <w:p>
      <w:pPr>
        <w:spacing w:line="360" w:lineRule="auto"/>
        <w:rPr>
          <w:rFonts w:asciiTheme="minorEastAsia" w:hAnsiTheme="minorEastAsia"/>
          <w:szCs w:val="21"/>
        </w:rPr>
      </w:pPr>
    </w:p>
    <w:sectPr>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jc w:val="right"/>
      <w:rPr>
        <w:sz w:val="21"/>
        <w:szCs w:val="21"/>
      </w:rPr>
    </w:pPr>
    <w:bookmarkStart w:id="158" w:name="_Hlk69568635"/>
    <w:bookmarkStart w:id="159" w:name="_Hlk69568634"/>
    <w:r>
      <w:rPr>
        <w:rFonts w:hint="eastAsia"/>
        <w:sz w:val="21"/>
        <w:szCs w:val="21"/>
      </w:rPr>
      <w:t>深圳市宝安区疾病预防控制中心采购文件</w:t>
    </w:r>
    <w:bookmarkEnd w:id="158"/>
    <w:bookmarkEnd w:id="15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TRiY2QxYmJlMjllYWNhNjZjMTAzYThmMWJiZjQifQ=="/>
    <w:docVar w:name="KSO_WPS_MARK_KEY" w:val="5a4155cf-885c-4b4b-8306-888cdb18ec38"/>
  </w:docVars>
  <w:rsids>
    <w:rsidRoot w:val="00B27035"/>
    <w:rsid w:val="0000394F"/>
    <w:rsid w:val="00007A13"/>
    <w:rsid w:val="0001637F"/>
    <w:rsid w:val="00016C99"/>
    <w:rsid w:val="00016D41"/>
    <w:rsid w:val="00016DCD"/>
    <w:rsid w:val="00020F66"/>
    <w:rsid w:val="000236B7"/>
    <w:rsid w:val="00026541"/>
    <w:rsid w:val="000272A3"/>
    <w:rsid w:val="0003138A"/>
    <w:rsid w:val="000314E2"/>
    <w:rsid w:val="0004025C"/>
    <w:rsid w:val="00042723"/>
    <w:rsid w:val="00043668"/>
    <w:rsid w:val="00046F21"/>
    <w:rsid w:val="00050084"/>
    <w:rsid w:val="0005282E"/>
    <w:rsid w:val="000530FF"/>
    <w:rsid w:val="00053E10"/>
    <w:rsid w:val="000620DD"/>
    <w:rsid w:val="000627B7"/>
    <w:rsid w:val="00063659"/>
    <w:rsid w:val="00063CD0"/>
    <w:rsid w:val="00063FB1"/>
    <w:rsid w:val="0006774B"/>
    <w:rsid w:val="00071E3B"/>
    <w:rsid w:val="00073E9D"/>
    <w:rsid w:val="0007537F"/>
    <w:rsid w:val="00081A9E"/>
    <w:rsid w:val="00081D87"/>
    <w:rsid w:val="00084CCE"/>
    <w:rsid w:val="0008691A"/>
    <w:rsid w:val="00086C55"/>
    <w:rsid w:val="00086E51"/>
    <w:rsid w:val="00090FD5"/>
    <w:rsid w:val="00092A23"/>
    <w:rsid w:val="000968DD"/>
    <w:rsid w:val="000970E6"/>
    <w:rsid w:val="00097201"/>
    <w:rsid w:val="000974D9"/>
    <w:rsid w:val="000A013F"/>
    <w:rsid w:val="000A0BB6"/>
    <w:rsid w:val="000A45C9"/>
    <w:rsid w:val="000A4FF3"/>
    <w:rsid w:val="000A599B"/>
    <w:rsid w:val="000B13D0"/>
    <w:rsid w:val="000B2D75"/>
    <w:rsid w:val="000B3923"/>
    <w:rsid w:val="000B59F8"/>
    <w:rsid w:val="000B77F9"/>
    <w:rsid w:val="000B7EE0"/>
    <w:rsid w:val="000C561C"/>
    <w:rsid w:val="000C62B0"/>
    <w:rsid w:val="000C6CE9"/>
    <w:rsid w:val="000D08A9"/>
    <w:rsid w:val="000D2EB8"/>
    <w:rsid w:val="000D2FD9"/>
    <w:rsid w:val="000D476C"/>
    <w:rsid w:val="000D6859"/>
    <w:rsid w:val="000D68FB"/>
    <w:rsid w:val="000E3F9C"/>
    <w:rsid w:val="000E5888"/>
    <w:rsid w:val="000F0F3D"/>
    <w:rsid w:val="000F101F"/>
    <w:rsid w:val="000F22EF"/>
    <w:rsid w:val="000F2D0A"/>
    <w:rsid w:val="000F6C66"/>
    <w:rsid w:val="000F708B"/>
    <w:rsid w:val="0010066B"/>
    <w:rsid w:val="00100950"/>
    <w:rsid w:val="001043DC"/>
    <w:rsid w:val="00105F6E"/>
    <w:rsid w:val="00111B38"/>
    <w:rsid w:val="00112A97"/>
    <w:rsid w:val="00113156"/>
    <w:rsid w:val="00115CD5"/>
    <w:rsid w:val="0011797C"/>
    <w:rsid w:val="00125726"/>
    <w:rsid w:val="00125ACF"/>
    <w:rsid w:val="00125C6A"/>
    <w:rsid w:val="0012743D"/>
    <w:rsid w:val="00127C7B"/>
    <w:rsid w:val="00130814"/>
    <w:rsid w:val="001329BA"/>
    <w:rsid w:val="00132BE3"/>
    <w:rsid w:val="0013335C"/>
    <w:rsid w:val="00136300"/>
    <w:rsid w:val="00136387"/>
    <w:rsid w:val="00137876"/>
    <w:rsid w:val="001465AC"/>
    <w:rsid w:val="0014672D"/>
    <w:rsid w:val="00146F48"/>
    <w:rsid w:val="0015271F"/>
    <w:rsid w:val="001530A4"/>
    <w:rsid w:val="00154141"/>
    <w:rsid w:val="00161418"/>
    <w:rsid w:val="001624BB"/>
    <w:rsid w:val="00162B15"/>
    <w:rsid w:val="00163FBC"/>
    <w:rsid w:val="00165B6A"/>
    <w:rsid w:val="001678F7"/>
    <w:rsid w:val="00170E6B"/>
    <w:rsid w:val="00174304"/>
    <w:rsid w:val="00174DAC"/>
    <w:rsid w:val="001750E4"/>
    <w:rsid w:val="00180C24"/>
    <w:rsid w:val="001810ED"/>
    <w:rsid w:val="001813DD"/>
    <w:rsid w:val="00183CCF"/>
    <w:rsid w:val="00184BFC"/>
    <w:rsid w:val="00186E97"/>
    <w:rsid w:val="00187BC0"/>
    <w:rsid w:val="001905F7"/>
    <w:rsid w:val="00192254"/>
    <w:rsid w:val="001930C9"/>
    <w:rsid w:val="001938DE"/>
    <w:rsid w:val="0019395A"/>
    <w:rsid w:val="00195A48"/>
    <w:rsid w:val="00196D20"/>
    <w:rsid w:val="001A36D0"/>
    <w:rsid w:val="001A4CC2"/>
    <w:rsid w:val="001A5C2B"/>
    <w:rsid w:val="001A7960"/>
    <w:rsid w:val="001B12BF"/>
    <w:rsid w:val="001B287A"/>
    <w:rsid w:val="001B54B5"/>
    <w:rsid w:val="001C3456"/>
    <w:rsid w:val="001C421C"/>
    <w:rsid w:val="001C42E8"/>
    <w:rsid w:val="001C7175"/>
    <w:rsid w:val="001C7613"/>
    <w:rsid w:val="001D1989"/>
    <w:rsid w:val="001D283D"/>
    <w:rsid w:val="001D5451"/>
    <w:rsid w:val="001D7F0D"/>
    <w:rsid w:val="001E5120"/>
    <w:rsid w:val="001F5585"/>
    <w:rsid w:val="00202216"/>
    <w:rsid w:val="002023D7"/>
    <w:rsid w:val="00204EC0"/>
    <w:rsid w:val="00205A0F"/>
    <w:rsid w:val="00207D31"/>
    <w:rsid w:val="00216C6D"/>
    <w:rsid w:val="00217F05"/>
    <w:rsid w:val="002219B9"/>
    <w:rsid w:val="002243E9"/>
    <w:rsid w:val="0022497B"/>
    <w:rsid w:val="00226F6C"/>
    <w:rsid w:val="00227BE1"/>
    <w:rsid w:val="00227CFD"/>
    <w:rsid w:val="0023071D"/>
    <w:rsid w:val="00232ED4"/>
    <w:rsid w:val="00234ACA"/>
    <w:rsid w:val="002350B3"/>
    <w:rsid w:val="00235B08"/>
    <w:rsid w:val="002429FB"/>
    <w:rsid w:val="00245BA9"/>
    <w:rsid w:val="002514E8"/>
    <w:rsid w:val="00253FCC"/>
    <w:rsid w:val="0025405F"/>
    <w:rsid w:val="002549AE"/>
    <w:rsid w:val="00255705"/>
    <w:rsid w:val="002570EC"/>
    <w:rsid w:val="002577FC"/>
    <w:rsid w:val="002607D8"/>
    <w:rsid w:val="00262959"/>
    <w:rsid w:val="00262E3B"/>
    <w:rsid w:val="00264146"/>
    <w:rsid w:val="00265ED8"/>
    <w:rsid w:val="00267B16"/>
    <w:rsid w:val="00270DED"/>
    <w:rsid w:val="00270EE6"/>
    <w:rsid w:val="002732D3"/>
    <w:rsid w:val="00273963"/>
    <w:rsid w:val="002739A8"/>
    <w:rsid w:val="00273DD4"/>
    <w:rsid w:val="00274ADF"/>
    <w:rsid w:val="00274F47"/>
    <w:rsid w:val="00275639"/>
    <w:rsid w:val="002830A3"/>
    <w:rsid w:val="00283FB4"/>
    <w:rsid w:val="002844D3"/>
    <w:rsid w:val="002849C2"/>
    <w:rsid w:val="00285211"/>
    <w:rsid w:val="00287092"/>
    <w:rsid w:val="0028748D"/>
    <w:rsid w:val="002905B6"/>
    <w:rsid w:val="0029095D"/>
    <w:rsid w:val="00291C54"/>
    <w:rsid w:val="00297795"/>
    <w:rsid w:val="002A4499"/>
    <w:rsid w:val="002A5BFA"/>
    <w:rsid w:val="002B7314"/>
    <w:rsid w:val="002C089E"/>
    <w:rsid w:val="002C0C26"/>
    <w:rsid w:val="002C12DB"/>
    <w:rsid w:val="002C4251"/>
    <w:rsid w:val="002D3543"/>
    <w:rsid w:val="002D5E47"/>
    <w:rsid w:val="002D70BB"/>
    <w:rsid w:val="002E00B6"/>
    <w:rsid w:val="002E0D63"/>
    <w:rsid w:val="002E202E"/>
    <w:rsid w:val="002E3D64"/>
    <w:rsid w:val="002E5E70"/>
    <w:rsid w:val="002F46DB"/>
    <w:rsid w:val="002F4C12"/>
    <w:rsid w:val="002F5862"/>
    <w:rsid w:val="00300139"/>
    <w:rsid w:val="003020A7"/>
    <w:rsid w:val="0030630F"/>
    <w:rsid w:val="00306350"/>
    <w:rsid w:val="00307947"/>
    <w:rsid w:val="00310DF6"/>
    <w:rsid w:val="00312AEB"/>
    <w:rsid w:val="00314147"/>
    <w:rsid w:val="00314D97"/>
    <w:rsid w:val="00320C6D"/>
    <w:rsid w:val="003234C1"/>
    <w:rsid w:val="00323F20"/>
    <w:rsid w:val="003259E0"/>
    <w:rsid w:val="00327B91"/>
    <w:rsid w:val="00331BF3"/>
    <w:rsid w:val="003339BF"/>
    <w:rsid w:val="00334AE0"/>
    <w:rsid w:val="00335D20"/>
    <w:rsid w:val="00336B2B"/>
    <w:rsid w:val="00337BFB"/>
    <w:rsid w:val="0034222B"/>
    <w:rsid w:val="00342375"/>
    <w:rsid w:val="00343516"/>
    <w:rsid w:val="0034487A"/>
    <w:rsid w:val="00344D4A"/>
    <w:rsid w:val="003466BC"/>
    <w:rsid w:val="00347B67"/>
    <w:rsid w:val="003531DE"/>
    <w:rsid w:val="003568C3"/>
    <w:rsid w:val="0035752B"/>
    <w:rsid w:val="00357856"/>
    <w:rsid w:val="00357903"/>
    <w:rsid w:val="0036014D"/>
    <w:rsid w:val="00360311"/>
    <w:rsid w:val="00362847"/>
    <w:rsid w:val="00365501"/>
    <w:rsid w:val="003701B8"/>
    <w:rsid w:val="00370E38"/>
    <w:rsid w:val="003722DC"/>
    <w:rsid w:val="0037339D"/>
    <w:rsid w:val="003765D8"/>
    <w:rsid w:val="00376712"/>
    <w:rsid w:val="00386497"/>
    <w:rsid w:val="00387FB4"/>
    <w:rsid w:val="003904C8"/>
    <w:rsid w:val="00391518"/>
    <w:rsid w:val="0039298C"/>
    <w:rsid w:val="003948C4"/>
    <w:rsid w:val="00395BD5"/>
    <w:rsid w:val="003A2EF2"/>
    <w:rsid w:val="003B2B54"/>
    <w:rsid w:val="003B4C25"/>
    <w:rsid w:val="003B533D"/>
    <w:rsid w:val="003B5AE8"/>
    <w:rsid w:val="003B5F69"/>
    <w:rsid w:val="003B664A"/>
    <w:rsid w:val="003C2BD3"/>
    <w:rsid w:val="003D0F25"/>
    <w:rsid w:val="003D1BFD"/>
    <w:rsid w:val="003D1C8B"/>
    <w:rsid w:val="003D3A10"/>
    <w:rsid w:val="003D3BF6"/>
    <w:rsid w:val="003D3E40"/>
    <w:rsid w:val="003D56EF"/>
    <w:rsid w:val="003E2496"/>
    <w:rsid w:val="003E47FF"/>
    <w:rsid w:val="003F3926"/>
    <w:rsid w:val="003F3E99"/>
    <w:rsid w:val="003F49FA"/>
    <w:rsid w:val="003F4A52"/>
    <w:rsid w:val="003F4C21"/>
    <w:rsid w:val="003F6BD9"/>
    <w:rsid w:val="003F7F46"/>
    <w:rsid w:val="00400BDD"/>
    <w:rsid w:val="004033DE"/>
    <w:rsid w:val="00404E32"/>
    <w:rsid w:val="0040568B"/>
    <w:rsid w:val="00405B4F"/>
    <w:rsid w:val="00412ADA"/>
    <w:rsid w:val="00415ABB"/>
    <w:rsid w:val="00416CB7"/>
    <w:rsid w:val="00417556"/>
    <w:rsid w:val="004224DA"/>
    <w:rsid w:val="00422C93"/>
    <w:rsid w:val="004240F2"/>
    <w:rsid w:val="004247C2"/>
    <w:rsid w:val="0042484C"/>
    <w:rsid w:val="00425768"/>
    <w:rsid w:val="004260C9"/>
    <w:rsid w:val="00430C33"/>
    <w:rsid w:val="00431B05"/>
    <w:rsid w:val="00432BF0"/>
    <w:rsid w:val="004434FC"/>
    <w:rsid w:val="00444B83"/>
    <w:rsid w:val="004478C6"/>
    <w:rsid w:val="004503FE"/>
    <w:rsid w:val="00450E1D"/>
    <w:rsid w:val="004512C7"/>
    <w:rsid w:val="004537FB"/>
    <w:rsid w:val="0045391A"/>
    <w:rsid w:val="00457D84"/>
    <w:rsid w:val="00460BB8"/>
    <w:rsid w:val="00461FA3"/>
    <w:rsid w:val="00462785"/>
    <w:rsid w:val="00463221"/>
    <w:rsid w:val="00463FD1"/>
    <w:rsid w:val="00473B47"/>
    <w:rsid w:val="00474DE6"/>
    <w:rsid w:val="00476B74"/>
    <w:rsid w:val="00481776"/>
    <w:rsid w:val="0048183C"/>
    <w:rsid w:val="00481DD3"/>
    <w:rsid w:val="00483481"/>
    <w:rsid w:val="0048440E"/>
    <w:rsid w:val="00484718"/>
    <w:rsid w:val="004865A3"/>
    <w:rsid w:val="00486D13"/>
    <w:rsid w:val="00487BC8"/>
    <w:rsid w:val="00491DD6"/>
    <w:rsid w:val="00492556"/>
    <w:rsid w:val="00492D8F"/>
    <w:rsid w:val="00494048"/>
    <w:rsid w:val="004970F8"/>
    <w:rsid w:val="00497DBD"/>
    <w:rsid w:val="004A0DAF"/>
    <w:rsid w:val="004A34CF"/>
    <w:rsid w:val="004A44DC"/>
    <w:rsid w:val="004A46F4"/>
    <w:rsid w:val="004A4795"/>
    <w:rsid w:val="004A4B94"/>
    <w:rsid w:val="004B08D4"/>
    <w:rsid w:val="004B0DCA"/>
    <w:rsid w:val="004B2A93"/>
    <w:rsid w:val="004B4E87"/>
    <w:rsid w:val="004B539D"/>
    <w:rsid w:val="004B6E5B"/>
    <w:rsid w:val="004C08AC"/>
    <w:rsid w:val="004C0B66"/>
    <w:rsid w:val="004C3F49"/>
    <w:rsid w:val="004D1B14"/>
    <w:rsid w:val="004D4DA5"/>
    <w:rsid w:val="004E07C0"/>
    <w:rsid w:val="004E1528"/>
    <w:rsid w:val="004E1ED8"/>
    <w:rsid w:val="004E308C"/>
    <w:rsid w:val="004E46CB"/>
    <w:rsid w:val="004E725F"/>
    <w:rsid w:val="004F0148"/>
    <w:rsid w:val="004F2B76"/>
    <w:rsid w:val="004F3645"/>
    <w:rsid w:val="00500D01"/>
    <w:rsid w:val="00504CFF"/>
    <w:rsid w:val="00506D14"/>
    <w:rsid w:val="0051196C"/>
    <w:rsid w:val="0051279C"/>
    <w:rsid w:val="005137DA"/>
    <w:rsid w:val="00513BF2"/>
    <w:rsid w:val="005173A6"/>
    <w:rsid w:val="005214AC"/>
    <w:rsid w:val="00521779"/>
    <w:rsid w:val="00521E40"/>
    <w:rsid w:val="00521EBF"/>
    <w:rsid w:val="0052594E"/>
    <w:rsid w:val="00526344"/>
    <w:rsid w:val="00527EDC"/>
    <w:rsid w:val="00531911"/>
    <w:rsid w:val="00532B33"/>
    <w:rsid w:val="00535144"/>
    <w:rsid w:val="005352E1"/>
    <w:rsid w:val="00535430"/>
    <w:rsid w:val="00536246"/>
    <w:rsid w:val="005472BC"/>
    <w:rsid w:val="0054740D"/>
    <w:rsid w:val="00552059"/>
    <w:rsid w:val="00552C93"/>
    <w:rsid w:val="00554364"/>
    <w:rsid w:val="005561D7"/>
    <w:rsid w:val="00561C21"/>
    <w:rsid w:val="00561D31"/>
    <w:rsid w:val="00563895"/>
    <w:rsid w:val="005645E6"/>
    <w:rsid w:val="005658BA"/>
    <w:rsid w:val="0056686A"/>
    <w:rsid w:val="0056787E"/>
    <w:rsid w:val="00567D46"/>
    <w:rsid w:val="0057769D"/>
    <w:rsid w:val="0058113E"/>
    <w:rsid w:val="0058285B"/>
    <w:rsid w:val="00583310"/>
    <w:rsid w:val="005846F2"/>
    <w:rsid w:val="005849A9"/>
    <w:rsid w:val="00584F0C"/>
    <w:rsid w:val="005854FB"/>
    <w:rsid w:val="00585A02"/>
    <w:rsid w:val="00586966"/>
    <w:rsid w:val="00591CA5"/>
    <w:rsid w:val="00591D1A"/>
    <w:rsid w:val="00592F00"/>
    <w:rsid w:val="0059488B"/>
    <w:rsid w:val="00594D83"/>
    <w:rsid w:val="0059665F"/>
    <w:rsid w:val="005A0B76"/>
    <w:rsid w:val="005A14F3"/>
    <w:rsid w:val="005A1CC5"/>
    <w:rsid w:val="005A5612"/>
    <w:rsid w:val="005B22A4"/>
    <w:rsid w:val="005B2452"/>
    <w:rsid w:val="005B4C1F"/>
    <w:rsid w:val="005B7C95"/>
    <w:rsid w:val="005C0612"/>
    <w:rsid w:val="005C0DB9"/>
    <w:rsid w:val="005C0FF6"/>
    <w:rsid w:val="005C18B9"/>
    <w:rsid w:val="005C21EE"/>
    <w:rsid w:val="005C376C"/>
    <w:rsid w:val="005C39EA"/>
    <w:rsid w:val="005D2961"/>
    <w:rsid w:val="005D2B9C"/>
    <w:rsid w:val="005D2D8F"/>
    <w:rsid w:val="005D6EF3"/>
    <w:rsid w:val="005D7164"/>
    <w:rsid w:val="005D7190"/>
    <w:rsid w:val="005E0466"/>
    <w:rsid w:val="005E11F0"/>
    <w:rsid w:val="005E12D5"/>
    <w:rsid w:val="005F3217"/>
    <w:rsid w:val="005F34BB"/>
    <w:rsid w:val="005F72F4"/>
    <w:rsid w:val="005F73F0"/>
    <w:rsid w:val="00604CDD"/>
    <w:rsid w:val="006058BB"/>
    <w:rsid w:val="00606500"/>
    <w:rsid w:val="00606715"/>
    <w:rsid w:val="00606B27"/>
    <w:rsid w:val="00611947"/>
    <w:rsid w:val="00617363"/>
    <w:rsid w:val="00621F05"/>
    <w:rsid w:val="006224E7"/>
    <w:rsid w:val="00623981"/>
    <w:rsid w:val="00624FEC"/>
    <w:rsid w:val="0062754D"/>
    <w:rsid w:val="006345F3"/>
    <w:rsid w:val="00635A1A"/>
    <w:rsid w:val="006407B7"/>
    <w:rsid w:val="0064183A"/>
    <w:rsid w:val="0065138F"/>
    <w:rsid w:val="00651FD0"/>
    <w:rsid w:val="00653282"/>
    <w:rsid w:val="00655479"/>
    <w:rsid w:val="0065567F"/>
    <w:rsid w:val="006557EE"/>
    <w:rsid w:val="00655894"/>
    <w:rsid w:val="006568AF"/>
    <w:rsid w:val="006602A5"/>
    <w:rsid w:val="00660AF8"/>
    <w:rsid w:val="00660BB2"/>
    <w:rsid w:val="006617BD"/>
    <w:rsid w:val="00663633"/>
    <w:rsid w:val="0066471D"/>
    <w:rsid w:val="00664B30"/>
    <w:rsid w:val="00665979"/>
    <w:rsid w:val="00665C9C"/>
    <w:rsid w:val="00666DAC"/>
    <w:rsid w:val="006728BE"/>
    <w:rsid w:val="00673CA0"/>
    <w:rsid w:val="00674B5A"/>
    <w:rsid w:val="00684DAC"/>
    <w:rsid w:val="00685691"/>
    <w:rsid w:val="00687623"/>
    <w:rsid w:val="00690937"/>
    <w:rsid w:val="0069104B"/>
    <w:rsid w:val="006A2C16"/>
    <w:rsid w:val="006A3665"/>
    <w:rsid w:val="006B10AC"/>
    <w:rsid w:val="006B15B6"/>
    <w:rsid w:val="006B1DB6"/>
    <w:rsid w:val="006B2D41"/>
    <w:rsid w:val="006B2FC4"/>
    <w:rsid w:val="006B302C"/>
    <w:rsid w:val="006B39F9"/>
    <w:rsid w:val="006B5CA7"/>
    <w:rsid w:val="006C2747"/>
    <w:rsid w:val="006C5653"/>
    <w:rsid w:val="006C60D3"/>
    <w:rsid w:val="006D0495"/>
    <w:rsid w:val="006D0AA6"/>
    <w:rsid w:val="006D1068"/>
    <w:rsid w:val="006D36F6"/>
    <w:rsid w:val="006D52B6"/>
    <w:rsid w:val="006D63F9"/>
    <w:rsid w:val="006D67E5"/>
    <w:rsid w:val="006D74CC"/>
    <w:rsid w:val="006E3571"/>
    <w:rsid w:val="006F34C6"/>
    <w:rsid w:val="006F41DA"/>
    <w:rsid w:val="00703C2D"/>
    <w:rsid w:val="00705BD8"/>
    <w:rsid w:val="007067D3"/>
    <w:rsid w:val="0071157C"/>
    <w:rsid w:val="00712BD7"/>
    <w:rsid w:val="00715E57"/>
    <w:rsid w:val="00721170"/>
    <w:rsid w:val="007231EE"/>
    <w:rsid w:val="0072335A"/>
    <w:rsid w:val="00724B87"/>
    <w:rsid w:val="0072569C"/>
    <w:rsid w:val="0073452B"/>
    <w:rsid w:val="007459E7"/>
    <w:rsid w:val="007506FD"/>
    <w:rsid w:val="00751A67"/>
    <w:rsid w:val="007549C8"/>
    <w:rsid w:val="007554E3"/>
    <w:rsid w:val="0075689D"/>
    <w:rsid w:val="00762137"/>
    <w:rsid w:val="00766224"/>
    <w:rsid w:val="00766F64"/>
    <w:rsid w:val="00767104"/>
    <w:rsid w:val="00767478"/>
    <w:rsid w:val="007674F3"/>
    <w:rsid w:val="0077138C"/>
    <w:rsid w:val="007754EA"/>
    <w:rsid w:val="007911A0"/>
    <w:rsid w:val="00792052"/>
    <w:rsid w:val="0079207E"/>
    <w:rsid w:val="00793A6A"/>
    <w:rsid w:val="00793E70"/>
    <w:rsid w:val="00795EEA"/>
    <w:rsid w:val="007A2875"/>
    <w:rsid w:val="007A31B9"/>
    <w:rsid w:val="007A351F"/>
    <w:rsid w:val="007A5E09"/>
    <w:rsid w:val="007A6077"/>
    <w:rsid w:val="007A7D9F"/>
    <w:rsid w:val="007B0B0E"/>
    <w:rsid w:val="007B1962"/>
    <w:rsid w:val="007B2CF3"/>
    <w:rsid w:val="007B4661"/>
    <w:rsid w:val="007B4C65"/>
    <w:rsid w:val="007B71E6"/>
    <w:rsid w:val="007C65B3"/>
    <w:rsid w:val="007C6D54"/>
    <w:rsid w:val="007D2242"/>
    <w:rsid w:val="007D60DA"/>
    <w:rsid w:val="007E14DB"/>
    <w:rsid w:val="007E1EFD"/>
    <w:rsid w:val="007E21BE"/>
    <w:rsid w:val="007E2F5A"/>
    <w:rsid w:val="007E3C03"/>
    <w:rsid w:val="007E4868"/>
    <w:rsid w:val="007E5008"/>
    <w:rsid w:val="007E639A"/>
    <w:rsid w:val="007E6A9D"/>
    <w:rsid w:val="007F07AB"/>
    <w:rsid w:val="007F11C6"/>
    <w:rsid w:val="007F482C"/>
    <w:rsid w:val="007F4EB1"/>
    <w:rsid w:val="007F5918"/>
    <w:rsid w:val="00805C93"/>
    <w:rsid w:val="0080742D"/>
    <w:rsid w:val="00817206"/>
    <w:rsid w:val="00820766"/>
    <w:rsid w:val="0082380B"/>
    <w:rsid w:val="008251A1"/>
    <w:rsid w:val="008263E2"/>
    <w:rsid w:val="008263E4"/>
    <w:rsid w:val="0083051C"/>
    <w:rsid w:val="008309A8"/>
    <w:rsid w:val="00833FA9"/>
    <w:rsid w:val="008403CD"/>
    <w:rsid w:val="0084094C"/>
    <w:rsid w:val="008427DA"/>
    <w:rsid w:val="00842966"/>
    <w:rsid w:val="008455C7"/>
    <w:rsid w:val="00850054"/>
    <w:rsid w:val="00850A15"/>
    <w:rsid w:val="0085171D"/>
    <w:rsid w:val="00854F19"/>
    <w:rsid w:val="008565A0"/>
    <w:rsid w:val="00857094"/>
    <w:rsid w:val="00861A84"/>
    <w:rsid w:val="00865720"/>
    <w:rsid w:val="00870650"/>
    <w:rsid w:val="00871AB4"/>
    <w:rsid w:val="00871E49"/>
    <w:rsid w:val="008737E6"/>
    <w:rsid w:val="008747B2"/>
    <w:rsid w:val="00875B2C"/>
    <w:rsid w:val="0087626E"/>
    <w:rsid w:val="00877379"/>
    <w:rsid w:val="008807FE"/>
    <w:rsid w:val="00881C68"/>
    <w:rsid w:val="0088252F"/>
    <w:rsid w:val="00882675"/>
    <w:rsid w:val="00885641"/>
    <w:rsid w:val="008861D0"/>
    <w:rsid w:val="00886513"/>
    <w:rsid w:val="00887EC0"/>
    <w:rsid w:val="00893BD2"/>
    <w:rsid w:val="008A25D3"/>
    <w:rsid w:val="008A4861"/>
    <w:rsid w:val="008A4CB4"/>
    <w:rsid w:val="008A5E40"/>
    <w:rsid w:val="008A65A3"/>
    <w:rsid w:val="008A6A3B"/>
    <w:rsid w:val="008B1F31"/>
    <w:rsid w:val="008B2E71"/>
    <w:rsid w:val="008B64EF"/>
    <w:rsid w:val="008B7729"/>
    <w:rsid w:val="008C2C7E"/>
    <w:rsid w:val="008C3446"/>
    <w:rsid w:val="008C480B"/>
    <w:rsid w:val="008C7B89"/>
    <w:rsid w:val="008C7C25"/>
    <w:rsid w:val="008D19C5"/>
    <w:rsid w:val="008D1E8F"/>
    <w:rsid w:val="008D26F9"/>
    <w:rsid w:val="008D3CDF"/>
    <w:rsid w:val="008D4534"/>
    <w:rsid w:val="008D5116"/>
    <w:rsid w:val="008E0FFC"/>
    <w:rsid w:val="008E2F0D"/>
    <w:rsid w:val="008E4F01"/>
    <w:rsid w:val="008E53DE"/>
    <w:rsid w:val="008E756B"/>
    <w:rsid w:val="008F254D"/>
    <w:rsid w:val="008F4FC5"/>
    <w:rsid w:val="008F55F8"/>
    <w:rsid w:val="008F59A9"/>
    <w:rsid w:val="009016ED"/>
    <w:rsid w:val="009023CA"/>
    <w:rsid w:val="009063D1"/>
    <w:rsid w:val="00911F33"/>
    <w:rsid w:val="0091227D"/>
    <w:rsid w:val="00912EFF"/>
    <w:rsid w:val="00913747"/>
    <w:rsid w:val="00913757"/>
    <w:rsid w:val="00916D2F"/>
    <w:rsid w:val="0092132F"/>
    <w:rsid w:val="009240C5"/>
    <w:rsid w:val="00930AE6"/>
    <w:rsid w:val="009316D6"/>
    <w:rsid w:val="0093453E"/>
    <w:rsid w:val="009419C6"/>
    <w:rsid w:val="009441EC"/>
    <w:rsid w:val="00945543"/>
    <w:rsid w:val="00945D1E"/>
    <w:rsid w:val="009462F5"/>
    <w:rsid w:val="009509C6"/>
    <w:rsid w:val="00953BDB"/>
    <w:rsid w:val="009550B7"/>
    <w:rsid w:val="009551C2"/>
    <w:rsid w:val="00955F27"/>
    <w:rsid w:val="009563B9"/>
    <w:rsid w:val="009577F3"/>
    <w:rsid w:val="00957AAC"/>
    <w:rsid w:val="00963192"/>
    <w:rsid w:val="00963C1D"/>
    <w:rsid w:val="0096515F"/>
    <w:rsid w:val="00966013"/>
    <w:rsid w:val="009763C1"/>
    <w:rsid w:val="00977FBA"/>
    <w:rsid w:val="009817D5"/>
    <w:rsid w:val="009828B2"/>
    <w:rsid w:val="00983F17"/>
    <w:rsid w:val="00986C27"/>
    <w:rsid w:val="009940DA"/>
    <w:rsid w:val="009A14F1"/>
    <w:rsid w:val="009A14FC"/>
    <w:rsid w:val="009A2C14"/>
    <w:rsid w:val="009A2D94"/>
    <w:rsid w:val="009A677E"/>
    <w:rsid w:val="009B027B"/>
    <w:rsid w:val="009B0B06"/>
    <w:rsid w:val="009B215B"/>
    <w:rsid w:val="009B49A7"/>
    <w:rsid w:val="009B511A"/>
    <w:rsid w:val="009B6DBF"/>
    <w:rsid w:val="009B78E0"/>
    <w:rsid w:val="009C136C"/>
    <w:rsid w:val="009C13FB"/>
    <w:rsid w:val="009C3577"/>
    <w:rsid w:val="009D0140"/>
    <w:rsid w:val="009D1ED7"/>
    <w:rsid w:val="009D2EED"/>
    <w:rsid w:val="009D33E5"/>
    <w:rsid w:val="009D5340"/>
    <w:rsid w:val="009D69AC"/>
    <w:rsid w:val="009E2191"/>
    <w:rsid w:val="009E2DF6"/>
    <w:rsid w:val="009E33AD"/>
    <w:rsid w:val="009E489A"/>
    <w:rsid w:val="009E5198"/>
    <w:rsid w:val="009E7909"/>
    <w:rsid w:val="009E7AED"/>
    <w:rsid w:val="009F3DD5"/>
    <w:rsid w:val="009F44F1"/>
    <w:rsid w:val="009F51D2"/>
    <w:rsid w:val="009F55D5"/>
    <w:rsid w:val="009F6601"/>
    <w:rsid w:val="009F718C"/>
    <w:rsid w:val="00A027F7"/>
    <w:rsid w:val="00A02C9B"/>
    <w:rsid w:val="00A02E18"/>
    <w:rsid w:val="00A032CD"/>
    <w:rsid w:val="00A069B6"/>
    <w:rsid w:val="00A074EF"/>
    <w:rsid w:val="00A10E96"/>
    <w:rsid w:val="00A142B0"/>
    <w:rsid w:val="00A14D8B"/>
    <w:rsid w:val="00A162F6"/>
    <w:rsid w:val="00A1645C"/>
    <w:rsid w:val="00A1664A"/>
    <w:rsid w:val="00A201D9"/>
    <w:rsid w:val="00A239ED"/>
    <w:rsid w:val="00A24AE0"/>
    <w:rsid w:val="00A310B6"/>
    <w:rsid w:val="00A31944"/>
    <w:rsid w:val="00A374C0"/>
    <w:rsid w:val="00A45F09"/>
    <w:rsid w:val="00A46D3B"/>
    <w:rsid w:val="00A502C8"/>
    <w:rsid w:val="00A5098C"/>
    <w:rsid w:val="00A51AA7"/>
    <w:rsid w:val="00A51C85"/>
    <w:rsid w:val="00A55D91"/>
    <w:rsid w:val="00A56485"/>
    <w:rsid w:val="00A57EBB"/>
    <w:rsid w:val="00A60952"/>
    <w:rsid w:val="00A60D7F"/>
    <w:rsid w:val="00A60D89"/>
    <w:rsid w:val="00A60EC4"/>
    <w:rsid w:val="00A6357A"/>
    <w:rsid w:val="00A63D62"/>
    <w:rsid w:val="00A6426E"/>
    <w:rsid w:val="00A642A7"/>
    <w:rsid w:val="00A643B5"/>
    <w:rsid w:val="00A649B8"/>
    <w:rsid w:val="00A64B9D"/>
    <w:rsid w:val="00A6519A"/>
    <w:rsid w:val="00A665BF"/>
    <w:rsid w:val="00A66941"/>
    <w:rsid w:val="00A67361"/>
    <w:rsid w:val="00A67450"/>
    <w:rsid w:val="00A757EA"/>
    <w:rsid w:val="00A77684"/>
    <w:rsid w:val="00A804E2"/>
    <w:rsid w:val="00A83284"/>
    <w:rsid w:val="00A83993"/>
    <w:rsid w:val="00A86F04"/>
    <w:rsid w:val="00AA0A7F"/>
    <w:rsid w:val="00AA37F1"/>
    <w:rsid w:val="00AA3988"/>
    <w:rsid w:val="00AA45BA"/>
    <w:rsid w:val="00AA5B34"/>
    <w:rsid w:val="00AA5D8D"/>
    <w:rsid w:val="00AB45A1"/>
    <w:rsid w:val="00AB5CB3"/>
    <w:rsid w:val="00AB5D1D"/>
    <w:rsid w:val="00AC07BC"/>
    <w:rsid w:val="00AC0D8B"/>
    <w:rsid w:val="00AC3837"/>
    <w:rsid w:val="00AC44F0"/>
    <w:rsid w:val="00AC5EF8"/>
    <w:rsid w:val="00AD2111"/>
    <w:rsid w:val="00AD21D5"/>
    <w:rsid w:val="00AD42B4"/>
    <w:rsid w:val="00AD50B7"/>
    <w:rsid w:val="00AD7E8D"/>
    <w:rsid w:val="00AE032D"/>
    <w:rsid w:val="00AE449B"/>
    <w:rsid w:val="00AE72AB"/>
    <w:rsid w:val="00AE76C7"/>
    <w:rsid w:val="00AE78B1"/>
    <w:rsid w:val="00AF2E0D"/>
    <w:rsid w:val="00AF3EA3"/>
    <w:rsid w:val="00AF4405"/>
    <w:rsid w:val="00AF740C"/>
    <w:rsid w:val="00B00ACC"/>
    <w:rsid w:val="00B00C44"/>
    <w:rsid w:val="00B00ED0"/>
    <w:rsid w:val="00B02508"/>
    <w:rsid w:val="00B02C9B"/>
    <w:rsid w:val="00B13AB1"/>
    <w:rsid w:val="00B13F3E"/>
    <w:rsid w:val="00B17A94"/>
    <w:rsid w:val="00B21FB4"/>
    <w:rsid w:val="00B27035"/>
    <w:rsid w:val="00B276CC"/>
    <w:rsid w:val="00B30B35"/>
    <w:rsid w:val="00B32F32"/>
    <w:rsid w:val="00B331DF"/>
    <w:rsid w:val="00B35B9D"/>
    <w:rsid w:val="00B4196D"/>
    <w:rsid w:val="00B42A58"/>
    <w:rsid w:val="00B4633F"/>
    <w:rsid w:val="00B50DB2"/>
    <w:rsid w:val="00B523FC"/>
    <w:rsid w:val="00B524CE"/>
    <w:rsid w:val="00B5284E"/>
    <w:rsid w:val="00B533AF"/>
    <w:rsid w:val="00B537DA"/>
    <w:rsid w:val="00B54A3F"/>
    <w:rsid w:val="00B56CB2"/>
    <w:rsid w:val="00B61C61"/>
    <w:rsid w:val="00B63752"/>
    <w:rsid w:val="00B640C8"/>
    <w:rsid w:val="00B64FE8"/>
    <w:rsid w:val="00B70132"/>
    <w:rsid w:val="00B7357C"/>
    <w:rsid w:val="00B736D6"/>
    <w:rsid w:val="00B73E65"/>
    <w:rsid w:val="00B741DD"/>
    <w:rsid w:val="00B75547"/>
    <w:rsid w:val="00B76306"/>
    <w:rsid w:val="00B763EB"/>
    <w:rsid w:val="00B764DF"/>
    <w:rsid w:val="00B77508"/>
    <w:rsid w:val="00B775C9"/>
    <w:rsid w:val="00B77E1B"/>
    <w:rsid w:val="00B80124"/>
    <w:rsid w:val="00B90217"/>
    <w:rsid w:val="00B90430"/>
    <w:rsid w:val="00B938C7"/>
    <w:rsid w:val="00B96CC4"/>
    <w:rsid w:val="00BA1DAD"/>
    <w:rsid w:val="00BA25AD"/>
    <w:rsid w:val="00BA28BD"/>
    <w:rsid w:val="00BA5D8C"/>
    <w:rsid w:val="00BC0516"/>
    <w:rsid w:val="00BC2B3F"/>
    <w:rsid w:val="00BC2FED"/>
    <w:rsid w:val="00BC3264"/>
    <w:rsid w:val="00BC3A3D"/>
    <w:rsid w:val="00BC4182"/>
    <w:rsid w:val="00BC4AA0"/>
    <w:rsid w:val="00BC71EC"/>
    <w:rsid w:val="00BD0B8A"/>
    <w:rsid w:val="00BD351E"/>
    <w:rsid w:val="00BD46C4"/>
    <w:rsid w:val="00BD47F0"/>
    <w:rsid w:val="00BD5C35"/>
    <w:rsid w:val="00BD7DAB"/>
    <w:rsid w:val="00BE1D99"/>
    <w:rsid w:val="00BE1F51"/>
    <w:rsid w:val="00BE23B9"/>
    <w:rsid w:val="00BE4657"/>
    <w:rsid w:val="00BF1223"/>
    <w:rsid w:val="00BF3ADD"/>
    <w:rsid w:val="00BF51A1"/>
    <w:rsid w:val="00BF6D26"/>
    <w:rsid w:val="00BF6E77"/>
    <w:rsid w:val="00C00565"/>
    <w:rsid w:val="00C0683B"/>
    <w:rsid w:val="00C11BAF"/>
    <w:rsid w:val="00C17C22"/>
    <w:rsid w:val="00C20EEA"/>
    <w:rsid w:val="00C21F05"/>
    <w:rsid w:val="00C24421"/>
    <w:rsid w:val="00C25B04"/>
    <w:rsid w:val="00C30332"/>
    <w:rsid w:val="00C33FC8"/>
    <w:rsid w:val="00C349AB"/>
    <w:rsid w:val="00C37BAB"/>
    <w:rsid w:val="00C41102"/>
    <w:rsid w:val="00C4123C"/>
    <w:rsid w:val="00C4135E"/>
    <w:rsid w:val="00C42C4C"/>
    <w:rsid w:val="00C435EF"/>
    <w:rsid w:val="00C436B7"/>
    <w:rsid w:val="00C43A9E"/>
    <w:rsid w:val="00C445BC"/>
    <w:rsid w:val="00C452E0"/>
    <w:rsid w:val="00C45A07"/>
    <w:rsid w:val="00C461C0"/>
    <w:rsid w:val="00C469F9"/>
    <w:rsid w:val="00C51038"/>
    <w:rsid w:val="00C53685"/>
    <w:rsid w:val="00C53B8C"/>
    <w:rsid w:val="00C54590"/>
    <w:rsid w:val="00C54C0A"/>
    <w:rsid w:val="00C55B4E"/>
    <w:rsid w:val="00C60169"/>
    <w:rsid w:val="00C609F7"/>
    <w:rsid w:val="00C60C70"/>
    <w:rsid w:val="00C63322"/>
    <w:rsid w:val="00C63DBA"/>
    <w:rsid w:val="00C66F8B"/>
    <w:rsid w:val="00C71C7C"/>
    <w:rsid w:val="00C77418"/>
    <w:rsid w:val="00C87668"/>
    <w:rsid w:val="00C9059A"/>
    <w:rsid w:val="00C912A5"/>
    <w:rsid w:val="00C916FA"/>
    <w:rsid w:val="00C92E18"/>
    <w:rsid w:val="00C96F99"/>
    <w:rsid w:val="00C97ECB"/>
    <w:rsid w:val="00CA03D2"/>
    <w:rsid w:val="00CA17E0"/>
    <w:rsid w:val="00CA3542"/>
    <w:rsid w:val="00CA64A0"/>
    <w:rsid w:val="00CA6E11"/>
    <w:rsid w:val="00CB1118"/>
    <w:rsid w:val="00CB53A1"/>
    <w:rsid w:val="00CB682E"/>
    <w:rsid w:val="00CB6C22"/>
    <w:rsid w:val="00CB6EF7"/>
    <w:rsid w:val="00CC0B91"/>
    <w:rsid w:val="00CC2104"/>
    <w:rsid w:val="00CC2DFF"/>
    <w:rsid w:val="00CC3BAE"/>
    <w:rsid w:val="00CC5694"/>
    <w:rsid w:val="00CC6334"/>
    <w:rsid w:val="00CC7092"/>
    <w:rsid w:val="00CC7F32"/>
    <w:rsid w:val="00CD44F8"/>
    <w:rsid w:val="00CD584F"/>
    <w:rsid w:val="00CD7ED6"/>
    <w:rsid w:val="00CE03C2"/>
    <w:rsid w:val="00CE1C0B"/>
    <w:rsid w:val="00CE4007"/>
    <w:rsid w:val="00CF0718"/>
    <w:rsid w:val="00CF4205"/>
    <w:rsid w:val="00CF442C"/>
    <w:rsid w:val="00D00895"/>
    <w:rsid w:val="00D00C1D"/>
    <w:rsid w:val="00D019D3"/>
    <w:rsid w:val="00D04EFB"/>
    <w:rsid w:val="00D05C96"/>
    <w:rsid w:val="00D07F61"/>
    <w:rsid w:val="00D121F2"/>
    <w:rsid w:val="00D128DB"/>
    <w:rsid w:val="00D16D64"/>
    <w:rsid w:val="00D1749E"/>
    <w:rsid w:val="00D17CE4"/>
    <w:rsid w:val="00D21978"/>
    <w:rsid w:val="00D21E3F"/>
    <w:rsid w:val="00D246A8"/>
    <w:rsid w:val="00D24885"/>
    <w:rsid w:val="00D26440"/>
    <w:rsid w:val="00D27C91"/>
    <w:rsid w:val="00D319C3"/>
    <w:rsid w:val="00D407CB"/>
    <w:rsid w:val="00D428A8"/>
    <w:rsid w:val="00D4292D"/>
    <w:rsid w:val="00D42B1C"/>
    <w:rsid w:val="00D454CB"/>
    <w:rsid w:val="00D46AB3"/>
    <w:rsid w:val="00D516E0"/>
    <w:rsid w:val="00D52046"/>
    <w:rsid w:val="00D52471"/>
    <w:rsid w:val="00D53B1B"/>
    <w:rsid w:val="00D54E6C"/>
    <w:rsid w:val="00D54F48"/>
    <w:rsid w:val="00D55DA3"/>
    <w:rsid w:val="00D55FA7"/>
    <w:rsid w:val="00D56956"/>
    <w:rsid w:val="00D57228"/>
    <w:rsid w:val="00D57811"/>
    <w:rsid w:val="00D654B1"/>
    <w:rsid w:val="00D65753"/>
    <w:rsid w:val="00D65B12"/>
    <w:rsid w:val="00D672AA"/>
    <w:rsid w:val="00D70E8F"/>
    <w:rsid w:val="00D71D82"/>
    <w:rsid w:val="00D76F49"/>
    <w:rsid w:val="00D77DF6"/>
    <w:rsid w:val="00D80D99"/>
    <w:rsid w:val="00D80DA6"/>
    <w:rsid w:val="00D841FD"/>
    <w:rsid w:val="00D846D8"/>
    <w:rsid w:val="00D8791E"/>
    <w:rsid w:val="00D914B0"/>
    <w:rsid w:val="00D93093"/>
    <w:rsid w:val="00D942FA"/>
    <w:rsid w:val="00D964CA"/>
    <w:rsid w:val="00D9655A"/>
    <w:rsid w:val="00DA0306"/>
    <w:rsid w:val="00DA0A15"/>
    <w:rsid w:val="00DA0C45"/>
    <w:rsid w:val="00DA3107"/>
    <w:rsid w:val="00DA38D7"/>
    <w:rsid w:val="00DB11B3"/>
    <w:rsid w:val="00DB4C26"/>
    <w:rsid w:val="00DB4DB4"/>
    <w:rsid w:val="00DB4F3C"/>
    <w:rsid w:val="00DB7859"/>
    <w:rsid w:val="00DC161B"/>
    <w:rsid w:val="00DC1AD7"/>
    <w:rsid w:val="00DC21E6"/>
    <w:rsid w:val="00DC664D"/>
    <w:rsid w:val="00DD0AA7"/>
    <w:rsid w:val="00DD12CE"/>
    <w:rsid w:val="00DD2650"/>
    <w:rsid w:val="00DD2DB5"/>
    <w:rsid w:val="00DD3270"/>
    <w:rsid w:val="00DD4C84"/>
    <w:rsid w:val="00DD51A0"/>
    <w:rsid w:val="00DD5591"/>
    <w:rsid w:val="00DD7C57"/>
    <w:rsid w:val="00DE39A2"/>
    <w:rsid w:val="00DE6373"/>
    <w:rsid w:val="00DE63AC"/>
    <w:rsid w:val="00DF0796"/>
    <w:rsid w:val="00DF127E"/>
    <w:rsid w:val="00DF2ECA"/>
    <w:rsid w:val="00DF446C"/>
    <w:rsid w:val="00DF768B"/>
    <w:rsid w:val="00DF77E7"/>
    <w:rsid w:val="00E045A1"/>
    <w:rsid w:val="00E05A31"/>
    <w:rsid w:val="00E07FA0"/>
    <w:rsid w:val="00E17025"/>
    <w:rsid w:val="00E17EA3"/>
    <w:rsid w:val="00E20A7B"/>
    <w:rsid w:val="00E24B4A"/>
    <w:rsid w:val="00E31592"/>
    <w:rsid w:val="00E32D31"/>
    <w:rsid w:val="00E4039F"/>
    <w:rsid w:val="00E419E0"/>
    <w:rsid w:val="00E452D2"/>
    <w:rsid w:val="00E45C42"/>
    <w:rsid w:val="00E477F2"/>
    <w:rsid w:val="00E47A8D"/>
    <w:rsid w:val="00E5125C"/>
    <w:rsid w:val="00E55EFA"/>
    <w:rsid w:val="00E60DCF"/>
    <w:rsid w:val="00E62194"/>
    <w:rsid w:val="00E66D09"/>
    <w:rsid w:val="00E71544"/>
    <w:rsid w:val="00E747E7"/>
    <w:rsid w:val="00E7494D"/>
    <w:rsid w:val="00E76D2D"/>
    <w:rsid w:val="00E774D0"/>
    <w:rsid w:val="00E810BD"/>
    <w:rsid w:val="00E81975"/>
    <w:rsid w:val="00E81F69"/>
    <w:rsid w:val="00E835E8"/>
    <w:rsid w:val="00E83D09"/>
    <w:rsid w:val="00E85D49"/>
    <w:rsid w:val="00E8649E"/>
    <w:rsid w:val="00E91443"/>
    <w:rsid w:val="00E92A2D"/>
    <w:rsid w:val="00EA0149"/>
    <w:rsid w:val="00EA0AA3"/>
    <w:rsid w:val="00EA4E6D"/>
    <w:rsid w:val="00EB3315"/>
    <w:rsid w:val="00EB3BCA"/>
    <w:rsid w:val="00EB508D"/>
    <w:rsid w:val="00EB6DF5"/>
    <w:rsid w:val="00EC38B0"/>
    <w:rsid w:val="00EC43D8"/>
    <w:rsid w:val="00EE06C8"/>
    <w:rsid w:val="00EE0AD9"/>
    <w:rsid w:val="00EE12E6"/>
    <w:rsid w:val="00EE15A4"/>
    <w:rsid w:val="00EE2F50"/>
    <w:rsid w:val="00EE7436"/>
    <w:rsid w:val="00EF3E9B"/>
    <w:rsid w:val="00EF41F0"/>
    <w:rsid w:val="00EF6855"/>
    <w:rsid w:val="00EF77FA"/>
    <w:rsid w:val="00F02352"/>
    <w:rsid w:val="00F03DAF"/>
    <w:rsid w:val="00F04551"/>
    <w:rsid w:val="00F05A6D"/>
    <w:rsid w:val="00F10924"/>
    <w:rsid w:val="00F109D0"/>
    <w:rsid w:val="00F11638"/>
    <w:rsid w:val="00F15312"/>
    <w:rsid w:val="00F153E2"/>
    <w:rsid w:val="00F16D96"/>
    <w:rsid w:val="00F172AE"/>
    <w:rsid w:val="00F216C4"/>
    <w:rsid w:val="00F21C53"/>
    <w:rsid w:val="00F22DC0"/>
    <w:rsid w:val="00F24299"/>
    <w:rsid w:val="00F24EEE"/>
    <w:rsid w:val="00F277EB"/>
    <w:rsid w:val="00F27C48"/>
    <w:rsid w:val="00F3076C"/>
    <w:rsid w:val="00F32963"/>
    <w:rsid w:val="00F37685"/>
    <w:rsid w:val="00F403B2"/>
    <w:rsid w:val="00F414BC"/>
    <w:rsid w:val="00F44009"/>
    <w:rsid w:val="00F447B7"/>
    <w:rsid w:val="00F4480E"/>
    <w:rsid w:val="00F51931"/>
    <w:rsid w:val="00F53078"/>
    <w:rsid w:val="00F55E6A"/>
    <w:rsid w:val="00F56248"/>
    <w:rsid w:val="00F56A6E"/>
    <w:rsid w:val="00F57194"/>
    <w:rsid w:val="00F57C58"/>
    <w:rsid w:val="00F63359"/>
    <w:rsid w:val="00F633E3"/>
    <w:rsid w:val="00F66168"/>
    <w:rsid w:val="00F67783"/>
    <w:rsid w:val="00F67E07"/>
    <w:rsid w:val="00F67F01"/>
    <w:rsid w:val="00F703EE"/>
    <w:rsid w:val="00F71631"/>
    <w:rsid w:val="00F71E09"/>
    <w:rsid w:val="00F728FD"/>
    <w:rsid w:val="00F7399A"/>
    <w:rsid w:val="00F74A11"/>
    <w:rsid w:val="00F75976"/>
    <w:rsid w:val="00F77BE9"/>
    <w:rsid w:val="00F80E67"/>
    <w:rsid w:val="00F8219C"/>
    <w:rsid w:val="00F835A4"/>
    <w:rsid w:val="00F842A9"/>
    <w:rsid w:val="00F84912"/>
    <w:rsid w:val="00F906CB"/>
    <w:rsid w:val="00F914A2"/>
    <w:rsid w:val="00F91577"/>
    <w:rsid w:val="00F93C3E"/>
    <w:rsid w:val="00F944AB"/>
    <w:rsid w:val="00F964CA"/>
    <w:rsid w:val="00F96976"/>
    <w:rsid w:val="00F96D60"/>
    <w:rsid w:val="00FA22E9"/>
    <w:rsid w:val="00FA4902"/>
    <w:rsid w:val="00FA62C7"/>
    <w:rsid w:val="00FB11DA"/>
    <w:rsid w:val="00FB1917"/>
    <w:rsid w:val="00FB6E20"/>
    <w:rsid w:val="00FC097B"/>
    <w:rsid w:val="00FC5177"/>
    <w:rsid w:val="00FD2559"/>
    <w:rsid w:val="00FD2E15"/>
    <w:rsid w:val="00FD3F8A"/>
    <w:rsid w:val="00FD484A"/>
    <w:rsid w:val="00FE305B"/>
    <w:rsid w:val="00FE3355"/>
    <w:rsid w:val="00FE3D27"/>
    <w:rsid w:val="00FE4F9C"/>
    <w:rsid w:val="00FF21D8"/>
    <w:rsid w:val="00FF48FD"/>
    <w:rsid w:val="00FF5757"/>
    <w:rsid w:val="00FF6133"/>
    <w:rsid w:val="00FF7D0D"/>
    <w:rsid w:val="04B95D27"/>
    <w:rsid w:val="05A86160"/>
    <w:rsid w:val="0D2F096C"/>
    <w:rsid w:val="120A5960"/>
    <w:rsid w:val="143757DC"/>
    <w:rsid w:val="14634486"/>
    <w:rsid w:val="1545366C"/>
    <w:rsid w:val="24930B4D"/>
    <w:rsid w:val="2F292845"/>
    <w:rsid w:val="3ECF5007"/>
    <w:rsid w:val="408D55B4"/>
    <w:rsid w:val="437763C1"/>
    <w:rsid w:val="4A0E6F0B"/>
    <w:rsid w:val="4A912D42"/>
    <w:rsid w:val="4B7D49B2"/>
    <w:rsid w:val="5E9A3D53"/>
    <w:rsid w:val="64B92463"/>
    <w:rsid w:val="6B3C600C"/>
    <w:rsid w:val="766B4529"/>
    <w:rsid w:val="79276656"/>
    <w:rsid w:val="7F48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100" w:after="90"/>
      <w:jc w:val="center"/>
      <w:outlineLvl w:val="0"/>
    </w:pPr>
    <w:rPr>
      <w:b/>
      <w:bCs/>
      <w:kern w:val="44"/>
      <w:sz w:val="36"/>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5">
    <w:name w:val="heading 5"/>
    <w:basedOn w:val="1"/>
    <w:next w:val="1"/>
    <w:link w:val="27"/>
    <w:unhideWhenUsed/>
    <w:qFormat/>
    <w:uiPriority w:val="9"/>
    <w:pPr>
      <w:keepNext/>
      <w:keepLines/>
      <w:spacing w:before="160" w:after="170"/>
      <w:ind w:firstLine="200" w:firstLineChars="200"/>
      <w:outlineLvl w:val="4"/>
    </w:pPr>
    <w:rPr>
      <w:b/>
      <w:bCs/>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3"/>
    <w:qFormat/>
    <w:uiPriority w:val="0"/>
    <w:pPr>
      <w:ind w:firstLine="420" w:firstLineChars="200"/>
    </w:pPr>
    <w:rPr>
      <w:rFonts w:ascii="Times New Roman" w:hAnsi="Times New Roman" w:eastAsia="宋体" w:cs="Times New Roman"/>
      <w:szCs w:val="24"/>
    </w:rPr>
  </w:style>
  <w:style w:type="paragraph" w:styleId="7">
    <w:name w:val="annotation text"/>
    <w:basedOn w:val="1"/>
    <w:link w:val="36"/>
    <w:semiHidden/>
    <w:unhideWhenUsed/>
    <w:qFormat/>
    <w:uiPriority w:val="99"/>
    <w:pPr>
      <w:jc w:val="left"/>
    </w:pPr>
  </w:style>
  <w:style w:type="paragraph" w:styleId="8">
    <w:name w:val="Plain Text"/>
    <w:basedOn w:val="1"/>
    <w:link w:val="33"/>
    <w:qFormat/>
    <w:uiPriority w:val="99"/>
    <w:rPr>
      <w:rFonts w:ascii="宋体" w:hAnsi="Courier New" w:eastAsia="宋体" w:cs="Times New Roman"/>
      <w:kern w:val="10"/>
      <w:szCs w:val="21"/>
    </w:rPr>
  </w:style>
  <w:style w:type="paragraph" w:styleId="9">
    <w:name w:val="Date"/>
    <w:basedOn w:val="1"/>
    <w:next w:val="1"/>
    <w:link w:val="3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spacing w:beforeAutospacing="1" w:afterAutospacing="1"/>
      <w:jc w:val="left"/>
    </w:pPr>
    <w:rPr>
      <w:rFonts w:cs="Times New Roman"/>
      <w:kern w:val="0"/>
      <w:sz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正文缩进 字符"/>
    <w:link w:val="6"/>
    <w:qFormat/>
    <w:uiPriority w:val="0"/>
    <w:rPr>
      <w:rFonts w:ascii="Times New Roman" w:hAnsi="Times New Roman" w:eastAsia="宋体" w:cs="Times New Roman"/>
      <w:szCs w:val="24"/>
    </w:rPr>
  </w:style>
  <w:style w:type="table" w:customStyle="1" w:styleId="2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标题 4 字符"/>
    <w:basedOn w:val="18"/>
    <w:link w:val="4"/>
    <w:qFormat/>
    <w:uiPriority w:val="0"/>
    <w:rPr>
      <w:rFonts w:ascii="Cambria" w:hAnsi="Cambria" w:eastAsia="宋体" w:cs="Times New Roman"/>
      <w:b/>
      <w:bCs/>
      <w:sz w:val="24"/>
      <w:szCs w:val="28"/>
    </w:rPr>
  </w:style>
  <w:style w:type="character" w:customStyle="1" w:styleId="26">
    <w:name w:val="标题 1 字符"/>
    <w:basedOn w:val="18"/>
    <w:link w:val="2"/>
    <w:qFormat/>
    <w:uiPriority w:val="9"/>
    <w:rPr>
      <w:b/>
      <w:bCs/>
      <w:kern w:val="44"/>
      <w:sz w:val="36"/>
      <w:szCs w:val="44"/>
    </w:rPr>
  </w:style>
  <w:style w:type="character" w:customStyle="1" w:styleId="27">
    <w:name w:val="标题 5 字符"/>
    <w:basedOn w:val="18"/>
    <w:link w:val="5"/>
    <w:qFormat/>
    <w:uiPriority w:val="9"/>
    <w:rPr>
      <w:b/>
      <w:bCs/>
      <w:sz w:val="24"/>
      <w:szCs w:val="28"/>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9">
    <w:name w:val="批注框文本 字符"/>
    <w:basedOn w:val="18"/>
    <w:link w:val="10"/>
    <w:semiHidden/>
    <w:qFormat/>
    <w:uiPriority w:val="99"/>
    <w:rPr>
      <w:rFonts w:asciiTheme="minorHAnsi" w:hAnsiTheme="minorHAnsi" w:eastAsiaTheme="minorEastAsia" w:cstheme="minorBidi"/>
      <w:kern w:val="2"/>
      <w:sz w:val="18"/>
      <w:szCs w:val="18"/>
    </w:rPr>
  </w:style>
  <w:style w:type="paragraph" w:styleId="30">
    <w:name w:val="List Paragraph"/>
    <w:basedOn w:val="1"/>
    <w:unhideWhenUsed/>
    <w:qFormat/>
    <w:uiPriority w:val="99"/>
    <w:pPr>
      <w:ind w:firstLine="420" w:firstLineChars="200"/>
    </w:pPr>
  </w:style>
  <w:style w:type="table" w:customStyle="1" w:styleId="31">
    <w:name w:val="网格型2"/>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纯文本 字符"/>
    <w:basedOn w:val="18"/>
    <w:qFormat/>
    <w:uiPriority w:val="99"/>
    <w:rPr>
      <w:rFonts w:hAnsi="Courier New" w:cs="Courier New" w:asciiTheme="minorEastAsia" w:eastAsiaTheme="minorEastAsia"/>
      <w:kern w:val="2"/>
      <w:sz w:val="21"/>
      <w:szCs w:val="22"/>
    </w:rPr>
  </w:style>
  <w:style w:type="character" w:customStyle="1" w:styleId="33">
    <w:name w:val="纯文本 字符1"/>
    <w:link w:val="8"/>
    <w:qFormat/>
    <w:uiPriority w:val="0"/>
    <w:rPr>
      <w:rFonts w:ascii="宋体" w:hAnsi="Courier New"/>
      <w:kern w:val="10"/>
      <w:sz w:val="21"/>
      <w:szCs w:val="21"/>
    </w:rPr>
  </w:style>
  <w:style w:type="character" w:customStyle="1" w:styleId="34">
    <w:name w:val="标题 2 字符"/>
    <w:basedOn w:val="18"/>
    <w:link w:val="3"/>
    <w:qFormat/>
    <w:uiPriority w:val="9"/>
    <w:rPr>
      <w:rFonts w:asciiTheme="majorHAnsi" w:hAnsiTheme="majorHAnsi" w:eastAsiaTheme="majorEastAsia" w:cstheme="majorBidi"/>
      <w:b/>
      <w:bCs/>
      <w:kern w:val="2"/>
      <w:sz w:val="32"/>
      <w:szCs w:val="32"/>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批注文字 字符"/>
    <w:basedOn w:val="18"/>
    <w:link w:val="7"/>
    <w:semiHidden/>
    <w:qFormat/>
    <w:uiPriority w:val="99"/>
    <w:rPr>
      <w:rFonts w:asciiTheme="minorHAnsi" w:hAnsiTheme="minorHAnsi" w:eastAsiaTheme="minorEastAsia" w:cstheme="minorBidi"/>
      <w:kern w:val="2"/>
      <w:sz w:val="21"/>
      <w:szCs w:val="22"/>
    </w:rPr>
  </w:style>
  <w:style w:type="paragraph" w:customStyle="1" w:styleId="37">
    <w:name w:val="_Style 35"/>
    <w:basedOn w:val="1"/>
    <w:next w:val="30"/>
    <w:qFormat/>
    <w:uiPriority w:val="34"/>
    <w:pPr>
      <w:ind w:firstLine="420" w:firstLineChars="200"/>
    </w:pPr>
    <w:rPr>
      <w:rFonts w:ascii="Calibri" w:hAnsi="Calibri" w:eastAsia="宋体" w:cs="Times New Roman"/>
      <w:szCs w:val="21"/>
    </w:rPr>
  </w:style>
  <w:style w:type="character" w:customStyle="1" w:styleId="38">
    <w:name w:val="日期 字符"/>
    <w:basedOn w:val="18"/>
    <w:link w:val="9"/>
    <w:semiHidden/>
    <w:qFormat/>
    <w:uiPriority w:val="99"/>
    <w:rPr>
      <w:kern w:val="2"/>
      <w:sz w:val="21"/>
      <w:szCs w:val="22"/>
    </w:rPr>
  </w:style>
  <w:style w:type="paragraph" w:customStyle="1" w:styleId="39">
    <w:name w:val="列出段落1"/>
    <w:basedOn w:val="1"/>
    <w:link w:val="40"/>
    <w:qFormat/>
    <w:uiPriority w:val="0"/>
    <w:pPr>
      <w:ind w:firstLine="420" w:firstLineChars="200"/>
    </w:pPr>
    <w:rPr>
      <w:rFonts w:ascii="Times New Roman" w:hAnsi="Times New Roman" w:eastAsia="宋体" w:cs="Times New Roman"/>
      <w:szCs w:val="24"/>
    </w:rPr>
  </w:style>
  <w:style w:type="character" w:customStyle="1" w:styleId="40">
    <w:name w:val="列表段落 字符"/>
    <w:link w:val="39"/>
    <w:qFormat/>
    <w:uiPriority w:val="0"/>
    <w:rPr>
      <w:kern w:val="2"/>
      <w:sz w:val="21"/>
      <w:szCs w:val="24"/>
    </w:rPr>
  </w:style>
  <w:style w:type="character" w:customStyle="1" w:styleId="41">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27</Pages>
  <Words>16704</Words>
  <Characters>17231</Characters>
  <Lines>128</Lines>
  <Paragraphs>36</Paragraphs>
  <TotalTime>2</TotalTime>
  <ScaleCrop>false</ScaleCrop>
  <LinksUpToDate>false</LinksUpToDate>
  <CharactersWithSpaces>17459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郑培燊</cp:lastModifiedBy>
  <cp:lastPrinted>2024-04-28T06:32:00Z</cp:lastPrinted>
  <dcterms:modified xsi:type="dcterms:W3CDTF">2024-05-13T02:30:46Z</dcterms:modified>
  <cp:revision>611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A2BBD797588F4A93B1B04EC7895FE580_13</vt:lpwstr>
  </property>
</Properties>
</file>