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b/>
          <w:sz w:val="52"/>
          <w:szCs w:val="52"/>
        </w:rPr>
      </w:pPr>
      <w:r>
        <w:rPr>
          <w:rFonts w:hint="eastAsia" w:asciiTheme="minorEastAsia" w:hAnsiTheme="minorEastAsia" w:eastAsiaTheme="minorEastAsia"/>
          <w:b/>
          <w:sz w:val="52"/>
          <w:szCs w:val="52"/>
        </w:rPr>
        <w:t>深圳市宝安</w:t>
      </w:r>
      <w:r>
        <w:rPr>
          <w:rFonts w:hint="eastAsia" w:asciiTheme="minorEastAsia" w:hAnsiTheme="minorEastAsia" w:eastAsiaTheme="minorEastAsia"/>
          <w:b/>
          <w:sz w:val="52"/>
          <w:szCs w:val="52"/>
          <w:lang w:val="en-US" w:eastAsia="zh-CN"/>
        </w:rPr>
        <w:t>区</w:t>
      </w:r>
      <w:r>
        <w:rPr>
          <w:rFonts w:hint="eastAsia" w:asciiTheme="minorEastAsia" w:hAnsiTheme="minorEastAsia" w:eastAsiaTheme="minorEastAsia"/>
          <w:b/>
          <w:sz w:val="52"/>
          <w:szCs w:val="52"/>
        </w:rPr>
        <w:t>人民医院</w:t>
      </w:r>
    </w:p>
    <w:p>
      <w:pPr>
        <w:jc w:val="center"/>
        <w:rPr>
          <w:rFonts w:asciiTheme="minorEastAsia" w:hAnsiTheme="minorEastAsia" w:eastAsiaTheme="minorEastAsia"/>
          <w:b/>
          <w:sz w:val="52"/>
          <w:szCs w:val="52"/>
        </w:rPr>
      </w:pPr>
      <w:r>
        <w:rPr>
          <w:rFonts w:hint="eastAsia" w:asciiTheme="minorEastAsia" w:hAnsiTheme="minorEastAsia" w:eastAsiaTheme="minorEastAsia"/>
          <w:b/>
          <w:sz w:val="52"/>
          <w:szCs w:val="52"/>
        </w:rPr>
        <w:t>202</w:t>
      </w:r>
      <w:r>
        <w:rPr>
          <w:rFonts w:hint="eastAsia" w:asciiTheme="minorEastAsia" w:hAnsiTheme="minorEastAsia" w:eastAsiaTheme="minorEastAsia"/>
          <w:b/>
          <w:sz w:val="52"/>
          <w:szCs w:val="52"/>
          <w:lang w:val="en-US" w:eastAsia="zh-CN"/>
        </w:rPr>
        <w:t>4</w:t>
      </w:r>
      <w:r>
        <w:rPr>
          <w:rFonts w:hint="eastAsia" w:asciiTheme="minorEastAsia" w:hAnsiTheme="minorEastAsia" w:eastAsiaTheme="minorEastAsia"/>
          <w:b/>
          <w:sz w:val="52"/>
          <w:szCs w:val="52"/>
        </w:rPr>
        <w:t>年第</w:t>
      </w:r>
      <w:r>
        <w:rPr>
          <w:rFonts w:hint="eastAsia" w:asciiTheme="minorEastAsia" w:hAnsiTheme="minorEastAsia" w:eastAsiaTheme="minorEastAsia"/>
          <w:b/>
          <w:sz w:val="52"/>
          <w:szCs w:val="52"/>
          <w:lang w:val="en-US" w:eastAsia="zh-CN"/>
        </w:rPr>
        <w:t>7</w:t>
      </w:r>
      <w:r>
        <w:rPr>
          <w:rFonts w:hint="eastAsia" w:asciiTheme="minorEastAsia" w:hAnsiTheme="minorEastAsia" w:eastAsiaTheme="minorEastAsia"/>
          <w:b/>
          <w:sz w:val="52"/>
          <w:szCs w:val="52"/>
        </w:rPr>
        <w:t>期项目变更及延期公告</w:t>
      </w:r>
    </w:p>
    <w:p>
      <w:pPr>
        <w:widowControl/>
        <w:spacing w:line="450" w:lineRule="atLeast"/>
        <w:jc w:val="center"/>
        <w:outlineLvl w:val="1"/>
        <w:rPr>
          <w:rFonts w:hint="eastAsia" w:eastAsia="宋体"/>
          <w:color w:val="000000"/>
          <w:kern w:val="0"/>
          <w:sz w:val="27"/>
          <w:szCs w:val="27"/>
          <w:lang w:eastAsia="zh-CN"/>
        </w:rPr>
      </w:pPr>
      <w:r>
        <w:rPr>
          <w:rFonts w:hint="eastAsia"/>
          <w:bCs/>
          <w:color w:val="000000"/>
          <w:kern w:val="0"/>
          <w:sz w:val="27"/>
          <w:szCs w:val="27"/>
        </w:rPr>
        <w:t>采购编号:</w:t>
      </w:r>
      <w:r>
        <w:rPr>
          <w:color w:val="000000"/>
          <w:kern w:val="0"/>
          <w:sz w:val="27"/>
          <w:szCs w:val="27"/>
        </w:rPr>
        <w:t>BYZBCG</w:t>
      </w:r>
      <w:r>
        <w:rPr>
          <w:rFonts w:hint="eastAsia"/>
          <w:color w:val="000000"/>
          <w:kern w:val="0"/>
          <w:sz w:val="27"/>
          <w:szCs w:val="27"/>
        </w:rPr>
        <w:t>202</w:t>
      </w:r>
      <w:r>
        <w:rPr>
          <w:rFonts w:hint="eastAsia"/>
          <w:color w:val="000000"/>
          <w:kern w:val="0"/>
          <w:sz w:val="27"/>
          <w:szCs w:val="27"/>
          <w:lang w:val="en-US" w:eastAsia="zh-CN"/>
        </w:rPr>
        <w:t>4</w:t>
      </w:r>
      <w:r>
        <w:rPr>
          <w:color w:val="000000"/>
          <w:kern w:val="0"/>
          <w:sz w:val="27"/>
          <w:szCs w:val="27"/>
        </w:rPr>
        <w:t>-</w:t>
      </w:r>
      <w:r>
        <w:rPr>
          <w:rFonts w:hint="eastAsia"/>
          <w:color w:val="000000"/>
          <w:kern w:val="0"/>
          <w:sz w:val="27"/>
          <w:szCs w:val="27"/>
          <w:lang w:val="en-US" w:eastAsia="zh-CN"/>
        </w:rPr>
        <w:t>7</w:t>
      </w:r>
    </w:p>
    <w:p>
      <w:pPr>
        <w:pStyle w:val="23"/>
        <w:numPr>
          <w:ilvl w:val="0"/>
          <w:numId w:val="2"/>
        </w:numPr>
        <w:ind w:firstLineChars="0"/>
        <w:jc w:val="left"/>
        <w:rPr>
          <w:rFonts w:asciiTheme="minorEastAsia" w:hAnsiTheme="minorEastAsia" w:eastAsiaTheme="minorEastAsia"/>
          <w:b/>
          <w:szCs w:val="21"/>
        </w:rPr>
      </w:pPr>
      <w:r>
        <w:rPr>
          <w:rFonts w:asciiTheme="minorEastAsia" w:hAnsiTheme="minorEastAsia" w:eastAsiaTheme="minorEastAsia"/>
          <w:b/>
          <w:szCs w:val="21"/>
        </w:rPr>
        <w:t>项目基本情况</w:t>
      </w:r>
    </w:p>
    <w:p>
      <w:pPr>
        <w:jc w:val="left"/>
        <w:rPr>
          <w:rFonts w:asciiTheme="minorEastAsia" w:hAnsiTheme="minorEastAsia" w:eastAsiaTheme="minorEastAsia"/>
          <w:b/>
          <w:szCs w:val="21"/>
        </w:rPr>
      </w:pPr>
      <w:r>
        <w:rPr>
          <w:rFonts w:hint="eastAsia" w:asciiTheme="minorEastAsia" w:hAnsiTheme="minorEastAsia" w:eastAsiaTheme="minorEastAsia"/>
          <w:szCs w:val="21"/>
        </w:rPr>
        <w:t>（一）采购项目名称：</w:t>
      </w:r>
      <w:r>
        <w:rPr>
          <w:rFonts w:hint="eastAsia" w:ascii="宋体" w:hAnsi="宋体" w:cs="宋体-18030"/>
          <w:bCs/>
          <w:color w:val="000000"/>
          <w:szCs w:val="21"/>
        </w:rPr>
        <w:t>第五大道社康中心办公家具</w:t>
      </w:r>
      <w:r>
        <w:rPr>
          <w:rFonts w:asciiTheme="minorEastAsia" w:hAnsiTheme="minorEastAsia" w:eastAsiaTheme="minorEastAsia"/>
          <w:b/>
          <w:szCs w:val="21"/>
        </w:rPr>
        <w:br w:type="textWrapping"/>
      </w:r>
      <w:r>
        <w:rPr>
          <w:rFonts w:hint="eastAsia" w:asciiTheme="minorEastAsia" w:hAnsiTheme="minorEastAsia" w:eastAsiaTheme="minorEastAsia"/>
          <w:szCs w:val="21"/>
        </w:rPr>
        <w:t>（二）</w:t>
      </w:r>
      <w:r>
        <w:rPr>
          <w:rFonts w:asciiTheme="minorEastAsia" w:hAnsiTheme="minorEastAsia" w:eastAsiaTheme="minorEastAsia"/>
          <w:szCs w:val="21"/>
        </w:rPr>
        <w:t>首次公告日期：</w:t>
      </w:r>
      <w:r>
        <w:rPr>
          <w:rFonts w:hint="eastAsia" w:asciiTheme="minorEastAsia" w:hAnsiTheme="minorEastAsia" w:eastAsiaTheme="minorEastAsia"/>
          <w:szCs w:val="21"/>
        </w:rPr>
        <w:t>202</w:t>
      </w:r>
      <w:r>
        <w:rPr>
          <w:rFonts w:hint="eastAsia" w:asciiTheme="minorEastAsia" w:hAnsiTheme="minorEastAsia" w:eastAsiaTheme="minorEastAsia"/>
          <w:szCs w:val="21"/>
          <w:lang w:val="en-US" w:eastAsia="zh-CN"/>
        </w:rPr>
        <w:t>4</w:t>
      </w:r>
      <w:r>
        <w:rPr>
          <w:rFonts w:hint="eastAsia" w:asciiTheme="minorEastAsia" w:hAnsiTheme="minorEastAsia" w:eastAsiaTheme="minorEastAsia"/>
          <w:szCs w:val="21"/>
        </w:rPr>
        <w:t>年</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rPr>
        <w:t>月</w:t>
      </w:r>
      <w:r>
        <w:rPr>
          <w:rFonts w:hint="eastAsia" w:asciiTheme="minorEastAsia" w:hAnsiTheme="minorEastAsia" w:eastAsiaTheme="minorEastAsia"/>
          <w:szCs w:val="21"/>
          <w:lang w:val="en-US" w:eastAsia="zh-CN"/>
        </w:rPr>
        <w:t>25</w:t>
      </w:r>
      <w:r>
        <w:rPr>
          <w:rFonts w:hint="eastAsia" w:asciiTheme="minorEastAsia" w:hAnsiTheme="minorEastAsia" w:eastAsiaTheme="minorEastAsia"/>
          <w:szCs w:val="21"/>
        </w:rPr>
        <w:t>日</w:t>
      </w:r>
    </w:p>
    <w:p>
      <w:pPr>
        <w:pStyle w:val="23"/>
        <w:numPr>
          <w:ilvl w:val="0"/>
          <w:numId w:val="2"/>
        </w:numPr>
        <w:ind w:firstLineChars="0"/>
        <w:jc w:val="left"/>
        <w:rPr>
          <w:rFonts w:asciiTheme="minorEastAsia" w:hAnsiTheme="minorEastAsia" w:eastAsiaTheme="minorEastAsia"/>
          <w:b/>
          <w:szCs w:val="21"/>
        </w:rPr>
      </w:pPr>
      <w:r>
        <w:rPr>
          <w:rFonts w:hint="eastAsia" w:asciiTheme="minorEastAsia" w:hAnsiTheme="minorEastAsia" w:eastAsiaTheme="minorEastAsia"/>
          <w:b/>
          <w:szCs w:val="21"/>
        </w:rPr>
        <w:t>变更信息</w:t>
      </w:r>
    </w:p>
    <w:p>
      <w:pPr>
        <w:jc w:val="left"/>
        <w:rPr>
          <w:rFonts w:asciiTheme="minorEastAsia" w:hAnsiTheme="minorEastAsia" w:eastAsiaTheme="minorEastAsia"/>
          <w:szCs w:val="21"/>
        </w:rPr>
      </w:pPr>
      <w:r>
        <w:rPr>
          <w:rFonts w:hint="eastAsia" w:asciiTheme="minorEastAsia" w:hAnsiTheme="minorEastAsia" w:eastAsiaTheme="minorEastAsia"/>
          <w:szCs w:val="21"/>
        </w:rPr>
        <w:t>（一）变更事项：《</w:t>
      </w:r>
      <w:r>
        <w:fldChar w:fldCharType="begin"/>
      </w:r>
      <w:r>
        <w:instrText xml:space="preserve"> HYPERLINK "http://www.bawjxt.net/rm/tzgg/zbgg/202110/P020211014312394644777.docx" \t "_blank" </w:instrText>
      </w:r>
      <w:r>
        <w:fldChar w:fldCharType="separate"/>
      </w:r>
      <w:r>
        <w:rPr>
          <w:rFonts w:hint="eastAsia" w:asciiTheme="minorEastAsia" w:hAnsiTheme="minorEastAsia" w:eastAsiaTheme="minorEastAsia"/>
          <w:szCs w:val="21"/>
        </w:rPr>
        <w:t>深圳市宝安</w:t>
      </w:r>
      <w:r>
        <w:rPr>
          <w:rFonts w:hint="eastAsia" w:asciiTheme="minorEastAsia" w:hAnsiTheme="minorEastAsia" w:eastAsiaTheme="minorEastAsia"/>
          <w:szCs w:val="21"/>
          <w:lang w:val="en-US" w:eastAsia="zh-CN"/>
        </w:rPr>
        <w:t>区</w:t>
      </w:r>
      <w:bookmarkStart w:id="3" w:name="_GoBack"/>
      <w:bookmarkEnd w:id="3"/>
      <w:r>
        <w:rPr>
          <w:rFonts w:hint="eastAsia" w:asciiTheme="minorEastAsia" w:hAnsiTheme="minorEastAsia" w:eastAsiaTheme="minorEastAsia"/>
          <w:szCs w:val="21"/>
        </w:rPr>
        <w:t>人民医院202</w:t>
      </w:r>
      <w:r>
        <w:rPr>
          <w:rFonts w:hint="eastAsia" w:asciiTheme="minorEastAsia" w:hAnsiTheme="minorEastAsia" w:eastAsiaTheme="minorEastAsia"/>
          <w:szCs w:val="21"/>
          <w:lang w:val="en-US" w:eastAsia="zh-CN"/>
        </w:rPr>
        <w:t>4</w:t>
      </w:r>
      <w:r>
        <w:rPr>
          <w:rFonts w:hint="eastAsia" w:asciiTheme="minorEastAsia" w:hAnsiTheme="minorEastAsia" w:eastAsiaTheme="minorEastAsia"/>
          <w:szCs w:val="21"/>
        </w:rPr>
        <w:t>年第</w:t>
      </w:r>
      <w:r>
        <w:rPr>
          <w:rFonts w:hint="eastAsia" w:asciiTheme="minorEastAsia" w:hAnsiTheme="minorEastAsia" w:eastAsiaTheme="minorEastAsia"/>
          <w:szCs w:val="21"/>
          <w:lang w:val="en-US" w:eastAsia="zh-CN"/>
        </w:rPr>
        <w:t>7</w:t>
      </w:r>
      <w:r>
        <w:rPr>
          <w:rFonts w:hint="eastAsia" w:asciiTheme="minorEastAsia" w:hAnsiTheme="minorEastAsia" w:eastAsiaTheme="minorEastAsia"/>
          <w:szCs w:val="21"/>
        </w:rPr>
        <w:t>期采购公告</w:t>
      </w:r>
      <w:r>
        <w:rPr>
          <w:rFonts w:hint="eastAsia" w:asciiTheme="minorEastAsia" w:hAnsiTheme="minorEastAsia" w:eastAsiaTheme="minorEastAsia"/>
          <w:szCs w:val="21"/>
        </w:rPr>
        <w:fldChar w:fldCharType="end"/>
      </w:r>
      <w:r>
        <w:rPr>
          <w:rFonts w:asciiTheme="minorEastAsia" w:hAnsiTheme="minorEastAsia" w:eastAsiaTheme="minorEastAsia"/>
          <w:szCs w:val="21"/>
        </w:rPr>
        <w:t>》招标文件</w:t>
      </w:r>
    </w:p>
    <w:p>
      <w:pPr>
        <w:pStyle w:val="2"/>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二</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变更内容：</w:t>
      </w:r>
      <w:r>
        <w:rPr>
          <w:rFonts w:hint="eastAsia" w:asciiTheme="minorEastAsia" w:hAnsiTheme="minorEastAsia" w:eastAsiaTheme="minorEastAsia"/>
          <w:szCs w:val="21"/>
          <w:lang w:val="en-US" w:eastAsia="zh-CN"/>
        </w:rPr>
        <w:t>现</w:t>
      </w:r>
      <w:r>
        <w:rPr>
          <w:rFonts w:hint="eastAsia" w:asciiTheme="minorEastAsia" w:hAnsiTheme="minorEastAsia" w:eastAsiaTheme="minorEastAsia"/>
          <w:szCs w:val="21"/>
        </w:rPr>
        <w:t>调整部分产品规格、尺寸、材质的参数及商务要求的文字描述</w:t>
      </w:r>
      <w:r>
        <w:rPr>
          <w:rFonts w:hint="eastAsia" w:asciiTheme="minorEastAsia" w:hAnsiTheme="minorEastAsia" w:eastAsiaTheme="minorEastAsia"/>
          <w:szCs w:val="21"/>
          <w:lang w:eastAsia="zh-CN"/>
        </w:rPr>
        <w:t>。</w:t>
      </w:r>
    </w:p>
    <w:p>
      <w:pPr>
        <w:rPr>
          <w:rFonts w:hint="eastAsia" w:ascii="宋体" w:hAnsi="宋体" w:cs="宋体"/>
          <w:sz w:val="28"/>
          <w:szCs w:val="28"/>
        </w:rPr>
      </w:pPr>
      <w:r>
        <w:rPr>
          <w:rFonts w:hint="eastAsia" w:cs="Times New Roman" w:asciiTheme="minorEastAsia" w:hAnsiTheme="minorEastAsia" w:eastAsiaTheme="minorEastAsia"/>
          <w:kern w:val="2"/>
          <w:sz w:val="28"/>
          <w:szCs w:val="28"/>
          <w:lang w:val="en-US" w:eastAsia="zh-CN" w:bidi="ar-SA"/>
        </w:rPr>
        <w:t>【采购清单】</w:t>
      </w:r>
    </w:p>
    <w:tbl>
      <w:tblPr>
        <w:tblStyle w:val="11"/>
        <w:tblW w:w="8445" w:type="dxa"/>
        <w:tblInd w:w="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935"/>
        <w:gridCol w:w="2700"/>
        <w:gridCol w:w="1500"/>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规格型号</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圆 凳</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300*400*450mm(H)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长条凳1</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1200*400*450mm(H)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推拿按摩床</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1900*600*650mm(H)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4</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接种台</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1200*600*750mm(H)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5</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副台1</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1200*400*750mm(H)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6</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办公桌</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1400*1400*750mm(H)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7</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称重台</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1300*700*650mm(H)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8</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婴儿床</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1000*700*850mm(H)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9</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诊 台</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1400*600*750mm(H)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10</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副台2</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800*400*750mm(H)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11</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组合沙发1</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1200*600*820mm（H)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12</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组合沙发2</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600*600*820mm（H)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13</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组合沙发3</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2300*1100*820mm(H)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14</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长条凳2</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1200*650*850mm(H)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15</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诊查床</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950*600*650mm(H)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16</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方木凳</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300*300*440mm(H)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17</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计免导诊台</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1400*600*800mm(H)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18</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花架1</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220*220*570/755mm(H)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19</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花架2</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300*300*800mm(H)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20</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博古架</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980*300*1960mm(H)</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组</w:t>
            </w:r>
          </w:p>
        </w:tc>
      </w:tr>
    </w:tbl>
    <w:p>
      <w:pPr>
        <w:snapToGrid w:val="0"/>
        <w:spacing w:line="360" w:lineRule="auto"/>
        <w:ind w:right="870"/>
        <w:rPr>
          <w:rFonts w:ascii="宋体" w:hAnsi="宋体" w:cs="Arial"/>
          <w:b/>
          <w:color w:val="000000"/>
          <w:kern w:val="0"/>
          <w:sz w:val="32"/>
          <w:szCs w:val="32"/>
        </w:rPr>
      </w:pPr>
    </w:p>
    <w:p>
      <w:pPr>
        <w:rPr>
          <w:rFonts w:hint="eastAsia" w:cs="Times New Roman" w:asciiTheme="minorEastAsia" w:hAnsiTheme="minorEastAsia" w:eastAsiaTheme="minorEastAsia"/>
          <w:kern w:val="2"/>
          <w:sz w:val="28"/>
          <w:szCs w:val="28"/>
          <w:lang w:val="en-US" w:eastAsia="zh-CN" w:bidi="ar-SA"/>
        </w:rPr>
      </w:pPr>
      <w:r>
        <w:rPr>
          <w:rFonts w:hint="eastAsia" w:cs="Times New Roman" w:asciiTheme="minorEastAsia" w:hAnsiTheme="minorEastAsia" w:eastAsiaTheme="minorEastAsia"/>
          <w:kern w:val="2"/>
          <w:sz w:val="28"/>
          <w:szCs w:val="28"/>
          <w:lang w:val="en-US" w:eastAsia="zh-CN" w:bidi="ar-SA"/>
        </w:rPr>
        <w:t>【技术参数】</w:t>
      </w:r>
    </w:p>
    <w:tbl>
      <w:tblPr>
        <w:tblStyle w:val="11"/>
        <w:tblW w:w="85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8"/>
        <w:gridCol w:w="1162"/>
        <w:gridCol w:w="4339"/>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名称规格</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主要材质</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Style w:val="29"/>
                <w:sz w:val="21"/>
                <w:szCs w:val="21"/>
                <w:highlight w:val="none"/>
                <w:lang w:val="en-US" w:eastAsia="zh-CN" w:bidi="ar"/>
              </w:rPr>
              <w:t>圆 凳</w:t>
            </w:r>
            <w:r>
              <w:rPr>
                <w:rStyle w:val="30"/>
                <w:rFonts w:eastAsia="宋体"/>
                <w:sz w:val="21"/>
                <w:szCs w:val="21"/>
                <w:highlight w:val="none"/>
                <w:lang w:val="en-US" w:eastAsia="zh-CN" w:bidi="ar"/>
              </w:rPr>
              <w:t xml:space="preserve">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40</w:t>
            </w:r>
            <w:r>
              <w:rPr>
                <w:rFonts w:hint="eastAsia" w:ascii="宋体" w:hAnsi="宋体" w:eastAsia="宋体" w:cs="宋体"/>
                <w:i w:val="0"/>
                <w:iCs w:val="0"/>
                <w:color w:val="auto"/>
                <w:kern w:val="0"/>
                <w:sz w:val="21"/>
                <w:szCs w:val="21"/>
                <w:highlight w:val="none"/>
                <w:u w:val="none"/>
                <w:lang w:val="en-US" w:eastAsia="zh-CN" w:bidi="ar"/>
              </w:rPr>
              <w:t>0*450mm(H)</w:t>
            </w:r>
            <w:r>
              <w:rPr>
                <w:rFonts w:hint="eastAsia" w:ascii="宋体" w:hAnsi="宋体" w:eastAsia="宋体" w:cs="宋体"/>
                <w:i w:val="0"/>
                <w:iCs w:val="0"/>
                <w:color w:val="FF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1、基材：</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橡木</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2.油漆：品牌环保油漆，三底五面工艺，两面均衡油饰,漆膜附着力达到1级。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3、结构：圆润造形，</w:t>
            </w:r>
            <w:r>
              <w:rPr>
                <w:rFonts w:hint="eastAsia" w:ascii="宋体" w:hAnsi="宋体" w:cs="宋体"/>
                <w:i w:val="0"/>
                <w:iCs w:val="0"/>
                <w:color w:val="000000"/>
                <w:kern w:val="0"/>
                <w:sz w:val="21"/>
                <w:szCs w:val="21"/>
                <w:highlight w:val="none"/>
                <w:u w:val="none"/>
                <w:lang w:val="en-US" w:eastAsia="zh-CN" w:bidi="ar"/>
              </w:rPr>
              <w:t>一侧带10CM小扶手，</w:t>
            </w:r>
            <w:r>
              <w:rPr>
                <w:rFonts w:hint="eastAsia" w:ascii="宋体" w:hAnsi="宋体" w:eastAsia="宋体" w:cs="宋体"/>
                <w:i w:val="0"/>
                <w:iCs w:val="0"/>
                <w:color w:val="000000"/>
                <w:kern w:val="0"/>
                <w:sz w:val="21"/>
                <w:szCs w:val="21"/>
                <w:highlight w:val="none"/>
                <w:u w:val="none"/>
                <w:lang w:val="en-US" w:eastAsia="zh-CN" w:bidi="ar"/>
              </w:rPr>
              <w:t xml:space="preserve">椅架采用传统榫卯结构凳腿不易变形耐用性强，抗腐能力强。 </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0288" behindDoc="0" locked="0" layoutInCell="1" allowOverlap="1">
                  <wp:simplePos x="0" y="0"/>
                  <wp:positionH relativeFrom="column">
                    <wp:posOffset>174625</wp:posOffset>
                  </wp:positionH>
                  <wp:positionV relativeFrom="paragraph">
                    <wp:posOffset>104775</wp:posOffset>
                  </wp:positionV>
                  <wp:extent cx="1021080" cy="1363345"/>
                  <wp:effectExtent l="0" t="0" r="7620" b="8255"/>
                  <wp:wrapSquare wrapText="bothSides"/>
                  <wp:docPr id="13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image23.jpeg"/>
                          <pic:cNvPicPr>
                            <a:picLocks noChangeAspect="1"/>
                          </pic:cNvPicPr>
                        </pic:nvPicPr>
                        <pic:blipFill>
                          <a:blip r:embed="rId4"/>
                          <a:stretch>
                            <a:fillRect/>
                          </a:stretch>
                        </pic:blipFill>
                        <pic:spPr>
                          <a:xfrm>
                            <a:off x="0" y="0"/>
                            <a:ext cx="1021080" cy="136334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长条凳 </w:t>
            </w: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 xml:space="preserve">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规格：1200*400*450mm(H)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1、基材：</w:t>
            </w:r>
            <w:r>
              <w:rPr>
                <w:rFonts w:hint="eastAsia" w:ascii="宋体" w:hAnsi="宋体" w:cs="宋体"/>
                <w:i w:val="0"/>
                <w:iCs w:val="0"/>
                <w:color w:val="auto"/>
                <w:kern w:val="0"/>
                <w:sz w:val="21"/>
                <w:szCs w:val="21"/>
                <w:highlight w:val="none"/>
                <w:u w:val="none"/>
                <w:lang w:val="en-US" w:eastAsia="zh-CN" w:bidi="ar"/>
              </w:rPr>
              <w:t>橡木。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2、结构：椅架采用传统榫卯结构凳腿不易变形耐用性强，抗腐能力强。                                                     </w:t>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油漆：品牌环保油漆，三底五面工艺，两面均衡油饰,漆膜附着力达到1级。</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1312" behindDoc="0" locked="0" layoutInCell="1" allowOverlap="1">
                  <wp:simplePos x="0" y="0"/>
                  <wp:positionH relativeFrom="column">
                    <wp:posOffset>151130</wp:posOffset>
                  </wp:positionH>
                  <wp:positionV relativeFrom="paragraph">
                    <wp:posOffset>272415</wp:posOffset>
                  </wp:positionV>
                  <wp:extent cx="1089660" cy="662940"/>
                  <wp:effectExtent l="0" t="0" r="15240" b="3810"/>
                  <wp:wrapSquare wrapText="bothSides"/>
                  <wp:docPr id="134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21.jpeg"/>
                          <pic:cNvPicPr>
                            <a:picLocks noChangeAspect="1"/>
                          </pic:cNvPicPr>
                        </pic:nvPicPr>
                        <pic:blipFill>
                          <a:blip r:embed="rId5"/>
                          <a:stretch>
                            <a:fillRect/>
                          </a:stretch>
                        </pic:blipFill>
                        <pic:spPr>
                          <a:xfrm>
                            <a:off x="0" y="0"/>
                            <a:ext cx="1089660" cy="66294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推拿</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按摩床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1900*</w:t>
            </w:r>
            <w:r>
              <w:rPr>
                <w:rFonts w:hint="eastAsia" w:ascii="宋体" w:hAnsi="宋体" w:cs="宋体"/>
                <w:i w:val="0"/>
                <w:iCs w:val="0"/>
                <w:color w:val="auto"/>
                <w:kern w:val="0"/>
                <w:sz w:val="21"/>
                <w:szCs w:val="21"/>
                <w:highlight w:val="none"/>
                <w:u w:val="none"/>
                <w:lang w:val="en-US" w:eastAsia="zh-CN" w:bidi="ar"/>
              </w:rPr>
              <w:t>600</w:t>
            </w:r>
            <w:r>
              <w:rPr>
                <w:rFonts w:hint="eastAsia" w:ascii="宋体" w:hAnsi="宋体" w:eastAsia="宋体" w:cs="宋体"/>
                <w:i w:val="0"/>
                <w:iCs w:val="0"/>
                <w:color w:val="auto"/>
                <w:kern w:val="0"/>
                <w:sz w:val="21"/>
                <w:szCs w:val="21"/>
                <w:highlight w:val="none"/>
                <w:u w:val="none"/>
                <w:lang w:val="en-US" w:eastAsia="zh-CN" w:bidi="ar"/>
              </w:rPr>
              <w:t xml:space="preserve">*650mm(H)   </w:t>
            </w:r>
            <w:r>
              <w:rPr>
                <w:rFonts w:hint="eastAsia" w:ascii="宋体" w:hAnsi="宋体" w:eastAsia="宋体" w:cs="宋体"/>
                <w:i w:val="0"/>
                <w:iCs w:val="0"/>
                <w:color w:val="000000"/>
                <w:kern w:val="0"/>
                <w:sz w:val="21"/>
                <w:szCs w:val="21"/>
                <w:highlight w:val="none"/>
                <w:u w:val="none"/>
                <w:lang w:val="en-US" w:eastAsia="zh-CN" w:bidi="ar"/>
              </w:rPr>
              <w:t xml:space="preserve">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1、基材</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橡木框架，</w:t>
            </w:r>
            <w:r>
              <w:rPr>
                <w:rFonts w:hint="eastAsia" w:ascii="宋体" w:hAnsi="宋体" w:eastAsia="宋体" w:cs="宋体"/>
                <w:i w:val="0"/>
                <w:iCs w:val="0"/>
                <w:color w:val="000000"/>
                <w:kern w:val="0"/>
                <w:sz w:val="21"/>
                <w:szCs w:val="21"/>
                <w:highlight w:val="none"/>
                <w:u w:val="none"/>
                <w:lang w:val="en-US" w:eastAsia="zh-CN" w:bidi="ar"/>
              </w:rPr>
              <w:t>床垫采用60mm厚度高回弹海绵，优质西皮或科技布饰面</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kern w:val="0"/>
                <w:sz w:val="21"/>
                <w:szCs w:val="21"/>
                <w:highlight w:val="none"/>
                <w:u w:val="none"/>
                <w:lang w:val="en-US" w:eastAsia="zh-CN" w:bidi="ar"/>
              </w:rPr>
              <w:t>2、结构：</w:t>
            </w:r>
            <w:r>
              <w:rPr>
                <w:rFonts w:hint="eastAsia" w:ascii="宋体" w:hAnsi="宋体" w:cs="宋体"/>
                <w:i w:val="0"/>
                <w:iCs w:val="0"/>
                <w:color w:val="000000"/>
                <w:kern w:val="0"/>
                <w:sz w:val="21"/>
                <w:szCs w:val="21"/>
                <w:highlight w:val="none"/>
                <w:u w:val="none"/>
                <w:lang w:val="en-US" w:eastAsia="zh-CN" w:bidi="ar"/>
              </w:rPr>
              <w:t>床</w:t>
            </w:r>
            <w:r>
              <w:rPr>
                <w:rFonts w:hint="eastAsia" w:ascii="宋体" w:hAnsi="宋体" w:eastAsia="宋体" w:cs="宋体"/>
                <w:i w:val="0"/>
                <w:iCs w:val="0"/>
                <w:color w:val="000000"/>
                <w:kern w:val="0"/>
                <w:sz w:val="21"/>
                <w:szCs w:val="21"/>
                <w:highlight w:val="none"/>
                <w:u w:val="none"/>
                <w:lang w:val="en-US" w:eastAsia="zh-CN" w:bidi="ar"/>
              </w:rPr>
              <w:t xml:space="preserve">架采用传统榫卯结构凳腿不易变形耐用性强，抗腐能力强。                               3、油漆：品牌环保油漆，三底五面工艺，两面均衡油饰,漆膜附着力达到1级。                         </w:t>
            </w:r>
            <w:r>
              <w:rPr>
                <w:rFonts w:hint="eastAsia" w:ascii="宋体" w:hAnsi="宋体" w:cs="宋体"/>
                <w:i w:val="0"/>
                <w:iCs w:val="0"/>
                <w:color w:val="000000"/>
                <w:kern w:val="0"/>
                <w:sz w:val="21"/>
                <w:szCs w:val="21"/>
                <w:highlight w:val="none"/>
                <w:u w:val="none"/>
                <w:lang w:val="en-US" w:eastAsia="zh-CN" w:bidi="ar"/>
              </w:rPr>
              <w:t xml:space="preserve">                                        </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2336" behindDoc="0" locked="0" layoutInCell="1" allowOverlap="1">
                  <wp:simplePos x="0" y="0"/>
                  <wp:positionH relativeFrom="column">
                    <wp:posOffset>83185</wp:posOffset>
                  </wp:positionH>
                  <wp:positionV relativeFrom="paragraph">
                    <wp:posOffset>358140</wp:posOffset>
                  </wp:positionV>
                  <wp:extent cx="1167765" cy="768350"/>
                  <wp:effectExtent l="0" t="0" r="13335" b="12700"/>
                  <wp:wrapSquare wrapText="bothSides"/>
                  <wp:docPr id="13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9"/>
                          <pic:cNvPicPr>
                            <a:picLocks noChangeAspect="1"/>
                          </pic:cNvPicPr>
                        </pic:nvPicPr>
                        <pic:blipFill>
                          <a:blip r:embed="rId6"/>
                          <a:srcRect t="48732" r="7863" b="18044"/>
                          <a:stretch>
                            <a:fillRect/>
                          </a:stretch>
                        </pic:blipFill>
                        <pic:spPr>
                          <a:xfrm>
                            <a:off x="0" y="0"/>
                            <a:ext cx="1167765" cy="76835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接种台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strike w:val="0"/>
                <w:dstrike w:val="0"/>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 xml:space="preserve">规格：1200*600*750mm(H)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1、基材：选用18-25mm厚</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E1级</w:t>
            </w:r>
            <w:r>
              <w:rPr>
                <w:rFonts w:hint="eastAsia" w:ascii="宋体" w:hAnsi="宋体" w:cs="宋体"/>
                <w:i w:val="0"/>
                <w:iCs w:val="0"/>
                <w:color w:val="auto"/>
                <w:kern w:val="0"/>
                <w:sz w:val="21"/>
                <w:szCs w:val="21"/>
                <w:highlight w:val="none"/>
                <w:u w:val="none"/>
                <w:lang w:val="en-US" w:eastAsia="zh-CN" w:bidi="ar"/>
              </w:rPr>
              <w:t>多层生态胶合板（</w:t>
            </w:r>
            <w:r>
              <w:rPr>
                <w:rFonts w:hint="eastAsia" w:ascii="宋体" w:hAnsi="宋体" w:eastAsia="宋体" w:cs="宋体"/>
                <w:i w:val="0"/>
                <w:iCs w:val="0"/>
                <w:color w:val="auto"/>
                <w:kern w:val="0"/>
                <w:sz w:val="21"/>
                <w:szCs w:val="21"/>
                <w:highlight w:val="none"/>
                <w:u w:val="none"/>
                <w:lang w:val="en-US" w:eastAsia="zh-CN" w:bidi="ar"/>
              </w:rPr>
              <w:t>多层实木</w:t>
            </w:r>
            <w:r>
              <w:rPr>
                <w:rFonts w:hint="eastAsia" w:ascii="宋体" w:hAnsi="宋体" w:cs="宋体"/>
                <w:i w:val="0"/>
                <w:iCs w:val="0"/>
                <w:color w:val="auto"/>
                <w:kern w:val="0"/>
                <w:sz w:val="21"/>
                <w:szCs w:val="21"/>
                <w:highlight w:val="none"/>
                <w:u w:val="none"/>
                <w:lang w:val="en-US" w:eastAsia="zh-CN" w:bidi="ar"/>
              </w:rPr>
              <w:t>生态板）</w:t>
            </w:r>
            <w:r>
              <w:rPr>
                <w:rFonts w:hint="eastAsia" w:ascii="宋体" w:hAnsi="宋体" w:eastAsia="宋体" w:cs="宋体"/>
                <w:i w:val="0"/>
                <w:iCs w:val="0"/>
                <w:color w:val="000000"/>
                <w:kern w:val="0"/>
                <w:sz w:val="21"/>
                <w:szCs w:val="21"/>
                <w:highlight w:val="none"/>
                <w:u w:val="none"/>
                <w:lang w:val="en-US" w:eastAsia="zh-CN" w:bidi="ar"/>
              </w:rPr>
              <w:t>贴双面1.0mm厚光面防火板。防火、耐磨、 防污、硬度高。经过防潮、防虫、防腐的化学处理，强度高，刚性好，不变形不开裂。</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多层实木夹板（多层实木生态板）：符合</w:t>
            </w:r>
            <w:r>
              <w:rPr>
                <w:rFonts w:hint="eastAsia" w:ascii="宋体" w:hAnsi="宋体" w:eastAsia="宋体" w:cs="宋体"/>
                <w:b w:val="0"/>
                <w:bCs w:val="0"/>
                <w:strike w:val="0"/>
                <w:dstrike w:val="0"/>
                <w:color w:val="auto"/>
                <w:sz w:val="21"/>
                <w:szCs w:val="21"/>
                <w:highlight w:val="none"/>
                <w:lang w:val="en-US" w:eastAsia="zh-CN"/>
              </w:rPr>
              <w:t>GB/T 9846-2015《普通胶合板》、GB 18580-2017《室内装饰装修材料人造板及其制品中甲醛释放限量》、GB/T 35601-2017《绿色产品评价人造板和木质地板》；甲醛释放量(气候箱法)E1≤0.02mg/m3；含水率-胶合板的含水率8~10%；含水率-胶合板的含水率-合格试件数与有效试件总数之比≥90%；挥发性有机化合物(72h)-总挥发性有机化合物(TVOC)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2、配件：键盘采用阻尼导轨,两节轨承载力≥25kg，所有五金配件全部经过防锈、防腐处理。</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五金配件：符合</w:t>
            </w:r>
            <w:r>
              <w:rPr>
                <w:rFonts w:hint="eastAsia" w:ascii="宋体" w:hAnsi="宋体" w:eastAsia="宋体" w:cs="宋体"/>
                <w:b w:val="0"/>
                <w:bCs w:val="0"/>
                <w:strike w:val="0"/>
                <w:dstrike w:val="0"/>
                <w:color w:val="auto"/>
                <w:sz w:val="21"/>
                <w:szCs w:val="21"/>
                <w:highlight w:val="none"/>
                <w:lang w:val="en-US" w:eastAsia="zh-CN"/>
              </w:rPr>
              <w:t>GB/T 28203-2011《家具用连接件技术要求及试验方法》；金属件表面应无锈蚀、毛刺刃口、露底,应光滑平整,应无起泡、泛黄、花斑、烧焦、裂纹、划痕、磕碰伤等缺陷；焊接部位应牢固,应无脱焊、虚焊、焊穿,焊缝均匀,应无毛刺、锐楞、飞溅、裂纹等缺陷；塑料部位表面应光洁平滑,不应有裂纹、划伤、沙粒、疙瘩、麻点等缺陷,色泽应一致；金属镀层抗盐雾：18 h,1.5mm以下锈点20点/d㎡,其中≥1.0mm锈点不超过5点(距离边缘棱角2mm以内的不计)；力学性能：三合一偏心连接件偏心体抗压强度≥360N；三合一偏心连接件预埋螺母抗拉强度≥830N。</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阻尼导轨：符合</w:t>
            </w:r>
            <w:r>
              <w:rPr>
                <w:rFonts w:hint="eastAsia" w:ascii="宋体" w:hAnsi="宋体" w:eastAsia="宋体" w:cs="宋体"/>
                <w:b w:val="0"/>
                <w:bCs w:val="0"/>
                <w:strike w:val="0"/>
                <w:dstrike w:val="0"/>
                <w:color w:val="auto"/>
                <w:sz w:val="21"/>
                <w:szCs w:val="21"/>
                <w:highlight w:val="none"/>
                <w:lang w:val="en-US" w:eastAsia="zh-CN"/>
              </w:rPr>
              <w:t>QB/T 2454-2013《家具五金抽屉导轨》、GB/T 3325-2017《金属家具通用技术条件》、GB 24820-2009《实验室家具通用技术条件》；操作力：耐久前拉力，当M&lt;40kg时，拉力≤50N；耐久前推力，当M&lt;40kg时，推力≤50N；耐久后拉力，当M&lt;40kg时，拉力≤50N；耐久后推力，当M&lt;40kg时，推力≤50N；耐久性(家用型：循环次数40000次)应合格；垂直向下静载荷(家用型：载荷150N)应合格；水平侧向静载荷(家用型：载荷75N)应合格；拉出安全性(家用型：试验负荷≤20kg，试验速度Vm=0.3m/s)应合格；猛关、猛开(家用型：各加载10次，因子K=1.25)应合格；下沉量：下沉量不应超过抽屉导轨拉出长度的4%；表面理化性能-金属喷漆(塑)涂层-耐腐蚀：51h乙酸盐雾试验(ASS)，不低于7级；金属喷漆(塑)涂层-硬度：≥4H；金属喷漆(塑)涂层-附着力：应不低于2级。</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3、封边：采用PVC厚度2.0MM同色封边，色泽均匀一致。</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PVC封边</w:t>
            </w:r>
            <w:r>
              <w:rPr>
                <w:rFonts w:hint="eastAsia" w:ascii="宋体" w:hAnsi="宋体" w:eastAsia="宋体" w:cs="宋体"/>
                <w:b w:val="0"/>
                <w:bCs w:val="0"/>
                <w:strike w:val="0"/>
                <w:dstrike w:val="0"/>
                <w:color w:val="auto"/>
                <w:sz w:val="21"/>
                <w:szCs w:val="21"/>
                <w:highlight w:val="none"/>
              </w:rPr>
              <w:t>符合</w:t>
            </w:r>
            <w:r>
              <w:rPr>
                <w:rFonts w:hint="eastAsia" w:ascii="宋体" w:hAnsi="宋体" w:eastAsia="宋体" w:cs="宋体"/>
                <w:b w:val="0"/>
                <w:bCs w:val="0"/>
                <w:strike w:val="0"/>
                <w:dstrike w:val="0"/>
                <w:color w:val="auto"/>
                <w:sz w:val="21"/>
                <w:szCs w:val="21"/>
                <w:highlight w:val="none"/>
                <w:lang w:val="en-US" w:eastAsia="zh-CN"/>
              </w:rPr>
              <w:t>QB/T 4463-2013《家具用封边条技术要求》、GB 28481-2012《塑料家具中有害物质限量》；塑料封边条一耐老化性(72h)应无开裂，塑料封边条一耐光色牢度(灰色样卡)≥5级，甲醛释放量未检出，氯乙烯单体未检出，多溴联苯(PBB)未检出，多溴二苯醚(PBDE)未检出，可迁移元素(可溶性重金属)：铅(Pb)、镉(Cd)、铬(Cr)、汞(Hg)、砷(As)、钡(Ba)、锑(Sb)、硒(Se)未检出，邻苯二甲酸酯DBP、BBP、DEHP、DNOP、DINP、DIDP未检出。</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4、结构：台面框架结构，含键盘架，主机架各1个。</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3360" behindDoc="0" locked="0" layoutInCell="1" allowOverlap="1">
                  <wp:simplePos x="0" y="0"/>
                  <wp:positionH relativeFrom="column">
                    <wp:posOffset>118110</wp:posOffset>
                  </wp:positionH>
                  <wp:positionV relativeFrom="paragraph">
                    <wp:posOffset>666750</wp:posOffset>
                  </wp:positionV>
                  <wp:extent cx="1107440" cy="752475"/>
                  <wp:effectExtent l="0" t="0" r="16510" b="9525"/>
                  <wp:wrapSquare wrapText="bothSides"/>
                  <wp:docPr id="13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图片 19"/>
                          <pic:cNvPicPr>
                            <a:picLocks noChangeAspect="1"/>
                          </pic:cNvPicPr>
                        </pic:nvPicPr>
                        <pic:blipFill>
                          <a:blip r:embed="rId7"/>
                          <a:stretch>
                            <a:fillRect/>
                          </a:stretch>
                        </pic:blipFill>
                        <pic:spPr>
                          <a:xfrm>
                            <a:off x="0" y="0"/>
                            <a:ext cx="1107440" cy="75247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副台</w:t>
            </w: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 xml:space="preserve">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strike w:val="0"/>
                <w:dstrike w:val="0"/>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 xml:space="preserve">规格：1200*400*750mm(H)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1、基材：选用18-25mm厚</w:t>
            </w:r>
            <w:r>
              <w:rPr>
                <w:rFonts w:hint="eastAsia" w:ascii="宋体" w:hAnsi="宋体" w:cs="宋体"/>
                <w:i w:val="0"/>
                <w:iCs w:val="0"/>
                <w:color w:val="000000"/>
                <w:kern w:val="0"/>
                <w:sz w:val="21"/>
                <w:szCs w:val="21"/>
                <w:highlight w:val="none"/>
                <w:u w:val="none"/>
                <w:lang w:val="en-US" w:eastAsia="zh-CN" w:bidi="ar"/>
              </w:rPr>
              <w:t>，E1级多层生态胶合板（多层实木生态板）</w:t>
            </w:r>
            <w:r>
              <w:rPr>
                <w:rFonts w:hint="eastAsia" w:ascii="宋体" w:hAnsi="宋体" w:eastAsia="宋体" w:cs="宋体"/>
                <w:i w:val="0"/>
                <w:iCs w:val="0"/>
                <w:color w:val="000000"/>
                <w:kern w:val="0"/>
                <w:sz w:val="21"/>
                <w:szCs w:val="21"/>
                <w:highlight w:val="none"/>
                <w:u w:val="none"/>
                <w:lang w:val="en-US" w:eastAsia="zh-CN" w:bidi="ar"/>
              </w:rPr>
              <w:t>贴双面1.0mm厚光面防火板。防火、耐磨、 防污、硬度高。经过防潮、防</w:t>
            </w:r>
            <w:r>
              <w:rPr>
                <w:rFonts w:hint="eastAsia" w:ascii="宋体" w:hAnsi="宋体" w:eastAsia="宋体" w:cs="宋体"/>
                <w:i w:val="0"/>
                <w:iCs w:val="0"/>
                <w:color w:val="auto"/>
                <w:kern w:val="0"/>
                <w:sz w:val="21"/>
                <w:szCs w:val="21"/>
                <w:highlight w:val="none"/>
                <w:u w:val="none"/>
                <w:lang w:val="en-US" w:eastAsia="zh-CN" w:bidi="ar"/>
              </w:rPr>
              <w:t>虫、防腐的化学处理，强度高，刚性好，不变形不开裂。</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多层实木夹板（多层实木生态板）：符合</w:t>
            </w:r>
            <w:r>
              <w:rPr>
                <w:rFonts w:hint="eastAsia" w:ascii="宋体" w:hAnsi="宋体" w:eastAsia="宋体" w:cs="宋体"/>
                <w:b w:val="0"/>
                <w:bCs w:val="0"/>
                <w:strike w:val="0"/>
                <w:dstrike w:val="0"/>
                <w:color w:val="auto"/>
                <w:sz w:val="21"/>
                <w:szCs w:val="21"/>
                <w:highlight w:val="none"/>
                <w:lang w:val="en-US" w:eastAsia="zh-CN"/>
              </w:rPr>
              <w:t>GB/T 9846-2015《普通胶合板》、GB 18580-2017《室内装饰装修材料人造板及其制品中甲醛释放限量》、GB/T 35601-2017《绿色产品评价人造板和木质地板》；甲醛释放量(气候箱法)E1≤0.02mg/m3；含水率-胶合板的含水率8~10%；含水率-胶合板的含水率-合格试件数与有效试件总数之比≥90%；挥发性有机化合物(72h)-总挥发性有机化合物(TVOC)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2、配件：采用阻尼导轨，</w:t>
            </w:r>
            <w:r>
              <w:rPr>
                <w:rFonts w:hint="eastAsia" w:ascii="宋体" w:hAnsi="宋体" w:cs="宋体"/>
                <w:i w:val="0"/>
                <w:iCs w:val="0"/>
                <w:color w:val="auto"/>
                <w:kern w:val="0"/>
                <w:sz w:val="21"/>
                <w:szCs w:val="21"/>
                <w:highlight w:val="none"/>
                <w:u w:val="none"/>
                <w:lang w:val="en-US" w:eastAsia="zh-CN" w:bidi="ar"/>
              </w:rPr>
              <w:t>三节轨承载力≥15kg</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使用寿命≥4万次</w:t>
            </w:r>
            <w:r>
              <w:rPr>
                <w:rFonts w:hint="eastAsia" w:ascii="宋体" w:hAnsi="宋体" w:eastAsia="宋体" w:cs="宋体"/>
                <w:i w:val="0"/>
                <w:iCs w:val="0"/>
                <w:color w:val="auto"/>
                <w:kern w:val="0"/>
                <w:sz w:val="21"/>
                <w:szCs w:val="21"/>
                <w:highlight w:val="none"/>
                <w:u w:val="none"/>
                <w:lang w:val="en-US" w:eastAsia="zh-CN" w:bidi="ar"/>
              </w:rPr>
              <w:t>。锌合金门锁，锁具互开率≤0.2%；所有五金配件全部经过防锈、防腐处理。</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五金配件：符合</w:t>
            </w:r>
            <w:r>
              <w:rPr>
                <w:rFonts w:hint="eastAsia" w:ascii="宋体" w:hAnsi="宋体" w:eastAsia="宋体" w:cs="宋体"/>
                <w:b w:val="0"/>
                <w:bCs w:val="0"/>
                <w:strike w:val="0"/>
                <w:dstrike w:val="0"/>
                <w:color w:val="auto"/>
                <w:sz w:val="21"/>
                <w:szCs w:val="21"/>
                <w:highlight w:val="none"/>
                <w:lang w:val="en-US" w:eastAsia="zh-CN"/>
              </w:rPr>
              <w:t>GB/T 28203-2011《家具用连接件技术要求及试验方法》；金属件表面应无锈蚀、毛刺刃口、露底,应光滑平整,应无起泡、泛黄、花斑、烧焦、裂纹、划痕、磕碰伤等缺陷；焊接部位应牢固,应无脱焊、虚焊、焊穿,焊缝均匀,应无毛刺、锐楞、飞溅、裂纹等缺陷；塑料部位表面应光洁平滑,不应有裂纹、划伤、沙粒、疙瘩、麻点等缺陷,色泽应一致；金属镀层抗盐雾：18 h,1.5mm以下锈点20点/d㎡,其中≥1.0mm锈点不超过5点(距离边缘棱角2mm以内的不计)；力学性能：三合一偏心连接件偏心体抗压强度≥360N；三合一偏心连接件预埋螺母抗拉强度≥830N。</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阻尼导轨：符合</w:t>
            </w:r>
            <w:r>
              <w:rPr>
                <w:rFonts w:hint="eastAsia" w:ascii="宋体" w:hAnsi="宋体" w:eastAsia="宋体" w:cs="宋体"/>
                <w:b w:val="0"/>
                <w:bCs w:val="0"/>
                <w:strike w:val="0"/>
                <w:dstrike w:val="0"/>
                <w:color w:val="auto"/>
                <w:sz w:val="21"/>
                <w:szCs w:val="21"/>
                <w:highlight w:val="none"/>
                <w:lang w:val="en-US" w:eastAsia="zh-CN"/>
              </w:rPr>
              <w:t>QB/T 2454-2013《家具五金抽屉导轨》、GB/T 3325-2017《金属家具通用技术条件》、GB 24820-2009《实验室家具通用技术条件》；操作力：耐久前拉力，当M&lt;40kg时，拉力≤50N；耐久前推力，当M&lt;40kg时，推力≤50N；耐久后拉力，当M&lt;40kg时，拉力≤50N；耐久后推力，当M&lt;40kg时，推力≤50N；耐久性(家用型：循环次数40000次)应合格；垂直向下静载荷(家用型：载荷150N)应合格；水平侧向静载荷(家用型：载荷75N)应合格；拉出安全性(家用型：试验负荷≤20kg，试验速度Vm=0.3m/s)应合格；猛关、猛开(家用型：各加载10次，因子K=1.25)应合格；下沉量：下沉量不应超过抽屉导轨拉出长度的4%；表面理化性能-金属喷漆(塑)涂层-耐腐蚀：51h乙酸盐雾试验(ASS)，不低于7级；金属喷漆(塑)涂层-硬度：≥4H；金属喷漆(塑)涂层-附着力：应不低于2级。</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3、结构：左侧开放储物隔含一块活动层板，右侧带锁三抽屉柜。  </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4384" behindDoc="0" locked="0" layoutInCell="1" allowOverlap="1">
                  <wp:simplePos x="0" y="0"/>
                  <wp:positionH relativeFrom="column">
                    <wp:posOffset>148590</wp:posOffset>
                  </wp:positionH>
                  <wp:positionV relativeFrom="paragraph">
                    <wp:posOffset>2230755</wp:posOffset>
                  </wp:positionV>
                  <wp:extent cx="975360" cy="720725"/>
                  <wp:effectExtent l="0" t="0" r="15240" b="3175"/>
                  <wp:wrapSquare wrapText="bothSides"/>
                  <wp:docPr id="13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20"/>
                          <pic:cNvPicPr>
                            <a:picLocks noChangeAspect="1"/>
                          </pic:cNvPicPr>
                        </pic:nvPicPr>
                        <pic:blipFill>
                          <a:blip r:embed="rId8"/>
                          <a:stretch>
                            <a:fillRect/>
                          </a:stretch>
                        </pic:blipFill>
                        <pic:spPr>
                          <a:xfrm>
                            <a:off x="0" y="0"/>
                            <a:ext cx="975360" cy="72072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办公桌</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strike w:val="0"/>
                <w:dstrike w:val="0"/>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1400*1400*750mm(H)</w:t>
            </w:r>
            <w:r>
              <w:rPr>
                <w:rFonts w:hint="eastAsia" w:ascii="宋体" w:hAnsi="宋体" w:eastAsia="宋体" w:cs="宋体"/>
                <w:i w:val="0"/>
                <w:iCs w:val="0"/>
                <w:color w:val="000000"/>
                <w:kern w:val="0"/>
                <w:sz w:val="21"/>
                <w:szCs w:val="21"/>
                <w:highlight w:val="none"/>
                <w:u w:val="none"/>
                <w:lang w:val="en-US" w:eastAsia="zh-CN" w:bidi="ar"/>
              </w:rPr>
              <w:t xml:space="preserve">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1、基材：选用18-25MM厚</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E1级环保中纤板</w:t>
            </w:r>
            <w:r>
              <w:rPr>
                <w:rFonts w:hint="eastAsia" w:ascii="宋体" w:hAnsi="宋体" w:eastAsia="宋体" w:cs="宋体"/>
                <w:i w:val="0"/>
                <w:iCs w:val="0"/>
                <w:color w:val="000000"/>
                <w:kern w:val="0"/>
                <w:sz w:val="21"/>
                <w:szCs w:val="21"/>
                <w:highlight w:val="none"/>
                <w:u w:val="none"/>
                <w:lang w:val="en-US" w:eastAsia="zh-CN" w:bidi="ar"/>
              </w:rPr>
              <w:t>表面烤漆处理。板材经过防潮、防虫、防腐的化学处理，强度高，刚性好，不变形不开裂。</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strike w:val="0"/>
                <w:dstrike w:val="0"/>
                <w:color w:val="auto"/>
                <w:sz w:val="21"/>
                <w:szCs w:val="21"/>
                <w:highlight w:val="none"/>
                <w:lang w:eastAsia="zh-CN"/>
              </w:rPr>
              <w:t>中纤板：</w:t>
            </w:r>
            <w:r>
              <w:rPr>
                <w:rFonts w:hint="eastAsia" w:ascii="宋体" w:hAnsi="宋体" w:eastAsia="宋体" w:cs="宋体"/>
                <w:b w:val="0"/>
                <w:bCs w:val="0"/>
                <w:strike w:val="0"/>
                <w:dstrike w:val="0"/>
                <w:color w:val="auto"/>
                <w:sz w:val="21"/>
                <w:szCs w:val="21"/>
                <w:highlight w:val="none"/>
                <w:lang w:val="en-US" w:eastAsia="zh-CN"/>
              </w:rPr>
              <w:t>符合GB/T11718-2021《中密度纤维板》、GB18580-2017《室内装饰装修材料人造板及其制品中甲醛释放限量》、GB/T 35601-2017《绿色产品评价人造板和木质地板》；木材含水率8—10%，甲醛释放量≤0.02mg/m3，总挥发性有机化合物（TVOC）释放率未检出。</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 xml:space="preserve">                                          2、配件：采用阻尼导轨及阻尼门铰，门铰开合次数≥10万次；</w:t>
            </w:r>
            <w:r>
              <w:rPr>
                <w:rFonts w:hint="eastAsia" w:ascii="宋体" w:hAnsi="宋体" w:cs="宋体"/>
                <w:i w:val="0"/>
                <w:iCs w:val="0"/>
                <w:color w:val="auto"/>
                <w:kern w:val="0"/>
                <w:sz w:val="21"/>
                <w:szCs w:val="21"/>
                <w:highlight w:val="none"/>
                <w:u w:val="none"/>
                <w:lang w:val="en-US" w:eastAsia="zh-CN" w:bidi="ar"/>
              </w:rPr>
              <w:t>三节轨承载力≥15kg</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使用寿命≥4万次</w:t>
            </w:r>
            <w:r>
              <w:rPr>
                <w:rFonts w:hint="eastAsia" w:ascii="宋体" w:hAnsi="宋体" w:eastAsia="宋体" w:cs="宋体"/>
                <w:i w:val="0"/>
                <w:iCs w:val="0"/>
                <w:color w:val="auto"/>
                <w:kern w:val="0"/>
                <w:sz w:val="21"/>
                <w:szCs w:val="21"/>
                <w:highlight w:val="none"/>
                <w:u w:val="none"/>
                <w:lang w:val="en-US" w:eastAsia="zh-CN" w:bidi="ar"/>
              </w:rPr>
              <w:t>，锌合金门锁,锁具互开率≤0.2%；所有五金配件全部经过防锈、防腐处理。</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五金配件：符合</w:t>
            </w:r>
            <w:r>
              <w:rPr>
                <w:rFonts w:hint="eastAsia" w:ascii="宋体" w:hAnsi="宋体" w:eastAsia="宋体" w:cs="宋体"/>
                <w:b w:val="0"/>
                <w:bCs w:val="0"/>
                <w:strike w:val="0"/>
                <w:dstrike w:val="0"/>
                <w:color w:val="auto"/>
                <w:sz w:val="21"/>
                <w:szCs w:val="21"/>
                <w:highlight w:val="none"/>
                <w:lang w:val="en-US" w:eastAsia="zh-CN"/>
              </w:rPr>
              <w:t>GB/T 28203-2011《家具用连接件技术要求及试验方法》；金属件表面应无锈蚀、毛刺刃口、露底,应光滑平整,应无起泡、泛黄、花斑、烧焦、裂纹、划痕、磕碰伤等缺陷；焊接部位应牢固,应无脱焊、虚焊、焊穿,焊缝均匀,应无毛刺、锐楞、飞溅、裂纹等缺陷；塑料部位表面应光洁平滑,不应有裂纹、划伤、沙粒、疙瘩、麻点等缺陷,色泽应一致；金属镀层抗盐雾：18 h,1.5mm以下锈点20点/d㎡,其中≥1.0mm锈点不超过5点(距离边缘棱角2mm以内的不计)；力学性能：三合一偏心连接件偏心体抗压强度≥360N；三合一偏心连接件预埋螺母抗拉强度≥830N。</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p>
          <w:p>
            <w:pPr>
              <w:keepNext w:val="0"/>
              <w:keepLines w:val="0"/>
              <w:widowControl/>
              <w:suppressLineNumbers w:val="0"/>
              <w:jc w:val="left"/>
              <w:textAlignment w:val="center"/>
              <w:rPr>
                <w:rFonts w:hint="eastAsia" w:ascii="宋体" w:hAnsi="宋体" w:eastAsia="宋体" w:cs="宋体"/>
                <w:b w:val="0"/>
                <w:bCs w:val="0"/>
                <w:strike w:val="0"/>
                <w:dstrike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阻尼门铰：符合</w:t>
            </w:r>
            <w:r>
              <w:rPr>
                <w:rFonts w:hint="eastAsia" w:ascii="宋体" w:hAnsi="宋体" w:eastAsia="宋体" w:cs="宋体"/>
                <w:b w:val="0"/>
                <w:bCs w:val="0"/>
                <w:strike w:val="0"/>
                <w:dstrike w:val="0"/>
                <w:color w:val="auto"/>
                <w:sz w:val="21"/>
                <w:szCs w:val="21"/>
                <w:highlight w:val="none"/>
                <w:lang w:val="en-US" w:eastAsia="zh-CN"/>
              </w:rPr>
              <w:t>GB/T 3325-2017《金属家具通用技术条件》、QB/T 2189-2013《家具五金 杯状暗铰链》、QB/T 3826-1999《轻工产品金属镀层和化学处理层的耐腐蚀试验方法中性盐雾试验(NSS)法》、QB/T 3827-1999《轻工产品金属镀层和化学处理层的耐腐蚀试验方法乙酸盐雾试验(ASS)法》、QB/T3832-1999《轻工产品金属镀层腐蚀试验结果的评价》；喷涂层：涂层应无漏喷、锈蚀和脱色、掉色现象；涂层应光滑均匀，色泽一致，应无流挂、疙瘩、皱皮、飞漆等缺陷。耐久性：达到20万次，①所有组件或结合处不应断裂；②通过手触压证实，用于紧固的组件不应松动；③所有组件不应有影响正常运作的变形或磨损；④固定组件不应松动；⑤所有组件的功能不应损害；⑥杯状暗铰链及其组件应能正常工作。中性盐雾试验和乙酸盐雾试验：经过连续喷雾500h后，镀（涂）层本身的耐腐蚀等级和镀（涂）层对基体的保护等级均到达10级。</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阻尼导轨：符合</w:t>
            </w:r>
            <w:r>
              <w:rPr>
                <w:rFonts w:hint="eastAsia" w:ascii="宋体" w:hAnsi="宋体" w:eastAsia="宋体" w:cs="宋体"/>
                <w:b w:val="0"/>
                <w:bCs w:val="0"/>
                <w:strike w:val="0"/>
                <w:dstrike w:val="0"/>
                <w:color w:val="auto"/>
                <w:sz w:val="21"/>
                <w:szCs w:val="21"/>
                <w:highlight w:val="none"/>
                <w:lang w:val="en-US" w:eastAsia="zh-CN"/>
              </w:rPr>
              <w:t>QB/T 2454-2013《家具五金抽屉导轨》、GB/T 3325-2017《金属家具通用技术条件》、GB 24820-2009《实验室家具通用技术条件》；操作力：耐久前拉力，当M&lt;40kg时，拉力≤50N；耐久前推力，当M&lt;40kg时，推力≤50N；耐久后拉力，当M&lt;40kg时，拉力≤50N；耐久后推力，当M&lt;40kg时，推力≤50N；耐久性(家用型：循环次数40000次)应合格；垂直向下静载荷(家用型：载荷150N)应合格；水平侧向静载荷(家用型：载荷75N)应合格；拉出安全性(家用型：试验负荷≤20kg，试验速度Vm=0.3m/s)应合格；猛关、猛开(家用型：各加载10次，因子K=1.25)应合格；下沉量：下沉量不应超过抽屉导轨拉出长度的4%；表面理化性能-金属喷漆(塑)涂层-耐腐蚀：51h乙酸盐雾试验(ASS)，不低于7级；金属喷漆(塑)涂层-硬度：≥4H；金属喷漆(塑)涂层-附着力：应不低于2级。</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3、整体工艺： 一侧支撑脚：钢制喷涂圆柱脚及圆盘底座，壁厚≥1.5mm,侧柜：左侧开放式主机位，右边抽屉，                                    5、功能：桌面含铝合金翻盖走线盒，隐藏式走线设计，配有钢制前挡板。</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5408" behindDoc="0" locked="0" layoutInCell="1" allowOverlap="1">
                  <wp:simplePos x="0" y="0"/>
                  <wp:positionH relativeFrom="column">
                    <wp:posOffset>101600</wp:posOffset>
                  </wp:positionH>
                  <wp:positionV relativeFrom="paragraph">
                    <wp:posOffset>515620</wp:posOffset>
                  </wp:positionV>
                  <wp:extent cx="1096010" cy="1094740"/>
                  <wp:effectExtent l="0" t="0" r="8890" b="10160"/>
                  <wp:wrapSquare wrapText="bothSides"/>
                  <wp:docPr id="134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31.jpeg"/>
                          <pic:cNvPicPr>
                            <a:picLocks noChangeAspect="1"/>
                          </pic:cNvPicPr>
                        </pic:nvPicPr>
                        <pic:blipFill>
                          <a:blip r:embed="rId9"/>
                          <a:stretch>
                            <a:fillRect/>
                          </a:stretch>
                        </pic:blipFill>
                        <pic:spPr>
                          <a:xfrm>
                            <a:off x="0" y="0"/>
                            <a:ext cx="1096010" cy="109474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称重台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strike w:val="0"/>
                <w:dstrike w:val="0"/>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 xml:space="preserve">规格：1300*700*650mm(H)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1、基材：选用18-25mm厚</w:t>
            </w:r>
            <w:r>
              <w:rPr>
                <w:rFonts w:hint="eastAsia" w:ascii="宋体" w:hAnsi="宋体" w:cs="宋体"/>
                <w:i w:val="0"/>
                <w:iCs w:val="0"/>
                <w:color w:val="auto"/>
                <w:kern w:val="0"/>
                <w:sz w:val="21"/>
                <w:szCs w:val="21"/>
                <w:highlight w:val="none"/>
                <w:u w:val="none"/>
                <w:lang w:val="en-US" w:eastAsia="zh-CN" w:bidi="ar"/>
              </w:rPr>
              <w:t>E1级多层生态胶合板（多层实木生态板）</w:t>
            </w:r>
            <w:r>
              <w:rPr>
                <w:rFonts w:hint="eastAsia" w:ascii="宋体" w:hAnsi="宋体" w:eastAsia="宋体" w:cs="宋体"/>
                <w:i w:val="0"/>
                <w:iCs w:val="0"/>
                <w:color w:val="auto"/>
                <w:kern w:val="0"/>
                <w:sz w:val="21"/>
                <w:szCs w:val="21"/>
                <w:highlight w:val="none"/>
                <w:u w:val="none"/>
                <w:lang w:val="en-US" w:eastAsia="zh-CN" w:bidi="ar"/>
              </w:rPr>
              <w:t>贴双面1.0mm厚光面防火板。防火、耐磨、 防污、硬度高。经过防</w:t>
            </w:r>
            <w:r>
              <w:rPr>
                <w:rFonts w:hint="eastAsia" w:ascii="宋体" w:hAnsi="宋体" w:eastAsia="宋体" w:cs="宋体"/>
                <w:i w:val="0"/>
                <w:iCs w:val="0"/>
                <w:color w:val="000000"/>
                <w:kern w:val="0"/>
                <w:sz w:val="21"/>
                <w:szCs w:val="21"/>
                <w:highlight w:val="none"/>
                <w:u w:val="none"/>
                <w:lang w:val="en-US" w:eastAsia="zh-CN" w:bidi="ar"/>
              </w:rPr>
              <w:t>潮、防</w:t>
            </w:r>
            <w:r>
              <w:rPr>
                <w:rFonts w:hint="eastAsia" w:ascii="宋体" w:hAnsi="宋体" w:eastAsia="宋体" w:cs="宋体"/>
                <w:i w:val="0"/>
                <w:iCs w:val="0"/>
                <w:color w:val="auto"/>
                <w:kern w:val="0"/>
                <w:sz w:val="21"/>
                <w:szCs w:val="21"/>
                <w:highlight w:val="none"/>
                <w:u w:val="none"/>
                <w:lang w:val="en-US" w:eastAsia="zh-CN" w:bidi="ar"/>
              </w:rPr>
              <w:t>虫、防腐的化学处理，强度高，刚性好，不变形不开裂。</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多层实木夹板（多层实木生态板）：符合</w:t>
            </w:r>
            <w:r>
              <w:rPr>
                <w:rFonts w:hint="eastAsia" w:ascii="宋体" w:hAnsi="宋体" w:eastAsia="宋体" w:cs="宋体"/>
                <w:b w:val="0"/>
                <w:bCs w:val="0"/>
                <w:strike w:val="0"/>
                <w:dstrike w:val="0"/>
                <w:color w:val="auto"/>
                <w:sz w:val="21"/>
                <w:szCs w:val="21"/>
                <w:highlight w:val="none"/>
                <w:lang w:val="en-US" w:eastAsia="zh-CN"/>
              </w:rPr>
              <w:t>GB/T 9846-2015《普通胶合板》、GB 18580-2017《室内装饰装修材料人造板及其制品中甲醛释放限量》、GB/T 35601-2017《绿色产品评价人造板和木质地板》；甲醛释放量(气候箱法)E1≤0.02mg/m3；含水率-胶合板的含水率8~10%；含水率-胶合板的含水率-合格试件数与有效试件总数之比≥90%；挥发性有机化合物(72h)-总挥发性有机化合物(TVOC)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2、五金配件：采用不锈钢阻尼门铰,开合次数≥10万次；隐藏式拉手；三合一连接件组装。所有五金配件全部经过防锈、防腐处理。</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五金配件：符合</w:t>
            </w:r>
            <w:r>
              <w:rPr>
                <w:rFonts w:hint="eastAsia" w:ascii="宋体" w:hAnsi="宋体" w:eastAsia="宋体" w:cs="宋体"/>
                <w:b w:val="0"/>
                <w:bCs w:val="0"/>
                <w:strike w:val="0"/>
                <w:dstrike w:val="0"/>
                <w:color w:val="auto"/>
                <w:sz w:val="21"/>
                <w:szCs w:val="21"/>
                <w:highlight w:val="none"/>
                <w:lang w:val="en-US" w:eastAsia="zh-CN"/>
              </w:rPr>
              <w:t>GB/T 28203-2011《家具用连接件技术要求及试验方法》；金属件表面应无锈蚀、毛刺刃口、露底,应光滑平整,应无起泡、泛黄、花斑、烧焦、裂纹、划痕、磕碰伤等缺陷；焊接部位应牢固,应无脱焊、虚焊、焊穿,焊缝均匀,应无毛刺、锐楞、飞溅、裂纹等缺陷；塑料部位表面应光洁平滑,不应有裂纹、划伤、沙粒、疙瘩、麻点等缺陷,色泽应一致；金属镀层抗盐雾：18 h,1.5mm以下锈点20点/d㎡,其中≥1.0mm锈点不超过5点(距离边缘棱角2mm以内的不计)；力学性能：三合一偏心连接件偏心体抗压强度≥360N；三合一偏心连接件预埋螺母抗拉强度≥830N。</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p>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阻尼门铰：符合</w:t>
            </w:r>
            <w:r>
              <w:rPr>
                <w:rFonts w:hint="eastAsia" w:ascii="宋体" w:hAnsi="宋体" w:eastAsia="宋体" w:cs="宋体"/>
                <w:b w:val="0"/>
                <w:bCs w:val="0"/>
                <w:strike w:val="0"/>
                <w:dstrike w:val="0"/>
                <w:color w:val="auto"/>
                <w:sz w:val="21"/>
                <w:szCs w:val="21"/>
                <w:highlight w:val="none"/>
                <w:lang w:val="en-US" w:eastAsia="zh-CN"/>
              </w:rPr>
              <w:t>GB/T 3325-2017《金属家具通用技术条件》、QB/T 2189-2013《家具五金 杯状暗铰链》、QB/T 3826-1999《轻工产品金属镀层和化学处理层的耐腐蚀试验方法中性盐雾试验(NSS)法》、QB/T 3827-1999《轻工产品金属镀层和化学处理层的耐腐蚀试验方法乙酸盐雾试验(ASS)法》、QB/T3832-1999《轻工产品金属镀层腐蚀试验结果的评价》；喷涂层：涂层应无漏喷、锈蚀和脱色、掉色现象；涂层应光滑均匀，色泽一致，应无流挂、疙瘩、皱皮、飞漆等缺陷。耐久性：达到20万次，①所有组件或结合处不应断裂；②通过手触压证实，用于紧固的组件不应松动；③所有组件不应有影响正常运作的变形或磨损；④固定组件不应松动；⑤所有组件的功能不应损害；⑥杯状暗铰链及其组件应能正常工作。中性盐雾试验和乙酸盐雾试验：经过连续喷雾500h后，镀（涂）层本身的耐腐蚀等级和镀（涂）层对基体的保护等级均到达10级。</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三合一连接件：符合</w:t>
            </w:r>
            <w:r>
              <w:rPr>
                <w:rFonts w:hint="eastAsia" w:ascii="宋体" w:hAnsi="宋体" w:eastAsia="宋体" w:cs="宋体"/>
                <w:b w:val="0"/>
                <w:bCs w:val="0"/>
                <w:strike w:val="0"/>
                <w:dstrike w:val="0"/>
                <w:color w:val="auto"/>
                <w:sz w:val="21"/>
                <w:szCs w:val="21"/>
                <w:highlight w:val="none"/>
                <w:lang w:val="en-US" w:eastAsia="zh-CN"/>
              </w:rPr>
              <w:t>GB/T 3325-2017《金属家具通用技术条件》、GB/T 28203-2011《家具用连接件技术要求及试验方法》；三合一偏心连接件偏心体抗压强度≥240N；三合一偏心连接件预埋螺母抗拉强度≥550N；三合一偏心连接件中连接螺杆螺纹与预埋螺母的抗拉强度≥700N；金属件-电镀层：表面应无剥落、返锈、毛刺，表面应无烧焦、起泡、针孔、裂纹、花斑(不包括镀彩锌)和划痕。</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3、结构：对开门，内置活动层板，地脚采用15cm黑色钢制脚。                                                      4、中标后根据甲方需求及现场实际情况进行深化设计定制。 </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6432" behindDoc="0" locked="0" layoutInCell="1" allowOverlap="1">
                  <wp:simplePos x="0" y="0"/>
                  <wp:positionH relativeFrom="column">
                    <wp:posOffset>-17145</wp:posOffset>
                  </wp:positionH>
                  <wp:positionV relativeFrom="paragraph">
                    <wp:posOffset>306705</wp:posOffset>
                  </wp:positionV>
                  <wp:extent cx="1351915" cy="1046480"/>
                  <wp:effectExtent l="0" t="0" r="635" b="1270"/>
                  <wp:wrapSquare wrapText="bothSides"/>
                  <wp:docPr id="13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图片 14"/>
                          <pic:cNvPicPr>
                            <a:picLocks noChangeAspect="1"/>
                          </pic:cNvPicPr>
                        </pic:nvPicPr>
                        <pic:blipFill>
                          <a:blip r:embed="rId10"/>
                          <a:stretch>
                            <a:fillRect/>
                          </a:stretch>
                        </pic:blipFill>
                        <pic:spPr>
                          <a:xfrm>
                            <a:off x="0" y="0"/>
                            <a:ext cx="1351915" cy="104648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婴儿床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规格：1000*700*850mm(H)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1、基材：选用18-25mm厚</w:t>
            </w:r>
            <w:r>
              <w:rPr>
                <w:rFonts w:hint="eastAsia" w:ascii="宋体" w:hAnsi="宋体" w:cs="宋体"/>
                <w:i w:val="0"/>
                <w:iCs w:val="0"/>
                <w:color w:val="auto"/>
                <w:kern w:val="0"/>
                <w:sz w:val="21"/>
                <w:szCs w:val="21"/>
                <w:highlight w:val="none"/>
                <w:u w:val="none"/>
                <w:lang w:val="en-US" w:eastAsia="zh-CN" w:bidi="ar"/>
              </w:rPr>
              <w:t>E1级多层生态胶合板（多层实木生态板）</w:t>
            </w:r>
            <w:r>
              <w:rPr>
                <w:rFonts w:hint="eastAsia" w:ascii="宋体" w:hAnsi="宋体" w:eastAsia="宋体" w:cs="宋体"/>
                <w:i w:val="0"/>
                <w:iCs w:val="0"/>
                <w:color w:val="auto"/>
                <w:kern w:val="0"/>
                <w:sz w:val="21"/>
                <w:szCs w:val="21"/>
                <w:highlight w:val="none"/>
                <w:u w:val="none"/>
                <w:lang w:val="en-US" w:eastAsia="zh-CN" w:bidi="ar"/>
              </w:rPr>
              <w:t>贴双面1.0mm厚光面防火板。防火、耐磨、 防污、硬度高。</w:t>
            </w:r>
            <w:r>
              <w:rPr>
                <w:rFonts w:hint="eastAsia" w:ascii="宋体" w:hAnsi="宋体" w:eastAsia="宋体" w:cs="宋体"/>
                <w:i w:val="0"/>
                <w:iCs w:val="0"/>
                <w:color w:val="000000"/>
                <w:kern w:val="0"/>
                <w:sz w:val="21"/>
                <w:szCs w:val="21"/>
                <w:highlight w:val="none"/>
                <w:u w:val="none"/>
                <w:lang w:val="en-US" w:eastAsia="zh-CN" w:bidi="ar"/>
              </w:rPr>
              <w:t>经过防潮、防</w:t>
            </w:r>
            <w:r>
              <w:rPr>
                <w:rFonts w:hint="eastAsia" w:ascii="宋体" w:hAnsi="宋体" w:eastAsia="宋体" w:cs="宋体"/>
                <w:i w:val="0"/>
                <w:iCs w:val="0"/>
                <w:color w:val="auto"/>
                <w:kern w:val="0"/>
                <w:sz w:val="21"/>
                <w:szCs w:val="21"/>
                <w:highlight w:val="none"/>
                <w:u w:val="none"/>
                <w:lang w:val="en-US" w:eastAsia="zh-CN" w:bidi="ar"/>
              </w:rPr>
              <w:t>虫、防腐的化学处理，强度高，刚性好，不变形不开裂。</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多层实木夹板（多层实木生态板）：符合</w:t>
            </w:r>
            <w:r>
              <w:rPr>
                <w:rFonts w:hint="eastAsia" w:ascii="宋体" w:hAnsi="宋体" w:eastAsia="宋体" w:cs="宋体"/>
                <w:b w:val="0"/>
                <w:bCs w:val="0"/>
                <w:strike w:val="0"/>
                <w:dstrike w:val="0"/>
                <w:color w:val="auto"/>
                <w:sz w:val="21"/>
                <w:szCs w:val="21"/>
                <w:highlight w:val="none"/>
                <w:lang w:val="en-US" w:eastAsia="zh-CN"/>
              </w:rPr>
              <w:t>GB/T 9846-2015《普通胶合板》、GB 18580-2017《室内装饰装修材料人造板及其制品中甲醛释放限量》、GB/T 35601-2017《绿色产品评价人造板和木质地板》；甲醛释放量(气候箱法)E1≤0.02mg/m3；含水率-胶合板的含水率8~10%；含水率-胶合板的含水率-合格试件数与有效试件总数之比≥90%；挥发性有机化合物(72h)-总挥发性有机化合物(TVOC)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2、五金配件：采用不锈钢阻尼门铰,开合次数超过≥10万次；隐藏式拉手；三合一连接件组装。所有五金配件全部经过防锈、防腐处理。                                                           3、结构：对开门，内置活动层板，</w:t>
            </w:r>
            <w:r>
              <w:rPr>
                <w:rFonts w:hint="eastAsia" w:ascii="宋体" w:hAnsi="宋体" w:cs="宋体"/>
                <w:i w:val="0"/>
                <w:iCs w:val="0"/>
                <w:color w:val="000000"/>
                <w:kern w:val="0"/>
                <w:sz w:val="21"/>
                <w:szCs w:val="21"/>
                <w:highlight w:val="none"/>
                <w:u w:val="none"/>
                <w:lang w:val="en-US" w:eastAsia="zh-CN" w:bidi="ar"/>
              </w:rPr>
              <w:t>5cm厚超纤皮软包，</w:t>
            </w:r>
            <w:r>
              <w:rPr>
                <w:rFonts w:hint="eastAsia" w:ascii="宋体" w:hAnsi="宋体" w:eastAsia="宋体" w:cs="宋体"/>
                <w:i w:val="0"/>
                <w:iCs w:val="0"/>
                <w:color w:val="000000"/>
                <w:kern w:val="0"/>
                <w:sz w:val="21"/>
                <w:szCs w:val="21"/>
                <w:highlight w:val="none"/>
                <w:u w:val="none"/>
                <w:lang w:val="en-US" w:eastAsia="zh-CN" w:bidi="ar"/>
              </w:rPr>
              <w:t xml:space="preserve">地脚采用15cm黑色钢制脚。                                                   4.中标后根据甲方需求及现场实际情况进行深化设计定制。 </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7456" behindDoc="0" locked="0" layoutInCell="1" allowOverlap="1">
                  <wp:simplePos x="0" y="0"/>
                  <wp:positionH relativeFrom="column">
                    <wp:posOffset>50165</wp:posOffset>
                  </wp:positionH>
                  <wp:positionV relativeFrom="paragraph">
                    <wp:posOffset>330835</wp:posOffset>
                  </wp:positionV>
                  <wp:extent cx="1343660" cy="1219835"/>
                  <wp:effectExtent l="0" t="0" r="8890" b="18415"/>
                  <wp:wrapSquare wrapText="bothSides"/>
                  <wp:docPr id="13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15"/>
                          <pic:cNvPicPr>
                            <a:picLocks noChangeAspect="1"/>
                          </pic:cNvPicPr>
                        </pic:nvPicPr>
                        <pic:blipFill>
                          <a:blip r:embed="rId11"/>
                          <a:stretch>
                            <a:fillRect/>
                          </a:stretch>
                        </pic:blipFill>
                        <pic:spPr>
                          <a:xfrm>
                            <a:off x="0" y="0"/>
                            <a:ext cx="1343660" cy="121983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诊 台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规格：1400*600*750mm(H)</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1、基材：选用18-25mm厚</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双饰面E1级多层</w:t>
            </w:r>
            <w:r>
              <w:rPr>
                <w:rFonts w:hint="eastAsia" w:ascii="宋体" w:hAnsi="宋体" w:cs="宋体"/>
                <w:i w:val="0"/>
                <w:iCs w:val="0"/>
                <w:color w:val="auto"/>
                <w:kern w:val="0"/>
                <w:sz w:val="21"/>
                <w:szCs w:val="21"/>
                <w:highlight w:val="none"/>
                <w:u w:val="none"/>
                <w:lang w:val="en-US" w:eastAsia="zh-CN" w:bidi="ar"/>
              </w:rPr>
              <w:t>生态胶合板（多层实木生态板）</w:t>
            </w:r>
            <w:r>
              <w:rPr>
                <w:rFonts w:hint="eastAsia" w:ascii="宋体" w:hAnsi="宋体" w:eastAsia="宋体" w:cs="宋体"/>
                <w:i w:val="0"/>
                <w:iCs w:val="0"/>
                <w:color w:val="auto"/>
                <w:kern w:val="0"/>
                <w:sz w:val="21"/>
                <w:szCs w:val="21"/>
                <w:highlight w:val="none"/>
                <w:u w:val="none"/>
                <w:lang w:val="en-US" w:eastAsia="zh-CN" w:bidi="ar"/>
              </w:rPr>
              <w:t>。板才经过防潮、防虫、防腐的化学处理，强度高，</w:t>
            </w:r>
            <w:r>
              <w:rPr>
                <w:rFonts w:hint="eastAsia" w:ascii="宋体" w:hAnsi="宋体" w:eastAsia="宋体" w:cs="宋体"/>
                <w:i w:val="0"/>
                <w:iCs w:val="0"/>
                <w:color w:val="000000"/>
                <w:kern w:val="0"/>
                <w:sz w:val="21"/>
                <w:szCs w:val="21"/>
                <w:highlight w:val="none"/>
                <w:u w:val="none"/>
                <w:lang w:val="en-US" w:eastAsia="zh-CN" w:bidi="ar"/>
              </w:rPr>
              <w:t>刚性好，不变形不开裂。 台面采用2.0mm厚PVC同色封边，色泽均匀一致。</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多层实木夹板（多层实木生态板）：符合</w:t>
            </w:r>
            <w:r>
              <w:rPr>
                <w:rFonts w:hint="eastAsia" w:ascii="宋体" w:hAnsi="宋体" w:eastAsia="宋体" w:cs="宋体"/>
                <w:b w:val="0"/>
                <w:bCs w:val="0"/>
                <w:strike w:val="0"/>
                <w:dstrike w:val="0"/>
                <w:color w:val="auto"/>
                <w:sz w:val="21"/>
                <w:szCs w:val="21"/>
                <w:highlight w:val="none"/>
                <w:lang w:val="en-US" w:eastAsia="zh-CN"/>
              </w:rPr>
              <w:t>GB/T 9846-2015《普通胶合板》、GB 18580-2017《室内装饰装修材料人造板及其制品中甲醛释放限量》、GB/T 35601-2017《绿色产品评价人造板和木质地板》；甲醛释放量(气候箱法)E1≤0.02mg/m3；含水率-胶合板的含水率8~10%；含水率-胶合板的含水率-合格试件数与有效试件总数之比≥90%；挥发性有机化合物(72h)-总挥发性有机化合物(TVOC)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2、配件：采用优质二节键盘导轨,轨道承载力≥25kg，L形白色金属吊码。白色钢制喷涂圆柱形支撑脚，壁厚≥1.5mm，底部配有调节脚可微调。 铝合金翻盖走线盒。所有五金配件全部经过防锈、防腐处理。</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五金配件：符合</w:t>
            </w:r>
            <w:r>
              <w:rPr>
                <w:rFonts w:hint="eastAsia" w:ascii="宋体" w:hAnsi="宋体" w:eastAsia="宋体" w:cs="宋体"/>
                <w:b w:val="0"/>
                <w:bCs w:val="0"/>
                <w:strike w:val="0"/>
                <w:dstrike w:val="0"/>
                <w:color w:val="auto"/>
                <w:sz w:val="21"/>
                <w:szCs w:val="21"/>
                <w:highlight w:val="none"/>
                <w:lang w:val="en-US" w:eastAsia="zh-CN"/>
              </w:rPr>
              <w:t>GB/T 28203-2011《家具用连接件技术要求及试验方法》；金属件表面应无锈蚀、毛刺刃口、露底,应光滑平整,应无起泡、泛黄、花斑、烧焦、裂纹、划痕、磕碰伤等缺陷；焊接部位应牢固,应无脱焊、虚焊、焊穿,焊缝均匀,应无毛刺、锐楞、飞溅、裂纹等缺陷；塑料部位表面应光洁平滑,不应有裂纹、划伤、沙粒、疙瘩、麻点等缺陷,色泽应一致；金属镀层抗盐雾：18 h,1.5mm以下锈点20点/d㎡,其中≥1.0mm锈点不超过5点(距离边缘棱角2mm以内的不计)；力学性能：三合一偏心连接件偏心体抗压强度≥360N；三合一偏心连接件预埋螺母抗拉强度≥830N。</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3、结构：台面一侧倒全圆，底部直径140mm圆锥形钢架柱支撑，另一侧350mm宽箱体支撑，内放主机用，带框架板式键盘架，600*400mm前挡板。</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8480" behindDoc="0" locked="0" layoutInCell="1" allowOverlap="1">
                  <wp:simplePos x="0" y="0"/>
                  <wp:positionH relativeFrom="column">
                    <wp:posOffset>123190</wp:posOffset>
                  </wp:positionH>
                  <wp:positionV relativeFrom="paragraph">
                    <wp:posOffset>2297430</wp:posOffset>
                  </wp:positionV>
                  <wp:extent cx="1274445" cy="1514475"/>
                  <wp:effectExtent l="0" t="0" r="1905" b="9525"/>
                  <wp:wrapSquare wrapText="bothSides"/>
                  <wp:docPr id="13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图片 8"/>
                          <pic:cNvPicPr>
                            <a:picLocks noChangeAspect="1"/>
                          </pic:cNvPicPr>
                        </pic:nvPicPr>
                        <pic:blipFill>
                          <a:blip r:embed="rId12"/>
                          <a:srcRect l="20945" b="-2984"/>
                          <a:stretch>
                            <a:fillRect/>
                          </a:stretch>
                        </pic:blipFill>
                        <pic:spPr>
                          <a:xfrm>
                            <a:off x="0" y="0"/>
                            <a:ext cx="1274445" cy="151447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副</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台</w:t>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 xml:space="preserve">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strike w:val="0"/>
                <w:dstrike w:val="0"/>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 xml:space="preserve">规格:800*400*750mm(H)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1、基材：选用18-25mm厚</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双饰面E1级多层</w:t>
            </w:r>
            <w:r>
              <w:rPr>
                <w:rFonts w:hint="eastAsia" w:ascii="宋体" w:hAnsi="宋体" w:cs="宋体"/>
                <w:i w:val="0"/>
                <w:iCs w:val="0"/>
                <w:color w:val="auto"/>
                <w:kern w:val="0"/>
                <w:sz w:val="21"/>
                <w:szCs w:val="21"/>
                <w:highlight w:val="none"/>
                <w:u w:val="none"/>
                <w:lang w:val="en-US" w:eastAsia="zh-CN" w:bidi="ar"/>
              </w:rPr>
              <w:t>生态胶合板（多层实木生态板）</w:t>
            </w:r>
            <w:r>
              <w:rPr>
                <w:rFonts w:hint="eastAsia" w:ascii="宋体" w:hAnsi="宋体" w:eastAsia="宋体" w:cs="宋体"/>
                <w:i w:val="0"/>
                <w:iCs w:val="0"/>
                <w:color w:val="auto"/>
                <w:kern w:val="0"/>
                <w:sz w:val="21"/>
                <w:szCs w:val="21"/>
                <w:highlight w:val="none"/>
                <w:u w:val="none"/>
                <w:lang w:val="en-US" w:eastAsia="zh-CN" w:bidi="ar"/>
              </w:rPr>
              <w:t>。板才经过防潮、防虫、防腐的化学处理，强度高，刚性好，不变形不开裂。 台面采用2.0mm厚PV</w:t>
            </w:r>
            <w:r>
              <w:rPr>
                <w:rFonts w:hint="eastAsia" w:ascii="宋体" w:hAnsi="宋体" w:eastAsia="宋体" w:cs="宋体"/>
                <w:i w:val="0"/>
                <w:iCs w:val="0"/>
                <w:color w:val="000000"/>
                <w:kern w:val="0"/>
                <w:sz w:val="21"/>
                <w:szCs w:val="21"/>
                <w:highlight w:val="none"/>
                <w:u w:val="none"/>
                <w:lang w:val="en-US" w:eastAsia="zh-CN" w:bidi="ar"/>
              </w:rPr>
              <w:t>C同色封边，色泽均匀一致。</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多层实木夹板（多层实木生态板）：符合</w:t>
            </w:r>
            <w:r>
              <w:rPr>
                <w:rFonts w:hint="eastAsia" w:ascii="宋体" w:hAnsi="宋体" w:eastAsia="宋体" w:cs="宋体"/>
                <w:b w:val="0"/>
                <w:bCs w:val="0"/>
                <w:strike w:val="0"/>
                <w:dstrike w:val="0"/>
                <w:color w:val="auto"/>
                <w:sz w:val="21"/>
                <w:szCs w:val="21"/>
                <w:highlight w:val="none"/>
                <w:lang w:val="en-US" w:eastAsia="zh-CN"/>
              </w:rPr>
              <w:t>GB/T 9846-2015《普通胶合板》、GB 18580-2017《室内装饰装修材料人造板及其制品中甲醛释放限量》、GB/T 35601-2017《绿色产品评价人造板和木质地板》；甲醛释放量(气候箱法)E1≤0.02mg/m3；含水率-胶合板的含水率8~10%；含水率-胶合板的含水率-合格试件数与有效试件总数之比≥90%；挥发性有机化合物(72h)-总挥发性有机化合物(TVOC)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 xml:space="preserve">  2、配件：优质阻尼导轨，</w:t>
            </w:r>
            <w:r>
              <w:rPr>
                <w:rFonts w:hint="eastAsia" w:ascii="宋体" w:hAnsi="宋体" w:cs="宋体"/>
                <w:i w:val="0"/>
                <w:iCs w:val="0"/>
                <w:color w:val="auto"/>
                <w:kern w:val="0"/>
                <w:sz w:val="21"/>
                <w:szCs w:val="21"/>
                <w:highlight w:val="none"/>
                <w:u w:val="none"/>
                <w:lang w:val="en-US" w:eastAsia="zh-CN" w:bidi="ar"/>
              </w:rPr>
              <w:t>三节轨承载力≥15kg</w:t>
            </w:r>
            <w:r>
              <w:rPr>
                <w:rFonts w:hint="eastAsia" w:ascii="宋体" w:hAnsi="宋体" w:eastAsia="宋体" w:cs="宋体"/>
                <w:i w:val="0"/>
                <w:iCs w:val="0"/>
                <w:color w:val="auto"/>
                <w:kern w:val="0"/>
                <w:sz w:val="21"/>
                <w:szCs w:val="21"/>
                <w:highlight w:val="none"/>
                <w:u w:val="none"/>
                <w:lang w:val="en-US" w:eastAsia="zh-CN" w:bidi="ar"/>
              </w:rPr>
              <w:t>，使用寿命≥10万次。锌合金门锁,锁具互开率≤0.2%；孔距96mm铝合金拉手,所有五金配件全部经过防锈、防腐处理。</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五金配件：符合</w:t>
            </w:r>
            <w:r>
              <w:rPr>
                <w:rFonts w:hint="eastAsia" w:ascii="宋体" w:hAnsi="宋体" w:eastAsia="宋体" w:cs="宋体"/>
                <w:b w:val="0"/>
                <w:bCs w:val="0"/>
                <w:strike w:val="0"/>
                <w:dstrike w:val="0"/>
                <w:color w:val="auto"/>
                <w:sz w:val="21"/>
                <w:szCs w:val="21"/>
                <w:highlight w:val="none"/>
                <w:lang w:val="en-US" w:eastAsia="zh-CN"/>
              </w:rPr>
              <w:t>GB/T 28203-2011《家具用连接件技术要求及试验方法》；金属件表面应无锈蚀、毛刺刃口、露底,应光滑平整,应无起泡、泛黄、花斑、烧焦、裂纹、划痕、磕碰伤等缺陷；焊接部位应牢固,应无脱焊、虚焊、焊穿,焊缝均匀,应无毛刺、锐楞、飞溅、裂纹等缺陷；塑料部位表面应光洁平滑,不应有裂纹、划伤、沙粒、疙瘩、麻点等缺陷,色泽应一致；金属镀层抗盐雾：18 h,1.5mm以下锈点20点/d㎡,其中≥1.0mm锈点不超过5点(距离边缘棱角2mm以内的不计)；力学性能：三合一偏心连接件偏心体抗压强度≥360N；三合一偏心连接件预埋螺母抗拉强度≥830N。</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p>
          <w:p>
            <w:pPr>
              <w:keepNext w:val="0"/>
              <w:keepLines w:val="0"/>
              <w:widowControl/>
              <w:suppressLineNumbers w:val="0"/>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阻尼导轨：符合</w:t>
            </w:r>
            <w:r>
              <w:rPr>
                <w:rFonts w:hint="eastAsia" w:ascii="宋体" w:hAnsi="宋体" w:eastAsia="宋体" w:cs="宋体"/>
                <w:b w:val="0"/>
                <w:bCs w:val="0"/>
                <w:strike w:val="0"/>
                <w:dstrike w:val="0"/>
                <w:color w:val="auto"/>
                <w:sz w:val="21"/>
                <w:szCs w:val="21"/>
                <w:highlight w:val="none"/>
                <w:lang w:val="en-US" w:eastAsia="zh-CN"/>
              </w:rPr>
              <w:t>QB/T 2454-2013《家具五金抽屉导轨》、GB/T 3325-2017《金属家具通用技术条件》、GB 24820-2009《实验室家具通用技术条件》；操作力：耐久前拉力，当M&lt;40kg时，拉力≤50N；耐久前推力，当M&lt;40kg时，推力≤50N；耐久后拉力，当M&lt;40kg时，拉力≤50N；耐久后推力，当M&lt;40kg时，推力≤50N；耐久性(家用型：循环次数40000次)应合格；垂直向下静载荷(家用型：载荷150N)应合格；水平侧向静载荷(家用型：载荷75N)应合格；拉出安全性(家用型：试验负荷≤20kg，试验速度Vm=0.3m/s)应合格；猛关、猛开(家用型：各加载10次，因子K=1.25)应合格；下沉量：下沉量不应超过抽屉导轨拉出长度的4%；表面理化性能-金属喷漆(塑)涂层-耐腐蚀：51h乙酸盐雾试验(ASS)，不低于7级；金属喷漆(塑)涂层-硬度：≥4H；金属喷漆(塑)涂层-附着力：应不低于2级。</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铝合金拉手：符合</w:t>
            </w:r>
            <w:r>
              <w:rPr>
                <w:rFonts w:hint="eastAsia" w:ascii="宋体" w:hAnsi="宋体" w:eastAsia="宋体" w:cs="宋体"/>
                <w:b w:val="0"/>
                <w:bCs w:val="0"/>
                <w:strike w:val="0"/>
                <w:dstrike w:val="0"/>
                <w:color w:val="auto"/>
                <w:sz w:val="21"/>
                <w:szCs w:val="21"/>
                <w:highlight w:val="none"/>
                <w:lang w:val="en-US" w:eastAsia="zh-CN"/>
              </w:rPr>
              <w:t>QB/T 3826-1999《轻工产品金属镀层和化学处理层的耐腐蚀试验方法中性盐雾试验(NSS)法》、GB/T 10125-2021《人造气氛腐蚀试验盐雾试验》、QB/T 3832-1999《轻工产品金属镀层腐蚀试验结果的评价》；中性盐雾试验18h，中性盐雾试验耐腐蚀等级达到10级；乙酸盐雾试验(AASS)240h，乙酸盐雾试验(AASS)耐腐蚀等级达到10级。</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3、结构：左边开放式储物隔含一块活动层板，右边上下三抽带锁抽屉柜。</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69504" behindDoc="0" locked="0" layoutInCell="1" allowOverlap="1">
                  <wp:simplePos x="0" y="0"/>
                  <wp:positionH relativeFrom="column">
                    <wp:posOffset>138430</wp:posOffset>
                  </wp:positionH>
                  <wp:positionV relativeFrom="paragraph">
                    <wp:posOffset>2712085</wp:posOffset>
                  </wp:positionV>
                  <wp:extent cx="966470" cy="1386205"/>
                  <wp:effectExtent l="0" t="0" r="5080" b="0"/>
                  <wp:wrapSquare wrapText="bothSides"/>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12"/>
                          <a:srcRect r="44335" b="-12294"/>
                          <a:stretch>
                            <a:fillRect/>
                          </a:stretch>
                        </pic:blipFill>
                        <pic:spPr>
                          <a:xfrm>
                            <a:off x="0" y="0"/>
                            <a:ext cx="966470" cy="138620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组合沙发</w:t>
            </w:r>
            <w:r>
              <w:rPr>
                <w:rFonts w:hint="eastAsia" w:ascii="宋体" w:hAnsi="宋体" w:cs="宋体"/>
                <w:i w:val="0"/>
                <w:iCs w:val="0"/>
                <w:color w:val="000000"/>
                <w:kern w:val="0"/>
                <w:sz w:val="21"/>
                <w:szCs w:val="21"/>
                <w:highlight w:val="none"/>
                <w:u w:val="none"/>
                <w:lang w:val="en-US" w:eastAsia="zh-CN" w:bidi="ar"/>
              </w:rPr>
              <w:t>1</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规格：1200*600*820mm（H)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1、面料：座面、靠背、均</w:t>
            </w:r>
            <w:r>
              <w:rPr>
                <w:rFonts w:hint="eastAsia" w:ascii="宋体" w:hAnsi="宋体" w:eastAsia="宋体" w:cs="宋体"/>
                <w:i w:val="0"/>
                <w:iCs w:val="0"/>
                <w:color w:val="auto"/>
                <w:kern w:val="0"/>
                <w:sz w:val="21"/>
                <w:szCs w:val="21"/>
                <w:highlight w:val="none"/>
                <w:u w:val="none"/>
                <w:lang w:val="en-US" w:eastAsia="zh-CN" w:bidi="ar"/>
              </w:rPr>
              <w:t>采用</w:t>
            </w:r>
            <w:r>
              <w:rPr>
                <w:rFonts w:hint="eastAsia" w:ascii="宋体" w:hAnsi="宋体" w:cs="宋体"/>
                <w:i w:val="0"/>
                <w:iCs w:val="0"/>
                <w:color w:val="auto"/>
                <w:kern w:val="0"/>
                <w:sz w:val="21"/>
                <w:szCs w:val="21"/>
                <w:highlight w:val="none"/>
                <w:u w:val="none"/>
                <w:lang w:val="en-US" w:eastAsia="zh-CN" w:bidi="ar"/>
              </w:rPr>
              <w:t>防腐蚀，防霉菌易去污皮</w:t>
            </w:r>
            <w:r>
              <w:rPr>
                <w:rFonts w:hint="eastAsia" w:ascii="宋体" w:hAnsi="宋体" w:eastAsia="宋体" w:cs="宋体"/>
                <w:i w:val="0"/>
                <w:iCs w:val="0"/>
                <w:color w:val="auto"/>
                <w:kern w:val="0"/>
                <w:sz w:val="21"/>
                <w:szCs w:val="21"/>
                <w:highlight w:val="none"/>
                <w:u w:val="none"/>
                <w:lang w:val="en-US" w:eastAsia="zh-CN" w:bidi="ar"/>
              </w:rPr>
              <w:t>，厚度≥1.0mm,耐霉菌等级达到1级，撕裂力，断裂伸长率，摩擦色牢度符合国标要求。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2、海绵：采用高回弹切割泡棉，软硬适中，不变形。沙发内架：采用实木</w:t>
            </w:r>
            <w:r>
              <w:rPr>
                <w:rFonts w:hint="eastAsia" w:ascii="宋体" w:hAnsi="宋体" w:cs="宋体"/>
                <w:i w:val="0"/>
                <w:iCs w:val="0"/>
                <w:color w:val="auto"/>
                <w:kern w:val="0"/>
                <w:sz w:val="21"/>
                <w:szCs w:val="21"/>
                <w:highlight w:val="none"/>
                <w:u w:val="none"/>
                <w:lang w:val="en-US" w:eastAsia="zh-CN" w:bidi="ar"/>
              </w:rPr>
              <w:t>框架</w:t>
            </w:r>
            <w:r>
              <w:rPr>
                <w:rFonts w:hint="eastAsia" w:ascii="宋体" w:hAnsi="宋体" w:eastAsia="宋体" w:cs="宋体"/>
                <w:i w:val="0"/>
                <w:iCs w:val="0"/>
                <w:color w:val="auto"/>
                <w:kern w:val="0"/>
                <w:sz w:val="21"/>
                <w:szCs w:val="21"/>
                <w:highlight w:val="none"/>
                <w:u w:val="none"/>
                <w:lang w:val="en-US" w:eastAsia="zh-CN" w:bidi="ar"/>
              </w:rPr>
              <w:t>加工成型。</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eastAsia="zh-CN"/>
              </w:rPr>
              <w:t>海绵：</w:t>
            </w:r>
            <w:r>
              <w:rPr>
                <w:rFonts w:hint="eastAsia" w:ascii="宋体" w:hAnsi="宋体" w:eastAsia="宋体" w:cs="宋体"/>
                <w:b w:val="0"/>
                <w:bCs w:val="0"/>
                <w:strike w:val="0"/>
                <w:dstrike w:val="0"/>
                <w:color w:val="auto"/>
                <w:sz w:val="21"/>
                <w:szCs w:val="21"/>
                <w:highlight w:val="none"/>
                <w:lang w:val="en-US" w:eastAsia="zh-CN"/>
              </w:rPr>
              <w:t>符合GB/T 10802-2006《通用软质聚醚型聚氨酯泡沫塑料》、QB/T 2280-2016《办公家具 办公椅》、GB/T 6343-2009《泡沫塑料及橡胶 表观密度的测定》；75%压缩永久变形≤3%，回弹率≥53%，拉伸强度≥161kPa，伸长率≥153%，撕裂强度≥2.2N/cm，干热老化后拉伸强度≥151kPa，干热老化后拉伸强度变化率±15%，湿热老化后拉伸强度≥143kPa，湿热老化后拉伸强度变化率±15%，甲醛释放量≤0.012mg/m²h，表观密度≥46kg/m³。</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3、结构：</w:t>
            </w:r>
            <w:r>
              <w:rPr>
                <w:rFonts w:hint="eastAsia" w:ascii="宋体" w:hAnsi="宋体" w:cs="宋体"/>
                <w:i w:val="0"/>
                <w:iCs w:val="0"/>
                <w:color w:val="auto"/>
                <w:kern w:val="0"/>
                <w:sz w:val="21"/>
                <w:szCs w:val="21"/>
                <w:highlight w:val="none"/>
                <w:u w:val="none"/>
                <w:lang w:val="en-US" w:eastAsia="zh-CN" w:bidi="ar"/>
              </w:rPr>
              <w:t>沙发整体采用皮革包覆</w:t>
            </w:r>
            <w:r>
              <w:rPr>
                <w:rFonts w:hint="eastAsia" w:ascii="宋体" w:hAnsi="宋体" w:eastAsia="宋体" w:cs="宋体"/>
                <w:i w:val="0"/>
                <w:iCs w:val="0"/>
                <w:color w:val="auto"/>
                <w:kern w:val="0"/>
                <w:sz w:val="21"/>
                <w:szCs w:val="21"/>
                <w:highlight w:val="none"/>
                <w:u w:val="none"/>
                <w:lang w:val="en-US" w:eastAsia="zh-CN" w:bidi="ar"/>
              </w:rPr>
              <w:t>，整体弧形造型,座面高度450mm,靠背高度820mm.</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strike w:val="0"/>
                <w:dstrike w:val="0"/>
                <w:color w:val="auto"/>
                <w:sz w:val="21"/>
                <w:szCs w:val="21"/>
                <w:highlight w:val="none"/>
                <w:lang w:eastAsia="zh-CN"/>
              </w:rPr>
              <w:t>皮革</w:t>
            </w:r>
            <w:r>
              <w:rPr>
                <w:rFonts w:hint="eastAsia" w:ascii="宋体" w:hAnsi="宋体" w:eastAsia="宋体" w:cs="宋体"/>
                <w:color w:val="auto"/>
                <w:kern w:val="2"/>
                <w:sz w:val="21"/>
                <w:szCs w:val="21"/>
                <w:highlight w:val="none"/>
                <w:lang w:val="en-US" w:eastAsia="zh-CN" w:bidi="ar-SA"/>
              </w:rPr>
              <w:t>：符合</w:t>
            </w:r>
            <w:r>
              <w:rPr>
                <w:rFonts w:hint="eastAsia" w:ascii="宋体" w:hAnsi="宋体" w:eastAsia="宋体" w:cs="宋体"/>
                <w:b w:val="0"/>
                <w:bCs w:val="0"/>
                <w:strike w:val="0"/>
                <w:dstrike w:val="0"/>
                <w:color w:val="auto"/>
                <w:sz w:val="21"/>
                <w:szCs w:val="21"/>
                <w:highlight w:val="none"/>
                <w:lang w:val="en-US" w:eastAsia="zh-CN"/>
              </w:rPr>
              <w:t>GB/T 16799-2018《家具用皮革》、GB/T 35607-2017《绿色产品评价家具》；摩擦色牢度：干擦50次达到5级，湿擦20次达到5级，碱性汗液20次达到4级；撕裂力≥50N，pH≥6，禁用偶氮染料未检出，游离甲醛未检出，挥发性有机物(VOC)未检出，可萃取的重金属：铅(Pb)、镉(Cd)均未检出，皮革中五氯苯酚(PCP)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4、中标后根据甲方需求及现场实际情况进行配色及细节深化设计定制。</w:t>
            </w:r>
          </w:p>
        </w:tc>
        <w:tc>
          <w:tcPr>
            <w:tcW w:w="2410" w:type="dxa"/>
            <w:vMerge w:val="restart"/>
            <w:tcBorders>
              <w:top w:val="single" w:color="000000" w:sz="4" w:space="0"/>
              <w:left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70528" behindDoc="0" locked="0" layoutInCell="1" allowOverlap="1">
                  <wp:simplePos x="0" y="0"/>
                  <wp:positionH relativeFrom="column">
                    <wp:posOffset>30480</wp:posOffset>
                  </wp:positionH>
                  <wp:positionV relativeFrom="paragraph">
                    <wp:posOffset>3683635</wp:posOffset>
                  </wp:positionV>
                  <wp:extent cx="1334135" cy="1623060"/>
                  <wp:effectExtent l="0" t="0" r="18415" b="15240"/>
                  <wp:wrapSquare wrapText="bothSides"/>
                  <wp:docPr id="13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图片 4"/>
                          <pic:cNvPicPr>
                            <a:picLocks noChangeAspect="1"/>
                          </pic:cNvPicPr>
                        </pic:nvPicPr>
                        <pic:blipFill>
                          <a:blip r:embed="rId13"/>
                          <a:stretch>
                            <a:fillRect/>
                          </a:stretch>
                        </pic:blipFill>
                        <pic:spPr>
                          <a:xfrm>
                            <a:off x="0" y="0"/>
                            <a:ext cx="1334135" cy="162306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组合沙发</w:t>
            </w:r>
            <w:r>
              <w:rPr>
                <w:rFonts w:hint="eastAsia" w:ascii="宋体" w:hAnsi="宋体" w:cs="宋体"/>
                <w:i w:val="0"/>
                <w:iCs w:val="0"/>
                <w:color w:val="000000"/>
                <w:kern w:val="0"/>
                <w:sz w:val="21"/>
                <w:szCs w:val="21"/>
                <w:highlight w:val="none"/>
                <w:u w:val="none"/>
                <w:lang w:val="en-US" w:eastAsia="zh-CN" w:bidi="ar"/>
              </w:rPr>
              <w:t>2</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规格：600*600*820mm（H)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1、面料：座面、靠背、均采用</w:t>
            </w:r>
            <w:r>
              <w:rPr>
                <w:rFonts w:hint="eastAsia" w:ascii="宋体" w:hAnsi="宋体" w:cs="宋体"/>
                <w:i w:val="0"/>
                <w:iCs w:val="0"/>
                <w:color w:val="000000"/>
                <w:kern w:val="0"/>
                <w:sz w:val="21"/>
                <w:szCs w:val="21"/>
                <w:highlight w:val="none"/>
                <w:u w:val="none"/>
                <w:lang w:val="en-US" w:eastAsia="zh-CN" w:bidi="ar"/>
              </w:rPr>
              <w:t>防腐蚀，防霉菌易去污皮</w:t>
            </w:r>
            <w:r>
              <w:rPr>
                <w:rFonts w:hint="eastAsia" w:ascii="宋体" w:hAnsi="宋体" w:eastAsia="宋体" w:cs="宋体"/>
                <w:i w:val="0"/>
                <w:iCs w:val="0"/>
                <w:color w:val="000000"/>
                <w:kern w:val="0"/>
                <w:sz w:val="21"/>
                <w:szCs w:val="21"/>
                <w:highlight w:val="none"/>
                <w:u w:val="none"/>
                <w:lang w:val="en-US" w:eastAsia="zh-CN" w:bidi="ar"/>
              </w:rPr>
              <w:t>，厚度≥1.0mm,耐霉菌等级达到1级，撕裂力，断裂伸长率，摩擦色牢度符合国标要求。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2、海绵：采用高回弹切割泡棉，软硬适中，不变形。</w:t>
            </w:r>
            <w:r>
              <w:rPr>
                <w:rFonts w:hint="eastAsia" w:ascii="宋体" w:hAnsi="宋体" w:cs="宋体"/>
                <w:i w:val="0"/>
                <w:iCs w:val="0"/>
                <w:color w:val="000000"/>
                <w:kern w:val="0"/>
                <w:sz w:val="21"/>
                <w:szCs w:val="21"/>
                <w:highlight w:val="none"/>
                <w:u w:val="none"/>
                <w:lang w:val="en-US" w:eastAsia="zh-CN" w:bidi="ar"/>
              </w:rPr>
              <w:t>沙发内架：采用实木框架加工成型。</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eastAsia="zh-CN"/>
              </w:rPr>
              <w:t>海绵：</w:t>
            </w:r>
            <w:r>
              <w:rPr>
                <w:rFonts w:hint="eastAsia" w:ascii="宋体" w:hAnsi="宋体" w:eastAsia="宋体" w:cs="宋体"/>
                <w:b w:val="0"/>
                <w:bCs w:val="0"/>
                <w:strike w:val="0"/>
                <w:dstrike w:val="0"/>
                <w:color w:val="auto"/>
                <w:sz w:val="21"/>
                <w:szCs w:val="21"/>
                <w:highlight w:val="none"/>
                <w:lang w:val="en-US" w:eastAsia="zh-CN"/>
              </w:rPr>
              <w:t>符合GB/T 10802-2006《通用软质聚醚型聚氨酯泡沫塑料》、QB/T 2280-2016《办公家具 办公椅》、GB/T 6343-2009《泡沫塑料及橡胶 表观密度的测定》；75%压缩永久变形≤3%，回弹率≥53%，拉伸强度≥161kPa，伸长率≥153%，撕裂强度≥2.2N/cm，干热老化后拉伸强度≥151kPa，干热老化后拉伸强度变化率±15%，湿热老化后拉伸强度≥143kPa，湿热老化后拉伸强度变化率±15%，甲醛释放量≤0.012mg/m²h，表观密度≥46kg/m³。</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3、结构：</w:t>
            </w:r>
            <w:r>
              <w:rPr>
                <w:rFonts w:hint="eastAsia" w:ascii="宋体" w:hAnsi="宋体" w:cs="宋体"/>
                <w:i w:val="0"/>
                <w:iCs w:val="0"/>
                <w:color w:val="auto"/>
                <w:kern w:val="0"/>
                <w:sz w:val="21"/>
                <w:szCs w:val="21"/>
                <w:highlight w:val="none"/>
                <w:u w:val="none"/>
                <w:lang w:val="en-US" w:eastAsia="zh-CN" w:bidi="ar"/>
              </w:rPr>
              <w:t>沙发整体采用皮革包覆</w:t>
            </w:r>
            <w:r>
              <w:rPr>
                <w:rFonts w:hint="eastAsia" w:ascii="宋体" w:hAnsi="宋体" w:eastAsia="宋体" w:cs="宋体"/>
                <w:i w:val="0"/>
                <w:iCs w:val="0"/>
                <w:color w:val="auto"/>
                <w:kern w:val="0"/>
                <w:sz w:val="21"/>
                <w:szCs w:val="21"/>
                <w:highlight w:val="none"/>
                <w:u w:val="none"/>
                <w:lang w:val="en-US" w:eastAsia="zh-CN" w:bidi="ar"/>
              </w:rPr>
              <w:t>，整体弧形造型,座面高度450mm,靠背高度820mm。</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strike w:val="0"/>
                <w:dstrike w:val="0"/>
                <w:color w:val="auto"/>
                <w:sz w:val="21"/>
                <w:szCs w:val="21"/>
                <w:highlight w:val="none"/>
                <w:lang w:eastAsia="zh-CN"/>
              </w:rPr>
              <w:t>皮革</w:t>
            </w:r>
            <w:r>
              <w:rPr>
                <w:rFonts w:hint="eastAsia" w:ascii="宋体" w:hAnsi="宋体" w:eastAsia="宋体" w:cs="宋体"/>
                <w:color w:val="auto"/>
                <w:kern w:val="2"/>
                <w:sz w:val="21"/>
                <w:szCs w:val="21"/>
                <w:highlight w:val="none"/>
                <w:lang w:val="en-US" w:eastAsia="zh-CN" w:bidi="ar-SA"/>
              </w:rPr>
              <w:t>：符合</w:t>
            </w:r>
            <w:r>
              <w:rPr>
                <w:rFonts w:hint="eastAsia" w:ascii="宋体" w:hAnsi="宋体" w:eastAsia="宋体" w:cs="宋体"/>
                <w:b w:val="0"/>
                <w:bCs w:val="0"/>
                <w:strike w:val="0"/>
                <w:dstrike w:val="0"/>
                <w:color w:val="auto"/>
                <w:sz w:val="21"/>
                <w:szCs w:val="21"/>
                <w:highlight w:val="none"/>
                <w:lang w:val="en-US" w:eastAsia="zh-CN"/>
              </w:rPr>
              <w:t>GB/T 16799-2018《家具用皮革》、GB/T 35607-2017《绿色产品评价家具》；摩擦色牢度：干擦50次达到5级，湿擦20次达到5级，碱性汗液20次达到4级；撕裂力≥50N，pH≥6，禁用偶氮染料未检出，游离甲醛未检出，挥发性有机物(VOC)未检出，可萃取的重金属：铅(Pb)、镉(Cd)均未检出，皮革中五氯苯酚(PCP)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4、中标后根据甲方需求及现场实际情况进行配色及细节深化设计定制。</w:t>
            </w:r>
          </w:p>
        </w:tc>
        <w:tc>
          <w:tcPr>
            <w:tcW w:w="2410" w:type="dxa"/>
            <w:vMerge w:val="continue"/>
            <w:tcBorders>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p>
          <w:p>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组合沙发</w:t>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2065"/>
                  <wp:effectExtent l="0" t="0" r="0" b="0"/>
                  <wp:wrapNone/>
                  <wp:docPr id="15" name="Picture_10_SpCnt_8"/>
                  <wp:cNvGraphicFramePr/>
                  <a:graphic xmlns:a="http://schemas.openxmlformats.org/drawingml/2006/main">
                    <a:graphicData uri="http://schemas.openxmlformats.org/drawingml/2006/picture">
                      <pic:pic xmlns:pic="http://schemas.openxmlformats.org/drawingml/2006/picture">
                        <pic:nvPicPr>
                          <pic:cNvPr id="15" name="Picture_10_SpCnt_8"/>
                          <pic:cNvPicPr/>
                        </pic:nvPicPr>
                        <pic:blipFill>
                          <a:blip r:embed="rId14"/>
                          <a:stretch>
                            <a:fillRect/>
                          </a:stretch>
                        </pic:blipFill>
                        <pic:spPr>
                          <a:xfrm>
                            <a:off x="0" y="0"/>
                            <a:ext cx="10160" cy="120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2065"/>
                  <wp:effectExtent l="0" t="0" r="0" b="0"/>
                  <wp:wrapNone/>
                  <wp:docPr id="13" name="Picture_10_SpCnt_9"/>
                  <wp:cNvGraphicFramePr/>
                  <a:graphic xmlns:a="http://schemas.openxmlformats.org/drawingml/2006/main">
                    <a:graphicData uri="http://schemas.openxmlformats.org/drawingml/2006/picture">
                      <pic:pic xmlns:pic="http://schemas.openxmlformats.org/drawingml/2006/picture">
                        <pic:nvPicPr>
                          <pic:cNvPr id="13" name="Picture_10_SpCnt_9"/>
                          <pic:cNvPicPr/>
                        </pic:nvPicPr>
                        <pic:blipFill>
                          <a:blip r:embed="rId14"/>
                          <a:stretch>
                            <a:fillRect/>
                          </a:stretch>
                        </pic:blipFill>
                        <pic:spPr>
                          <a:xfrm>
                            <a:off x="0" y="0"/>
                            <a:ext cx="10160" cy="120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2065"/>
                  <wp:effectExtent l="0" t="0" r="0" b="0"/>
                  <wp:wrapNone/>
                  <wp:docPr id="14" name="Picture_10_SpCnt_10"/>
                  <wp:cNvGraphicFramePr/>
                  <a:graphic xmlns:a="http://schemas.openxmlformats.org/drawingml/2006/main">
                    <a:graphicData uri="http://schemas.openxmlformats.org/drawingml/2006/picture">
                      <pic:pic xmlns:pic="http://schemas.openxmlformats.org/drawingml/2006/picture">
                        <pic:nvPicPr>
                          <pic:cNvPr id="14" name="Picture_10_SpCnt_10"/>
                          <pic:cNvPicPr/>
                        </pic:nvPicPr>
                        <pic:blipFill>
                          <a:blip r:embed="rId14"/>
                          <a:stretch>
                            <a:fillRect/>
                          </a:stretch>
                        </pic:blipFill>
                        <pic:spPr>
                          <a:xfrm>
                            <a:off x="0" y="0"/>
                            <a:ext cx="10160" cy="120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2065"/>
                  <wp:effectExtent l="0" t="0" r="0" b="0"/>
                  <wp:wrapNone/>
                  <wp:docPr id="5" name="Picture_10_SpCnt_11"/>
                  <wp:cNvGraphicFramePr/>
                  <a:graphic xmlns:a="http://schemas.openxmlformats.org/drawingml/2006/main">
                    <a:graphicData uri="http://schemas.openxmlformats.org/drawingml/2006/picture">
                      <pic:pic xmlns:pic="http://schemas.openxmlformats.org/drawingml/2006/picture">
                        <pic:nvPicPr>
                          <pic:cNvPr id="5" name="Picture_10_SpCnt_11"/>
                          <pic:cNvPicPr/>
                        </pic:nvPicPr>
                        <pic:blipFill>
                          <a:blip r:embed="rId14"/>
                          <a:stretch>
                            <a:fillRect/>
                          </a:stretch>
                        </pic:blipFill>
                        <pic:spPr>
                          <a:xfrm>
                            <a:off x="0" y="0"/>
                            <a:ext cx="10160" cy="120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2065"/>
                  <wp:effectExtent l="0" t="0" r="0" b="0"/>
                  <wp:wrapNone/>
                  <wp:docPr id="4" name="Picture_10_SpCnt_12"/>
                  <wp:cNvGraphicFramePr/>
                  <a:graphic xmlns:a="http://schemas.openxmlformats.org/drawingml/2006/main">
                    <a:graphicData uri="http://schemas.openxmlformats.org/drawingml/2006/picture">
                      <pic:pic xmlns:pic="http://schemas.openxmlformats.org/drawingml/2006/picture">
                        <pic:nvPicPr>
                          <pic:cNvPr id="4" name="Picture_10_SpCnt_12"/>
                          <pic:cNvPicPr/>
                        </pic:nvPicPr>
                        <pic:blipFill>
                          <a:blip r:embed="rId14"/>
                          <a:stretch>
                            <a:fillRect/>
                          </a:stretch>
                        </pic:blipFill>
                        <pic:spPr>
                          <a:xfrm>
                            <a:off x="0" y="0"/>
                            <a:ext cx="10160" cy="120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2065"/>
                  <wp:effectExtent l="0" t="0" r="0" b="0"/>
                  <wp:wrapNone/>
                  <wp:docPr id="6" name="Picture_10_SpCnt_13"/>
                  <wp:cNvGraphicFramePr/>
                  <a:graphic xmlns:a="http://schemas.openxmlformats.org/drawingml/2006/main">
                    <a:graphicData uri="http://schemas.openxmlformats.org/drawingml/2006/picture">
                      <pic:pic xmlns:pic="http://schemas.openxmlformats.org/drawingml/2006/picture">
                        <pic:nvPicPr>
                          <pic:cNvPr id="6" name="Picture_10_SpCnt_13"/>
                          <pic:cNvPicPr/>
                        </pic:nvPicPr>
                        <pic:blipFill>
                          <a:blip r:embed="rId14"/>
                          <a:stretch>
                            <a:fillRect/>
                          </a:stretch>
                        </pic:blipFill>
                        <pic:spPr>
                          <a:xfrm>
                            <a:off x="0" y="0"/>
                            <a:ext cx="10160" cy="120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2065"/>
                  <wp:effectExtent l="0" t="0" r="0" b="0"/>
                  <wp:wrapNone/>
                  <wp:docPr id="16" name="Picture_10_SpCnt_14"/>
                  <wp:cNvGraphicFramePr/>
                  <a:graphic xmlns:a="http://schemas.openxmlformats.org/drawingml/2006/main">
                    <a:graphicData uri="http://schemas.openxmlformats.org/drawingml/2006/picture">
                      <pic:pic xmlns:pic="http://schemas.openxmlformats.org/drawingml/2006/picture">
                        <pic:nvPicPr>
                          <pic:cNvPr id="16" name="Picture_10_SpCnt_14"/>
                          <pic:cNvPicPr/>
                        </pic:nvPicPr>
                        <pic:blipFill>
                          <a:blip r:embed="rId14"/>
                          <a:stretch>
                            <a:fillRect/>
                          </a:stretch>
                        </pic:blipFill>
                        <pic:spPr>
                          <a:xfrm>
                            <a:off x="0" y="0"/>
                            <a:ext cx="10160" cy="120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2065"/>
                  <wp:effectExtent l="0" t="0" r="0" b="0"/>
                  <wp:wrapNone/>
                  <wp:docPr id="8" name="Picture_10_SpCnt_15"/>
                  <wp:cNvGraphicFramePr/>
                  <a:graphic xmlns:a="http://schemas.openxmlformats.org/drawingml/2006/main">
                    <a:graphicData uri="http://schemas.openxmlformats.org/drawingml/2006/picture">
                      <pic:pic xmlns:pic="http://schemas.openxmlformats.org/drawingml/2006/picture">
                        <pic:nvPicPr>
                          <pic:cNvPr id="8" name="Picture_10_SpCnt_15"/>
                          <pic:cNvPicPr/>
                        </pic:nvPicPr>
                        <pic:blipFill>
                          <a:blip r:embed="rId14"/>
                          <a:stretch>
                            <a:fillRect/>
                          </a:stretch>
                        </pic:blipFill>
                        <pic:spPr>
                          <a:xfrm>
                            <a:off x="0" y="0"/>
                            <a:ext cx="10160" cy="12065"/>
                          </a:xfrm>
                          <a:prstGeom prst="rect">
                            <a:avLst/>
                          </a:prstGeom>
                          <a:noFill/>
                          <a:ln>
                            <a:noFill/>
                          </a:ln>
                        </pic:spPr>
                      </pic:pic>
                    </a:graphicData>
                  </a:graphic>
                </wp:anchor>
              </w:drawing>
            </w:r>
            <w:r>
              <w:rPr>
                <w:rFonts w:hint="eastAsia" w:ascii="宋体" w:hAnsi="宋体" w:cs="宋体"/>
                <w:i w:val="0"/>
                <w:iCs w:val="0"/>
                <w:color w:val="000000"/>
                <w:kern w:val="0"/>
                <w:sz w:val="21"/>
                <w:szCs w:val="21"/>
                <w:highlight w:val="none"/>
                <w:u w:val="none"/>
                <w:lang w:val="en-US" w:eastAsia="zh-CN" w:bidi="ar"/>
              </w:rPr>
              <w:t xml:space="preserve">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规格：2300*1100*820mm(H)                                     1、面料：座面、靠背、均采用</w:t>
            </w:r>
            <w:r>
              <w:rPr>
                <w:rFonts w:hint="eastAsia" w:ascii="宋体" w:hAnsi="宋体" w:cs="宋体"/>
                <w:i w:val="0"/>
                <w:iCs w:val="0"/>
                <w:color w:val="000000"/>
                <w:kern w:val="0"/>
                <w:sz w:val="21"/>
                <w:szCs w:val="21"/>
                <w:highlight w:val="none"/>
                <w:u w:val="none"/>
                <w:lang w:val="en-US" w:eastAsia="zh-CN" w:bidi="ar"/>
              </w:rPr>
              <w:t>防腐蚀，防霉菌易去污皮</w:t>
            </w:r>
            <w:r>
              <w:rPr>
                <w:rFonts w:hint="eastAsia" w:ascii="宋体" w:hAnsi="宋体" w:eastAsia="宋体" w:cs="宋体"/>
                <w:i w:val="0"/>
                <w:iCs w:val="0"/>
                <w:color w:val="000000"/>
                <w:kern w:val="0"/>
                <w:sz w:val="21"/>
                <w:szCs w:val="21"/>
                <w:highlight w:val="none"/>
                <w:u w:val="none"/>
                <w:lang w:val="en-US" w:eastAsia="zh-CN" w:bidi="ar"/>
              </w:rPr>
              <w:t>，厚度≥1.0mm,耐霉菌等级达到1级，撕裂力，断裂伸长率，摩擦色牢度符合国标要求。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2、海绵：采用高回弹切割泡棉，软硬适中，不变形。</w:t>
            </w:r>
            <w:r>
              <w:rPr>
                <w:rFonts w:hint="eastAsia" w:ascii="宋体" w:hAnsi="宋体" w:cs="宋体"/>
                <w:i w:val="0"/>
                <w:iCs w:val="0"/>
                <w:color w:val="000000"/>
                <w:kern w:val="0"/>
                <w:sz w:val="21"/>
                <w:szCs w:val="21"/>
                <w:highlight w:val="none"/>
                <w:u w:val="none"/>
                <w:lang w:val="en-US" w:eastAsia="zh-CN" w:bidi="ar"/>
              </w:rPr>
              <w:t>沙发内架：采用实木框架加工成型。</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eastAsia="zh-CN"/>
              </w:rPr>
              <w:t>海绵：</w:t>
            </w:r>
            <w:r>
              <w:rPr>
                <w:rFonts w:hint="eastAsia" w:ascii="宋体" w:hAnsi="宋体" w:eastAsia="宋体" w:cs="宋体"/>
                <w:b w:val="0"/>
                <w:bCs w:val="0"/>
                <w:strike w:val="0"/>
                <w:dstrike w:val="0"/>
                <w:color w:val="auto"/>
                <w:sz w:val="21"/>
                <w:szCs w:val="21"/>
                <w:highlight w:val="none"/>
                <w:lang w:val="en-US" w:eastAsia="zh-CN"/>
              </w:rPr>
              <w:t>符合GB/T 10802-2006《通用软质聚醚型聚氨酯泡沫塑料》、QB/T 2280-2016《办公家具 办公椅》、GB/T 6343-2009《泡沫塑料及橡胶 表观密度的测定》；75%压缩永久变形≤3%，回弹率≥53%，拉伸强度≥161kPa，伸长率≥153%，撕裂强度≥2.2N/cm，干热老化后拉伸强度≥151kPa，干热老化后拉伸强度变化率±15%，湿热老化后拉伸强度≥143kPa，湿热老化后拉伸强度变化率±15%，甲醛释放量≤0.012mg/m²h，表观密度≥46kg/m³。</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3、结构：</w:t>
            </w:r>
            <w:r>
              <w:rPr>
                <w:rFonts w:hint="eastAsia" w:ascii="宋体" w:hAnsi="宋体" w:cs="宋体"/>
                <w:i w:val="0"/>
                <w:iCs w:val="0"/>
                <w:color w:val="auto"/>
                <w:kern w:val="0"/>
                <w:sz w:val="21"/>
                <w:szCs w:val="21"/>
                <w:highlight w:val="none"/>
                <w:u w:val="none"/>
                <w:lang w:val="en-US" w:eastAsia="zh-CN" w:bidi="ar"/>
              </w:rPr>
              <w:t>沙发整体采用皮革包覆</w:t>
            </w:r>
            <w:r>
              <w:rPr>
                <w:rFonts w:hint="eastAsia" w:ascii="宋体" w:hAnsi="宋体" w:eastAsia="宋体" w:cs="宋体"/>
                <w:i w:val="0"/>
                <w:iCs w:val="0"/>
                <w:color w:val="auto"/>
                <w:kern w:val="0"/>
                <w:sz w:val="21"/>
                <w:szCs w:val="21"/>
                <w:highlight w:val="none"/>
                <w:u w:val="none"/>
                <w:lang w:val="en-US" w:eastAsia="zh-CN" w:bidi="ar"/>
              </w:rPr>
              <w:t>，整体弧形造型,座面高度450mm,靠背高度820mm.</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strike w:val="0"/>
                <w:dstrike w:val="0"/>
                <w:color w:val="auto"/>
                <w:sz w:val="21"/>
                <w:szCs w:val="21"/>
                <w:highlight w:val="none"/>
                <w:lang w:eastAsia="zh-CN"/>
              </w:rPr>
              <w:t>皮革</w:t>
            </w:r>
            <w:r>
              <w:rPr>
                <w:rFonts w:hint="eastAsia" w:ascii="宋体" w:hAnsi="宋体" w:eastAsia="宋体" w:cs="宋体"/>
                <w:color w:val="auto"/>
                <w:kern w:val="2"/>
                <w:sz w:val="21"/>
                <w:szCs w:val="21"/>
                <w:highlight w:val="none"/>
                <w:lang w:val="en-US" w:eastAsia="zh-CN" w:bidi="ar-SA"/>
              </w:rPr>
              <w:t>：符合</w:t>
            </w:r>
            <w:r>
              <w:rPr>
                <w:rFonts w:hint="eastAsia" w:ascii="宋体" w:hAnsi="宋体" w:eastAsia="宋体" w:cs="宋体"/>
                <w:b w:val="0"/>
                <w:bCs w:val="0"/>
                <w:strike w:val="0"/>
                <w:dstrike w:val="0"/>
                <w:color w:val="auto"/>
                <w:sz w:val="21"/>
                <w:szCs w:val="21"/>
                <w:highlight w:val="none"/>
                <w:lang w:val="en-US" w:eastAsia="zh-CN"/>
              </w:rPr>
              <w:t>GB/T 16799-2018《家具用皮革》、GB/T 35607-2017《绿色产品评价家具》；摩擦色牢度：干擦50次达到5级，湿擦20次达到5级，碱性汗液20次达到4级；撕裂力≥50N，pH≥6，禁用偶氮染料未检出，游离甲醛未检出，挥发性有机物(VOC)未检出，可萃取的重金属：铅(Pb)、镉(Cd)均未检出，皮革中五氯苯酚(PCP)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4、中标后根据甲方需求及现场实际情况进行配色及细节深化设计定制。</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71552" behindDoc="0" locked="0" layoutInCell="1" allowOverlap="1">
                  <wp:simplePos x="0" y="0"/>
                  <wp:positionH relativeFrom="column">
                    <wp:posOffset>59690</wp:posOffset>
                  </wp:positionH>
                  <wp:positionV relativeFrom="paragraph">
                    <wp:posOffset>1165860</wp:posOffset>
                  </wp:positionV>
                  <wp:extent cx="1202055" cy="1257300"/>
                  <wp:effectExtent l="0" t="0" r="17145" b="0"/>
                  <wp:wrapSquare wrapText="bothSides"/>
                  <wp:docPr id="1365" name="图片 3" descr="微信图片_2024022014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图片 3" descr="微信图片_20240220143110"/>
                          <pic:cNvPicPr>
                            <a:picLocks noChangeAspect="1"/>
                          </pic:cNvPicPr>
                        </pic:nvPicPr>
                        <pic:blipFill>
                          <a:blip r:embed="rId15"/>
                          <a:stretch>
                            <a:fillRect/>
                          </a:stretch>
                        </pic:blipFill>
                        <pic:spPr>
                          <a:xfrm>
                            <a:off x="0" y="0"/>
                            <a:ext cx="1202055" cy="125730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长条凳</w:t>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 xml:space="preserve">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规格：1200*650*850mm(H)                                     1、面料：座面、靠背、均采用</w:t>
            </w:r>
            <w:r>
              <w:rPr>
                <w:rFonts w:hint="eastAsia" w:ascii="宋体" w:hAnsi="宋体" w:cs="宋体"/>
                <w:i w:val="0"/>
                <w:iCs w:val="0"/>
                <w:color w:val="000000"/>
                <w:kern w:val="0"/>
                <w:sz w:val="21"/>
                <w:szCs w:val="21"/>
                <w:highlight w:val="none"/>
                <w:u w:val="none"/>
                <w:lang w:val="en-US" w:eastAsia="zh-CN" w:bidi="ar"/>
              </w:rPr>
              <w:t>防腐蚀，防霉菌易去污皮</w:t>
            </w:r>
            <w:r>
              <w:rPr>
                <w:rFonts w:hint="eastAsia" w:ascii="宋体" w:hAnsi="宋体" w:eastAsia="宋体" w:cs="宋体"/>
                <w:i w:val="0"/>
                <w:iCs w:val="0"/>
                <w:color w:val="000000"/>
                <w:kern w:val="0"/>
                <w:sz w:val="21"/>
                <w:szCs w:val="21"/>
                <w:highlight w:val="none"/>
                <w:u w:val="none"/>
                <w:lang w:val="en-US" w:eastAsia="zh-CN" w:bidi="ar"/>
              </w:rPr>
              <w:t>，厚度≥1.0mm,耐霉菌等级达到1级，撕裂力，断裂伸长率，摩擦色牢度符合国标要求。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2、海绵：采用高回弹切割泡棉，软硬适中，不变形。</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3、结构：沙发</w:t>
            </w:r>
            <w:r>
              <w:rPr>
                <w:rFonts w:hint="eastAsia" w:ascii="宋体" w:hAnsi="宋体" w:cs="宋体"/>
                <w:i w:val="0"/>
                <w:iCs w:val="0"/>
                <w:color w:val="000000"/>
                <w:kern w:val="0"/>
                <w:sz w:val="21"/>
                <w:szCs w:val="21"/>
                <w:highlight w:val="none"/>
                <w:u w:val="none"/>
                <w:lang w:val="en-US" w:eastAsia="zh-CN" w:bidi="ar"/>
              </w:rPr>
              <w:t>座靠</w:t>
            </w:r>
            <w:r>
              <w:rPr>
                <w:rFonts w:hint="eastAsia" w:ascii="宋体" w:hAnsi="宋体" w:eastAsia="宋体" w:cs="宋体"/>
                <w:i w:val="0"/>
                <w:iCs w:val="0"/>
                <w:color w:val="000000"/>
                <w:kern w:val="0"/>
                <w:sz w:val="21"/>
                <w:szCs w:val="21"/>
                <w:highlight w:val="none"/>
                <w:u w:val="none"/>
                <w:lang w:val="en-US" w:eastAsia="zh-CN" w:bidi="ar"/>
              </w:rPr>
              <w:t>采用</w:t>
            </w:r>
            <w:r>
              <w:rPr>
                <w:rFonts w:hint="eastAsia" w:ascii="宋体" w:hAnsi="宋体" w:cs="宋体"/>
                <w:i w:val="0"/>
                <w:iCs w:val="0"/>
                <w:color w:val="000000"/>
                <w:kern w:val="0"/>
                <w:sz w:val="21"/>
                <w:szCs w:val="21"/>
                <w:highlight w:val="none"/>
                <w:u w:val="none"/>
                <w:lang w:val="en-US" w:eastAsia="zh-CN" w:bidi="ar"/>
              </w:rPr>
              <w:t>易去污皮</w:t>
            </w:r>
            <w:r>
              <w:rPr>
                <w:rFonts w:hint="eastAsia" w:ascii="宋体" w:hAnsi="宋体" w:eastAsia="宋体" w:cs="宋体"/>
                <w:i w:val="0"/>
                <w:iCs w:val="0"/>
                <w:color w:val="000000"/>
                <w:kern w:val="0"/>
                <w:sz w:val="21"/>
                <w:szCs w:val="21"/>
                <w:highlight w:val="none"/>
                <w:u w:val="none"/>
                <w:lang w:val="en-US" w:eastAsia="zh-CN" w:bidi="ar"/>
              </w:rPr>
              <w:t>皮质包覆，</w:t>
            </w:r>
            <w:r>
              <w:rPr>
                <w:rFonts w:hint="eastAsia" w:ascii="宋体" w:hAnsi="宋体" w:cs="宋体"/>
                <w:i w:val="0"/>
                <w:iCs w:val="0"/>
                <w:color w:val="000000"/>
                <w:kern w:val="0"/>
                <w:sz w:val="21"/>
                <w:szCs w:val="21"/>
                <w:highlight w:val="none"/>
                <w:u w:val="none"/>
                <w:lang w:val="en-US" w:eastAsia="zh-CN" w:bidi="ar"/>
              </w:rPr>
              <w:t>框架采用多层板烤漆，</w:t>
            </w:r>
            <w:r>
              <w:rPr>
                <w:rFonts w:hint="eastAsia" w:ascii="宋体" w:hAnsi="宋体" w:eastAsia="宋体" w:cs="宋体"/>
                <w:i w:val="0"/>
                <w:iCs w:val="0"/>
                <w:color w:val="000000"/>
                <w:kern w:val="0"/>
                <w:sz w:val="21"/>
                <w:szCs w:val="21"/>
                <w:highlight w:val="none"/>
                <w:u w:val="none"/>
                <w:lang w:val="en-US" w:eastAsia="zh-CN" w:bidi="ar"/>
              </w:rPr>
              <w:t>座面高度420mm,靠背高度850mm.底座带4个抽屉做储物。</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4、中标后根据甲方需求及现场实际情况进行配色及细节深化设计定制。</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72576" behindDoc="0" locked="0" layoutInCell="1" allowOverlap="1">
                  <wp:simplePos x="0" y="0"/>
                  <wp:positionH relativeFrom="column">
                    <wp:posOffset>-33655</wp:posOffset>
                  </wp:positionH>
                  <wp:positionV relativeFrom="paragraph">
                    <wp:posOffset>238760</wp:posOffset>
                  </wp:positionV>
                  <wp:extent cx="1444625" cy="1254760"/>
                  <wp:effectExtent l="0" t="0" r="3175" b="2540"/>
                  <wp:wrapSquare wrapText="bothSides"/>
                  <wp:docPr id="13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图片 6"/>
                          <pic:cNvPicPr>
                            <a:picLocks noChangeAspect="1"/>
                          </pic:cNvPicPr>
                        </pic:nvPicPr>
                        <pic:blipFill>
                          <a:blip r:embed="rId16"/>
                          <a:srcRect t="24663" r="1855" b="28778"/>
                          <a:stretch>
                            <a:fillRect/>
                          </a:stretch>
                        </pic:blipFill>
                        <pic:spPr>
                          <a:xfrm>
                            <a:off x="0" y="0"/>
                            <a:ext cx="1444625" cy="125476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诊查床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规格:950*600*650mm(H)                                         1、基材：</w:t>
            </w:r>
            <w:r>
              <w:rPr>
                <w:rFonts w:hint="eastAsia" w:ascii="宋体" w:hAnsi="宋体" w:eastAsia="宋体" w:cs="宋体"/>
                <w:i w:val="0"/>
                <w:iCs w:val="0"/>
                <w:color w:val="auto"/>
                <w:kern w:val="0"/>
                <w:sz w:val="21"/>
                <w:szCs w:val="21"/>
                <w:highlight w:val="none"/>
                <w:u w:val="none"/>
                <w:lang w:val="en-US" w:eastAsia="zh-CN" w:bidi="ar"/>
              </w:rPr>
              <w:t>选用18-25mm厚</w:t>
            </w:r>
            <w:r>
              <w:rPr>
                <w:rFonts w:hint="eastAsia" w:ascii="宋体" w:hAnsi="宋体" w:cs="宋体"/>
                <w:i w:val="0"/>
                <w:iCs w:val="0"/>
                <w:color w:val="auto"/>
                <w:kern w:val="0"/>
                <w:sz w:val="21"/>
                <w:szCs w:val="21"/>
                <w:highlight w:val="none"/>
                <w:u w:val="none"/>
                <w:lang w:val="en-US" w:eastAsia="zh-CN" w:bidi="ar"/>
              </w:rPr>
              <w:t>双饰面E1级颗粒板</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板才经过防潮、防虫、防腐的化学处理，强度高，刚性好，不变形不开裂。 床面采用2.0mm厚PVC同色封边，色泽均匀一致。                                          2、软包采用50mm厚度高回弹海绵，优质西皮饰面。                                       3、配件：优质阻尼门铰，正常开合寿命≥10万次，所有五金配件全部经过防锈、防腐处理。                                                                                                  4、结构：组合设计两组对开门内含一块活动层板，柜体高度600mm+软包高度50mm。钢架脚支撑离地20cm高.</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73600" behindDoc="0" locked="0" layoutInCell="1" allowOverlap="1">
                  <wp:simplePos x="0" y="0"/>
                  <wp:positionH relativeFrom="column">
                    <wp:posOffset>18415</wp:posOffset>
                  </wp:positionH>
                  <wp:positionV relativeFrom="paragraph">
                    <wp:posOffset>451485</wp:posOffset>
                  </wp:positionV>
                  <wp:extent cx="1276985" cy="996950"/>
                  <wp:effectExtent l="0" t="0" r="18415" b="12700"/>
                  <wp:wrapSquare wrapText="bothSides"/>
                  <wp:docPr id="13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24"/>
                          <pic:cNvPicPr>
                            <a:picLocks noChangeAspect="1"/>
                          </pic:cNvPicPr>
                        </pic:nvPicPr>
                        <pic:blipFill>
                          <a:blip r:embed="rId17"/>
                          <a:stretch>
                            <a:fillRect/>
                          </a:stretch>
                        </pic:blipFill>
                        <pic:spPr>
                          <a:xfrm>
                            <a:off x="0" y="0"/>
                            <a:ext cx="1276985" cy="99695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方木凳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规格：300*300*440mm(H)</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1、基材：采用全榉木打造                                      2、油漆：品牌环保油漆，三底五面工艺，两面均衡油饰,漆膜附着力达到1级。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3、结构：凳面300*300*20mm厚，四边圆角。椅架采用日字方格传统榫卯结构。</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74624" behindDoc="0" locked="0" layoutInCell="1" allowOverlap="1">
                  <wp:simplePos x="0" y="0"/>
                  <wp:positionH relativeFrom="column">
                    <wp:posOffset>261620</wp:posOffset>
                  </wp:positionH>
                  <wp:positionV relativeFrom="paragraph">
                    <wp:posOffset>104775</wp:posOffset>
                  </wp:positionV>
                  <wp:extent cx="930275" cy="1033145"/>
                  <wp:effectExtent l="0" t="0" r="3175" b="14605"/>
                  <wp:wrapSquare wrapText="bothSides"/>
                  <wp:docPr id="1357" name="图片 18" descr="166049212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8" descr="1660492121917"/>
                          <pic:cNvPicPr>
                            <a:picLocks noChangeAspect="1"/>
                          </pic:cNvPicPr>
                        </pic:nvPicPr>
                        <pic:blipFill>
                          <a:blip r:embed="rId18"/>
                          <a:srcRect r="4305" b="1474"/>
                          <a:stretch>
                            <a:fillRect/>
                          </a:stretch>
                        </pic:blipFill>
                        <pic:spPr>
                          <a:xfrm>
                            <a:off x="0" y="0"/>
                            <a:ext cx="930275" cy="103314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计免</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导诊台</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strike w:val="0"/>
                <w:dstrike w:val="0"/>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规格：1400*600*800mm(H)                                    1、基材：</w:t>
            </w:r>
            <w:r>
              <w:rPr>
                <w:rFonts w:hint="eastAsia" w:ascii="宋体" w:hAnsi="宋体" w:cs="宋体"/>
                <w:i w:val="0"/>
                <w:iCs w:val="0"/>
                <w:color w:val="auto"/>
                <w:kern w:val="0"/>
                <w:sz w:val="21"/>
                <w:szCs w:val="21"/>
                <w:highlight w:val="none"/>
                <w:u w:val="none"/>
                <w:lang w:val="en-US" w:eastAsia="zh-CN" w:bidi="ar"/>
              </w:rPr>
              <w:t>柜体</w:t>
            </w:r>
            <w:r>
              <w:rPr>
                <w:rFonts w:hint="eastAsia" w:ascii="宋体" w:hAnsi="宋体" w:eastAsia="宋体" w:cs="宋体"/>
                <w:i w:val="0"/>
                <w:iCs w:val="0"/>
                <w:color w:val="auto"/>
                <w:kern w:val="0"/>
                <w:sz w:val="21"/>
                <w:szCs w:val="21"/>
                <w:highlight w:val="none"/>
                <w:u w:val="none"/>
                <w:lang w:val="en-US" w:eastAsia="zh-CN" w:bidi="ar"/>
              </w:rPr>
              <w:t>选用18-25mm厚</w:t>
            </w:r>
            <w:r>
              <w:rPr>
                <w:rFonts w:hint="eastAsia" w:ascii="宋体" w:hAnsi="宋体" w:cs="宋体"/>
                <w:i w:val="0"/>
                <w:iCs w:val="0"/>
                <w:color w:val="auto"/>
                <w:kern w:val="0"/>
                <w:sz w:val="21"/>
                <w:szCs w:val="21"/>
                <w:highlight w:val="none"/>
                <w:u w:val="none"/>
                <w:lang w:val="en-US" w:eastAsia="zh-CN" w:bidi="ar"/>
              </w:rPr>
              <w:t>E1级多层生态胶合板（多层实木生态板）</w:t>
            </w:r>
            <w:r>
              <w:rPr>
                <w:rFonts w:hint="eastAsia" w:ascii="宋体" w:hAnsi="宋体" w:eastAsia="宋体" w:cs="宋体"/>
                <w:i w:val="0"/>
                <w:iCs w:val="0"/>
                <w:color w:val="auto"/>
                <w:kern w:val="0"/>
                <w:sz w:val="21"/>
                <w:szCs w:val="21"/>
                <w:highlight w:val="none"/>
                <w:u w:val="none"/>
                <w:lang w:val="en-US" w:eastAsia="zh-CN" w:bidi="ar"/>
              </w:rPr>
              <w:t>贴双面1.0mm厚光面防火板。防火、</w:t>
            </w:r>
            <w:r>
              <w:rPr>
                <w:rFonts w:hint="eastAsia" w:ascii="宋体" w:hAnsi="宋体" w:eastAsia="宋体" w:cs="宋体"/>
                <w:i w:val="0"/>
                <w:iCs w:val="0"/>
                <w:color w:val="000000"/>
                <w:kern w:val="0"/>
                <w:sz w:val="21"/>
                <w:szCs w:val="21"/>
                <w:highlight w:val="none"/>
                <w:u w:val="none"/>
                <w:lang w:val="en-US" w:eastAsia="zh-CN" w:bidi="ar"/>
              </w:rPr>
              <w:t>耐磨、 防污、硬度高。经过防潮、防</w:t>
            </w:r>
            <w:r>
              <w:rPr>
                <w:rFonts w:hint="eastAsia" w:ascii="宋体" w:hAnsi="宋体" w:eastAsia="宋体" w:cs="宋体"/>
                <w:i w:val="0"/>
                <w:iCs w:val="0"/>
                <w:color w:val="auto"/>
                <w:kern w:val="0"/>
                <w:sz w:val="21"/>
                <w:szCs w:val="21"/>
                <w:highlight w:val="none"/>
                <w:u w:val="none"/>
                <w:lang w:val="en-US" w:eastAsia="zh-CN" w:bidi="ar"/>
              </w:rPr>
              <w:t>虫、防腐的化学处理，强度高，刚性好，不变形不开裂。</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多层实木夹板（多层实木生态板）：符合</w:t>
            </w:r>
            <w:r>
              <w:rPr>
                <w:rFonts w:hint="eastAsia" w:ascii="宋体" w:hAnsi="宋体" w:eastAsia="宋体" w:cs="宋体"/>
                <w:b w:val="0"/>
                <w:bCs w:val="0"/>
                <w:strike w:val="0"/>
                <w:dstrike w:val="0"/>
                <w:color w:val="auto"/>
                <w:sz w:val="21"/>
                <w:szCs w:val="21"/>
                <w:highlight w:val="none"/>
                <w:lang w:val="en-US" w:eastAsia="zh-CN"/>
              </w:rPr>
              <w:t>GB/T 9846-2015《普通胶合板》、GB 18580-2017《室内装饰装修材料人造板及其制品中甲醛释放限量》、GB/T 35601-2017《绿色产品评价人造板和木质地板》；甲醛释放量(气候箱法)E1≤0.02mg/m3；含水率-胶合板的含水率8~10%；含水率-胶合板的含水率-合格试件数与有效试件总数之比≥90%；挥发性有机化合物(72h)-总挥发性有机化合物(TVOC)未检出。</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cs="宋体"/>
                <w:color w:val="auto"/>
                <w:kern w:val="2"/>
                <w:sz w:val="21"/>
                <w:szCs w:val="21"/>
                <w:highlight w:val="none"/>
                <w:lang w:val="en-US" w:eastAsia="zh-CN" w:bidi="ar-SA"/>
              </w:rPr>
              <w:t>。</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cs="宋体"/>
                <w:i w:val="0"/>
                <w:iCs w:val="0"/>
                <w:color w:val="auto"/>
                <w:kern w:val="0"/>
                <w:sz w:val="21"/>
                <w:szCs w:val="21"/>
                <w:highlight w:val="none"/>
                <w:u w:val="none"/>
                <w:lang w:val="en-US" w:eastAsia="zh-CN" w:bidi="ar"/>
              </w:rPr>
              <w:t>台面采用15mm厚人造大理石饰面。</w:t>
            </w:r>
            <w:r>
              <w:rPr>
                <w:rFonts w:hint="eastAsia" w:ascii="宋体" w:hAnsi="宋体" w:eastAsia="宋体" w:cs="宋体"/>
                <w:i w:val="0"/>
                <w:iCs w:val="0"/>
                <w:color w:val="FF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2、配件：采用阻尼导轨及阻尼门铰，门铰开合次数≥10万次；</w:t>
            </w:r>
            <w:r>
              <w:rPr>
                <w:rFonts w:hint="eastAsia" w:ascii="宋体" w:hAnsi="宋体" w:cs="宋体"/>
                <w:i w:val="0"/>
                <w:iCs w:val="0"/>
                <w:color w:val="000000"/>
                <w:kern w:val="0"/>
                <w:sz w:val="21"/>
                <w:szCs w:val="21"/>
                <w:highlight w:val="none"/>
                <w:u w:val="none"/>
                <w:lang w:val="en-US" w:eastAsia="zh-CN" w:bidi="ar"/>
              </w:rPr>
              <w:t>三节轨承载力≥15kg</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使用寿命≥4万次</w:t>
            </w:r>
            <w:r>
              <w:rPr>
                <w:rFonts w:hint="eastAsia" w:ascii="宋体" w:hAnsi="宋体" w:eastAsia="宋体" w:cs="宋体"/>
                <w:i w:val="0"/>
                <w:iCs w:val="0"/>
                <w:color w:val="000000"/>
                <w:kern w:val="0"/>
                <w:sz w:val="21"/>
                <w:szCs w:val="21"/>
                <w:highlight w:val="none"/>
                <w:u w:val="none"/>
                <w:lang w:val="en-US" w:eastAsia="zh-CN" w:bidi="ar"/>
              </w:rPr>
              <w:t>，不锈钢地脚包边，所有五金配件全部经过防锈、防腐处理。</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五金配件：符合</w:t>
            </w:r>
            <w:r>
              <w:rPr>
                <w:rFonts w:hint="eastAsia" w:ascii="宋体" w:hAnsi="宋体" w:eastAsia="宋体" w:cs="宋体"/>
                <w:b w:val="0"/>
                <w:bCs w:val="0"/>
                <w:strike w:val="0"/>
                <w:dstrike w:val="0"/>
                <w:color w:val="auto"/>
                <w:sz w:val="21"/>
                <w:szCs w:val="21"/>
                <w:highlight w:val="none"/>
                <w:lang w:val="en-US" w:eastAsia="zh-CN"/>
              </w:rPr>
              <w:t>GB/T 28203-2011《家具用连接件技术要求及试验方法》；金属件表面应无锈蚀、毛刺刃口、露底,应光滑平整,应无起泡、泛黄、花斑、烧焦、裂纹、划痕、磕碰伤等缺陷；焊接部位应牢固,应无脱焊、虚焊、焊穿,焊缝均匀,应无毛刺、锐楞、飞溅、裂纹等缺陷；塑料部位表面应光洁平滑,不应有裂纹、划伤、沙粒、疙瘩、麻点等缺陷,色泽应一致；金属镀层抗盐雾：18 h,1.5mm以下锈点20点/d㎡,其中≥1.0mm锈点不超过5点(距离边缘棱角2mm以内的不计)；力学性能：三合一偏心连接件偏心体抗压强度≥360N；三合一偏心连接件预埋螺母抗拉强度≥830N。</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p>
          <w:p>
            <w:pPr>
              <w:keepNext w:val="0"/>
              <w:keepLines w:val="0"/>
              <w:widowControl/>
              <w:suppressLineNumbers w:val="0"/>
              <w:jc w:val="left"/>
              <w:textAlignment w:val="center"/>
              <w:rPr>
                <w:rFonts w:hint="eastAsia" w:ascii="宋体" w:hAnsi="宋体" w:eastAsia="宋体" w:cs="宋体"/>
                <w:b w:val="0"/>
                <w:bCs w:val="0"/>
                <w:strike w:val="0"/>
                <w:dstrike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阻尼门铰：符合</w:t>
            </w:r>
            <w:r>
              <w:rPr>
                <w:rFonts w:hint="eastAsia" w:ascii="宋体" w:hAnsi="宋体" w:eastAsia="宋体" w:cs="宋体"/>
                <w:b w:val="0"/>
                <w:bCs w:val="0"/>
                <w:strike w:val="0"/>
                <w:dstrike w:val="0"/>
                <w:color w:val="auto"/>
                <w:sz w:val="21"/>
                <w:szCs w:val="21"/>
                <w:highlight w:val="none"/>
                <w:lang w:val="en-US" w:eastAsia="zh-CN"/>
              </w:rPr>
              <w:t>GB/T 3325-2017《金属家具通用技术条件》、QB/T 2189-2013《家具五金 杯状暗铰链》、QB/T 3826-1999《轻工产品金属镀层和化学处理层的耐腐蚀试验方法中性盐雾试验(NSS)法》、QB/T 3827-1999《轻工产品金属镀层和化学处理层的耐腐蚀试验方法乙酸盐雾试验(ASS)法》、QB/T3832-1999《轻工产品金属镀层腐蚀试验结果的评价》；喷涂层：涂层应无漏喷、锈蚀和脱色、掉色现象；涂层应光滑均匀，色泽一致，应无流挂、疙瘩、皱皮、飞漆等缺陷。耐久性：达到20万次，①所有组件或结合处不应断裂；②通过手触压证实，用于紧固的组件不应松动；③所有组件不应有影响正常运作的变形或磨损；④固定组件不应松动；⑤所有组件的功能不应损害；⑥杯状暗铰链及其组件应能正常工作。中性盐雾试验和乙酸盐雾试验：经过连续喷雾500h后，镀（涂）层本身的耐腐蚀等级和镀（涂）层对基体的保护等级均到达10级。</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kern w:val="2"/>
                <w:sz w:val="21"/>
                <w:szCs w:val="21"/>
                <w:highlight w:val="none"/>
                <w:lang w:val="en-US" w:eastAsia="zh-CN" w:bidi="ar-SA"/>
              </w:rPr>
              <w:t>阻尼导轨：符合</w:t>
            </w:r>
            <w:r>
              <w:rPr>
                <w:rFonts w:hint="eastAsia" w:ascii="宋体" w:hAnsi="宋体" w:eastAsia="宋体" w:cs="宋体"/>
                <w:b w:val="0"/>
                <w:bCs w:val="0"/>
                <w:strike w:val="0"/>
                <w:dstrike w:val="0"/>
                <w:color w:val="auto"/>
                <w:sz w:val="21"/>
                <w:szCs w:val="21"/>
                <w:highlight w:val="none"/>
                <w:lang w:val="en-US" w:eastAsia="zh-CN"/>
              </w:rPr>
              <w:t>QB/T 2454-2013《家具五金抽屉导轨》、GB/T 3325-2017《金属家具通用技术条件》、GB 24820-2009《实验室家具通用技术条件》；操作力：耐久前拉力，当M&lt;40kg时，拉力≤50N；耐久前推力，当M&lt;40kg时，推力≤50N；耐久后拉力，当M&lt;40kg时，拉力≤50N；耐久后推力，当M&lt;40kg时，推力≤50N；耐久性(家用型：循环次数40000次)应合格；垂直向下静载荷(家用型：载荷150N)应合格；水平侧向静载荷(家用型：载荷75N)应合格；拉出安全性(家用型：试验负荷≤20kg，试验速度Vm=0.3m/s)应合格；猛关、猛开(家用型：各加载10次，因子K=1.25)应合格；下沉量：下沉量不应超过抽屉导轨拉出长度的4%；表面理化性能-金属喷漆(塑)涂层-耐腐蚀：51h乙酸盐雾试验(ASS)，不低于7级；金属喷漆(塑)涂层-硬度：≥4H；金属喷漆(塑)涂层-附着力：应不低于2级。</w:t>
            </w:r>
            <w:r>
              <w:rPr>
                <w:rFonts w:hint="eastAsia" w:ascii="宋体" w:hAnsi="宋体" w:eastAsia="宋体" w:cs="宋体"/>
                <w:color w:val="auto"/>
                <w:kern w:val="2"/>
                <w:sz w:val="21"/>
                <w:szCs w:val="21"/>
                <w:highlight w:val="none"/>
                <w:lang w:val="en-US" w:eastAsia="zh-CN" w:bidi="ar-SA"/>
              </w:rPr>
              <w:t>（提供的自2022年1月1日以来经国家认可的带有CMA或CNAS标识的第三方检测机构出具的原材料的抽样检验报告）</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 xml:space="preserve">                                                                                   3、结构：桌面含铝合金翻盖走线盒，隐藏式走线设计，内配有主机架*1，键盘架*1，三抽柜*1。</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75648" behindDoc="0" locked="0" layoutInCell="1" allowOverlap="1">
                  <wp:simplePos x="0" y="0"/>
                  <wp:positionH relativeFrom="column">
                    <wp:posOffset>47625</wp:posOffset>
                  </wp:positionH>
                  <wp:positionV relativeFrom="paragraph">
                    <wp:posOffset>2429510</wp:posOffset>
                  </wp:positionV>
                  <wp:extent cx="1175385" cy="949960"/>
                  <wp:effectExtent l="0" t="0" r="5715" b="2540"/>
                  <wp:wrapSquare wrapText="bothSides"/>
                  <wp:docPr id="1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2"/>
                          <pic:cNvPicPr>
                            <a:picLocks noChangeAspect="1"/>
                          </pic:cNvPicPr>
                        </pic:nvPicPr>
                        <pic:blipFill>
                          <a:blip r:embed="rId19"/>
                          <a:srcRect l="11427" t="20201" r="1395" b="7373"/>
                          <a:stretch>
                            <a:fillRect/>
                          </a:stretch>
                        </pic:blipFill>
                        <pic:spPr>
                          <a:xfrm>
                            <a:off x="0" y="0"/>
                            <a:ext cx="1175385" cy="94996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花架</w:t>
            </w:r>
            <w:r>
              <w:rPr>
                <w:rFonts w:hint="eastAsia" w:ascii="宋体" w:hAnsi="宋体" w:cs="宋体"/>
                <w:i w:val="0"/>
                <w:iCs w:val="0"/>
                <w:color w:val="000000"/>
                <w:kern w:val="0"/>
                <w:sz w:val="21"/>
                <w:szCs w:val="21"/>
                <w:highlight w:val="none"/>
                <w:u w:val="none"/>
                <w:lang w:val="en-US" w:eastAsia="zh-CN" w:bidi="ar"/>
              </w:rPr>
              <w:t>1</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规格：220*220*</w:t>
            </w:r>
            <w:r>
              <w:rPr>
                <w:rFonts w:hint="eastAsia" w:ascii="宋体" w:hAnsi="宋体" w:cs="宋体"/>
                <w:i w:val="0"/>
                <w:iCs w:val="0"/>
                <w:color w:val="000000"/>
                <w:kern w:val="0"/>
                <w:sz w:val="21"/>
                <w:szCs w:val="21"/>
                <w:highlight w:val="none"/>
                <w:u w:val="none"/>
                <w:lang w:val="en-US" w:eastAsia="zh-CN" w:bidi="ar"/>
              </w:rPr>
              <w:t>550/</w:t>
            </w:r>
            <w:r>
              <w:rPr>
                <w:rFonts w:hint="eastAsia" w:ascii="宋体" w:hAnsi="宋体" w:eastAsia="宋体" w:cs="宋体"/>
                <w:i w:val="0"/>
                <w:iCs w:val="0"/>
                <w:color w:val="000000"/>
                <w:kern w:val="0"/>
                <w:sz w:val="21"/>
                <w:szCs w:val="21"/>
                <w:highlight w:val="none"/>
                <w:u w:val="none"/>
                <w:lang w:val="en-US" w:eastAsia="zh-CN" w:bidi="ar"/>
              </w:rPr>
              <w:t xml:space="preserve">755mm(H)                                  </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基材：选用0.8mm厚国家一级冷轧钢板，前置处理：钢料经脱脂、除锈、表调、磷化、清洗等十步隧道式前处理程序；所有焊接件满焊，并保证焊接牢固；焊痕光滑、平整，无砂眼、虚焊、明显焊瘤及飞溅物。</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strike w:val="0"/>
                <w:dstrike w:val="0"/>
                <w:color w:val="auto"/>
                <w:sz w:val="21"/>
                <w:szCs w:val="21"/>
                <w:highlight w:val="none"/>
                <w:lang w:val="en-US" w:eastAsia="zh-CN"/>
              </w:rPr>
              <w:t>冷轧</w:t>
            </w:r>
            <w:r>
              <w:rPr>
                <w:rFonts w:hint="eastAsia" w:ascii="宋体" w:hAnsi="宋体" w:eastAsia="宋体" w:cs="宋体"/>
                <w:b w:val="0"/>
                <w:bCs w:val="0"/>
                <w:strike w:val="0"/>
                <w:dstrike w:val="0"/>
                <w:color w:val="auto"/>
                <w:sz w:val="21"/>
                <w:szCs w:val="21"/>
                <w:highlight w:val="none"/>
              </w:rPr>
              <w:t>钢板</w:t>
            </w:r>
            <w:r>
              <w:rPr>
                <w:rFonts w:hint="eastAsia" w:ascii="宋体" w:hAnsi="宋体" w:eastAsia="宋体" w:cs="宋体"/>
                <w:b w:val="0"/>
                <w:bCs w:val="0"/>
                <w:strike w:val="0"/>
                <w:dstrike w:val="0"/>
                <w:color w:val="auto"/>
                <w:sz w:val="21"/>
                <w:szCs w:val="21"/>
                <w:highlight w:val="none"/>
                <w:shd w:val="clear"/>
                <w:lang w:val="en-US" w:eastAsia="zh-CN"/>
              </w:rPr>
              <w:t>：</w:t>
            </w:r>
            <w:r>
              <w:rPr>
                <w:rFonts w:hint="eastAsia" w:ascii="宋体" w:hAnsi="宋体" w:eastAsia="宋体" w:cs="宋体"/>
                <w:b w:val="0"/>
                <w:bCs w:val="0"/>
                <w:strike w:val="0"/>
                <w:dstrike w:val="0"/>
                <w:color w:val="auto"/>
                <w:kern w:val="0"/>
                <w:sz w:val="21"/>
                <w:szCs w:val="21"/>
                <w:highlight w:val="none"/>
                <w:lang w:val="en-US" w:eastAsia="zh-CN" w:bidi="ar-SA"/>
              </w:rPr>
              <w:t>符合</w:t>
            </w:r>
            <w:r>
              <w:rPr>
                <w:rFonts w:hint="eastAsia" w:ascii="宋体" w:hAnsi="宋体" w:eastAsia="宋体" w:cs="宋体"/>
                <w:b w:val="0"/>
                <w:bCs w:val="0"/>
                <w:strike w:val="0"/>
                <w:dstrike w:val="0"/>
                <w:color w:val="auto"/>
                <w:sz w:val="21"/>
                <w:szCs w:val="21"/>
                <w:highlight w:val="none"/>
                <w:lang w:val="en-US" w:eastAsia="zh-CN"/>
              </w:rPr>
              <w:t>GB/T 3325-2017《金属家具通用技术条件》、GB/T 10125-2021《人造气氛腐蚀试验 盐雾试验》、GB/T 6461-2002《金属基体上金属和其他无机覆盖层经腐蚀试验后的试样和试件的评级》、GB/T 11253-2019《碳素结构钢冷轧钢板及钢带》标准；力学性能：拉抗强度Rm：370～500MPa，断后伸长率A80mm≥45%；铜加速乙酸盐雾试验100h：耐腐蚀等级达到10级。</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b w:val="0"/>
                <w:bCs w:val="0"/>
                <w:strike w:val="0"/>
                <w:dstrike w:val="0"/>
                <w:color w:val="auto"/>
                <w:sz w:val="21"/>
                <w:szCs w:val="21"/>
                <w:highlight w:val="none"/>
                <w:lang w:val="en-US" w:eastAsia="zh-CN"/>
              </w:rPr>
              <w:t>提供的自2022年1月1日以来经国家认可的带有CMA或CNAS标识的第三方检测机构出具的原材料的抽样检验报告</w:t>
            </w:r>
            <w:r>
              <w:rPr>
                <w:rFonts w:hint="eastAsia" w:ascii="宋体" w:hAnsi="宋体" w:eastAsia="宋体" w:cs="宋体"/>
                <w:b w:val="0"/>
                <w:bCs w:val="0"/>
                <w:strike w:val="0"/>
                <w:dstrike w:val="0"/>
                <w:color w:val="auto"/>
                <w:sz w:val="21"/>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表面处理：选用</w:t>
            </w:r>
            <w:r>
              <w:rPr>
                <w:rFonts w:hint="eastAsia" w:ascii="宋体" w:hAnsi="宋体" w:eastAsia="宋体" w:cs="宋体"/>
                <w:i w:val="0"/>
                <w:iCs w:val="0"/>
                <w:color w:val="auto"/>
                <w:kern w:val="0"/>
                <w:sz w:val="21"/>
                <w:szCs w:val="21"/>
                <w:highlight w:val="none"/>
                <w:u w:val="none"/>
                <w:lang w:val="en-US" w:eastAsia="zh-CN" w:bidi="ar"/>
              </w:rPr>
              <w:t>静电粉末喷涂</w:t>
            </w:r>
            <w:r>
              <w:rPr>
                <w:rFonts w:hint="eastAsia" w:ascii="宋体" w:hAnsi="宋体" w:eastAsia="宋体" w:cs="宋体"/>
                <w:i w:val="0"/>
                <w:iCs w:val="0"/>
                <w:color w:val="000000"/>
                <w:kern w:val="0"/>
                <w:sz w:val="21"/>
                <w:szCs w:val="21"/>
                <w:highlight w:val="none"/>
                <w:u w:val="none"/>
                <w:lang w:val="en-US" w:eastAsia="zh-CN" w:bidi="ar"/>
              </w:rPr>
              <w:t>，磷化处理按国家标准进行.</w:t>
            </w:r>
            <w:r>
              <w:rPr>
                <w:rFonts w:hint="eastAsia" w:ascii="宋体" w:hAnsi="宋体" w:cs="宋体"/>
                <w:i w:val="0"/>
                <w:iCs w:val="0"/>
                <w:color w:val="000000"/>
                <w:kern w:val="0"/>
                <w:sz w:val="21"/>
                <w:szCs w:val="21"/>
                <w:highlight w:val="none"/>
                <w:u w:val="none"/>
                <w:lang w:val="en-US" w:eastAsia="zh-CN" w:bidi="ar"/>
              </w:rPr>
              <w:t xml:space="preserve">        3、花架高度有550mm和755mm可选 ，</w:t>
            </w:r>
            <w:r>
              <w:rPr>
                <w:rFonts w:hint="eastAsia" w:ascii="宋体" w:hAnsi="宋体" w:eastAsia="宋体" w:cs="宋体"/>
                <w:i w:val="0"/>
                <w:iCs w:val="0"/>
                <w:color w:val="000000"/>
                <w:kern w:val="0"/>
                <w:sz w:val="21"/>
                <w:szCs w:val="21"/>
                <w:highlight w:val="none"/>
                <w:u w:val="none"/>
                <w:lang w:val="en-US" w:eastAsia="zh-CN" w:bidi="ar"/>
              </w:rPr>
              <w:t>中标后根据甲方需求及现场实际情况进行配</w:t>
            </w:r>
            <w:r>
              <w:rPr>
                <w:rFonts w:hint="eastAsia" w:ascii="宋体" w:hAnsi="宋体" w:cs="宋体"/>
                <w:i w:val="0"/>
                <w:iCs w:val="0"/>
                <w:color w:val="000000"/>
                <w:kern w:val="0"/>
                <w:sz w:val="21"/>
                <w:szCs w:val="21"/>
                <w:highlight w:val="none"/>
                <w:u w:val="none"/>
                <w:lang w:val="en-US" w:eastAsia="zh-CN" w:bidi="ar"/>
              </w:rPr>
              <w:t>制。</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76672" behindDoc="0" locked="0" layoutInCell="1" allowOverlap="1">
                  <wp:simplePos x="0" y="0"/>
                  <wp:positionH relativeFrom="column">
                    <wp:posOffset>72390</wp:posOffset>
                  </wp:positionH>
                  <wp:positionV relativeFrom="paragraph">
                    <wp:posOffset>184150</wp:posOffset>
                  </wp:positionV>
                  <wp:extent cx="1111885" cy="2631440"/>
                  <wp:effectExtent l="0" t="0" r="12065" b="16510"/>
                  <wp:wrapSquare wrapText="bothSides"/>
                  <wp:docPr id="13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23"/>
                          <pic:cNvPicPr>
                            <a:picLocks noChangeAspect="1"/>
                          </pic:cNvPicPr>
                        </pic:nvPicPr>
                        <pic:blipFill>
                          <a:blip r:embed="rId20"/>
                          <a:stretch>
                            <a:fillRect/>
                          </a:stretch>
                        </pic:blipFill>
                        <pic:spPr>
                          <a:xfrm>
                            <a:off x="0" y="0"/>
                            <a:ext cx="1111885" cy="263144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2"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Style w:val="31"/>
                <w:sz w:val="21"/>
                <w:szCs w:val="21"/>
                <w:highlight w:val="none"/>
                <w:lang w:val="en-US" w:eastAsia="zh-CN" w:bidi="ar"/>
              </w:rPr>
              <w:t>花架</w:t>
            </w:r>
            <w:r>
              <w:rPr>
                <w:rStyle w:val="31"/>
                <w:rFonts w:hint="eastAsia"/>
                <w:sz w:val="21"/>
                <w:szCs w:val="21"/>
                <w:highlight w:val="none"/>
                <w:lang w:val="en-US" w:eastAsia="zh-CN" w:bidi="ar"/>
              </w:rPr>
              <w:t>2</w:t>
            </w:r>
            <w:r>
              <w:rPr>
                <w:rStyle w:val="32"/>
                <w:rFonts w:eastAsia="宋体"/>
                <w:sz w:val="21"/>
                <w:szCs w:val="21"/>
                <w:highlight w:val="none"/>
                <w:lang w:val="en-US" w:eastAsia="zh-CN" w:bidi="ar"/>
              </w:rPr>
              <w:t xml:space="preserve">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规格：300*300*800mm(H)                                      1、基材：</w:t>
            </w:r>
            <w:r>
              <w:rPr>
                <w:rFonts w:hint="eastAsia" w:ascii="宋体" w:hAnsi="宋体" w:cs="宋体"/>
                <w:i w:val="0"/>
                <w:iCs w:val="0"/>
                <w:color w:val="auto"/>
                <w:kern w:val="0"/>
                <w:sz w:val="21"/>
                <w:szCs w:val="21"/>
                <w:highlight w:val="none"/>
                <w:u w:val="none"/>
                <w:lang w:val="en-US" w:eastAsia="zh-CN" w:bidi="ar"/>
              </w:rPr>
              <w:t>橡木</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2、结构：架体采用传统榫卯结构凳不易变形耐用性强，抗腐能力强。                                                  </w:t>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油漆：品牌环保油漆，三底五面工艺，两面均衡油饰,漆膜附着力达到1级。</w:t>
            </w:r>
            <w:r>
              <w:rPr>
                <w:rFonts w:hint="eastAsia" w:ascii="宋体" w:hAnsi="宋体" w:cs="宋体"/>
                <w:i w:val="0"/>
                <w:iCs w:val="0"/>
                <w:color w:val="000000"/>
                <w:kern w:val="0"/>
                <w:sz w:val="21"/>
                <w:szCs w:val="21"/>
                <w:highlight w:val="none"/>
                <w:u w:val="none"/>
                <w:lang w:val="en-US" w:eastAsia="zh-CN" w:bidi="ar"/>
              </w:rPr>
              <w:t xml:space="preserve">                                                      4、</w:t>
            </w:r>
            <w:r>
              <w:rPr>
                <w:rFonts w:hint="eastAsia" w:ascii="宋体" w:hAnsi="宋体" w:eastAsia="宋体" w:cs="宋体"/>
                <w:i w:val="0"/>
                <w:iCs w:val="0"/>
                <w:color w:val="000000"/>
                <w:kern w:val="0"/>
                <w:sz w:val="21"/>
                <w:szCs w:val="21"/>
                <w:highlight w:val="none"/>
                <w:u w:val="none"/>
                <w:lang w:val="en-US" w:eastAsia="zh-CN" w:bidi="ar"/>
              </w:rPr>
              <w:t>中标后根据甲方需求及现场实际情况进行</w:t>
            </w:r>
            <w:r>
              <w:rPr>
                <w:rFonts w:hint="eastAsia" w:ascii="宋体" w:hAnsi="宋体" w:cs="宋体"/>
                <w:i w:val="0"/>
                <w:iCs w:val="0"/>
                <w:color w:val="000000"/>
                <w:kern w:val="0"/>
                <w:sz w:val="21"/>
                <w:szCs w:val="21"/>
                <w:highlight w:val="none"/>
                <w:u w:val="none"/>
                <w:lang w:val="en-US" w:eastAsia="zh-CN" w:bidi="ar"/>
              </w:rPr>
              <w:t>配色。</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77696" behindDoc="0" locked="0" layoutInCell="1" allowOverlap="1">
                  <wp:simplePos x="0" y="0"/>
                  <wp:positionH relativeFrom="column">
                    <wp:posOffset>357505</wp:posOffset>
                  </wp:positionH>
                  <wp:positionV relativeFrom="paragraph">
                    <wp:posOffset>82550</wp:posOffset>
                  </wp:positionV>
                  <wp:extent cx="702945" cy="1348105"/>
                  <wp:effectExtent l="0" t="0" r="1905" b="4445"/>
                  <wp:wrapSquare wrapText="bothSides"/>
                  <wp:docPr id="13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21"/>
                          <pic:cNvPicPr>
                            <a:picLocks noChangeAspect="1"/>
                          </pic:cNvPicPr>
                        </pic:nvPicPr>
                        <pic:blipFill>
                          <a:blip r:embed="rId21"/>
                          <a:stretch>
                            <a:fillRect/>
                          </a:stretch>
                        </pic:blipFill>
                        <pic:spPr>
                          <a:xfrm>
                            <a:off x="0" y="0"/>
                            <a:ext cx="702945" cy="134810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博古架     </w:t>
            </w:r>
          </w:p>
        </w:tc>
        <w:tc>
          <w:tcPr>
            <w:tcW w:w="4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规格：980*300*1960mm(H)                                     1、基材：</w:t>
            </w:r>
            <w:r>
              <w:rPr>
                <w:rFonts w:hint="eastAsia" w:ascii="宋体" w:hAnsi="宋体" w:cs="宋体"/>
                <w:i w:val="0"/>
                <w:iCs w:val="0"/>
                <w:color w:val="auto"/>
                <w:kern w:val="0"/>
                <w:sz w:val="21"/>
                <w:szCs w:val="21"/>
                <w:highlight w:val="none"/>
                <w:u w:val="none"/>
                <w:lang w:val="en-US" w:eastAsia="zh-CN" w:bidi="ar"/>
              </w:rPr>
              <w:t>橡木。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2、结构：架体采用传统榫卯结构凳不易变形耐用性强，抗腐能力强。                                                                3、油漆：品牌环保油漆，三底五面工艺，两面均衡油饰,漆膜附着力达到1级。</w:t>
            </w:r>
            <w:r>
              <w:rPr>
                <w:rFonts w:hint="eastAsia" w:ascii="宋体" w:hAnsi="宋体" w:cs="宋体"/>
                <w:i w:val="0"/>
                <w:iCs w:val="0"/>
                <w:color w:val="000000"/>
                <w:kern w:val="0"/>
                <w:sz w:val="21"/>
                <w:szCs w:val="21"/>
                <w:highlight w:val="none"/>
                <w:u w:val="none"/>
                <w:lang w:val="en-US" w:eastAsia="zh-CN" w:bidi="ar"/>
              </w:rPr>
              <w:t xml:space="preserve">                                                                  4、</w:t>
            </w:r>
            <w:r>
              <w:rPr>
                <w:rFonts w:hint="eastAsia" w:ascii="宋体" w:hAnsi="宋体" w:eastAsia="宋体" w:cs="宋体"/>
                <w:i w:val="0"/>
                <w:iCs w:val="0"/>
                <w:color w:val="000000"/>
                <w:kern w:val="0"/>
                <w:sz w:val="21"/>
                <w:szCs w:val="21"/>
                <w:highlight w:val="none"/>
                <w:u w:val="none"/>
                <w:lang w:val="en-US" w:eastAsia="zh-CN" w:bidi="ar"/>
              </w:rPr>
              <w:t>中标后根据甲方需求及现场实际情况进行</w:t>
            </w:r>
            <w:r>
              <w:rPr>
                <w:rFonts w:hint="eastAsia" w:ascii="宋体" w:hAnsi="宋体" w:cs="宋体"/>
                <w:i w:val="0"/>
                <w:iCs w:val="0"/>
                <w:color w:val="000000"/>
                <w:kern w:val="0"/>
                <w:sz w:val="21"/>
                <w:szCs w:val="21"/>
                <w:highlight w:val="none"/>
                <w:u w:val="none"/>
                <w:lang w:val="en-US" w:eastAsia="zh-CN" w:bidi="ar"/>
              </w:rPr>
              <w:t>配色。</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left"/>
              <w:rPr>
                <w:rFonts w:hint="default" w:ascii="Times New Roman" w:hAnsi="Times New Roman" w:cs="Times New Roman"/>
                <w:i w:val="0"/>
                <w:iCs w:val="0"/>
                <w:color w:val="000000"/>
                <w:sz w:val="21"/>
                <w:szCs w:val="21"/>
                <w:highlight w:val="none"/>
                <w:u w:val="none"/>
              </w:rPr>
            </w:pPr>
            <w:r>
              <w:drawing>
                <wp:anchor distT="0" distB="0" distL="114300" distR="114300" simplePos="0" relativeHeight="251678720" behindDoc="0" locked="0" layoutInCell="1" allowOverlap="1">
                  <wp:simplePos x="0" y="0"/>
                  <wp:positionH relativeFrom="column">
                    <wp:posOffset>149225</wp:posOffset>
                  </wp:positionH>
                  <wp:positionV relativeFrom="paragraph">
                    <wp:posOffset>32385</wp:posOffset>
                  </wp:positionV>
                  <wp:extent cx="1040765" cy="1123950"/>
                  <wp:effectExtent l="0" t="0" r="6985" b="0"/>
                  <wp:wrapSquare wrapText="bothSides"/>
                  <wp:docPr id="13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22"/>
                          <pic:cNvPicPr>
                            <a:picLocks noChangeAspect="1"/>
                          </pic:cNvPicPr>
                        </pic:nvPicPr>
                        <pic:blipFill>
                          <a:blip r:embed="rId22"/>
                          <a:stretch>
                            <a:fillRect/>
                          </a:stretch>
                        </pic:blipFill>
                        <pic:spPr>
                          <a:xfrm>
                            <a:off x="0" y="0"/>
                            <a:ext cx="1040765" cy="1123950"/>
                          </a:xfrm>
                          <a:prstGeom prst="rect">
                            <a:avLst/>
                          </a:prstGeom>
                          <a:noFill/>
                          <a:ln w="9525">
                            <a:noFill/>
                          </a:ln>
                        </pic:spPr>
                      </pic:pic>
                    </a:graphicData>
                  </a:graphic>
                </wp:anchor>
              </w:drawing>
            </w:r>
          </w:p>
        </w:tc>
      </w:tr>
    </w:tbl>
    <w:p>
      <w:pPr>
        <w:rPr>
          <w:rFonts w:hint="eastAsia" w:cs="Times New Roman" w:asciiTheme="minorEastAsia" w:hAnsiTheme="minorEastAsia" w:eastAsiaTheme="minorEastAsia"/>
          <w:kern w:val="2"/>
          <w:sz w:val="28"/>
          <w:szCs w:val="28"/>
          <w:lang w:val="en-US" w:eastAsia="zh-CN" w:bidi="ar-SA"/>
        </w:rPr>
      </w:pPr>
      <w:r>
        <w:rPr>
          <w:rFonts w:hint="eastAsia" w:cs="Times New Roman" w:asciiTheme="minorEastAsia" w:hAnsiTheme="minorEastAsia" w:eastAsiaTheme="minorEastAsia"/>
          <w:kern w:val="2"/>
          <w:sz w:val="28"/>
          <w:szCs w:val="28"/>
          <w:lang w:val="en-US" w:eastAsia="zh-CN" w:bidi="ar-SA"/>
        </w:rPr>
        <w:t>【商务要求】</w:t>
      </w:r>
    </w:p>
    <w:p>
      <w:pPr>
        <w:jc w:val="left"/>
        <w:rPr>
          <w:rFonts w:hint="eastAsia" w:ascii="宋体" w:hAnsi="宋体" w:cs="Arial"/>
          <w:color w:val="000000"/>
          <w:kern w:val="0"/>
          <w:szCs w:val="21"/>
        </w:rPr>
      </w:pPr>
      <w:bookmarkStart w:id="0" w:name="_Toc9070"/>
      <w:r>
        <w:rPr>
          <w:rFonts w:hint="eastAsia" w:ascii="宋体" w:hAnsi="宋体" w:cs="Arial"/>
          <w:color w:val="000000"/>
          <w:kern w:val="0"/>
          <w:szCs w:val="21"/>
        </w:rPr>
        <w:t>1</w:t>
      </w:r>
      <w:r>
        <w:rPr>
          <w:rFonts w:hint="eastAsia" w:ascii="宋体" w:hAnsi="宋体" w:cs="Arial"/>
          <w:color w:val="000000"/>
          <w:kern w:val="0"/>
          <w:szCs w:val="21"/>
          <w:lang w:eastAsia="zh-CN"/>
        </w:rPr>
        <w:t>.</w:t>
      </w:r>
      <w:r>
        <w:rPr>
          <w:rFonts w:hint="eastAsia" w:ascii="宋体" w:hAnsi="宋体" w:cs="Arial"/>
          <w:color w:val="000000"/>
          <w:kern w:val="0"/>
          <w:szCs w:val="21"/>
        </w:rPr>
        <w:t>交货地点：</w:t>
      </w:r>
      <w:r>
        <w:rPr>
          <w:rFonts w:hint="eastAsia" w:ascii="宋体" w:hAnsi="宋体" w:cs="Arial"/>
          <w:color w:val="000000"/>
          <w:kern w:val="0"/>
          <w:szCs w:val="21"/>
          <w:lang w:val="en-US" w:eastAsia="zh-CN"/>
        </w:rPr>
        <w:t>深圳市内</w:t>
      </w:r>
      <w:r>
        <w:rPr>
          <w:rFonts w:hint="eastAsia" w:ascii="宋体" w:hAnsi="宋体" w:cs="Arial"/>
          <w:color w:val="000000"/>
          <w:kern w:val="0"/>
          <w:szCs w:val="21"/>
        </w:rPr>
        <w:t>。</w:t>
      </w:r>
      <w:bookmarkEnd w:id="0"/>
      <w:bookmarkStart w:id="1" w:name="_Toc28478"/>
    </w:p>
    <w:p>
      <w:pPr>
        <w:jc w:val="left"/>
        <w:rPr>
          <w:rFonts w:ascii="宋体" w:hAnsi="宋体" w:cs="Arial"/>
          <w:color w:val="000000"/>
          <w:kern w:val="0"/>
          <w:szCs w:val="21"/>
        </w:rPr>
      </w:pPr>
      <w:r>
        <w:rPr>
          <w:rFonts w:hint="eastAsia" w:ascii="宋体" w:hAnsi="宋体" w:cs="Arial"/>
          <w:color w:val="000000"/>
          <w:kern w:val="0"/>
          <w:szCs w:val="21"/>
        </w:rPr>
        <w:t>2</w:t>
      </w:r>
      <w:r>
        <w:rPr>
          <w:rFonts w:hint="eastAsia" w:ascii="宋体" w:hAnsi="宋体" w:cs="Arial"/>
          <w:color w:val="000000"/>
          <w:kern w:val="0"/>
          <w:szCs w:val="21"/>
          <w:lang w:eastAsia="zh-CN"/>
        </w:rPr>
        <w:t>.</w:t>
      </w:r>
      <w:r>
        <w:rPr>
          <w:rFonts w:hint="eastAsia" w:ascii="宋体" w:hAnsi="宋体" w:cs="Arial"/>
          <w:color w:val="000000"/>
          <w:kern w:val="0"/>
          <w:szCs w:val="21"/>
        </w:rPr>
        <w:t>交货期：</w:t>
      </w:r>
    </w:p>
    <w:p>
      <w:pPr>
        <w:ind w:firstLine="420" w:firstLineChars="200"/>
        <w:jc w:val="left"/>
        <w:rPr>
          <w:rFonts w:ascii="宋体" w:hAnsi="宋体" w:cs="Arial"/>
          <w:color w:val="000000"/>
          <w:kern w:val="0"/>
          <w:szCs w:val="21"/>
        </w:rPr>
      </w:pPr>
      <w:r>
        <w:rPr>
          <w:rFonts w:hint="eastAsia" w:ascii="宋体" w:hAnsi="宋体" w:cs="Arial"/>
          <w:color w:val="000000"/>
          <w:kern w:val="0"/>
          <w:szCs w:val="21"/>
        </w:rPr>
        <w:t>签订合同后</w:t>
      </w:r>
      <w:r>
        <w:rPr>
          <w:rFonts w:ascii="宋体" w:hAnsi="宋体" w:cs="Arial"/>
          <w:color w:val="000000"/>
          <w:kern w:val="0"/>
          <w:szCs w:val="21"/>
        </w:rPr>
        <w:t>2</w:t>
      </w:r>
      <w:r>
        <w:rPr>
          <w:rFonts w:hint="eastAsia" w:ascii="宋体" w:hAnsi="宋体" w:cs="Arial"/>
          <w:color w:val="000000"/>
          <w:kern w:val="0"/>
          <w:szCs w:val="21"/>
        </w:rPr>
        <w:t>0个日历日内交货。逾期交货采购人有权按照相关规定处罚。卖方必须承担的</w:t>
      </w:r>
      <w:r>
        <w:rPr>
          <w:rFonts w:hint="eastAsia" w:ascii="宋体" w:hAnsi="宋体" w:cs="Arial"/>
          <w:color w:val="000000"/>
          <w:kern w:val="0"/>
          <w:szCs w:val="21"/>
          <w:lang w:val="en-US" w:eastAsia="zh-CN"/>
        </w:rPr>
        <w:t>货物</w:t>
      </w:r>
      <w:r>
        <w:rPr>
          <w:rFonts w:hint="eastAsia" w:ascii="宋体" w:hAnsi="宋体" w:cs="Arial"/>
          <w:color w:val="000000"/>
          <w:kern w:val="0"/>
          <w:szCs w:val="21"/>
        </w:rPr>
        <w:t>运输、安装调试、验收检测和提供操作说明书、图纸等其他类似的义务。</w:t>
      </w:r>
    </w:p>
    <w:p>
      <w:pPr>
        <w:jc w:val="left"/>
        <w:rPr>
          <w:rFonts w:ascii="宋体" w:hAnsi="宋体" w:cs="Arial"/>
          <w:color w:val="000000"/>
          <w:kern w:val="0"/>
          <w:szCs w:val="21"/>
        </w:rPr>
      </w:pPr>
      <w:r>
        <w:rPr>
          <w:rFonts w:hint="eastAsia" w:ascii="宋体" w:hAnsi="宋体" w:cs="Arial"/>
          <w:color w:val="000000"/>
          <w:kern w:val="0"/>
          <w:szCs w:val="21"/>
        </w:rPr>
        <w:t>投标产品必须为原厂生产产品。不接受分厂、贴牌及非正当进货渠道产品。</w:t>
      </w:r>
    </w:p>
    <w:bookmarkEnd w:id="1"/>
    <w:p>
      <w:pPr>
        <w:jc w:val="left"/>
        <w:rPr>
          <w:rFonts w:ascii="宋体" w:hAnsi="宋体" w:cs="Arial"/>
          <w:color w:val="000000"/>
          <w:kern w:val="0"/>
          <w:szCs w:val="21"/>
        </w:rPr>
      </w:pPr>
      <w:bookmarkStart w:id="2" w:name="_Toc14513"/>
      <w:r>
        <w:rPr>
          <w:rFonts w:hint="eastAsia" w:ascii="宋体" w:hAnsi="宋体" w:cs="Arial"/>
          <w:color w:val="000000"/>
          <w:kern w:val="0"/>
          <w:szCs w:val="21"/>
          <w:lang w:val="en-US" w:eastAsia="zh-CN"/>
        </w:rPr>
        <w:t>3、</w:t>
      </w:r>
      <w:r>
        <w:rPr>
          <w:rFonts w:hint="eastAsia" w:ascii="宋体" w:hAnsi="宋体" w:cs="Arial"/>
          <w:color w:val="000000"/>
          <w:kern w:val="0"/>
          <w:szCs w:val="21"/>
        </w:rPr>
        <w:t>报价方式：</w:t>
      </w:r>
      <w:bookmarkEnd w:id="2"/>
    </w:p>
    <w:p>
      <w:pPr>
        <w:ind w:firstLine="420" w:firstLineChars="200"/>
        <w:jc w:val="left"/>
        <w:rPr>
          <w:rFonts w:ascii="宋体" w:hAnsi="宋体" w:cs="Arial"/>
          <w:color w:val="000000"/>
          <w:kern w:val="0"/>
          <w:szCs w:val="21"/>
        </w:rPr>
      </w:pPr>
      <w:r>
        <w:rPr>
          <w:rFonts w:hint="eastAsia" w:ascii="宋体" w:hAnsi="宋体" w:cs="Arial"/>
          <w:color w:val="000000"/>
          <w:kern w:val="0"/>
          <w:szCs w:val="21"/>
        </w:rPr>
        <w:t>投标报价以人民币报价，为工地交货价。货物总价内包含相关的费用有：原材料和配件费、深化设计、生产加工、安装、调试，通过有关主管部门的验收，运至合同指定地点的包装、运输、装卸、保险，安装调试及各项税费。</w:t>
      </w:r>
    </w:p>
    <w:p>
      <w:pPr>
        <w:ind w:firstLine="420" w:firstLineChars="200"/>
        <w:jc w:val="left"/>
        <w:rPr>
          <w:rFonts w:ascii="宋体" w:hAnsi="宋体" w:cs="Arial"/>
          <w:color w:val="000000"/>
          <w:kern w:val="0"/>
          <w:szCs w:val="21"/>
        </w:rPr>
      </w:pPr>
      <w:r>
        <w:rPr>
          <w:rFonts w:hint="eastAsia" w:ascii="宋体" w:hAnsi="宋体" w:cs="Arial"/>
          <w:color w:val="000000"/>
          <w:kern w:val="0"/>
          <w:szCs w:val="21"/>
        </w:rPr>
        <w:t>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pPr>
        <w:jc w:val="left"/>
        <w:rPr>
          <w:rFonts w:hint="eastAsia" w:ascii="宋体" w:hAnsi="宋体" w:cs="Arial"/>
          <w:color w:val="000000"/>
          <w:kern w:val="0"/>
          <w:szCs w:val="21"/>
          <w:lang w:eastAsia="zh-CN"/>
        </w:rPr>
      </w:pPr>
      <w:r>
        <w:rPr>
          <w:rFonts w:hint="eastAsia" w:ascii="宋体" w:hAnsi="宋体" w:cs="Arial"/>
          <w:color w:val="000000"/>
          <w:kern w:val="0"/>
          <w:szCs w:val="21"/>
          <w:lang w:val="en-US" w:eastAsia="zh-CN"/>
        </w:rPr>
        <w:t>4</w:t>
      </w:r>
      <w:r>
        <w:rPr>
          <w:rFonts w:hint="eastAsia" w:ascii="宋体" w:hAnsi="宋体" w:cs="Arial"/>
          <w:color w:val="000000"/>
          <w:kern w:val="0"/>
          <w:szCs w:val="21"/>
          <w:lang w:eastAsia="zh-CN"/>
        </w:rPr>
        <w:t>.</w:t>
      </w:r>
      <w:r>
        <w:rPr>
          <w:rFonts w:hint="eastAsia" w:ascii="宋体" w:hAnsi="宋体" w:cs="Arial"/>
          <w:color w:val="000000"/>
          <w:kern w:val="0"/>
          <w:szCs w:val="21"/>
        </w:rPr>
        <w:t>质保期</w:t>
      </w:r>
      <w:r>
        <w:rPr>
          <w:rFonts w:hint="eastAsia" w:ascii="宋体" w:hAnsi="宋体" w:cs="Arial"/>
          <w:color w:val="000000"/>
          <w:kern w:val="0"/>
          <w:szCs w:val="21"/>
          <w:lang w:eastAsia="zh-CN"/>
        </w:rPr>
        <w:t>：</w:t>
      </w:r>
    </w:p>
    <w:p>
      <w:pPr>
        <w:ind w:firstLine="420" w:firstLineChars="200"/>
        <w:jc w:val="left"/>
        <w:rPr>
          <w:rFonts w:hint="eastAsia" w:ascii="宋体" w:hAnsi="宋体" w:cs="Arial"/>
          <w:color w:val="000000"/>
          <w:kern w:val="0"/>
          <w:szCs w:val="21"/>
          <w:lang w:val="en-US" w:eastAsia="zh-CN"/>
        </w:rPr>
      </w:pPr>
      <w:r>
        <w:rPr>
          <w:rFonts w:hint="eastAsia" w:ascii="宋体" w:hAnsi="宋体" w:cs="Arial"/>
          <w:color w:val="000000"/>
          <w:kern w:val="0"/>
          <w:szCs w:val="21"/>
          <w:lang w:val="zh-CN"/>
        </w:rPr>
        <w:t>免费质保期</w:t>
      </w:r>
      <w:r>
        <w:rPr>
          <w:rFonts w:hint="eastAsia" w:ascii="宋体" w:hAnsi="宋体" w:cs="Arial"/>
          <w:color w:val="000000"/>
          <w:kern w:val="0"/>
          <w:szCs w:val="21"/>
          <w:lang w:val="en-US" w:eastAsia="zh-CN"/>
        </w:rPr>
        <w:t>10</w:t>
      </w:r>
      <w:r>
        <w:rPr>
          <w:rFonts w:hint="eastAsia" w:ascii="宋体" w:hAnsi="宋体" w:cs="Arial"/>
          <w:color w:val="000000"/>
          <w:kern w:val="0"/>
          <w:szCs w:val="21"/>
          <w:lang w:val="zh-CN"/>
        </w:rPr>
        <w:t>年，时间自最终验收合格并交付使用之日起计算。</w:t>
      </w:r>
    </w:p>
    <w:p>
      <w:pPr>
        <w:jc w:val="left"/>
        <w:rPr>
          <w:rFonts w:ascii="宋体" w:hAnsi="宋体" w:cs="Arial"/>
          <w:color w:val="000000"/>
          <w:kern w:val="0"/>
          <w:szCs w:val="21"/>
        </w:rPr>
      </w:pPr>
      <w:r>
        <w:rPr>
          <w:rFonts w:hint="eastAsia" w:ascii="宋体" w:hAnsi="宋体" w:cs="Arial"/>
          <w:color w:val="000000"/>
          <w:kern w:val="0"/>
          <w:szCs w:val="21"/>
          <w:lang w:val="en-US" w:eastAsia="zh-CN"/>
        </w:rPr>
        <w:t>5</w:t>
      </w:r>
      <w:r>
        <w:rPr>
          <w:rFonts w:hint="eastAsia" w:ascii="宋体" w:hAnsi="宋体" w:cs="Arial"/>
          <w:color w:val="000000"/>
          <w:kern w:val="0"/>
          <w:szCs w:val="21"/>
          <w:lang w:eastAsia="zh-CN"/>
        </w:rPr>
        <w:t>.</w:t>
      </w:r>
      <w:r>
        <w:rPr>
          <w:rFonts w:hint="eastAsia" w:ascii="宋体" w:hAnsi="宋体" w:cs="Arial"/>
          <w:color w:val="000000"/>
          <w:kern w:val="0"/>
          <w:szCs w:val="21"/>
        </w:rPr>
        <w:t>售后服务要求：</w:t>
      </w:r>
    </w:p>
    <w:p>
      <w:pPr>
        <w:jc w:val="left"/>
        <w:rPr>
          <w:rFonts w:ascii="宋体" w:hAnsi="宋体" w:cs="Arial"/>
          <w:color w:val="000000"/>
          <w:kern w:val="0"/>
          <w:szCs w:val="21"/>
          <w:lang w:val="zh-CN"/>
        </w:rPr>
      </w:pPr>
      <w:r>
        <w:rPr>
          <w:rFonts w:hint="eastAsia" w:ascii="宋体" w:hAnsi="宋体" w:cs="Arial"/>
          <w:color w:val="000000"/>
          <w:kern w:val="0"/>
          <w:szCs w:val="21"/>
          <w:lang w:val="en-US" w:eastAsia="zh-CN"/>
        </w:rPr>
        <w:t>5.1</w:t>
      </w:r>
      <w:r>
        <w:rPr>
          <w:rFonts w:hint="eastAsia" w:ascii="宋体" w:hAnsi="宋体" w:cs="Arial"/>
          <w:color w:val="000000"/>
          <w:kern w:val="0"/>
          <w:szCs w:val="21"/>
          <w:lang w:val="zh-CN"/>
        </w:rPr>
        <w:t>免费质保期内售后服务要求</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5.1.1</w:t>
      </w:r>
      <w:r>
        <w:rPr>
          <w:rFonts w:hint="eastAsia" w:ascii="宋体" w:hAnsi="宋体" w:cs="Arial"/>
          <w:color w:val="000000"/>
          <w:kern w:val="0"/>
          <w:szCs w:val="21"/>
        </w:rPr>
        <w:t>维修响应时间：免费质保期内，在接到通知</w:t>
      </w:r>
      <w:r>
        <w:rPr>
          <w:rFonts w:hint="eastAsia" w:ascii="宋体" w:hAnsi="宋体" w:cs="Arial"/>
          <w:color w:val="000000"/>
          <w:kern w:val="0"/>
          <w:szCs w:val="21"/>
          <w:lang w:val="en-US" w:eastAsia="zh-CN"/>
        </w:rPr>
        <w:t>2</w:t>
      </w:r>
      <w:r>
        <w:rPr>
          <w:rFonts w:hint="eastAsia" w:ascii="宋体" w:hAnsi="宋体" w:cs="Arial"/>
          <w:color w:val="000000"/>
          <w:kern w:val="0"/>
          <w:szCs w:val="21"/>
        </w:rPr>
        <w:t>小时内赶到现场进行处理。</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5.1.</w:t>
      </w:r>
      <w:r>
        <w:rPr>
          <w:rFonts w:hint="eastAsia" w:ascii="宋体" w:hAnsi="宋体" w:cs="Arial"/>
          <w:color w:val="000000"/>
          <w:kern w:val="0"/>
          <w:szCs w:val="21"/>
        </w:rPr>
        <w:t>2违约承诺：免费质保期内，如果产品有因质量问题而引起的损坏，中标供应商应对产品予以维修或更换，全部服务费和更换产品或配件的费用均由中标人承担。免费质保期内维修或更换产品数量（配件按产品计算）达产品总量的10%，免费质保期延长1年。</w:t>
      </w:r>
    </w:p>
    <w:p>
      <w:pPr>
        <w:jc w:val="left"/>
        <w:rPr>
          <w:rFonts w:ascii="宋体" w:hAnsi="宋体" w:cs="Arial"/>
          <w:color w:val="000000"/>
          <w:kern w:val="0"/>
          <w:szCs w:val="21"/>
        </w:rPr>
      </w:pPr>
      <w:r>
        <w:rPr>
          <w:rFonts w:hint="eastAsia" w:ascii="宋体" w:hAnsi="宋体" w:cs="Arial"/>
          <w:color w:val="000000"/>
          <w:kern w:val="0"/>
          <w:szCs w:val="21"/>
          <w:lang w:val="en-US" w:eastAsia="zh-CN"/>
        </w:rPr>
        <w:t>5.2</w:t>
      </w:r>
      <w:r>
        <w:rPr>
          <w:rFonts w:hint="eastAsia" w:ascii="宋体" w:hAnsi="宋体" w:cs="Arial"/>
          <w:color w:val="000000"/>
          <w:kern w:val="0"/>
          <w:szCs w:val="21"/>
        </w:rPr>
        <w:t>免费质保期外售后服务要求</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5.2.1</w:t>
      </w:r>
      <w:r>
        <w:rPr>
          <w:rFonts w:hint="eastAsia" w:ascii="宋体" w:hAnsi="宋体" w:cs="Arial"/>
          <w:color w:val="000000"/>
          <w:kern w:val="0"/>
          <w:szCs w:val="21"/>
        </w:rPr>
        <w:t>免费质保期外两年内发生质量问题，中标供应商保证在接到通知24小时内赶到现场进行处理。免费质保期外只收取维修或更换产品成本费用。</w:t>
      </w:r>
    </w:p>
    <w:p>
      <w:pPr>
        <w:jc w:val="left"/>
        <w:rPr>
          <w:rFonts w:ascii="宋体" w:hAnsi="宋体" w:cs="Arial"/>
          <w:color w:val="000000"/>
          <w:kern w:val="0"/>
          <w:szCs w:val="21"/>
        </w:rPr>
      </w:pPr>
      <w:r>
        <w:rPr>
          <w:rFonts w:hint="eastAsia" w:ascii="宋体" w:hAnsi="宋体" w:cs="Arial"/>
          <w:color w:val="000000"/>
          <w:kern w:val="0"/>
          <w:szCs w:val="21"/>
          <w:lang w:val="en-US" w:eastAsia="zh-CN"/>
        </w:rPr>
        <w:t>5.3</w:t>
      </w:r>
      <w:r>
        <w:rPr>
          <w:rFonts w:hint="eastAsia" w:ascii="宋体" w:hAnsi="宋体" w:cs="Arial"/>
          <w:color w:val="000000"/>
          <w:kern w:val="0"/>
          <w:szCs w:val="21"/>
        </w:rPr>
        <w:t>其他售后服务要求</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5.3.1</w:t>
      </w:r>
      <w:r>
        <w:rPr>
          <w:rFonts w:hint="eastAsia" w:ascii="宋体" w:hAnsi="宋体" w:cs="Arial"/>
          <w:color w:val="000000"/>
          <w:kern w:val="0"/>
          <w:szCs w:val="21"/>
        </w:rPr>
        <w:t>中标人要保质保量，所有产品要符合招标技术参数要求。</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5.3.2</w:t>
      </w:r>
      <w:r>
        <w:rPr>
          <w:rFonts w:hint="eastAsia" w:ascii="宋体" w:hAnsi="宋体" w:cs="Arial"/>
          <w:color w:val="000000"/>
          <w:kern w:val="0"/>
          <w:szCs w:val="21"/>
        </w:rPr>
        <w:t>中标人应将货物运送至采购人指定地点，交由采购人指定人员验收；产品运输的费用由中标人负责。</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5.3.3需求单位对</w:t>
      </w:r>
      <w:r>
        <w:rPr>
          <w:rFonts w:hint="eastAsia" w:ascii="宋体" w:hAnsi="宋体" w:cs="Arial"/>
          <w:color w:val="000000"/>
          <w:kern w:val="0"/>
          <w:szCs w:val="21"/>
        </w:rPr>
        <w:t>款式颜色不满意而要求更换的，投标人应无条件予以响应。</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5.4.4</w:t>
      </w:r>
      <w:r>
        <w:rPr>
          <w:rFonts w:hint="eastAsia" w:ascii="宋体" w:hAnsi="宋体" w:cs="Arial"/>
          <w:color w:val="000000"/>
          <w:kern w:val="0"/>
          <w:szCs w:val="21"/>
        </w:rPr>
        <w:t>投标人应按其投标文件中的承诺，进行其他售后服务工作。</w:t>
      </w:r>
    </w:p>
    <w:p>
      <w:pPr>
        <w:jc w:val="left"/>
        <w:rPr>
          <w:rFonts w:ascii="宋体" w:hAnsi="宋体" w:cs="Arial"/>
          <w:color w:val="000000"/>
          <w:kern w:val="0"/>
          <w:szCs w:val="21"/>
        </w:rPr>
      </w:pPr>
      <w:r>
        <w:rPr>
          <w:rFonts w:hint="eastAsia" w:ascii="宋体" w:hAnsi="宋体" w:cs="Arial"/>
          <w:color w:val="000000"/>
          <w:kern w:val="0"/>
          <w:szCs w:val="21"/>
          <w:lang w:val="en-US" w:eastAsia="zh-CN"/>
        </w:rPr>
        <w:t>6</w:t>
      </w:r>
      <w:r>
        <w:rPr>
          <w:rFonts w:hint="eastAsia" w:ascii="宋体" w:hAnsi="宋体" w:cs="Arial"/>
          <w:color w:val="000000"/>
          <w:kern w:val="0"/>
          <w:szCs w:val="21"/>
          <w:lang w:eastAsia="zh-CN"/>
        </w:rPr>
        <w:t>.</w:t>
      </w:r>
      <w:r>
        <w:rPr>
          <w:rFonts w:hint="eastAsia" w:ascii="宋体" w:hAnsi="宋体" w:cs="Arial"/>
          <w:color w:val="000000"/>
          <w:kern w:val="0"/>
          <w:szCs w:val="21"/>
        </w:rPr>
        <w:t>运输及包装要求：</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6.1</w:t>
      </w:r>
      <w:r>
        <w:rPr>
          <w:rFonts w:hint="eastAsia" w:ascii="宋体" w:hAnsi="宋体" w:cs="Arial"/>
          <w:color w:val="000000"/>
          <w:kern w:val="0"/>
          <w:szCs w:val="21"/>
        </w:rPr>
        <w:t>中标供应商在接到送货通知后3天内，向</w:t>
      </w:r>
      <w:r>
        <w:rPr>
          <w:rFonts w:hint="eastAsia" w:ascii="宋体" w:hAnsi="宋体" w:cs="Arial"/>
          <w:color w:val="000000"/>
          <w:kern w:val="0"/>
          <w:szCs w:val="21"/>
          <w:lang w:val="en-US" w:eastAsia="zh-CN"/>
        </w:rPr>
        <w:t>需求单位</w:t>
      </w:r>
      <w:r>
        <w:rPr>
          <w:rFonts w:hint="eastAsia" w:ascii="宋体" w:hAnsi="宋体" w:cs="Arial"/>
          <w:color w:val="000000"/>
          <w:kern w:val="0"/>
          <w:szCs w:val="21"/>
        </w:rPr>
        <w:t>提供详细的供货清单，由</w:t>
      </w:r>
      <w:r>
        <w:rPr>
          <w:rFonts w:hint="eastAsia" w:ascii="宋体" w:hAnsi="宋体" w:cs="Arial"/>
          <w:color w:val="000000"/>
          <w:kern w:val="0"/>
          <w:szCs w:val="21"/>
          <w:lang w:val="en-US" w:eastAsia="zh-CN"/>
        </w:rPr>
        <w:t>需求单位</w:t>
      </w:r>
      <w:r>
        <w:rPr>
          <w:rFonts w:hint="eastAsia" w:ascii="宋体" w:hAnsi="宋体" w:cs="Arial"/>
          <w:color w:val="000000"/>
          <w:kern w:val="0"/>
          <w:szCs w:val="21"/>
        </w:rPr>
        <w:t>确认，如果中标供应商没有及时通知</w:t>
      </w:r>
      <w:r>
        <w:rPr>
          <w:rFonts w:hint="eastAsia" w:ascii="宋体" w:hAnsi="宋体" w:cs="Arial"/>
          <w:color w:val="000000"/>
          <w:kern w:val="0"/>
          <w:szCs w:val="21"/>
          <w:lang w:val="en-US" w:eastAsia="zh-CN"/>
        </w:rPr>
        <w:t>需求单位</w:t>
      </w:r>
      <w:r>
        <w:rPr>
          <w:rFonts w:hint="eastAsia" w:ascii="宋体" w:hAnsi="宋体" w:cs="Arial"/>
          <w:color w:val="000000"/>
          <w:kern w:val="0"/>
          <w:szCs w:val="21"/>
        </w:rPr>
        <w:t>，由此造成的全部损失由中标供应商承担。</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6.2</w:t>
      </w:r>
      <w:r>
        <w:rPr>
          <w:rFonts w:hint="eastAsia" w:ascii="宋体" w:hAnsi="宋体" w:cs="Arial"/>
          <w:color w:val="000000"/>
          <w:kern w:val="0"/>
          <w:szCs w:val="21"/>
        </w:rPr>
        <w:t>中标供应商应严格按照行业中规定的技术标准包装及装箱，交货时要提供货物明细单一式两份。明细清单应注明到货数量（货物名称、数量等）箱数、装箱顺序等。</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6.3</w:t>
      </w:r>
      <w:r>
        <w:rPr>
          <w:rFonts w:hint="eastAsia" w:ascii="宋体" w:hAnsi="宋体" w:cs="Arial"/>
          <w:color w:val="000000"/>
          <w:kern w:val="0"/>
          <w:szCs w:val="21"/>
        </w:rPr>
        <w:t>中标供应商承担货物运输、配送和提供说明书、图纸等其他类似的义务。</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6.4</w:t>
      </w:r>
      <w:r>
        <w:rPr>
          <w:rFonts w:hint="eastAsia" w:ascii="宋体" w:hAnsi="宋体" w:cs="Arial"/>
          <w:color w:val="000000"/>
          <w:kern w:val="0"/>
          <w:szCs w:val="21"/>
        </w:rPr>
        <w:t>逾期交货罚则：逾期交付的，每逾期1天，中标人向采购人偿付逾期交货部分货款总额的3‰ 的滞纳金。如中标人逾期交货达 30 天，采购人有权解除合同。</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6.5</w:t>
      </w:r>
      <w:r>
        <w:rPr>
          <w:rFonts w:hint="eastAsia" w:ascii="宋体" w:hAnsi="宋体" w:cs="Arial"/>
          <w:color w:val="000000"/>
          <w:kern w:val="0"/>
          <w:szCs w:val="21"/>
        </w:rPr>
        <w:t>中标供应商负责产品正式验收合格前的一切费用（包括运输、包装、仓储、安装、保险等费用）。</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6.6</w:t>
      </w:r>
      <w:r>
        <w:rPr>
          <w:rFonts w:hint="eastAsia" w:ascii="宋体" w:hAnsi="宋体" w:cs="Arial"/>
          <w:color w:val="000000"/>
          <w:kern w:val="0"/>
          <w:szCs w:val="21"/>
        </w:rPr>
        <w:t>包装方式按照原厂出厂原标准，中标供应商承担由于其包装或其防护措施不妥而引起货物锈蚀、损坏和丢失等任何损失，并承担因此而发生的违约责任。</w:t>
      </w:r>
    </w:p>
    <w:p>
      <w:pPr>
        <w:jc w:val="left"/>
        <w:rPr>
          <w:rFonts w:ascii="宋体" w:hAnsi="宋体" w:cs="Arial"/>
          <w:color w:val="000000"/>
          <w:kern w:val="0"/>
          <w:szCs w:val="21"/>
        </w:rPr>
      </w:pPr>
      <w:r>
        <w:rPr>
          <w:rFonts w:hint="eastAsia" w:ascii="宋体" w:hAnsi="宋体" w:cs="Arial"/>
          <w:color w:val="000000"/>
          <w:kern w:val="0"/>
          <w:szCs w:val="21"/>
          <w:lang w:val="en-US" w:eastAsia="zh-CN"/>
        </w:rPr>
        <w:t>7</w:t>
      </w:r>
      <w:r>
        <w:rPr>
          <w:rFonts w:hint="eastAsia" w:ascii="宋体" w:hAnsi="宋体" w:cs="Arial"/>
          <w:color w:val="000000"/>
          <w:kern w:val="0"/>
          <w:szCs w:val="21"/>
          <w:lang w:eastAsia="zh-CN"/>
        </w:rPr>
        <w:t>.</w:t>
      </w:r>
      <w:r>
        <w:rPr>
          <w:rFonts w:hint="eastAsia" w:ascii="宋体" w:hAnsi="宋体" w:cs="Arial"/>
          <w:color w:val="000000"/>
          <w:kern w:val="0"/>
          <w:szCs w:val="21"/>
        </w:rPr>
        <w:t>关于验收：</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7</w:t>
      </w:r>
      <w:r>
        <w:rPr>
          <w:rFonts w:hint="eastAsia" w:ascii="宋体" w:hAnsi="宋体" w:cs="Arial"/>
          <w:color w:val="000000"/>
          <w:kern w:val="0"/>
          <w:szCs w:val="21"/>
        </w:rPr>
        <w:t>.1中标供应商无条件接受采购人在货物生产整个过程中的监督。如发现中标供应商无能力完成该批货物生产、用料、工艺不符合技术规范要求、有外包现象、生产不能按计划进行等。采购人有权废标或中止合同，由此带来的损失由中标供应商自负，并报政府采购主管部门进行相应处罚。</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7</w:t>
      </w:r>
      <w:r>
        <w:rPr>
          <w:rFonts w:hint="eastAsia" w:ascii="宋体" w:hAnsi="宋体" w:cs="Arial"/>
          <w:color w:val="000000"/>
          <w:kern w:val="0"/>
          <w:szCs w:val="21"/>
        </w:rPr>
        <w:t>.2依照招标文件技术、质量标准要求，整批货物出现不合格数量达10%时，视为整批货物不合格，采购方有权拒收，由此造成采购人无法按时配置，中标方必须向采购方赔偿因此造成的一切损失。</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7</w:t>
      </w:r>
      <w:r>
        <w:rPr>
          <w:rFonts w:hint="eastAsia" w:ascii="宋体" w:hAnsi="宋体" w:cs="Arial"/>
          <w:color w:val="000000"/>
          <w:kern w:val="0"/>
          <w:szCs w:val="21"/>
        </w:rPr>
        <w:t>.3当满足以下条件时，采购人才向中标人签发货物验收报告：</w:t>
      </w:r>
    </w:p>
    <w:p>
      <w:pPr>
        <w:ind w:firstLine="420" w:firstLineChars="200"/>
        <w:jc w:val="left"/>
        <w:rPr>
          <w:rFonts w:ascii="宋体" w:hAnsi="宋体" w:cs="Arial"/>
          <w:color w:val="000000"/>
          <w:kern w:val="0"/>
          <w:szCs w:val="21"/>
        </w:rPr>
      </w:pPr>
      <w:r>
        <w:rPr>
          <w:rFonts w:hint="eastAsia" w:ascii="宋体" w:hAnsi="宋体" w:cs="Arial"/>
          <w:color w:val="000000"/>
          <w:kern w:val="0"/>
          <w:szCs w:val="21"/>
        </w:rPr>
        <w:t>a、中标供应商已按照合同规定提供了全部货物及完整的技术资料。</w:t>
      </w:r>
    </w:p>
    <w:p>
      <w:pPr>
        <w:ind w:firstLine="420" w:firstLineChars="200"/>
        <w:jc w:val="left"/>
        <w:rPr>
          <w:rFonts w:ascii="宋体" w:hAnsi="宋体" w:cs="Arial"/>
          <w:color w:val="000000"/>
          <w:kern w:val="0"/>
          <w:szCs w:val="21"/>
        </w:rPr>
      </w:pPr>
      <w:r>
        <w:rPr>
          <w:rFonts w:hint="eastAsia" w:ascii="宋体" w:hAnsi="宋体" w:cs="Arial"/>
          <w:color w:val="000000"/>
          <w:kern w:val="0"/>
          <w:szCs w:val="21"/>
        </w:rPr>
        <w:t>b、货物符合招标文件技术规格书的要求，性能满足要求。</w:t>
      </w:r>
    </w:p>
    <w:p>
      <w:pPr>
        <w:ind w:firstLine="420" w:firstLineChars="200"/>
        <w:jc w:val="left"/>
        <w:rPr>
          <w:rFonts w:ascii="宋体" w:hAnsi="宋体" w:cs="Arial"/>
          <w:color w:val="000000"/>
          <w:kern w:val="0"/>
          <w:szCs w:val="21"/>
        </w:rPr>
      </w:pPr>
      <w:r>
        <w:rPr>
          <w:rFonts w:hint="eastAsia" w:ascii="宋体" w:hAnsi="宋体" w:cs="Arial"/>
          <w:color w:val="000000"/>
          <w:kern w:val="0"/>
          <w:szCs w:val="21"/>
          <w:lang w:val="en-US" w:eastAsia="zh-CN"/>
        </w:rPr>
        <w:t>7</w:t>
      </w:r>
      <w:r>
        <w:rPr>
          <w:rFonts w:hint="eastAsia" w:ascii="宋体" w:hAnsi="宋体" w:cs="Arial"/>
          <w:color w:val="000000"/>
          <w:kern w:val="0"/>
          <w:szCs w:val="21"/>
        </w:rPr>
        <w:t>.4货物经过双方检验认可后签发验收报告，由中标供应商提供免费质保文件。</w:t>
      </w:r>
    </w:p>
    <w:p>
      <w:pPr>
        <w:jc w:val="left"/>
        <w:rPr>
          <w:rFonts w:ascii="宋体" w:hAnsi="宋体" w:cs="Arial"/>
          <w:color w:val="000000"/>
          <w:kern w:val="0"/>
          <w:szCs w:val="21"/>
        </w:rPr>
      </w:pPr>
      <w:r>
        <w:rPr>
          <w:rFonts w:hint="eastAsia" w:ascii="宋体" w:hAnsi="宋体" w:cs="Arial"/>
          <w:color w:val="000000"/>
          <w:kern w:val="0"/>
          <w:szCs w:val="21"/>
          <w:lang w:val="en-US" w:eastAsia="zh-CN"/>
        </w:rPr>
        <w:t>8</w:t>
      </w:r>
      <w:r>
        <w:rPr>
          <w:rFonts w:hint="eastAsia" w:ascii="宋体" w:hAnsi="宋体" w:cs="Arial"/>
          <w:color w:val="000000"/>
          <w:kern w:val="0"/>
          <w:szCs w:val="21"/>
          <w:lang w:eastAsia="zh-CN"/>
        </w:rPr>
        <w:t>.</w:t>
      </w:r>
      <w:r>
        <w:rPr>
          <w:rFonts w:hint="eastAsia" w:ascii="宋体" w:hAnsi="宋体" w:cs="Arial"/>
          <w:color w:val="000000"/>
          <w:kern w:val="0"/>
          <w:szCs w:val="21"/>
        </w:rPr>
        <w:t>质量及知识产权要求：</w:t>
      </w:r>
    </w:p>
    <w:p>
      <w:pPr>
        <w:jc w:val="left"/>
        <w:rPr>
          <w:rFonts w:ascii="宋体" w:hAnsi="宋体" w:cs="Arial"/>
          <w:color w:val="000000"/>
          <w:kern w:val="0"/>
          <w:szCs w:val="21"/>
        </w:rPr>
      </w:pPr>
      <w:r>
        <w:rPr>
          <w:rFonts w:hint="eastAsia" w:ascii="宋体" w:hAnsi="宋体" w:cs="Arial"/>
          <w:color w:val="000000"/>
          <w:kern w:val="0"/>
          <w:szCs w:val="21"/>
        </w:rPr>
        <w:t xml:space="preserve">    中标供应商提供完好、全新的原包装产品（包括零配件），随机技术资料齐全。产品符合国家质量检测标准，必须具有生产日期、厂名、厂址、产品合格证等。</w:t>
      </w:r>
    </w:p>
    <w:p>
      <w:pPr>
        <w:jc w:val="left"/>
        <w:rPr>
          <w:rFonts w:hint="eastAsia" w:ascii="宋体" w:hAnsi="宋体" w:cs="Arial"/>
          <w:color w:val="000000"/>
          <w:kern w:val="0"/>
          <w:szCs w:val="21"/>
        </w:rPr>
      </w:pPr>
      <w:r>
        <w:rPr>
          <w:rFonts w:hint="eastAsia" w:ascii="宋体" w:hAnsi="宋体" w:cs="Arial"/>
          <w:color w:val="000000"/>
          <w:kern w:val="0"/>
          <w:szCs w:val="21"/>
          <w:lang w:val="en-US" w:eastAsia="zh-CN"/>
        </w:rPr>
        <w:t>需求单位</w:t>
      </w:r>
      <w:r>
        <w:rPr>
          <w:rFonts w:hint="eastAsia" w:ascii="宋体" w:hAnsi="宋体" w:cs="Arial"/>
          <w:color w:val="000000"/>
          <w:kern w:val="0"/>
          <w:szCs w:val="21"/>
        </w:rPr>
        <w:t>在中国使用该货物或货物的任何一部分时，免受第三方提出的侵犯其专利权、商标权或工业设计权等知识产权的起诉或司法干预。如果发生上述起诉或干预，则其法律责任均由中标供应商负责。</w:t>
      </w:r>
    </w:p>
    <w:p>
      <w:pPr>
        <w:jc w:val="left"/>
        <w:rPr>
          <w:rFonts w:asciiTheme="minorEastAsia" w:hAnsiTheme="minorEastAsia" w:eastAsiaTheme="minorEastAsia"/>
          <w:b/>
          <w:szCs w:val="21"/>
        </w:rPr>
      </w:pPr>
      <w:r>
        <w:rPr>
          <w:rFonts w:hint="eastAsia" w:asciiTheme="minorEastAsia" w:hAnsiTheme="minorEastAsia" w:eastAsiaTheme="minorEastAsia"/>
          <w:b/>
          <w:szCs w:val="21"/>
        </w:rPr>
        <w:t>三、延期信息</w:t>
      </w:r>
    </w:p>
    <w:p>
      <w:pPr>
        <w:jc w:val="left"/>
        <w:rPr>
          <w:rFonts w:ascii="宋体" w:hAnsi="宋体" w:cs="Arial"/>
          <w:color w:val="000000"/>
          <w:kern w:val="0"/>
          <w:szCs w:val="21"/>
        </w:rPr>
      </w:pPr>
      <w:r>
        <w:rPr>
          <w:rFonts w:hint="eastAsia" w:ascii="宋体" w:hAnsi="宋体" w:cs="Arial"/>
          <w:color w:val="000000"/>
          <w:kern w:val="0"/>
          <w:szCs w:val="21"/>
        </w:rPr>
        <w:t>（一）</w:t>
      </w:r>
      <w:r>
        <w:rPr>
          <w:rFonts w:ascii="宋体" w:hAnsi="宋体" w:cs="Arial"/>
          <w:color w:val="000000"/>
          <w:kern w:val="0"/>
          <w:szCs w:val="21"/>
        </w:rPr>
        <w:t>截标时间：</w:t>
      </w:r>
      <w:r>
        <w:rPr>
          <w:rFonts w:hint="eastAsia" w:ascii="宋体" w:hAnsi="宋体" w:cs="Arial"/>
          <w:color w:val="000000"/>
          <w:kern w:val="0"/>
          <w:szCs w:val="21"/>
        </w:rPr>
        <w:t>202</w:t>
      </w:r>
      <w:r>
        <w:rPr>
          <w:rFonts w:hint="eastAsia" w:ascii="宋体" w:hAnsi="宋体" w:cs="Arial"/>
          <w:color w:val="000000"/>
          <w:kern w:val="0"/>
          <w:szCs w:val="21"/>
          <w:lang w:val="en-US" w:eastAsia="zh-CN"/>
        </w:rPr>
        <w:t>4</w:t>
      </w:r>
      <w:r>
        <w:rPr>
          <w:rFonts w:ascii="宋体" w:hAnsi="宋体" w:cs="Arial"/>
          <w:color w:val="000000"/>
          <w:kern w:val="0"/>
          <w:szCs w:val="21"/>
        </w:rPr>
        <w:t>年</w:t>
      </w:r>
      <w:r>
        <w:rPr>
          <w:rFonts w:hint="eastAsia" w:ascii="宋体" w:hAnsi="宋体" w:cs="Arial"/>
          <w:color w:val="000000"/>
          <w:kern w:val="0"/>
          <w:szCs w:val="21"/>
          <w:lang w:val="en-US" w:eastAsia="zh-CN"/>
        </w:rPr>
        <w:t>4</w:t>
      </w:r>
      <w:r>
        <w:rPr>
          <w:rFonts w:hint="eastAsia" w:ascii="宋体" w:hAnsi="宋体" w:cs="Arial"/>
          <w:color w:val="000000"/>
          <w:kern w:val="0"/>
          <w:szCs w:val="21"/>
        </w:rPr>
        <w:t>月</w:t>
      </w:r>
      <w:r>
        <w:rPr>
          <w:rFonts w:hint="eastAsia" w:ascii="宋体" w:hAnsi="宋体" w:cs="Arial"/>
          <w:color w:val="000000"/>
          <w:kern w:val="0"/>
          <w:szCs w:val="21"/>
          <w:lang w:val="en-US" w:eastAsia="zh-CN"/>
        </w:rPr>
        <w:t>17</w:t>
      </w:r>
      <w:r>
        <w:rPr>
          <w:rFonts w:hint="eastAsia" w:ascii="宋体" w:hAnsi="宋体" w:cs="Arial"/>
          <w:color w:val="000000"/>
          <w:kern w:val="0"/>
          <w:szCs w:val="21"/>
        </w:rPr>
        <w:t>日，下午4:00</w:t>
      </w:r>
    </w:p>
    <w:p>
      <w:pPr>
        <w:jc w:val="left"/>
        <w:rPr>
          <w:rFonts w:asciiTheme="minorEastAsia" w:hAnsiTheme="minorEastAsia" w:eastAsiaTheme="minorEastAsia"/>
          <w:b/>
          <w:szCs w:val="21"/>
        </w:rPr>
      </w:pPr>
      <w:r>
        <w:rPr>
          <w:rFonts w:hint="eastAsia" w:ascii="宋体" w:hAnsi="宋体" w:cs="Arial"/>
          <w:color w:val="000000"/>
          <w:kern w:val="0"/>
          <w:szCs w:val="21"/>
        </w:rPr>
        <w:t>（二）</w:t>
      </w:r>
      <w:r>
        <w:rPr>
          <w:rFonts w:ascii="宋体" w:hAnsi="宋体" w:cs="Arial"/>
          <w:color w:val="000000"/>
          <w:kern w:val="0"/>
          <w:szCs w:val="21"/>
        </w:rPr>
        <w:t>欢迎符合投标人资格的供应商对以上项目积极响应，请重新下载</w:t>
      </w:r>
      <w:r>
        <w:rPr>
          <w:rFonts w:hint="eastAsia" w:ascii="宋体" w:hAnsi="宋体" w:cs="Arial"/>
          <w:color w:val="000000"/>
          <w:kern w:val="0"/>
          <w:szCs w:val="21"/>
        </w:rPr>
        <w:t>202</w:t>
      </w:r>
      <w:r>
        <w:rPr>
          <w:rFonts w:hint="eastAsia" w:ascii="宋体" w:hAnsi="宋体" w:cs="Arial"/>
          <w:color w:val="000000"/>
          <w:kern w:val="0"/>
          <w:szCs w:val="21"/>
          <w:lang w:val="en-US" w:eastAsia="zh-CN"/>
        </w:rPr>
        <w:t>4</w:t>
      </w:r>
      <w:r>
        <w:rPr>
          <w:rFonts w:hint="eastAsia" w:ascii="宋体" w:hAnsi="宋体" w:cs="Arial"/>
          <w:color w:val="000000"/>
          <w:kern w:val="0"/>
          <w:szCs w:val="21"/>
        </w:rPr>
        <w:t>年第</w:t>
      </w:r>
      <w:r>
        <w:rPr>
          <w:rFonts w:hint="eastAsia" w:ascii="宋体" w:hAnsi="宋体" w:cs="Arial"/>
          <w:color w:val="000000"/>
          <w:kern w:val="0"/>
          <w:szCs w:val="21"/>
          <w:lang w:val="en-US" w:eastAsia="zh-CN"/>
        </w:rPr>
        <w:t>7</w:t>
      </w:r>
      <w:r>
        <w:rPr>
          <w:rFonts w:hint="eastAsia" w:ascii="宋体" w:hAnsi="宋体" w:cs="Arial"/>
          <w:color w:val="000000"/>
          <w:kern w:val="0"/>
          <w:szCs w:val="21"/>
        </w:rPr>
        <w:t>期</w:t>
      </w:r>
      <w:r>
        <w:rPr>
          <w:rFonts w:ascii="宋体" w:hAnsi="宋体" w:cs="Arial"/>
          <w:color w:val="000000"/>
          <w:kern w:val="0"/>
          <w:szCs w:val="21"/>
        </w:rPr>
        <w:t>采购公告中的“详细文件”并予执行。（</w:t>
      </w:r>
      <w:r>
        <w:rPr>
          <w:rFonts w:hint="eastAsia" w:ascii="宋体" w:hAnsi="宋体" w:cs="Arial"/>
          <w:color w:val="000000"/>
          <w:kern w:val="0"/>
          <w:szCs w:val="21"/>
        </w:rPr>
        <w:t>采购文件如涉及上述内容的亦作修改，本通知与原采购文件矛盾之处，以本通知为准。）</w:t>
      </w:r>
    </w:p>
    <w:p>
      <w:pPr>
        <w:widowControl/>
        <w:jc w:val="left"/>
        <w:rPr>
          <w:rFonts w:ascii="宋体" w:hAnsi="宋体" w:cs="Arial"/>
          <w:color w:val="000000"/>
          <w:kern w:val="0"/>
          <w:szCs w:val="21"/>
        </w:rPr>
      </w:pPr>
      <w:r>
        <w:rPr>
          <w:rFonts w:hint="eastAsia" w:ascii="宋体" w:hAnsi="宋体" w:cs="Arial"/>
          <w:b/>
          <w:color w:val="000000"/>
          <w:kern w:val="0"/>
          <w:szCs w:val="21"/>
        </w:rPr>
        <w:t>四、联系电话:</w:t>
      </w:r>
      <w:r>
        <w:rPr>
          <w:rFonts w:hint="eastAsia"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hint="eastAsia" w:ascii="宋体" w:hAnsi="宋体" w:cs="Arial"/>
          <w:color w:val="000000"/>
          <w:kern w:val="0"/>
          <w:szCs w:val="21"/>
        </w:rPr>
        <w:t>老师，魏老师）。</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 </w:t>
      </w:r>
    </w:p>
    <w:p>
      <w:pPr>
        <w:jc w:val="left"/>
        <w:rPr>
          <w:rFonts w:asciiTheme="minorEastAsia" w:hAnsiTheme="minorEastAsia" w:eastAsiaTheme="minorEastAsia"/>
          <w:szCs w:val="21"/>
        </w:rPr>
      </w:pPr>
    </w:p>
    <w:p>
      <w:pPr>
        <w:widowControl/>
        <w:ind w:firstLine="420" w:firstLineChars="200"/>
        <w:jc w:val="right"/>
        <w:rPr>
          <w:rFonts w:ascii="宋体" w:hAnsi="宋体" w:cs="宋体-18030"/>
          <w:b/>
          <w:bCs/>
          <w:color w:val="000000"/>
          <w:szCs w:val="21"/>
        </w:rPr>
      </w:pPr>
      <w:r>
        <w:rPr>
          <w:rFonts w:hint="eastAsia" w:asciiTheme="minorEastAsia" w:hAnsiTheme="minorEastAsia" w:eastAsiaTheme="minorEastAsia"/>
          <w:szCs w:val="21"/>
        </w:rPr>
        <w:t xml:space="preserve">                                                   </w:t>
      </w:r>
      <w:r>
        <w:rPr>
          <w:rFonts w:hint="eastAsia" w:ascii="宋体" w:hAnsi="宋体" w:cs="宋体-18030"/>
          <w:b/>
          <w:bCs/>
          <w:color w:val="000000"/>
          <w:szCs w:val="21"/>
        </w:rPr>
        <w:t>深圳市宝安</w:t>
      </w:r>
      <w:r>
        <w:rPr>
          <w:rFonts w:hint="eastAsia" w:ascii="宋体" w:hAnsi="宋体" w:cs="宋体-18030"/>
          <w:b/>
          <w:bCs/>
          <w:color w:val="000000"/>
          <w:szCs w:val="21"/>
          <w:lang w:val="en-US" w:eastAsia="zh-CN"/>
        </w:rPr>
        <w:t>区</w:t>
      </w:r>
      <w:r>
        <w:rPr>
          <w:rFonts w:hint="eastAsia" w:ascii="宋体" w:hAnsi="宋体" w:cs="宋体-18030"/>
          <w:b/>
          <w:bCs/>
          <w:color w:val="000000"/>
          <w:szCs w:val="21"/>
        </w:rPr>
        <w:t>人民医院</w:t>
      </w:r>
    </w:p>
    <w:p>
      <w:pPr>
        <w:widowControl/>
        <w:ind w:firstLine="422" w:firstLineChars="200"/>
        <w:jc w:val="right"/>
        <w:rPr>
          <w:rFonts w:ascii="宋体" w:hAnsi="宋体" w:cs="Arial"/>
          <w:color w:val="000000"/>
          <w:kern w:val="0"/>
          <w:szCs w:val="21"/>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kern w:val="0"/>
          <w:szCs w:val="21"/>
        </w:rPr>
        <w:t xml:space="preserve"> 202</w:t>
      </w:r>
      <w:r>
        <w:rPr>
          <w:rFonts w:hint="eastAsia" w:ascii="宋体" w:hAnsi="宋体" w:cs="Arial"/>
          <w:color w:val="000000"/>
          <w:kern w:val="0"/>
          <w:szCs w:val="21"/>
          <w:lang w:val="en-US" w:eastAsia="zh-CN"/>
        </w:rPr>
        <w:t>4</w:t>
      </w:r>
      <w:r>
        <w:rPr>
          <w:rFonts w:hint="eastAsia" w:ascii="宋体" w:hAnsi="宋体" w:cs="Arial"/>
          <w:color w:val="000000"/>
          <w:kern w:val="0"/>
          <w:szCs w:val="21"/>
        </w:rPr>
        <w:t>年</w:t>
      </w:r>
      <w:r>
        <w:rPr>
          <w:rFonts w:hint="eastAsia" w:ascii="宋体" w:hAnsi="宋体" w:cs="Arial"/>
          <w:color w:val="000000"/>
          <w:kern w:val="0"/>
          <w:szCs w:val="21"/>
          <w:lang w:val="en-US" w:eastAsia="zh-CN"/>
        </w:rPr>
        <w:t>4</w:t>
      </w:r>
      <w:r>
        <w:rPr>
          <w:rFonts w:hint="eastAsia" w:ascii="宋体" w:hAnsi="宋体" w:cs="Arial"/>
          <w:color w:val="000000"/>
          <w:kern w:val="0"/>
          <w:szCs w:val="21"/>
        </w:rPr>
        <w:t>月</w:t>
      </w:r>
      <w:r>
        <w:rPr>
          <w:rFonts w:hint="eastAsia" w:ascii="宋体" w:hAnsi="宋体" w:cs="Arial"/>
          <w:color w:val="000000"/>
          <w:kern w:val="0"/>
          <w:szCs w:val="21"/>
          <w:lang w:val="en-US" w:eastAsia="zh-CN"/>
        </w:rPr>
        <w:t>7</w:t>
      </w:r>
      <w:r>
        <w:rPr>
          <w:rFonts w:hint="eastAsia" w:ascii="宋体" w:hAnsi="宋体" w:cs="Arial"/>
          <w:color w:val="000000"/>
          <w:kern w:val="0"/>
          <w:szCs w:val="21"/>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宋体-18030">
    <w:altName w:val="微软雅黑"/>
    <w:panose1 w:val="00000000000000000000"/>
    <w:charset w:val="00"/>
    <w:family w:val="modern"/>
    <w:pitch w:val="default"/>
    <w:sig w:usb0="00000000" w:usb1="00000000" w:usb2="000A005E"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C32661"/>
    <w:multiLevelType w:val="multilevel"/>
    <w:tmpl w:val="70C32661"/>
    <w:lvl w:ilvl="0" w:tentative="0">
      <w:start w:val="1"/>
      <w:numFmt w:val="japaneseCounting"/>
      <w:lvlText w:val="%1、"/>
      <w:lvlJc w:val="left"/>
      <w:pPr>
        <w:ind w:left="450" w:hanging="450"/>
      </w:pPr>
      <w:rPr>
        <w:rFonts w:hint="default"/>
      </w:rPr>
    </w:lvl>
    <w:lvl w:ilvl="1" w:tentative="0">
      <w:start w:val="1"/>
      <w:numFmt w:val="japaneseCounting"/>
      <w:lvlText w:val="（%2）"/>
      <w:lvlJc w:val="left"/>
      <w:pPr>
        <w:ind w:left="1140" w:hanging="720"/>
      </w:pPr>
      <w:rPr>
        <w:rFonts w:cs="Times New Roman" w:asciiTheme="minorEastAsia" w:hAnsiTheme="minorEastAsia" w:eastAsiaTheme="minor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cef3be05-8c6d-423f-9a26-d21b9ae122bb"/>
  </w:docVars>
  <w:rsids>
    <w:rsidRoot w:val="00D86931"/>
    <w:rsid w:val="001B7D74"/>
    <w:rsid w:val="001F613D"/>
    <w:rsid w:val="00217FE4"/>
    <w:rsid w:val="002D72FF"/>
    <w:rsid w:val="002F569D"/>
    <w:rsid w:val="00357BF0"/>
    <w:rsid w:val="00367A64"/>
    <w:rsid w:val="003B3A85"/>
    <w:rsid w:val="003C2DE2"/>
    <w:rsid w:val="003D1859"/>
    <w:rsid w:val="004F1E03"/>
    <w:rsid w:val="00520871"/>
    <w:rsid w:val="00643384"/>
    <w:rsid w:val="00655DDA"/>
    <w:rsid w:val="006B3FE7"/>
    <w:rsid w:val="006D1097"/>
    <w:rsid w:val="006F1196"/>
    <w:rsid w:val="007330A9"/>
    <w:rsid w:val="00747454"/>
    <w:rsid w:val="00772A31"/>
    <w:rsid w:val="007C779F"/>
    <w:rsid w:val="00823FDC"/>
    <w:rsid w:val="00854C98"/>
    <w:rsid w:val="0086018F"/>
    <w:rsid w:val="00875A43"/>
    <w:rsid w:val="008A3D90"/>
    <w:rsid w:val="009361BC"/>
    <w:rsid w:val="00967E8E"/>
    <w:rsid w:val="009E2C60"/>
    <w:rsid w:val="00A2440A"/>
    <w:rsid w:val="00AC62C7"/>
    <w:rsid w:val="00AE43D3"/>
    <w:rsid w:val="00AE724D"/>
    <w:rsid w:val="00B848AC"/>
    <w:rsid w:val="00C648FA"/>
    <w:rsid w:val="00C6574E"/>
    <w:rsid w:val="00C9030B"/>
    <w:rsid w:val="00D1343B"/>
    <w:rsid w:val="00D72418"/>
    <w:rsid w:val="00D86931"/>
    <w:rsid w:val="00DA66E3"/>
    <w:rsid w:val="00E40A90"/>
    <w:rsid w:val="00E94A08"/>
    <w:rsid w:val="19DE7796"/>
    <w:rsid w:val="21BA0FE9"/>
    <w:rsid w:val="2BF94AFA"/>
    <w:rsid w:val="525D226E"/>
    <w:rsid w:val="77900E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7"/>
    <w:qFormat/>
    <w:uiPriority w:val="0"/>
    <w:pPr>
      <w:keepNext/>
      <w:numPr>
        <w:ilvl w:val="3"/>
        <w:numId w:val="1"/>
      </w:numPr>
      <w:outlineLvl w:val="1"/>
    </w:pPr>
    <w:rPr>
      <w:sz w:val="28"/>
    </w:rPr>
  </w:style>
  <w:style w:type="paragraph" w:styleId="5">
    <w:name w:val="heading 3"/>
    <w:basedOn w:val="1"/>
    <w:next w:val="1"/>
    <w:link w:val="18"/>
    <w:qFormat/>
    <w:uiPriority w:val="0"/>
    <w:pPr>
      <w:keepNext/>
      <w:keepLines/>
      <w:spacing w:before="260" w:after="260" w:line="416" w:lineRule="auto"/>
      <w:outlineLvl w:val="2"/>
    </w:pPr>
    <w:rPr>
      <w:b/>
      <w:bCs/>
      <w:sz w:val="32"/>
      <w:szCs w:val="32"/>
    </w:rPr>
  </w:style>
  <w:style w:type="paragraph" w:styleId="6">
    <w:name w:val="heading 4"/>
    <w:basedOn w:val="1"/>
    <w:next w:val="1"/>
    <w:link w:val="19"/>
    <w:qFormat/>
    <w:uiPriority w:val="0"/>
    <w:pPr>
      <w:keepNext/>
      <w:keepLines/>
      <w:spacing w:before="280" w:after="290" w:line="376" w:lineRule="auto"/>
      <w:outlineLvl w:val="3"/>
    </w:pPr>
    <w:rPr>
      <w:rFonts w:ascii="Arial" w:hAnsi="Arial" w:eastAsia="黑体"/>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1"/>
    <w:qFormat/>
    <w:uiPriority w:val="0"/>
    <w:rPr>
      <w:rFonts w:ascii="宋体" w:hAnsi="Courier New" w:cs="宋体"/>
      <w:szCs w:val="21"/>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Subtitle"/>
    <w:basedOn w:val="1"/>
    <w:next w:val="1"/>
    <w:qFormat/>
    <w:uiPriority w:val="11"/>
    <w:pPr>
      <w:widowControl w:val="0"/>
      <w:spacing w:before="240" w:after="60" w:line="312" w:lineRule="auto"/>
      <w:jc w:val="center"/>
      <w:outlineLvl w:val="1"/>
    </w:pPr>
    <w:rPr>
      <w:rFonts w:ascii="Cambria" w:hAnsi="Cambria" w:eastAsia="宋体"/>
      <w:b/>
      <w:bCs/>
      <w:kern w:val="28"/>
      <w:sz w:val="32"/>
      <w:szCs w:val="32"/>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Title"/>
    <w:basedOn w:val="1"/>
    <w:link w:val="20"/>
    <w:qFormat/>
    <w:uiPriority w:val="0"/>
    <w:pPr>
      <w:spacing w:before="240" w:after="60"/>
      <w:jc w:val="center"/>
      <w:outlineLvl w:val="0"/>
    </w:pPr>
    <w:rPr>
      <w:rFonts w:ascii="Arial" w:hAnsi="Arial" w:eastAsia="隶书"/>
      <w:b/>
      <w:bCs/>
      <w:sz w:val="32"/>
      <w:szCs w:val="32"/>
    </w:rPr>
  </w:style>
  <w:style w:type="character" w:styleId="13">
    <w:name w:val="Strong"/>
    <w:qFormat/>
    <w:uiPriority w:val="22"/>
    <w:rPr>
      <w:b/>
      <w:bCs/>
    </w:rPr>
  </w:style>
  <w:style w:type="character" w:styleId="14">
    <w:name w:val="Emphasis"/>
    <w:basedOn w:val="12"/>
    <w:qFormat/>
    <w:uiPriority w:val="20"/>
    <w:rPr>
      <w:i/>
      <w:iCs/>
    </w:rPr>
  </w:style>
  <w:style w:type="character" w:styleId="15">
    <w:name w:val="Hyperlink"/>
    <w:basedOn w:val="12"/>
    <w:semiHidden/>
    <w:unhideWhenUsed/>
    <w:qFormat/>
    <w:uiPriority w:val="99"/>
    <w:rPr>
      <w:color w:val="0000FF"/>
      <w:u w:val="single"/>
    </w:rPr>
  </w:style>
  <w:style w:type="character" w:customStyle="1" w:styleId="16">
    <w:name w:val="标题 1 Char"/>
    <w:basedOn w:val="12"/>
    <w:link w:val="3"/>
    <w:uiPriority w:val="0"/>
    <w:rPr>
      <w:b/>
      <w:bCs/>
      <w:kern w:val="44"/>
      <w:sz w:val="44"/>
      <w:szCs w:val="44"/>
    </w:rPr>
  </w:style>
  <w:style w:type="character" w:customStyle="1" w:styleId="17">
    <w:name w:val="标题 2 Char"/>
    <w:basedOn w:val="12"/>
    <w:link w:val="4"/>
    <w:qFormat/>
    <w:uiPriority w:val="0"/>
    <w:rPr>
      <w:kern w:val="2"/>
      <w:sz w:val="28"/>
      <w:szCs w:val="24"/>
    </w:rPr>
  </w:style>
  <w:style w:type="character" w:customStyle="1" w:styleId="18">
    <w:name w:val="标题 3 Char"/>
    <w:basedOn w:val="12"/>
    <w:link w:val="5"/>
    <w:qFormat/>
    <w:uiPriority w:val="0"/>
    <w:rPr>
      <w:b/>
      <w:bCs/>
      <w:kern w:val="2"/>
      <w:sz w:val="32"/>
      <w:szCs w:val="32"/>
    </w:rPr>
  </w:style>
  <w:style w:type="character" w:customStyle="1" w:styleId="19">
    <w:name w:val="标题 4 Char"/>
    <w:basedOn w:val="12"/>
    <w:link w:val="6"/>
    <w:qFormat/>
    <w:uiPriority w:val="0"/>
    <w:rPr>
      <w:rFonts w:ascii="Arial" w:hAnsi="Arial" w:eastAsia="黑体"/>
      <w:b/>
      <w:bCs/>
      <w:kern w:val="2"/>
      <w:sz w:val="28"/>
      <w:szCs w:val="28"/>
    </w:rPr>
  </w:style>
  <w:style w:type="character" w:customStyle="1" w:styleId="20">
    <w:name w:val="标题 Char"/>
    <w:basedOn w:val="12"/>
    <w:link w:val="10"/>
    <w:qFormat/>
    <w:uiPriority w:val="0"/>
    <w:rPr>
      <w:rFonts w:ascii="Arial" w:hAnsi="Arial" w:eastAsia="隶书"/>
      <w:b/>
      <w:bCs/>
      <w:kern w:val="2"/>
      <w:sz w:val="32"/>
      <w:szCs w:val="32"/>
    </w:rPr>
  </w:style>
  <w:style w:type="character" w:customStyle="1" w:styleId="21">
    <w:name w:val="纯文本 Char"/>
    <w:basedOn w:val="12"/>
    <w:link w:val="2"/>
    <w:qFormat/>
    <w:uiPriority w:val="0"/>
    <w:rPr>
      <w:rFonts w:ascii="宋体" w:hAnsi="Courier New" w:cs="宋体"/>
      <w:kern w:val="2"/>
      <w:sz w:val="21"/>
      <w:szCs w:val="21"/>
    </w:rPr>
  </w:style>
  <w:style w:type="paragraph" w:styleId="22">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23">
    <w:name w:val="List Paragraph"/>
    <w:basedOn w:val="1"/>
    <w:qFormat/>
    <w:uiPriority w:val="34"/>
    <w:pPr>
      <w:ind w:firstLine="420" w:firstLineChars="200"/>
    </w:pPr>
  </w:style>
  <w:style w:type="paragraph" w:customStyle="1" w:styleId="24">
    <w:name w:val="列出段落1"/>
    <w:basedOn w:val="1"/>
    <w:qFormat/>
    <w:uiPriority w:val="34"/>
    <w:pPr>
      <w:ind w:firstLine="420" w:firstLineChars="200"/>
    </w:pPr>
  </w:style>
  <w:style w:type="paragraph" w:customStyle="1" w:styleId="25">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26">
    <w:name w:val="列出段落2"/>
    <w:basedOn w:val="1"/>
    <w:qFormat/>
    <w:uiPriority w:val="34"/>
    <w:pPr>
      <w:ind w:firstLine="420" w:firstLineChars="200"/>
    </w:pPr>
  </w:style>
  <w:style w:type="paragraph" w:customStyle="1" w:styleId="2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28">
    <w:name w:val="font31"/>
    <w:basedOn w:val="12"/>
    <w:qFormat/>
    <w:uiPriority w:val="0"/>
    <w:rPr>
      <w:rFonts w:hint="eastAsia" w:ascii="宋体" w:hAnsi="宋体" w:eastAsia="宋体" w:cs="宋体"/>
      <w:color w:val="000000"/>
      <w:sz w:val="22"/>
      <w:szCs w:val="22"/>
      <w:u w:val="none"/>
    </w:rPr>
  </w:style>
  <w:style w:type="character" w:customStyle="1" w:styleId="29">
    <w:name w:val="font71"/>
    <w:basedOn w:val="12"/>
    <w:qFormat/>
    <w:uiPriority w:val="0"/>
    <w:rPr>
      <w:rFonts w:hint="eastAsia" w:ascii="宋体" w:hAnsi="宋体" w:eastAsia="宋体" w:cs="宋体"/>
      <w:color w:val="000000"/>
      <w:sz w:val="24"/>
      <w:szCs w:val="24"/>
      <w:u w:val="none"/>
    </w:rPr>
  </w:style>
  <w:style w:type="character" w:customStyle="1" w:styleId="30">
    <w:name w:val="font231"/>
    <w:basedOn w:val="12"/>
    <w:qFormat/>
    <w:uiPriority w:val="0"/>
    <w:rPr>
      <w:rFonts w:hint="default" w:ascii="Times New Roman" w:hAnsi="Times New Roman" w:cs="Times New Roman"/>
      <w:color w:val="000000"/>
      <w:sz w:val="24"/>
      <w:szCs w:val="24"/>
      <w:u w:val="none"/>
    </w:rPr>
  </w:style>
  <w:style w:type="character" w:customStyle="1" w:styleId="31">
    <w:name w:val="font191"/>
    <w:basedOn w:val="12"/>
    <w:qFormat/>
    <w:uiPriority w:val="0"/>
    <w:rPr>
      <w:rFonts w:hint="eastAsia" w:ascii="宋体" w:hAnsi="宋体" w:eastAsia="宋体" w:cs="宋体"/>
      <w:color w:val="000000"/>
      <w:sz w:val="22"/>
      <w:szCs w:val="22"/>
      <w:u w:val="none"/>
    </w:rPr>
  </w:style>
  <w:style w:type="character" w:customStyle="1" w:styleId="32">
    <w:name w:val="font241"/>
    <w:basedOn w:val="12"/>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20</Pages>
  <Words>14041</Words>
  <Characters>17361</Characters>
  <Lines>7</Lines>
  <Paragraphs>2</Paragraphs>
  <TotalTime>30</TotalTime>
  <ScaleCrop>false</ScaleCrop>
  <LinksUpToDate>false</LinksUpToDate>
  <CharactersWithSpaces>20583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2021-10-25T01:59:00Z</dcterms:created>
  <dc:creator>dreamsummit</dc:creator>
  <cp:lastModifiedBy>Administrator</cp:lastModifiedBy>
  <cp:lastPrinted>2024-04-07T09:06:00Z</cp:lastPrinted>
  <dcterms:modified xsi:type="dcterms:W3CDTF">2024-04-07T09:27:08Z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3AF01EBEBC55415B948804292C1D39DD</vt:lpwstr>
  </property>
</Properties>
</file>