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w:t>
      </w:r>
      <w:r>
        <w:rPr>
          <w:rFonts w:hint="eastAsia" w:ascii="宋体" w:hAnsi="宋体" w:cs="Times New Roman"/>
          <w:b/>
          <w:bCs/>
          <w:color w:val="auto"/>
          <w:sz w:val="30"/>
          <w:szCs w:val="30"/>
          <w:highlight w:val="none"/>
          <w:lang w:val="en-US" w:eastAsia="zh-CN"/>
        </w:rPr>
        <w:t>4</w:t>
      </w:r>
      <w:r>
        <w:rPr>
          <w:rFonts w:hint="eastAsia" w:ascii="宋体" w:hAnsi="宋体" w:eastAsia="宋体" w:cs="Times New Roman"/>
          <w:b/>
          <w:bCs/>
          <w:color w:val="auto"/>
          <w:sz w:val="30"/>
          <w:szCs w:val="30"/>
          <w:highlight w:val="none"/>
          <w:lang w:val="en-US" w:eastAsia="zh-CN"/>
        </w:rPr>
        <w:t>年第</w:t>
      </w:r>
      <w:r>
        <w:rPr>
          <w:rFonts w:hint="eastAsia" w:ascii="宋体" w:hAnsi="宋体" w:cs="Times New Roman"/>
          <w:b/>
          <w:bCs/>
          <w:color w:val="auto"/>
          <w:sz w:val="30"/>
          <w:szCs w:val="30"/>
          <w:highlight w:val="none"/>
          <w:lang w:val="en-US" w:eastAsia="zh-CN"/>
        </w:rPr>
        <w:t>29</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SZSZXYJHYY202403029</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none"/>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10" w:hRule="atLeast"/>
          <w:jc w:val="center"/>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10" w:hRule="atLeast"/>
          <w:jc w:val="center"/>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杏园居小高层更换电梯</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1台</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cs="Times New Roman"/>
                <w:sz w:val="18"/>
                <w:szCs w:val="18"/>
                <w:lang w:val="en-US" w:eastAsia="zh-CN"/>
              </w:rPr>
            </w:pPr>
            <w:r>
              <w:rPr>
                <w:rFonts w:hint="eastAsia" w:cs="Times New Roman"/>
                <w:sz w:val="18"/>
                <w:szCs w:val="18"/>
                <w:lang w:val="en-US" w:eastAsia="zh-CN"/>
              </w:rPr>
              <w:t>210000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更换现有旧电梯</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w:t>
      </w:r>
      <w:r>
        <w:rPr>
          <w:rFonts w:hint="eastAsia" w:ascii="宋体" w:hAnsi="宋体" w:eastAsia="宋体" w:cs="Arial"/>
          <w:color w:val="000000"/>
          <w:kern w:val="0"/>
          <w:szCs w:val="21"/>
          <w:highlight w:val="none"/>
          <w:lang w:eastAsia="zh-CN"/>
        </w:rPr>
        <w:t>和招标文件要求制作和递交投标资料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三、报名时间和地点：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cs="宋体-18030"/>
          <w:b/>
          <w:bCs/>
          <w:color w:val="000000"/>
          <w:szCs w:val="21"/>
          <w:highlight w:val="none"/>
          <w:lang w:val="en-US" w:eastAsia="zh-CN"/>
        </w:rPr>
        <w:t>1.</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8</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rPr>
        <w:t>发送至</w:t>
      </w:r>
      <w:r>
        <w:rPr>
          <w:rFonts w:hint="eastAsia" w:ascii="宋体" w:hAnsi="宋体" w:eastAsia="宋体" w:cs="Arial"/>
          <w:b/>
          <w:bCs/>
          <w:color w:val="000000"/>
          <w:kern w:val="0"/>
          <w:szCs w:val="21"/>
          <w:highlight w:val="none"/>
        </w:rPr>
        <w:t>电子邮箱</w:t>
      </w:r>
      <w:r>
        <w:rPr>
          <w:rFonts w:hint="eastAsia" w:ascii="宋体" w:hAnsi="宋体" w:eastAsia="宋体" w:cs="Arial"/>
          <w:color w:val="000000"/>
          <w:kern w:val="0"/>
          <w:szCs w:val="21"/>
          <w:highlight w:val="none"/>
          <w:lang w:eastAsia="zh-CN"/>
        </w:rPr>
        <w:t>预审</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1</w:t>
      </w:r>
      <w:r>
        <w:rPr>
          <w:rFonts w:hint="eastAsia" w:ascii="宋体" w:hAnsi="宋体" w:eastAsia="宋体" w:cs="Arial"/>
          <w:color w:val="000000"/>
          <w:kern w:val="0"/>
          <w:szCs w:val="21"/>
          <w:highlight w:val="none"/>
          <w:lang w:eastAsia="zh-CN"/>
        </w:rPr>
        <w:t>）投标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lang w:eastAsia="zh-CN"/>
        </w:rPr>
        <w:t>包括:①投标文件正本（不填报价）盖公章</w:t>
      </w:r>
      <w:r>
        <w:rPr>
          <w:rFonts w:hint="eastAsia" w:ascii="宋体" w:hAnsi="宋体" w:cs="Arial"/>
          <w:color w:val="000000"/>
          <w:kern w:val="0"/>
          <w:szCs w:val="21"/>
          <w:highlight w:val="none"/>
          <w:lang w:eastAsia="zh-CN"/>
        </w:rPr>
        <w:t>的</w:t>
      </w:r>
      <w:r>
        <w:rPr>
          <w:rFonts w:hint="eastAsia" w:ascii="宋体" w:hAnsi="宋体" w:eastAsia="宋体" w:cs="Arial"/>
          <w:color w:val="000000"/>
          <w:kern w:val="0"/>
          <w:szCs w:val="21"/>
          <w:highlight w:val="none"/>
          <w:lang w:eastAsia="zh-CN"/>
        </w:rPr>
        <w:t>扫描件，PDF格式；②封面､报价单</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不填报价</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b/>
          <w:bCs/>
          <w:color w:val="000000"/>
          <w:kern w:val="0"/>
          <w:szCs w:val="21"/>
          <w:highlight w:val="none"/>
          <w:lang w:eastAsia="zh-CN"/>
        </w:rPr>
      </w:pPr>
      <w:r>
        <w:rPr>
          <w:rFonts w:hint="eastAsia" w:ascii="宋体" w:hAnsi="宋体" w:eastAsia="宋体" w:cs="Arial"/>
          <w:color w:val="000000"/>
          <w:kern w:val="0"/>
          <w:szCs w:val="21"/>
          <w:highlight w:val="none"/>
          <w:lang w:val="en-US" w:eastAsia="zh-CN"/>
        </w:rPr>
        <w:t>（2）电子</w:t>
      </w:r>
      <w:r>
        <w:rPr>
          <w:rFonts w:hint="eastAsia" w:ascii="宋体" w:hAnsi="宋体" w:eastAsia="宋体" w:cs="Arial"/>
          <w:color w:val="000000"/>
          <w:kern w:val="0"/>
          <w:szCs w:val="21"/>
          <w:highlight w:val="none"/>
        </w:rPr>
        <w:t>邮箱地址</w:t>
      </w:r>
      <w:r>
        <w:rPr>
          <w:rFonts w:hint="eastAsia" w:ascii="宋体" w:hAnsi="宋体" w:cs="Arial"/>
          <w:color w:val="000000"/>
          <w:kern w:val="0"/>
          <w:szCs w:val="21"/>
          <w:highlight w:val="none"/>
          <w:lang w:eastAsia="zh-CN"/>
        </w:rPr>
        <w:t>：</w:t>
      </w:r>
      <w:r>
        <w:rPr>
          <w:rFonts w:hint="eastAsia" w:ascii="宋体" w:hAnsi="宋体" w:cs="Arial"/>
          <w:color w:val="000000"/>
          <w:kern w:val="0"/>
          <w:szCs w:val="21"/>
          <w:highlight w:val="none"/>
          <w:lang w:val="en-US" w:eastAsia="zh-CN"/>
        </w:rPr>
        <w:t>详见招标文件-</w:t>
      </w:r>
      <w:r>
        <w:rPr>
          <w:rFonts w:hint="eastAsia" w:ascii="宋体" w:hAnsi="宋体" w:cs="Arial"/>
          <w:b/>
          <w:bCs/>
          <w:color w:val="000000"/>
          <w:kern w:val="0"/>
          <w:szCs w:val="21"/>
          <w:highlight w:val="none"/>
          <w:lang w:val="en-US" w:eastAsia="zh-CN"/>
        </w:rPr>
        <w:t>投标须知</w:t>
      </w:r>
    </w:p>
    <w:p>
      <w:pPr>
        <w:keepNext w:val="0"/>
        <w:keepLines w:val="0"/>
        <w:pageBreakBefore w:val="0"/>
        <w:widowControl w:val="0"/>
        <w:shd w:val="clear" w:color="auto" w:fill="FFFFFF"/>
        <w:kinsoku w:val="0"/>
        <w:wordWrap/>
        <w:overflowPunct w:val="0"/>
        <w:topLinePunct w:val="0"/>
        <w:autoSpaceDE/>
        <w:autoSpaceDN/>
        <w:bidi w:val="0"/>
        <w:adjustRightInd w:val="0"/>
        <w:snapToGrid w:val="0"/>
        <w:spacing w:before="100" w:beforeAutospacing="1" w:after="100" w:afterAutospacing="1" w:line="240" w:lineRule="exact"/>
        <w:jc w:val="left"/>
        <w:textAlignment w:val="auto"/>
        <w:rPr>
          <w:rFonts w:hint="default"/>
          <w:lang w:val="en-US" w:eastAsia="zh-CN"/>
        </w:rPr>
      </w:pPr>
      <w:r>
        <w:rPr>
          <w:rFonts w:hint="eastAsia" w:ascii="宋体" w:hAnsi="宋体" w:eastAsia="宋体" w:cs="宋体-18030"/>
          <w:b/>
          <w:bCs/>
          <w:color w:val="000000"/>
          <w:szCs w:val="21"/>
          <w:highlight w:val="none"/>
          <w:lang w:val="en-US" w:eastAsia="zh-CN"/>
        </w:rPr>
        <w:t>2.</w:t>
      </w:r>
      <w:r>
        <w:rPr>
          <w:rFonts w:hint="eastAsia" w:ascii="宋体" w:hAnsi="宋体" w:eastAsia="宋体" w:cs="Arial"/>
          <w:color w:val="000000"/>
          <w:kern w:val="0"/>
          <w:szCs w:val="21"/>
          <w:highlight w:val="none"/>
          <w:lang w:val="en-US" w:eastAsia="zh-CN"/>
        </w:rPr>
        <w:t>于</w:t>
      </w:r>
      <w:r>
        <w:rPr>
          <w:rFonts w:hint="eastAsia" w:ascii="宋体" w:hAnsi="宋体" w:eastAsia="宋体" w:cs="Arial"/>
          <w:color w:val="000000"/>
          <w:kern w:val="0"/>
          <w:szCs w:val="21"/>
          <w:highlight w:val="none"/>
        </w:rPr>
        <w:t>202</w:t>
      </w:r>
      <w:r>
        <w:rPr>
          <w:rFonts w:hint="eastAsia" w:ascii="宋体" w:hAnsi="宋体" w:eastAsia="宋体" w:cs="Arial"/>
          <w:color w:val="000000"/>
          <w:kern w:val="0"/>
          <w:szCs w:val="21"/>
          <w:highlight w:val="none"/>
          <w:lang w:val="en-US" w:eastAsia="zh-CN"/>
        </w:rPr>
        <w:t>4</w:t>
      </w:r>
      <w:r>
        <w:rPr>
          <w:rFonts w:hint="eastAsia" w:ascii="宋体" w:hAnsi="宋体" w:eastAsia="宋体" w:cs="Arial"/>
          <w:color w:val="000000"/>
          <w:kern w:val="0"/>
          <w:szCs w:val="21"/>
          <w:highlight w:val="none"/>
        </w:rPr>
        <w:t>年</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rPr>
        <w:t>月</w:t>
      </w:r>
      <w:r>
        <w:rPr>
          <w:rFonts w:hint="eastAsia" w:ascii="宋体" w:hAnsi="宋体" w:cs="Arial"/>
          <w:color w:val="000000"/>
          <w:kern w:val="0"/>
          <w:szCs w:val="21"/>
          <w:highlight w:val="none"/>
          <w:lang w:val="en-US" w:eastAsia="zh-CN"/>
        </w:rPr>
        <w:t>11</w:t>
      </w:r>
      <w:r>
        <w:rPr>
          <w:rFonts w:hint="eastAsia" w:ascii="宋体" w:hAnsi="宋体" w:eastAsia="宋体" w:cs="Arial"/>
          <w:color w:val="000000"/>
          <w:kern w:val="0"/>
          <w:szCs w:val="21"/>
          <w:highlight w:val="none"/>
        </w:rPr>
        <w:t>日下午</w:t>
      </w:r>
      <w:r>
        <w:rPr>
          <w:rFonts w:hint="eastAsia" w:ascii="宋体" w:hAnsi="宋体" w:cs="Arial"/>
          <w:color w:val="000000"/>
          <w:kern w:val="0"/>
          <w:szCs w:val="21"/>
          <w:highlight w:val="none"/>
          <w:lang w:val="en-US" w:eastAsia="zh-CN"/>
        </w:rPr>
        <w:t>17</w:t>
      </w:r>
      <w:r>
        <w:rPr>
          <w:rFonts w:hint="eastAsia" w:ascii="宋体" w:hAnsi="宋体" w:eastAsia="宋体" w:cs="Arial"/>
          <w:color w:val="000000"/>
          <w:kern w:val="0"/>
          <w:szCs w:val="21"/>
          <w:highlight w:val="none"/>
        </w:rPr>
        <w:t>:00前</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通过资格预审的投标单位，</w:t>
      </w:r>
      <w:r>
        <w:rPr>
          <w:rFonts w:hint="eastAsia" w:ascii="宋体" w:hAnsi="宋体" w:cs="Arial"/>
          <w:color w:val="000000"/>
          <w:kern w:val="0"/>
          <w:szCs w:val="21"/>
          <w:highlight w:val="none"/>
          <w:lang w:val="en-US" w:eastAsia="zh-CN"/>
        </w:rPr>
        <w:t>请</w:t>
      </w:r>
      <w:r>
        <w:rPr>
          <w:rFonts w:hint="eastAsia" w:ascii="宋体" w:hAnsi="宋体" w:cs="宋体"/>
          <w:color w:val="333333"/>
          <w:kern w:val="0"/>
          <w:szCs w:val="21"/>
          <w:lang w:eastAsia="zh-CN"/>
        </w:rPr>
        <w:t>将</w:t>
      </w:r>
      <w:r>
        <w:rPr>
          <w:rFonts w:hint="eastAsia" w:ascii="宋体" w:hAnsi="宋体" w:eastAsia="宋体" w:cs="Arial"/>
          <w:color w:val="000000"/>
          <w:kern w:val="0"/>
          <w:szCs w:val="21"/>
          <w:highlight w:val="none"/>
        </w:rPr>
        <w:t>投标</w:t>
      </w:r>
      <w:r>
        <w:rPr>
          <w:rFonts w:hint="eastAsia" w:ascii="宋体" w:hAnsi="宋体" w:eastAsia="宋体" w:cs="Arial"/>
          <w:color w:val="000000"/>
          <w:kern w:val="0"/>
          <w:szCs w:val="21"/>
          <w:highlight w:val="none"/>
          <w:lang w:eastAsia="zh-CN"/>
        </w:rPr>
        <w:t>文件</w:t>
      </w:r>
      <w:r>
        <w:rPr>
          <w:rFonts w:hint="eastAsia" w:ascii="宋体" w:hAnsi="宋体" w:cs="Arial"/>
          <w:color w:val="000000"/>
          <w:kern w:val="0"/>
          <w:szCs w:val="21"/>
          <w:highlight w:val="none"/>
          <w:lang w:eastAsia="zh-CN"/>
        </w:rPr>
        <w:t>、报价单等</w:t>
      </w:r>
      <w:r>
        <w:rPr>
          <w:rFonts w:hint="eastAsia" w:ascii="宋体" w:hAnsi="宋体" w:cs="宋体"/>
          <w:color w:val="333333"/>
          <w:kern w:val="0"/>
          <w:szCs w:val="21"/>
        </w:rPr>
        <w:t>递交</w:t>
      </w:r>
      <w:r>
        <w:rPr>
          <w:rFonts w:hint="eastAsia" w:ascii="宋体" w:hAnsi="宋体" w:eastAsia="宋体" w:cs="Arial"/>
          <w:color w:val="000000"/>
          <w:kern w:val="0"/>
          <w:szCs w:val="21"/>
          <w:highlight w:val="none"/>
        </w:rPr>
        <w:t>至深圳市中西医结合医院</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rPr>
        <w:t>招标办公室</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逾期送达或资料缺项者恕不接受。</w:t>
      </w:r>
      <w:r>
        <w:rPr>
          <w:rFonts w:hint="eastAsia" w:ascii="宋体" w:hAnsi="宋体" w:eastAsia="宋体" w:cs="Arial"/>
          <w:color w:val="000000"/>
          <w:kern w:val="0"/>
          <w:szCs w:val="21"/>
          <w:highlight w:val="none"/>
          <w:lang w:eastAsia="zh-CN"/>
        </w:rPr>
        <w:t>（注：正本一份（盖公章），不填报价，</w:t>
      </w:r>
      <w:r>
        <w:rPr>
          <w:rFonts w:hint="eastAsia" w:ascii="宋体" w:hAnsi="宋体" w:eastAsia="宋体" w:cs="Arial"/>
          <w:color w:val="000000"/>
          <w:kern w:val="0"/>
          <w:szCs w:val="21"/>
          <w:highlight w:val="none"/>
        </w:rPr>
        <w:t>不用密封</w:t>
      </w:r>
      <w:r>
        <w:rPr>
          <w:rFonts w:hint="eastAsia" w:ascii="宋体" w:hAnsi="宋体" w:eastAsia="宋体" w:cs="Arial"/>
          <w:color w:val="000000"/>
          <w:kern w:val="0"/>
          <w:szCs w:val="21"/>
          <w:highlight w:val="none"/>
          <w:lang w:eastAsia="zh-CN"/>
        </w:rPr>
        <w:t>；副本五份（加盖骑缝章），须填报价，完好密封</w:t>
      </w:r>
      <w:r>
        <w:rPr>
          <w:rFonts w:hint="eastAsia" w:ascii="宋体" w:hAnsi="宋体" w:cs="Arial"/>
          <w:color w:val="000000"/>
          <w:kern w:val="0"/>
          <w:szCs w:val="21"/>
          <w:highlight w:val="none"/>
          <w:lang w:eastAsia="zh-CN"/>
        </w:rPr>
        <w:t>；报价单</w:t>
      </w:r>
      <w:r>
        <w:rPr>
          <w:rFonts w:hint="eastAsia" w:ascii="宋体" w:hAnsi="宋体" w:eastAsia="宋体" w:cs="Arial"/>
          <w:color w:val="000000"/>
          <w:kern w:val="0"/>
          <w:szCs w:val="21"/>
          <w:highlight w:val="none"/>
          <w:lang w:eastAsia="zh-CN"/>
        </w:rPr>
        <w:t>（盖公章）</w:t>
      </w:r>
      <w:r>
        <w:rPr>
          <w:rFonts w:hint="eastAsia" w:ascii="宋体" w:hAnsi="宋体" w:cs="Arial"/>
          <w:color w:val="000000"/>
          <w:kern w:val="0"/>
          <w:szCs w:val="21"/>
          <w:highlight w:val="none"/>
          <w:lang w:eastAsia="zh-CN"/>
        </w:rPr>
        <w:t>单独密封，须填报价。</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widowControl/>
        <w:shd w:val="clear" w:color="auto" w:fill="FFFFFF"/>
        <w:spacing w:before="100" w:beforeAutospacing="1" w:after="100" w:afterAutospacing="1"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firstLine="422" w:firstLineChars="200"/>
        <w:jc w:val="left"/>
        <w:textAlignment w:val="auto"/>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3823</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林老师</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firstLine="420" w:firstLineChars="200"/>
        <w:jc w:val="righ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深圳市中西医结合医院</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firstLine="420" w:firstLineChars="200"/>
        <w:jc w:val="right"/>
        <w:textAlignment w:val="auto"/>
        <w:rPr>
          <w:rFonts w:hint="eastAsia" w:ascii="宋体" w:hAnsi="宋体" w:cs="Arial"/>
          <w:b/>
          <w:bCs/>
          <w:color w:val="993300"/>
          <w:kern w:val="0"/>
          <w:sz w:val="36"/>
          <w:szCs w:val="36"/>
          <w:lang w:eastAsia="zh-CN"/>
        </w:rPr>
      </w:pPr>
      <w:r>
        <w:rPr>
          <w:rFonts w:hint="eastAsia" w:ascii="宋体" w:hAnsi="宋体" w:eastAsia="宋体" w:cs="Arial"/>
          <w:color w:val="000000"/>
          <w:kern w:val="0"/>
          <w:szCs w:val="21"/>
          <w:highlight w:val="none"/>
          <w:lang w:val="en-US" w:eastAsia="zh-CN"/>
        </w:rPr>
        <w:t>2024年</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val="en-US" w:eastAsia="zh-CN"/>
        </w:rPr>
        <w:t>月</w:t>
      </w: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2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widowControl/>
        <w:jc w:val="left"/>
        <w:rPr>
          <w:rFonts w:hint="eastAsia" w:ascii="宋体" w:hAnsi="宋体" w:eastAsia="宋体" w:cs="Arial"/>
          <w:color w:val="FF0000"/>
          <w:kern w:val="0"/>
          <w:szCs w:val="21"/>
          <w:highlight w:val="none"/>
        </w:rPr>
      </w:pPr>
      <w:r>
        <w:rPr>
          <w:rFonts w:hint="eastAsia" w:ascii="宋体" w:hAnsi="宋体" w:eastAsia="宋体" w:cs="Arial"/>
          <w:color w:val="FF0000"/>
          <w:kern w:val="0"/>
          <w:szCs w:val="21"/>
          <w:highlight w:val="none"/>
          <w:lang w:val="en-US" w:eastAsia="zh-CN"/>
        </w:rPr>
        <w:t>（1）投标人须在采购公告规定的时间内将投标电子版资料发送至电子邮箱，</w:t>
      </w:r>
      <w:r>
        <w:rPr>
          <w:rFonts w:hint="eastAsia" w:ascii="宋体" w:hAnsi="宋体" w:eastAsia="宋体" w:cs="Arial"/>
          <w:color w:val="FF0000"/>
          <w:kern w:val="0"/>
          <w:szCs w:val="21"/>
          <w:highlight w:val="none"/>
        </w:rPr>
        <w:t>逾期</w:t>
      </w:r>
      <w:r>
        <w:rPr>
          <w:rFonts w:hint="eastAsia" w:ascii="宋体" w:hAnsi="宋体" w:eastAsia="宋体" w:cs="Arial"/>
          <w:color w:val="FF0000"/>
          <w:kern w:val="0"/>
          <w:szCs w:val="21"/>
          <w:highlight w:val="none"/>
          <w:lang w:eastAsia="zh-CN"/>
        </w:rPr>
        <w:t>发送</w:t>
      </w:r>
      <w:r>
        <w:rPr>
          <w:rFonts w:hint="eastAsia" w:ascii="宋体" w:hAnsi="宋体" w:eastAsia="宋体" w:cs="Arial"/>
          <w:color w:val="FF0000"/>
          <w:kern w:val="0"/>
          <w:szCs w:val="21"/>
          <w:highlight w:val="none"/>
        </w:rPr>
        <w:t>或资料缺项者恕不接受。</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eastAsia="zh-CN"/>
        </w:rPr>
        <w:t>投标电子版资料包括:①投标文件正本（不填报价）盖公章</w:t>
      </w:r>
      <w:r>
        <w:rPr>
          <w:rFonts w:hint="eastAsia" w:ascii="宋体" w:hAnsi="宋体" w:cs="Arial"/>
          <w:color w:val="FF0000"/>
          <w:kern w:val="0"/>
          <w:szCs w:val="21"/>
          <w:highlight w:val="none"/>
          <w:lang w:eastAsia="zh-CN"/>
        </w:rPr>
        <w:t>的</w:t>
      </w:r>
      <w:r>
        <w:rPr>
          <w:rFonts w:hint="eastAsia" w:ascii="宋体" w:hAnsi="宋体" w:eastAsia="宋体" w:cs="Arial"/>
          <w:color w:val="FF0000"/>
          <w:kern w:val="0"/>
          <w:szCs w:val="21"/>
          <w:highlight w:val="none"/>
          <w:lang w:eastAsia="zh-CN"/>
        </w:rPr>
        <w:t>扫描件，PDF格式；②封面､报价单（不填报价），word文档格式，文件命名为：“项目名称</w:t>
      </w:r>
      <w:r>
        <w:rPr>
          <w:rFonts w:hint="eastAsia" w:ascii="宋体" w:hAnsi="宋体" w:eastAsia="宋体" w:cs="Arial"/>
          <w:color w:val="FF0000"/>
          <w:kern w:val="0"/>
          <w:szCs w:val="21"/>
          <w:highlight w:val="none"/>
          <w:lang w:val="en-US" w:eastAsia="zh-CN"/>
        </w:rPr>
        <w:t>+</w:t>
      </w:r>
      <w:r>
        <w:rPr>
          <w:rFonts w:hint="eastAsia" w:ascii="宋体" w:hAnsi="宋体" w:eastAsia="宋体" w:cs="Arial"/>
          <w:color w:val="FF0000"/>
          <w:kern w:val="0"/>
          <w:szCs w:val="21"/>
          <w:highlight w:val="none"/>
          <w:lang w:eastAsia="zh-CN"/>
        </w:rPr>
        <w:t>投标单位名称”。</w:t>
      </w:r>
    </w:p>
    <w:p>
      <w:pPr>
        <w:widowControl/>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pStyle w:val="23"/>
        <w:rPr>
          <w:rFonts w:hint="eastAsia"/>
          <w:lang w:val="en-US" w:eastAsia="zh-CN"/>
        </w:rPr>
      </w:pP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widowControl/>
        <w:jc w:val="left"/>
        <w:rPr>
          <w:rFonts w:ascii="宋体" w:hAnsi="宋体"/>
          <w:snapToGrid w:val="0"/>
        </w:rPr>
      </w:pPr>
      <w:r>
        <w:rPr>
          <w:rFonts w:hint="eastAsia" w:ascii="宋体" w:hAnsi="宋体"/>
          <w:snapToGrid w:val="0"/>
          <w:lang w:val="en-US" w:eastAsia="zh-CN"/>
        </w:rPr>
        <w:t>2.</w:t>
      </w:r>
      <w:r>
        <w:rPr>
          <w:rFonts w:hint="eastAsia" w:ascii="宋体" w:hAnsi="宋体"/>
          <w:snapToGrid w:val="0"/>
        </w:rPr>
        <w:t>若所投产品为进口设备，经销商必须取得产品制造商或该产品在中华人民共和国境内总经销商的有效授权，并提供有效授权文件；必须提供制造商或授权的中国总代理签署的合法有效的保修、维修承诺函。</w:t>
      </w:r>
    </w:p>
    <w:p>
      <w:pPr>
        <w:widowControl/>
        <w:jc w:val="left"/>
        <w:rPr>
          <w:rFonts w:ascii="宋体" w:hAnsi="宋体"/>
          <w:snapToGrid w:val="0"/>
        </w:rPr>
      </w:pPr>
      <w:r>
        <w:rPr>
          <w:rFonts w:hint="eastAsia" w:ascii="宋体" w:hAnsi="宋体"/>
          <w:snapToGrid w:val="0"/>
          <w:lang w:val="en-US" w:eastAsia="zh-CN"/>
        </w:rPr>
        <w:t>3.</w:t>
      </w:r>
      <w:r>
        <w:rPr>
          <w:rFonts w:hint="eastAsia" w:ascii="宋体" w:hAnsi="宋体"/>
          <w:snapToGrid w:val="0"/>
        </w:rPr>
        <w:t>.</w:t>
      </w:r>
      <w:r>
        <w:rPr>
          <w:rFonts w:hint="eastAsia" w:ascii="宋体" w:hAnsi="宋体" w:eastAsia="宋体" w:cs="宋体"/>
          <w:kern w:val="0"/>
          <w:szCs w:val="21"/>
          <w:lang w:val="en-US" w:eastAsia="zh-CN"/>
        </w:rPr>
        <w:t>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pPr>
        <w:widowControl/>
        <w:jc w:val="left"/>
        <w:rPr>
          <w:rFonts w:ascii="宋体" w:hAnsi="宋体" w:cs="宋体"/>
          <w:kern w:val="0"/>
          <w:szCs w:val="21"/>
        </w:rPr>
      </w:pPr>
      <w:r>
        <w:rPr>
          <w:rFonts w:hint="eastAsia" w:ascii="宋体" w:hAnsi="宋体"/>
          <w:snapToGrid w:val="0"/>
          <w:lang w:val="en-US" w:eastAsia="zh-CN"/>
        </w:rPr>
        <w:t>4</w:t>
      </w:r>
      <w:r>
        <w:rPr>
          <w:rFonts w:hint="eastAsia" w:ascii="宋体" w:hAnsi="宋体"/>
          <w:snapToGrid w:val="0"/>
        </w:rPr>
        <w:t>.</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jc w:val="left"/>
        <w:rPr>
          <w:rFonts w:ascii="宋体" w:hAnsi="宋体"/>
          <w:snapToGrid w:val="0"/>
          <w:color w:val="FF0000"/>
        </w:rPr>
      </w:pPr>
      <w:r>
        <w:rPr>
          <w:rFonts w:hint="eastAsia" w:ascii="宋体" w:hAnsi="宋体"/>
          <w:snapToGrid w:val="0"/>
          <w:color w:val="FF0000"/>
          <w:lang w:val="en-US" w:eastAsia="zh-CN"/>
        </w:rPr>
        <w:t>6</w:t>
      </w:r>
      <w:r>
        <w:rPr>
          <w:rFonts w:hint="eastAsia" w:ascii="宋体" w:hAnsi="宋体"/>
          <w:snapToGrid w:val="0"/>
          <w:color w:val="FF0000"/>
        </w:rPr>
        <w:t>.</w:t>
      </w:r>
      <w:r>
        <w:rPr>
          <w:rFonts w:hint="eastAsia" w:ascii="宋体" w:hAnsi="宋体" w:cs="Arial"/>
          <w:color w:val="FF0000"/>
          <w:kern w:val="0"/>
          <w:szCs w:val="21"/>
        </w:rPr>
        <w:t>招标项目数量为预估数量</w:t>
      </w:r>
      <w:r>
        <w:rPr>
          <w:rFonts w:hint="eastAsia" w:ascii="宋体" w:hAnsi="宋体" w:cs="Arial"/>
          <w:color w:val="FF0000"/>
          <w:kern w:val="0"/>
          <w:szCs w:val="21"/>
          <w:lang w:eastAsia="zh-CN"/>
        </w:rPr>
        <w:t>时</w:t>
      </w:r>
      <w:r>
        <w:rPr>
          <w:rFonts w:hint="eastAsia" w:ascii="宋体" w:hAnsi="宋体" w:cs="Arial"/>
          <w:color w:val="FF0000"/>
          <w:kern w:val="0"/>
          <w:szCs w:val="21"/>
        </w:rPr>
        <w:t>，投标人必须报总价的同时报单价（按报价单要求报单价），作为货物数量增减时的不变价，最终数量按通过采购人验收实际发生量结算，结算价格按中标单价结算。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lang w:val="en-US" w:eastAsia="zh-CN"/>
        </w:rPr>
        <w:t>7</w:t>
      </w:r>
      <w:r>
        <w:rPr>
          <w:rFonts w:hint="eastAsia" w:ascii="宋体" w:hAnsi="宋体"/>
          <w:snapToGrid w:val="0"/>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lang w:val="en-US" w:eastAsia="zh-CN"/>
        </w:rPr>
        <w:t>8</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highlight w:val="yellow"/>
        </w:rPr>
      </w:pPr>
      <w:r>
        <w:rPr>
          <w:rFonts w:hint="eastAsia" w:ascii="宋体" w:hAnsi="宋体" w:cs="Arial"/>
          <w:color w:val="FF0000"/>
          <w:kern w:val="0"/>
          <w:szCs w:val="21"/>
          <w:highlight w:val="yellow"/>
          <w:lang w:val="en-US" w:eastAsia="zh-CN"/>
        </w:rPr>
        <w:t>9</w:t>
      </w:r>
      <w:r>
        <w:rPr>
          <w:rFonts w:hint="eastAsia" w:ascii="宋体" w:hAnsi="宋体" w:cs="Arial"/>
          <w:color w:val="FF0000"/>
          <w:kern w:val="0"/>
          <w:szCs w:val="21"/>
          <w:highlight w:val="yellow"/>
        </w:rPr>
        <w:t>.投标人应提供6份投标文件(1正5副)</w:t>
      </w:r>
      <w:r>
        <w:rPr>
          <w:rFonts w:hint="eastAsia" w:ascii="宋体" w:hAnsi="宋体" w:cs="Arial"/>
          <w:color w:val="FF0000"/>
          <w:kern w:val="0"/>
          <w:szCs w:val="21"/>
          <w:highlight w:val="yellow"/>
          <w:lang w:eastAsia="zh-CN"/>
        </w:rPr>
        <w:t>及样品</w:t>
      </w:r>
      <w:r>
        <w:rPr>
          <w:rFonts w:hint="eastAsia" w:ascii="宋体" w:hAnsi="宋体" w:cs="Arial"/>
          <w:color w:val="FF0000"/>
          <w:kern w:val="0"/>
          <w:szCs w:val="21"/>
          <w:highlight w:val="yellow"/>
          <w:lang w:val="en-US" w:eastAsia="zh-CN"/>
        </w:rPr>
        <w:t>（无样品项目，则无须提交样品）</w:t>
      </w:r>
      <w:r>
        <w:rPr>
          <w:rFonts w:hint="eastAsia" w:ascii="宋体" w:hAnsi="宋体" w:cs="Arial"/>
          <w:color w:val="FF0000"/>
          <w:kern w:val="0"/>
          <w:szCs w:val="21"/>
          <w:highlight w:val="yellow"/>
          <w:lang w:eastAsia="zh-CN"/>
        </w:rPr>
        <w:t>等。</w:t>
      </w:r>
      <w:r>
        <w:rPr>
          <w:rFonts w:hint="eastAsia" w:ascii="宋体" w:hAnsi="宋体" w:cs="Arial"/>
          <w:color w:val="FF0000"/>
          <w:kern w:val="0"/>
          <w:szCs w:val="21"/>
          <w:highlight w:val="yellow"/>
        </w:rPr>
        <w:t>每份投标文件须清楚地标明“正本”或“副本”字样</w:t>
      </w:r>
      <w:r>
        <w:rPr>
          <w:rFonts w:hint="eastAsia" w:ascii="宋体" w:hAnsi="宋体" w:cs="Arial"/>
          <w:color w:val="FF0000"/>
          <w:kern w:val="0"/>
          <w:szCs w:val="21"/>
          <w:highlight w:val="yellow"/>
          <w:lang w:eastAsia="zh-CN"/>
        </w:rPr>
        <w:t>；除报价外，</w:t>
      </w:r>
      <w:r>
        <w:rPr>
          <w:rFonts w:hint="eastAsia" w:ascii="宋体" w:hAnsi="宋体" w:cs="Arial"/>
          <w:color w:val="FF0000"/>
          <w:kern w:val="0"/>
          <w:szCs w:val="21"/>
          <w:highlight w:val="yellow"/>
        </w:rPr>
        <w:t>正本与副本必须一致</w:t>
      </w:r>
      <w:r>
        <w:rPr>
          <w:rFonts w:hint="eastAsia" w:ascii="宋体" w:hAnsi="宋体" w:cs="Arial"/>
          <w:color w:val="FF0000"/>
          <w:kern w:val="0"/>
          <w:szCs w:val="21"/>
          <w:highlight w:val="yellow"/>
          <w:lang w:eastAsia="zh-CN"/>
        </w:rPr>
        <w:t>（正本</w:t>
      </w:r>
      <w:r>
        <w:rPr>
          <w:rFonts w:hint="eastAsia" w:ascii="宋体" w:hAnsi="宋体" w:eastAsia="宋体" w:cs="Arial"/>
          <w:color w:val="FF0000"/>
          <w:kern w:val="0"/>
          <w:szCs w:val="21"/>
          <w:highlight w:val="yellow"/>
          <w:lang w:val="en-US" w:eastAsia="zh-CN"/>
        </w:rPr>
        <w:t>不填报价</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副本须填写报价</w:t>
      </w:r>
      <w:r>
        <w:rPr>
          <w:rFonts w:hint="eastAsia" w:ascii="宋体" w:hAnsi="宋体" w:cs="Arial"/>
          <w:color w:val="FF0000"/>
          <w:kern w:val="0"/>
          <w:szCs w:val="21"/>
          <w:highlight w:val="yellow"/>
          <w:lang w:eastAsia="zh-CN"/>
        </w:rPr>
        <w:t>），</w:t>
      </w:r>
      <w:r>
        <w:rPr>
          <w:rFonts w:hint="eastAsia" w:ascii="宋体" w:hAnsi="宋体" w:cs="Arial"/>
          <w:color w:val="FF0000"/>
          <w:kern w:val="0"/>
          <w:szCs w:val="21"/>
          <w:highlight w:val="yellow"/>
        </w:rPr>
        <w:t>若正本内容与副本内容不一致，以正本</w:t>
      </w:r>
      <w:r>
        <w:rPr>
          <w:rFonts w:hint="eastAsia" w:ascii="宋体" w:hAnsi="宋体" w:cs="Arial"/>
          <w:color w:val="FF0000"/>
          <w:kern w:val="0"/>
          <w:szCs w:val="21"/>
          <w:highlight w:val="yellow"/>
          <w:lang w:eastAsia="zh-CN"/>
        </w:rPr>
        <w:t>内容</w:t>
      </w:r>
      <w:r>
        <w:rPr>
          <w:rFonts w:hint="eastAsia" w:ascii="宋体" w:hAnsi="宋体" w:cs="Arial"/>
          <w:color w:val="FF0000"/>
          <w:kern w:val="0"/>
          <w:szCs w:val="21"/>
          <w:highlight w:val="yellow"/>
        </w:rPr>
        <w:t>为准。投标文件正本每一页都应加盖（投标单位）公章，副本加盖骑缝章。每份投标文件须由投标人法人或其授权代表正确签署。</w:t>
      </w:r>
      <w:r>
        <w:rPr>
          <w:rFonts w:hint="eastAsia" w:ascii="宋体" w:hAnsi="宋体" w:cs="Arial"/>
          <w:color w:val="FF0000"/>
          <w:kern w:val="0"/>
          <w:szCs w:val="21"/>
          <w:highlight w:val="yellow"/>
          <w:lang w:eastAsia="zh-CN"/>
        </w:rPr>
        <w:t>样品须含样品清单，注明样品名称等。投标人</w:t>
      </w:r>
      <w:r>
        <w:rPr>
          <w:rFonts w:hint="eastAsia" w:ascii="宋体" w:hAnsi="宋体" w:eastAsia="宋体" w:cs="Arial"/>
          <w:color w:val="FF0000"/>
          <w:kern w:val="0"/>
          <w:szCs w:val="21"/>
          <w:highlight w:val="yellow"/>
          <w:lang w:val="en-US" w:eastAsia="zh-CN"/>
        </w:rPr>
        <w:t>须</w:t>
      </w:r>
      <w:r>
        <w:rPr>
          <w:rFonts w:hint="eastAsia" w:ascii="宋体" w:hAnsi="宋体" w:cs="Arial"/>
          <w:color w:val="FF0000"/>
          <w:kern w:val="0"/>
          <w:szCs w:val="21"/>
          <w:highlight w:val="yellow"/>
          <w:lang w:val="en-US" w:eastAsia="zh-CN"/>
        </w:rPr>
        <w:t>在投标截止日前，将</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w:t>
      </w:r>
      <w:r>
        <w:rPr>
          <w:rFonts w:hint="eastAsia" w:ascii="宋体" w:hAnsi="宋体" w:cs="Arial"/>
          <w:color w:val="FF0000"/>
          <w:kern w:val="0"/>
          <w:szCs w:val="21"/>
          <w:highlight w:val="yellow"/>
          <w:lang w:val="en-US" w:eastAsia="zh-CN"/>
        </w:rPr>
        <w:t>，不用密封；</w:t>
      </w:r>
      <w:r>
        <w:rPr>
          <w:rFonts w:hint="eastAsia" w:ascii="宋体" w:hAnsi="宋体" w:eastAsia="宋体" w:cs="Arial"/>
          <w:color w:val="FF0000"/>
          <w:kern w:val="0"/>
          <w:szCs w:val="21"/>
          <w:highlight w:val="yellow"/>
          <w:lang w:val="en-US" w:eastAsia="zh-CN"/>
        </w:rPr>
        <w:t>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完好密封</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单独密封的报价单（须填写报价）1份</w:t>
      </w:r>
      <w:r>
        <w:rPr>
          <w:rFonts w:hint="eastAsia" w:ascii="宋体" w:hAnsi="宋体" w:cs="Arial"/>
          <w:color w:val="FF0000"/>
          <w:kern w:val="0"/>
          <w:szCs w:val="21"/>
          <w:highlight w:val="yellow"/>
          <w:lang w:val="en-US" w:eastAsia="zh-CN"/>
        </w:rPr>
        <w:t>及样品打包密封</w:t>
      </w:r>
      <w:r>
        <w:rPr>
          <w:rFonts w:hint="eastAsia" w:ascii="宋体" w:hAnsi="宋体" w:eastAsia="宋体" w:cs="Arial"/>
          <w:color w:val="FF0000"/>
          <w:kern w:val="0"/>
          <w:szCs w:val="21"/>
          <w:highlight w:val="yellow"/>
          <w:lang w:val="en-US" w:eastAsia="zh-CN"/>
        </w:rPr>
        <w:t>一起</w:t>
      </w:r>
      <w:r>
        <w:rPr>
          <w:rFonts w:hint="eastAsia" w:ascii="宋体" w:hAnsi="宋体" w:cs="Arial"/>
          <w:color w:val="FF0000"/>
          <w:kern w:val="0"/>
          <w:szCs w:val="21"/>
          <w:highlight w:val="yellow"/>
          <w:lang w:val="en-US" w:eastAsia="zh-CN"/>
        </w:rPr>
        <w:t>提交</w:t>
      </w:r>
      <w:r>
        <w:rPr>
          <w:rFonts w:hint="eastAsia" w:ascii="宋体" w:hAnsi="宋体" w:cs="Arial"/>
          <w:color w:val="FF0000"/>
          <w:kern w:val="0"/>
          <w:szCs w:val="21"/>
          <w:highlight w:val="yellow"/>
          <w:lang w:eastAsia="zh-CN"/>
        </w:rPr>
        <w:t>至深圳市中西医结合医院招工体检楼</w:t>
      </w:r>
      <w:r>
        <w:rPr>
          <w:rFonts w:hint="eastAsia" w:ascii="宋体" w:hAnsi="宋体" w:cs="Arial"/>
          <w:color w:val="FF0000"/>
          <w:kern w:val="0"/>
          <w:szCs w:val="21"/>
          <w:highlight w:val="yellow"/>
          <w:lang w:val="en-US" w:eastAsia="zh-CN"/>
        </w:rPr>
        <w:t>6楼</w:t>
      </w:r>
      <w:r>
        <w:rPr>
          <w:rFonts w:hint="eastAsia" w:ascii="宋体" w:hAnsi="宋体" w:cs="Arial"/>
          <w:color w:val="FF0000"/>
          <w:kern w:val="0"/>
          <w:szCs w:val="21"/>
          <w:highlight w:val="yellow"/>
          <w:lang w:eastAsia="zh-CN"/>
        </w:rPr>
        <w:t>招标办公室</w:t>
      </w:r>
      <w:r>
        <w:rPr>
          <w:rFonts w:hint="eastAsia" w:ascii="宋体" w:hAnsi="宋体" w:cs="Arial"/>
          <w:color w:val="FF0000"/>
          <w:kern w:val="0"/>
          <w:szCs w:val="21"/>
          <w:highlight w:val="yellow"/>
          <w:lang w:val="en-US" w:eastAsia="zh-CN"/>
        </w:rPr>
        <w:t>。公章指投标人经备案的行政公章。若招标文</w:t>
      </w:r>
      <w:r>
        <w:rPr>
          <w:rFonts w:hint="eastAsia" w:ascii="宋体" w:hAnsi="宋体" w:eastAsia="宋体" w:cs="Arial"/>
          <w:color w:val="FF0000"/>
          <w:kern w:val="0"/>
          <w:szCs w:val="21"/>
          <w:highlight w:val="yellow"/>
          <w:lang w:val="en-US" w:eastAsia="zh-CN"/>
        </w:rPr>
        <w:t>件</w:t>
      </w:r>
      <w:r>
        <w:rPr>
          <w:rFonts w:hint="eastAsia" w:ascii="宋体" w:hAnsi="宋体" w:cs="Arial"/>
          <w:color w:val="FF0000"/>
          <w:kern w:val="0"/>
          <w:szCs w:val="21"/>
          <w:highlight w:val="yellow"/>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0</w:t>
      </w:r>
      <w:r>
        <w:rPr>
          <w:rFonts w:hint="eastAsia" w:ascii="宋体" w:hAnsi="宋体" w:cs="Arial"/>
          <w:color w:val="000000"/>
          <w:kern w:val="0"/>
          <w:szCs w:val="21"/>
        </w:rPr>
        <w:t>.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w:t>
      </w:r>
      <w:r>
        <w:rPr>
          <w:rFonts w:hint="eastAsia" w:ascii="宋体" w:hAnsi="宋体" w:cs="Arial"/>
          <w:color w:val="000000"/>
          <w:kern w:val="0"/>
          <w:szCs w:val="21"/>
          <w:lang w:eastAsia="zh-CN"/>
        </w:rPr>
        <w:t>投标无效</w:t>
      </w:r>
      <w:r>
        <w:rPr>
          <w:rFonts w:hint="eastAsia" w:ascii="宋体" w:hAnsi="宋体" w:cs="Arial"/>
          <w:color w:val="000000"/>
          <w:kern w:val="0"/>
          <w:szCs w:val="21"/>
        </w:rPr>
        <w:t>。投标人必须在其投标文件中根据产品特点提供产品使用培训等技术服务的详细内容，技术服务的价格计入投标总价。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2</w:t>
      </w:r>
      <w:r>
        <w:rPr>
          <w:rFonts w:hint="eastAsia" w:ascii="宋体" w:hAnsi="宋体" w:cs="Arial"/>
          <w:color w:val="000000"/>
          <w:kern w:val="0"/>
          <w:szCs w:val="21"/>
        </w:rPr>
        <w:t>.投标人须提供产品使用过程中所需的一切专用辅助工具，配备所响应招标文件中要求的硬件和软件，并保证采购方能正常使用，不</w:t>
      </w:r>
      <w:r>
        <w:rPr>
          <w:rFonts w:hint="eastAsia" w:ascii="宋体" w:hAnsi="宋体" w:cs="Arial"/>
          <w:color w:val="000000"/>
          <w:kern w:val="0"/>
          <w:szCs w:val="21"/>
          <w:lang w:eastAsia="zh-CN"/>
        </w:rPr>
        <w:t>额外收费和</w:t>
      </w:r>
      <w:r>
        <w:rPr>
          <w:rFonts w:hint="eastAsia" w:ascii="宋体" w:hAnsi="宋体" w:cs="Arial"/>
          <w:color w:val="000000"/>
          <w:kern w:val="0"/>
          <w:szCs w:val="21"/>
        </w:rPr>
        <w:t>另外增加其他附件</w:t>
      </w:r>
      <w:r>
        <w:rPr>
          <w:rFonts w:hint="eastAsia" w:ascii="宋体" w:hAnsi="宋体" w:cs="Arial"/>
          <w:color w:val="000000"/>
          <w:kern w:val="0"/>
          <w:szCs w:val="21"/>
          <w:lang w:eastAsia="zh-CN"/>
        </w:rPr>
        <w:t>，所有费用均包含在项目投标总价内</w:t>
      </w:r>
      <w:r>
        <w:rPr>
          <w:rFonts w:hint="eastAsia" w:ascii="宋体" w:hAnsi="宋体" w:cs="Arial"/>
          <w:color w:val="000000"/>
          <w:kern w:val="0"/>
          <w:szCs w:val="21"/>
        </w:rPr>
        <w:t>。</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3</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5</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6</w:t>
      </w:r>
      <w:r>
        <w:rPr>
          <w:rFonts w:hint="eastAsia" w:ascii="宋体" w:hAnsi="宋体" w:cs="Arial"/>
          <w:color w:val="000000"/>
          <w:kern w:val="0"/>
          <w:szCs w:val="21"/>
        </w:rPr>
        <w:t>.除采购人事先书面同意外，中标单位不得将自己应履行的全部或部分合同义务转让给他人。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lang w:val="en-US" w:eastAsia="zh-CN"/>
        </w:rPr>
        <w:t>17</w:t>
      </w:r>
      <w:r>
        <w:rPr>
          <w:rFonts w:hint="eastAsia" w:ascii="宋体" w:hAnsi="宋体" w:cs="Arial"/>
          <w:color w:val="000000"/>
          <w:kern w:val="0"/>
          <w:szCs w:val="21"/>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lang w:val="en-US" w:eastAsia="zh-CN"/>
        </w:rPr>
        <w:t>18</w:t>
      </w:r>
      <w:r>
        <w:rPr>
          <w:rFonts w:hint="eastAsia" w:ascii="宋体" w:hAnsi="宋体" w:cs="Arial"/>
          <w:color w:val="000000"/>
          <w:kern w:val="0"/>
          <w:szCs w:val="21"/>
        </w:rPr>
        <w:t>.深圳市中西医结合医院评标小组推荐的预中标单位经审批后在深圳市中西医结合医院官网公示3日,无异议则中标单位领取中标通知书，凭中标通知书10天内到</w:t>
      </w:r>
      <w:r>
        <w:rPr>
          <w:rFonts w:hint="eastAsia" w:ascii="宋体" w:hAnsi="宋体" w:cs="Arial"/>
          <w:color w:val="000000"/>
          <w:kern w:val="0"/>
          <w:szCs w:val="21"/>
          <w:lang w:eastAsia="zh-CN"/>
        </w:rPr>
        <w:t>归口职能部门</w:t>
      </w:r>
      <w:r>
        <w:rPr>
          <w:rFonts w:hint="eastAsia" w:ascii="宋体" w:hAnsi="宋体" w:cs="Arial"/>
          <w:color w:val="000000"/>
          <w:kern w:val="0"/>
          <w:szCs w:val="21"/>
        </w:rPr>
        <w:t>签订合同。</w:t>
      </w:r>
    </w:p>
    <w:p>
      <w:pPr>
        <w:widowControl/>
        <w:jc w:val="left"/>
      </w:pPr>
      <w:r>
        <w:rPr>
          <w:rFonts w:hint="eastAsia" w:ascii="宋体" w:hAnsi="宋体" w:cs="宋体"/>
          <w:bCs/>
          <w:kern w:val="0"/>
          <w:szCs w:val="21"/>
          <w:lang w:val="en-US" w:eastAsia="zh-CN"/>
        </w:rPr>
        <w:t>19</w:t>
      </w:r>
      <w:r>
        <w:rPr>
          <w:rFonts w:hint="eastAsia" w:ascii="宋体" w:hAnsi="宋体" w:cs="宋体"/>
          <w:bCs/>
          <w:kern w:val="0"/>
          <w:szCs w:val="21"/>
        </w:rPr>
        <w:t>.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w:t>
      </w:r>
      <w:r>
        <w:rPr>
          <w:rFonts w:hint="eastAsia" w:ascii="宋体" w:hAnsi="宋体" w:cs="宋体"/>
          <w:bCs/>
          <w:kern w:val="0"/>
          <w:szCs w:val="21"/>
          <w:lang w:val="en-US" w:eastAsia="zh-CN"/>
        </w:rPr>
        <w:t>0</w:t>
      </w:r>
      <w:r>
        <w:rPr>
          <w:rFonts w:hint="eastAsia" w:ascii="宋体" w:hAnsi="宋体" w:cs="宋体"/>
          <w:bCs/>
          <w:kern w:val="0"/>
          <w:szCs w:val="21"/>
        </w:rPr>
        <w:t>.服务期限：长期货物采购合同履行期限最长不得超过二十四个月，长期服务采购合同履行期限最长不得超过三十六个月。如甲方对履约情况不满意，甲方不再续约。</w:t>
      </w:r>
    </w:p>
    <w:p>
      <w:pPr>
        <w:widowControl/>
        <w:tabs>
          <w:tab w:val="left" w:pos="450"/>
        </w:tabs>
        <w:jc w:val="left"/>
        <w:rPr>
          <w:rFonts w:hint="eastAsia" w:ascii="宋体" w:hAnsi="宋体" w:eastAsia="宋体" w:cs="Arial"/>
          <w:color w:val="FF0000"/>
          <w:kern w:val="0"/>
          <w:szCs w:val="21"/>
          <w:highlight w:val="none"/>
          <w:lang w:val="en-US" w:eastAsia="zh-CN"/>
        </w:rPr>
      </w:pPr>
    </w:p>
    <w:p>
      <w:pPr>
        <w:widowControl/>
        <w:spacing w:line="360" w:lineRule="atLeast"/>
        <w:jc w:val="center"/>
        <w:rPr>
          <w:rFonts w:hint="default"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rPr>
          <w:rFonts w:hint="eastAsia" w:ascii="宋体" w:hAnsi="宋体" w:cs="Arial"/>
          <w:color w:val="000000"/>
          <w:kern w:val="0"/>
          <w:szCs w:val="21"/>
        </w:rPr>
      </w:pPr>
    </w:p>
    <w:p>
      <w:pPr>
        <w:widowControl/>
        <w:jc w:val="center"/>
        <w:rPr>
          <w:rFonts w:hint="eastAsia" w:ascii="宋体" w:hAnsi="宋体" w:cs="Arial"/>
          <w:b/>
          <w:bCs/>
          <w:color w:val="auto"/>
          <w:kern w:val="0"/>
          <w:sz w:val="24"/>
          <w:szCs w:val="24"/>
          <w:lang w:eastAsia="zh-CN"/>
        </w:rPr>
      </w:pPr>
      <w:commentRangeStart w:id="0"/>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commentRangeEnd w:id="0"/>
      <w:r>
        <w:commentReference w:id="0"/>
      </w:r>
    </w:p>
    <w:tbl>
      <w:tblPr>
        <w:tblStyle w:val="17"/>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序号</w:t>
            </w:r>
          </w:p>
        </w:tc>
        <w:tc>
          <w:tcPr>
            <w:tcW w:w="2325" w:type="dxa"/>
            <w:gridSpan w:val="2"/>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评分因素</w:t>
            </w:r>
          </w:p>
        </w:tc>
        <w:tc>
          <w:tcPr>
            <w:tcW w:w="465"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分值</w:t>
            </w:r>
          </w:p>
        </w:tc>
        <w:tc>
          <w:tcPr>
            <w:tcW w:w="6303"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both"/>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技术部分</w:t>
            </w: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w:t>
            </w:r>
            <w:r>
              <w:rPr>
                <w:rFonts w:hint="eastAsia" w:ascii="宋体" w:hAnsi="宋体" w:cs="Arial"/>
                <w:color w:val="FF0000"/>
                <w:kern w:val="0"/>
                <w:szCs w:val="21"/>
                <w:lang w:val="en-US" w:eastAsia="zh-CN"/>
              </w:rPr>
              <w:t>51</w:t>
            </w:r>
            <w:r>
              <w:rPr>
                <w:rFonts w:hint="eastAsia" w:ascii="宋体" w:hAnsi="宋体" w:eastAsia="宋体" w:cs="Arial"/>
                <w:color w:val="FF0000"/>
                <w:kern w:val="0"/>
                <w:szCs w:val="21"/>
                <w:lang w:val="en-US" w:eastAsia="zh-CN"/>
              </w:rPr>
              <w:t>分</w:t>
            </w:r>
            <w:r>
              <w:rPr>
                <w:rFonts w:hint="eastAsia" w:ascii="宋体" w:hAnsi="宋体" w:eastAsia="宋体" w:cs="Arial"/>
                <w:color w:val="FF0000"/>
                <w:kern w:val="0"/>
                <w:szCs w:val="21"/>
                <w:lang w:eastAsia="zh-CN"/>
              </w:rPr>
              <w:t>）</w:t>
            </w:r>
          </w:p>
        </w:tc>
        <w:tc>
          <w:tcPr>
            <w:tcW w:w="1245" w:type="dxa"/>
            <w:noWrap w:val="0"/>
            <w:vAlign w:val="center"/>
          </w:tcPr>
          <w:p>
            <w:pPr>
              <w:spacing w:line="240" w:lineRule="auto"/>
              <w:jc w:val="center"/>
              <w:rPr>
                <w:color w:val="FF0000"/>
              </w:rPr>
            </w:pPr>
            <w:r>
              <w:rPr>
                <w:rFonts w:hint="eastAsia"/>
                <w:color w:val="FF0000"/>
              </w:rPr>
              <w:t>技术</w:t>
            </w:r>
            <w:r>
              <w:rPr>
                <w:rFonts w:hint="eastAsia"/>
                <w:color w:val="FF0000"/>
                <w:lang w:eastAsia="zh-CN"/>
              </w:rPr>
              <w:t>规格偏离</w:t>
            </w:r>
            <w:r>
              <w:rPr>
                <w:rFonts w:hint="eastAsia"/>
                <w:color w:val="FF0000"/>
              </w:rPr>
              <w:t>情况</w:t>
            </w:r>
          </w:p>
          <w:p>
            <w:pPr>
              <w:spacing w:line="240" w:lineRule="auto"/>
              <w:jc w:val="center"/>
              <w:rPr>
                <w:rFonts w:hint="eastAsia" w:ascii="宋体" w:hAnsi="宋体" w:eastAsia="宋体" w:cs="宋体"/>
                <w:color w:val="FF0000"/>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45</w:t>
            </w:r>
          </w:p>
        </w:tc>
        <w:tc>
          <w:tcPr>
            <w:tcW w:w="6303" w:type="dxa"/>
            <w:noWrap w:val="0"/>
            <w:vAlign w:val="center"/>
          </w:tcPr>
          <w:p>
            <w:pPr>
              <w:pStyle w:val="23"/>
              <w:spacing w:line="240" w:lineRule="auto"/>
              <w:ind w:firstLine="0" w:firstLineChars="0"/>
              <w:rPr>
                <w:rFonts w:hint="eastAsia" w:ascii="Times New Roman" w:hAnsi="Times New Roman" w:eastAsia="宋体" w:cs="Times New Roman"/>
                <w:b/>
                <w:bCs/>
                <w:color w:val="FF0000"/>
              </w:rPr>
            </w:pPr>
            <w:r>
              <w:rPr>
                <w:rFonts w:hint="eastAsia" w:ascii="Times New Roman" w:hAnsi="Times New Roman" w:eastAsia="宋体" w:cs="Times New Roman"/>
                <w:b/>
                <w:bCs/>
                <w:color w:val="FF0000"/>
              </w:rPr>
              <w:t>评分标准：</w:t>
            </w:r>
          </w:p>
          <w:p>
            <w:pPr>
              <w:pStyle w:val="23"/>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标注“★”条款：如标有</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的条款均为必须完全满足指标或优于,投标人须进行实质性响应,投标人若有一项带</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的条款未响应或不满足,将按无效投标处理。</w:t>
            </w:r>
          </w:p>
          <w:p>
            <w:pPr>
              <w:pStyle w:val="23"/>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投标人应如实填写《技术规格偏离表》，各项技术参数指标及要求全部满足的得</w:t>
            </w:r>
            <w:r>
              <w:rPr>
                <w:rFonts w:hint="eastAsia" w:cs="Times New Roman"/>
                <w:color w:val="FF0000"/>
                <w:lang w:val="en-US" w:eastAsia="zh-CN"/>
              </w:rPr>
              <w:t>45</w:t>
            </w:r>
            <w:r>
              <w:rPr>
                <w:rFonts w:hint="eastAsia" w:ascii="Times New Roman" w:hAnsi="Times New Roman" w:eastAsia="宋体" w:cs="Times New Roman"/>
                <w:color w:val="FF0000"/>
              </w:rPr>
              <w:t>分；</w:t>
            </w:r>
            <w:r>
              <w:rPr>
                <w:rFonts w:hint="eastAsia" w:ascii="Times New Roman" w:hAnsi="Times New Roman" w:eastAsia="宋体" w:cs="Times New Roman"/>
                <w:color w:val="FF0000"/>
                <w:lang w:eastAsia="zh-CN"/>
              </w:rPr>
              <w:t>带</w:t>
            </w:r>
            <w:r>
              <w:rPr>
                <w:rFonts w:hint="eastAsia" w:ascii="Times New Roman" w:hAnsi="Times New Roman" w:eastAsia="宋体" w:cs="Times New Roman"/>
                <w:color w:val="FF0000"/>
              </w:rPr>
              <w:t>“▲”为重要技术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w:t>
            </w:r>
            <w:r>
              <w:rPr>
                <w:rFonts w:hint="eastAsia" w:cs="Times New Roman"/>
                <w:color w:val="FF0000"/>
                <w:lang w:val="en-US" w:eastAsia="zh-CN"/>
              </w:rPr>
              <w:t>1</w:t>
            </w:r>
            <w:r>
              <w:rPr>
                <w:rFonts w:hint="eastAsia" w:ascii="Times New Roman" w:hAnsi="Times New Roman" w:eastAsia="宋体" w:cs="Times New Roman"/>
                <w:color w:val="FF0000"/>
              </w:rPr>
              <w:t>分；其他技术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w:t>
            </w:r>
            <w:r>
              <w:rPr>
                <w:rFonts w:hint="eastAsia" w:cs="Times New Roman"/>
                <w:color w:val="FF0000"/>
                <w:lang w:val="en-US" w:eastAsia="zh-CN"/>
              </w:rPr>
              <w:t>0.5</w:t>
            </w:r>
            <w:r>
              <w:rPr>
                <w:rFonts w:hint="eastAsia" w:ascii="Times New Roman" w:hAnsi="Times New Roman" w:eastAsia="宋体" w:cs="Times New Roman"/>
                <w:color w:val="FF0000"/>
              </w:rPr>
              <w:t>分；</w:t>
            </w:r>
            <w:r>
              <w:rPr>
                <w:rFonts w:hint="eastAsia" w:ascii="Times New Roman" w:hAnsi="Times New Roman" w:eastAsia="宋体" w:cs="Times New Roman"/>
                <w:color w:val="FF0000"/>
                <w:lang w:val="zh-CN" w:eastAsia="zh-CN"/>
              </w:rPr>
              <w:t>未响应参数视为负偏离，</w:t>
            </w:r>
            <w:r>
              <w:rPr>
                <w:rFonts w:hint="eastAsia" w:ascii="Times New Roman" w:hAnsi="Times New Roman" w:eastAsia="宋体" w:cs="Times New Roman"/>
                <w:color w:val="FF0000"/>
              </w:rPr>
              <w:t>扣</w:t>
            </w:r>
            <w:r>
              <w:rPr>
                <w:rFonts w:hint="eastAsia" w:cs="Times New Roman"/>
                <w:color w:val="FF0000"/>
                <w:lang w:val="en-US" w:eastAsia="zh-CN"/>
              </w:rPr>
              <w:t>0.5</w:t>
            </w:r>
            <w:r>
              <w:rPr>
                <w:rFonts w:hint="eastAsia" w:ascii="Times New Roman" w:hAnsi="Times New Roman" w:eastAsia="宋体" w:cs="Times New Roman"/>
                <w:color w:val="FF0000"/>
              </w:rPr>
              <w:t>分；扣完为止。接受正偏离但不加分</w:t>
            </w:r>
            <w:r>
              <w:rPr>
                <w:rFonts w:hint="eastAsia" w:ascii="Times New Roman" w:hAnsi="Times New Roman" w:eastAsia="宋体" w:cs="Times New Roman"/>
                <w:color w:val="FF0000"/>
                <w:lang w:eastAsia="zh-CN"/>
              </w:rPr>
              <w:t>。</w:t>
            </w:r>
          </w:p>
          <w:p>
            <w:pPr>
              <w:pStyle w:val="23"/>
              <w:spacing w:line="240" w:lineRule="auto"/>
              <w:ind w:firstLine="0" w:firstLine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FF0000"/>
                <w:lang w:eastAsia="zh-CN"/>
              </w:rPr>
              <w:t>，否则</w:t>
            </w:r>
            <w:r>
              <w:rPr>
                <w:rFonts w:hint="eastAsia" w:ascii="Times New Roman" w:hAnsi="Times New Roman" w:eastAsia="宋体" w:cs="Times New Roman"/>
                <w:color w:val="FF0000"/>
                <w:lang w:val="en-US" w:eastAsia="zh-CN"/>
              </w:rPr>
              <w:t>视为负偏离</w:t>
            </w:r>
            <w:r>
              <w:rPr>
                <w:rFonts w:hint="eastAsia" w:ascii="Times New Roman" w:hAnsi="Times New Roman" w:eastAsia="宋体" w:cs="Times New Roman"/>
                <w:color w:val="FF0000"/>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FF0000"/>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FF0000"/>
                <w:kern w:val="0"/>
                <w:szCs w:val="21"/>
                <w:lang w:eastAsia="zh-CN"/>
              </w:rPr>
            </w:pPr>
          </w:p>
        </w:tc>
        <w:tc>
          <w:tcPr>
            <w:tcW w:w="1245" w:type="dxa"/>
            <w:noWrap w:val="0"/>
            <w:vAlign w:val="center"/>
          </w:tcPr>
          <w:p>
            <w:pPr>
              <w:spacing w:line="240" w:lineRule="auto"/>
              <w:jc w:val="center"/>
              <w:rPr>
                <w:rFonts w:hint="eastAsia" w:ascii="Times New Roman" w:hAnsi="Times New Roman" w:cs="Times New Roman"/>
                <w:color w:val="FF0000"/>
                <w:lang w:val="en-US" w:eastAsia="zh-CN"/>
              </w:rPr>
            </w:pPr>
            <w:r>
              <w:rPr>
                <w:rFonts w:hint="eastAsia" w:ascii="Times New Roman" w:hAnsi="Times New Roman" w:cs="Times New Roman"/>
                <w:color w:val="FF0000"/>
                <w:lang w:eastAsia="zh-CN"/>
              </w:rPr>
              <w:t>技术保障措施</w:t>
            </w:r>
          </w:p>
        </w:tc>
        <w:tc>
          <w:tcPr>
            <w:tcW w:w="465" w:type="dxa"/>
            <w:noWrap w:val="0"/>
            <w:vAlign w:val="center"/>
          </w:tcPr>
          <w:p>
            <w:pPr>
              <w:spacing w:line="240" w:lineRule="auto"/>
              <w:jc w:val="center"/>
              <w:rPr>
                <w:rFonts w:hint="eastAsia" w:ascii="Times New Roman" w:hAnsi="Times New Roman" w:cs="Times New Roman"/>
                <w:color w:val="FF0000"/>
                <w:lang w:val="en-US" w:eastAsia="zh-CN"/>
              </w:rPr>
            </w:pPr>
            <w:r>
              <w:rPr>
                <w:rFonts w:hint="eastAsia" w:ascii="Times New Roman" w:hAnsi="Times New Roman" w:cs="Times New Roman"/>
                <w:color w:val="FF0000"/>
                <w:lang w:val="en-US" w:eastAsia="zh-CN"/>
              </w:rPr>
              <w:t>6</w:t>
            </w:r>
          </w:p>
        </w:tc>
        <w:tc>
          <w:tcPr>
            <w:tcW w:w="6303" w:type="dxa"/>
            <w:noWrap w:val="0"/>
            <w:vAlign w:val="center"/>
          </w:tcPr>
          <w:p>
            <w:pPr>
              <w:pStyle w:val="23"/>
              <w:spacing w:line="240" w:lineRule="auto"/>
              <w:ind w:firstLine="0" w:firstLineChars="0"/>
              <w:rPr>
                <w:rFonts w:hint="eastAsia" w:ascii="Times New Roman" w:hAnsi="Times New Roman" w:eastAsia="宋体" w:cs="Times New Roman"/>
                <w:b/>
                <w:bCs/>
                <w:color w:val="FF0000"/>
              </w:rPr>
            </w:pPr>
            <w:r>
              <w:rPr>
                <w:rFonts w:hint="eastAsia" w:ascii="Times New Roman" w:hAnsi="Times New Roman" w:eastAsia="宋体" w:cs="Times New Roman"/>
                <w:b/>
                <w:bCs/>
                <w:color w:val="FF0000"/>
              </w:rPr>
              <w:t>（一）评分内容：</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投标人在投标文件中详细说明技术保障措施，包含以下内容：</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（1）技术方案；</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（2）产品生产规范；</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（3）生产及供货进度计划。</w:t>
            </w:r>
          </w:p>
          <w:p>
            <w:pPr>
              <w:pStyle w:val="23"/>
              <w:spacing w:line="240" w:lineRule="auto"/>
              <w:ind w:firstLine="0" w:firstLineChars="0"/>
              <w:rPr>
                <w:rFonts w:hint="eastAsia" w:ascii="Times New Roman" w:hAnsi="Times New Roman" w:eastAsia="宋体" w:cs="Times New Roman"/>
                <w:b/>
                <w:bCs/>
                <w:color w:val="FF0000"/>
              </w:rPr>
            </w:pPr>
            <w:r>
              <w:rPr>
                <w:rFonts w:hint="eastAsia" w:ascii="Times New Roman" w:hAnsi="Times New Roman" w:eastAsia="宋体" w:cs="Times New Roman"/>
                <w:b/>
                <w:bCs/>
                <w:color w:val="FF0000"/>
              </w:rPr>
              <w:t>（二）评分标准：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方案包含以上三项内容得</w:t>
            </w: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color w:val="FF0000"/>
              </w:rPr>
              <w:t>分；包含以上二项内容得</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rPr>
              <w:t>分；包含以上一项内容得1分；其他情况不得分。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在此基础上，根据方案响应情况进一步评审：</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1.方案内容全面、具体，可行性高，加</w:t>
            </w: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color w:val="FF0000"/>
              </w:rPr>
              <w:t>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2.方案内容较全面，可行性</w:t>
            </w:r>
            <w:r>
              <w:rPr>
                <w:rFonts w:hint="eastAsia" w:ascii="Times New Roman" w:hAnsi="Times New Roman" w:eastAsia="宋体" w:cs="Times New Roman"/>
                <w:color w:val="FF0000"/>
                <w:lang w:eastAsia="zh-CN"/>
              </w:rPr>
              <w:t>一般</w:t>
            </w:r>
            <w:r>
              <w:rPr>
                <w:rFonts w:hint="eastAsia" w:ascii="Times New Roman" w:hAnsi="Times New Roman" w:eastAsia="宋体" w:cs="Times New Roman"/>
                <w:color w:val="FF0000"/>
              </w:rPr>
              <w:t>，加</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rPr>
              <w:t>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3.方案全面性、可行性一般，加</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rPr>
              <w:t>分；</w:t>
            </w:r>
          </w:p>
          <w:p>
            <w:pPr>
              <w:pStyle w:val="23"/>
              <w:spacing w:line="240" w:lineRule="auto"/>
              <w:ind w:firstLine="0" w:firstLineChars="0"/>
              <w:rPr>
                <w:rFonts w:hint="eastAsia" w:ascii="Times New Roman" w:hAnsi="Times New Roman" w:eastAsia="宋体" w:cs="Times New Roman"/>
                <w:color w:val="FF0000"/>
                <w:lang w:val="zh-CN" w:eastAsia="zh-CN"/>
              </w:rPr>
            </w:pPr>
            <w:r>
              <w:rPr>
                <w:rFonts w:hint="eastAsia" w:ascii="Times New Roman" w:hAnsi="Times New Roman" w:eastAsia="宋体" w:cs="Times New Roman"/>
                <w:color w:val="FF0000"/>
              </w:rPr>
              <w:t>4.方案不全，可行性低，不加分。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eastAsia="zh-CN"/>
              </w:rPr>
              <w:t>商务部分（</w:t>
            </w:r>
            <w:r>
              <w:rPr>
                <w:rFonts w:hint="eastAsia" w:ascii="宋体" w:hAnsi="宋体" w:cs="Arial"/>
                <w:color w:val="FF0000"/>
                <w:kern w:val="0"/>
                <w:szCs w:val="21"/>
                <w:lang w:val="en-US" w:eastAsia="zh-CN"/>
              </w:rPr>
              <w:t>19</w:t>
            </w:r>
            <w:r>
              <w:rPr>
                <w:rFonts w:hint="eastAsia" w:ascii="宋体" w:hAnsi="宋体" w:eastAsia="宋体" w:cs="Arial"/>
                <w:color w:val="FF0000"/>
                <w:kern w:val="0"/>
                <w:szCs w:val="21"/>
                <w:lang w:val="en-US" w:eastAsia="zh-CN"/>
              </w:rPr>
              <w:t>分</w:t>
            </w:r>
            <w:r>
              <w:rPr>
                <w:rFonts w:hint="eastAsia" w:ascii="宋体" w:hAnsi="宋体" w:eastAsia="宋体" w:cs="Arial"/>
                <w:color w:val="FF0000"/>
                <w:kern w:val="0"/>
                <w:szCs w:val="21"/>
                <w:lang w:eastAsia="zh-CN"/>
              </w:rPr>
              <w:t>）</w:t>
            </w:r>
          </w:p>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FF0000"/>
                <w:kern w:val="0"/>
                <w:sz w:val="21"/>
                <w:szCs w:val="21"/>
                <w:lang w:val="en-US" w:eastAsia="zh-CN" w:bidi="ar-SA"/>
              </w:rPr>
            </w:pPr>
            <w:r>
              <w:rPr>
                <w:rFonts w:hint="eastAsia"/>
                <w:color w:val="FF0000"/>
              </w:rPr>
              <w:t>同类项目业绩</w:t>
            </w:r>
          </w:p>
        </w:tc>
        <w:tc>
          <w:tcPr>
            <w:tcW w:w="465" w:type="dxa"/>
            <w:noWrap w:val="0"/>
            <w:vAlign w:val="center"/>
          </w:tcPr>
          <w:p>
            <w:pPr>
              <w:widowControl/>
              <w:spacing w:line="240" w:lineRule="auto"/>
              <w:jc w:val="center"/>
              <w:rPr>
                <w:rFonts w:hint="default" w:ascii="宋体" w:hAnsi="宋体" w:eastAsia="宋体" w:cs="Arial"/>
                <w:color w:val="FF0000"/>
                <w:kern w:val="0"/>
                <w:sz w:val="21"/>
                <w:szCs w:val="21"/>
                <w:lang w:val="en-US" w:eastAsia="zh-CN" w:bidi="ar-SA"/>
              </w:rPr>
            </w:pPr>
            <w:r>
              <w:rPr>
                <w:rFonts w:hint="eastAsia" w:ascii="宋体" w:hAnsi="宋体" w:cs="Arial"/>
                <w:color w:val="FF0000"/>
                <w:kern w:val="0"/>
                <w:szCs w:val="21"/>
                <w:lang w:val="en-US" w:eastAsia="zh-CN"/>
              </w:rPr>
              <w:t>8</w:t>
            </w:r>
          </w:p>
        </w:tc>
        <w:tc>
          <w:tcPr>
            <w:tcW w:w="6303" w:type="dxa"/>
            <w:noWrap w:val="0"/>
            <w:vAlign w:val="center"/>
          </w:tcPr>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20</w:t>
            </w:r>
            <w:r>
              <w:rPr>
                <w:rFonts w:hint="eastAsia" w:ascii="Times New Roman" w:hAnsi="Times New Roman" w:eastAsia="宋体" w:cs="Times New Roman"/>
                <w:color w:val="FF0000"/>
                <w:lang w:val="en-US" w:eastAsia="zh-CN"/>
              </w:rPr>
              <w:t>2</w:t>
            </w:r>
            <w:r>
              <w:rPr>
                <w:rFonts w:hint="eastAsia" w:ascii="Times New Roman" w:hAnsi="Times New Roman" w:cs="Times New Roman"/>
                <w:color w:val="FF0000"/>
                <w:lang w:val="en-US" w:eastAsia="zh-CN"/>
              </w:rPr>
              <w:t>1</w:t>
            </w:r>
            <w:r>
              <w:rPr>
                <w:rFonts w:hint="eastAsia" w:ascii="Times New Roman" w:hAnsi="Times New Roman" w:eastAsia="宋体" w:cs="Times New Roman"/>
                <w:color w:val="FF0000"/>
              </w:rPr>
              <w:t>年1月1日至本项目开标之日（以合同签订日期为准），投标人具有同类项目业绩的，每提供1个项目得2分，最高得</w:t>
            </w:r>
            <w:r>
              <w:rPr>
                <w:rFonts w:hint="eastAsia" w:ascii="Times New Roman" w:hAnsi="Times New Roman" w:cs="Times New Roman"/>
                <w:color w:val="FF0000"/>
                <w:lang w:val="en-US" w:eastAsia="zh-CN"/>
              </w:rPr>
              <w:t>8</w:t>
            </w:r>
            <w:r>
              <w:rPr>
                <w:rFonts w:hint="eastAsia" w:ascii="Times New Roman" w:hAnsi="Times New Roman" w:eastAsia="宋体" w:cs="Times New Roman"/>
                <w:color w:val="FF0000"/>
              </w:rPr>
              <w:t>分。</w:t>
            </w:r>
          </w:p>
          <w:p>
            <w:pPr>
              <w:pStyle w:val="23"/>
              <w:spacing w:line="240" w:lineRule="auto"/>
              <w:ind w:firstLine="0" w:firstLineChars="0"/>
              <w:rPr>
                <w:rFonts w:hint="eastAsia" w:ascii="Times New Roman" w:hAnsi="Times New Roman" w:eastAsia="宋体" w:cs="Times New Roman"/>
                <w:color w:val="FF0000"/>
                <w:kern w:val="2"/>
                <w:sz w:val="21"/>
                <w:szCs w:val="24"/>
                <w:lang w:val="sq-AL" w:eastAsia="zh-CN" w:bidi="ar-SA"/>
              </w:rPr>
            </w:pPr>
            <w:r>
              <w:rPr>
                <w:rFonts w:hint="eastAsia" w:ascii="Times New Roman" w:hAnsi="Times New Roman" w:eastAsia="宋体" w:cs="Times New Roman"/>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3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color w:val="FF0000"/>
              </w:rPr>
            </w:pPr>
            <w:r>
              <w:rPr>
                <w:rFonts w:hint="eastAsia" w:ascii="Times New Roman" w:hAnsi="Times New Roman" w:cs="Times New Roman"/>
                <w:color w:val="FF0000"/>
                <w:lang w:eastAsia="zh-CN"/>
              </w:rPr>
              <w:t>售后服务方案</w:t>
            </w:r>
          </w:p>
        </w:tc>
        <w:tc>
          <w:tcPr>
            <w:tcW w:w="465" w:type="dxa"/>
            <w:noWrap w:val="0"/>
            <w:vAlign w:val="center"/>
          </w:tcPr>
          <w:p>
            <w:pPr>
              <w:spacing w:line="240" w:lineRule="auto"/>
              <w:jc w:val="center"/>
              <w:rPr>
                <w:rFonts w:hint="eastAsia" w:ascii="宋体" w:hAnsi="宋体" w:cs="Arial"/>
                <w:color w:val="FF0000"/>
                <w:kern w:val="0"/>
                <w:szCs w:val="21"/>
                <w:lang w:val="en-US" w:eastAsia="zh-CN"/>
              </w:rPr>
            </w:pPr>
            <w:r>
              <w:rPr>
                <w:rFonts w:hint="eastAsia" w:ascii="Times New Roman" w:hAnsi="Times New Roman" w:cs="Times New Roman"/>
                <w:color w:val="FF0000"/>
                <w:lang w:val="en-US" w:eastAsia="zh-CN"/>
              </w:rPr>
              <w:t>6</w:t>
            </w:r>
          </w:p>
        </w:tc>
        <w:tc>
          <w:tcPr>
            <w:tcW w:w="6303" w:type="dxa"/>
            <w:noWrap w:val="0"/>
            <w:vAlign w:val="center"/>
          </w:tcPr>
          <w:p>
            <w:pPr>
              <w:pStyle w:val="23"/>
              <w:spacing w:line="240" w:lineRule="auto"/>
              <w:ind w:firstLine="0" w:firstLineChars="0"/>
              <w:rPr>
                <w:rFonts w:hint="eastAsia" w:ascii="Times New Roman" w:hAnsi="Times New Roman" w:eastAsia="宋体" w:cs="Times New Roman"/>
                <w:b/>
                <w:bCs/>
                <w:color w:val="FF0000"/>
              </w:rPr>
            </w:pPr>
            <w:r>
              <w:rPr>
                <w:rFonts w:hint="eastAsia" w:ascii="Times New Roman" w:hAnsi="Times New Roman" w:eastAsia="宋体" w:cs="Times New Roman"/>
                <w:b/>
                <w:bCs/>
                <w:color w:val="FF0000"/>
              </w:rPr>
              <w:t>（一）评分内容：</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投标人提供售后服务方案，包含以下内容：</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（1）售后服务机构及维护人员配置；</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（2）故障响应时间；</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（3）技术培训及备品备件支持计划。</w:t>
            </w:r>
          </w:p>
          <w:p>
            <w:pPr>
              <w:pStyle w:val="23"/>
              <w:spacing w:line="240" w:lineRule="auto"/>
              <w:ind w:firstLine="0" w:firstLineChars="0"/>
              <w:rPr>
                <w:rFonts w:hint="eastAsia" w:ascii="Times New Roman" w:hAnsi="Times New Roman" w:eastAsia="宋体" w:cs="Times New Roman"/>
                <w:b/>
                <w:bCs/>
                <w:color w:val="FF0000"/>
              </w:rPr>
            </w:pPr>
            <w:r>
              <w:rPr>
                <w:rFonts w:hint="eastAsia" w:ascii="Times New Roman" w:hAnsi="Times New Roman" w:eastAsia="宋体" w:cs="Times New Roman"/>
                <w:b/>
                <w:bCs/>
                <w:color w:val="FF0000"/>
              </w:rPr>
              <w:t>（二）评分标准：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方案包含以上三项内容得3分；包含以上二项内容得</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rPr>
              <w:t>分；包含以上一项内容得1分；其他情况不得分。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在此基础上，根据方案响应情况进一步评审：</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1.方案内容全面、具体，可行性高，加</w:t>
            </w: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color w:val="FF0000"/>
              </w:rPr>
              <w:t>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2.方案内容较全面，可行性较高，加</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rPr>
              <w:t>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3.方案全面性、可行性一般，加1分；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4.方案不全，可行性低，不加分。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FF0000"/>
              </w:rPr>
            </w:pPr>
          </w:p>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5</w:t>
            </w:r>
          </w:p>
        </w:tc>
        <w:tc>
          <w:tcPr>
            <w:tcW w:w="6303" w:type="dxa"/>
            <w:noWrap w:val="0"/>
            <w:vAlign w:val="top"/>
          </w:tcPr>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投标人参与政府采购活动在诚信管理中受过主管部门通报处理且仍在实施期限内的本项不得分，否则得5分。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价格部分</w:t>
            </w:r>
            <w:r>
              <w:rPr>
                <w:rFonts w:hint="eastAsia" w:ascii="宋体" w:hAnsi="宋体" w:cs="Arial"/>
                <w:color w:val="FF0000"/>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FF0000"/>
                <w:kern w:val="0"/>
                <w:sz w:val="21"/>
                <w:szCs w:val="21"/>
              </w:rPr>
            </w:pPr>
            <w:r>
              <w:rPr>
                <w:rFonts w:hint="eastAsia" w:ascii="宋体" w:hAnsi="宋体" w:eastAsia="宋体" w:cs="宋体"/>
                <w:bCs/>
                <w:color w:val="FF0000"/>
                <w:kern w:val="0"/>
                <w:sz w:val="21"/>
                <w:szCs w:val="21"/>
              </w:rPr>
              <w:t>价</w:t>
            </w:r>
            <w:r>
              <w:rPr>
                <w:rFonts w:hint="eastAsia" w:ascii="宋体" w:hAnsi="宋体" w:cs="宋体"/>
                <w:bCs/>
                <w:color w:val="FF0000"/>
                <w:kern w:val="0"/>
                <w:sz w:val="21"/>
                <w:szCs w:val="21"/>
                <w:lang w:eastAsia="zh-CN"/>
              </w:rPr>
              <w:t>格</w:t>
            </w:r>
            <w:r>
              <w:rPr>
                <w:rFonts w:hint="eastAsia" w:ascii="宋体" w:hAnsi="宋体" w:eastAsia="宋体" w:cs="宋体"/>
                <w:bCs/>
                <w:color w:val="FF0000"/>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FF0000"/>
                <w:kern w:val="0"/>
                <w:sz w:val="21"/>
                <w:szCs w:val="21"/>
                <w:lang w:val="en-US" w:eastAsia="zh-CN"/>
              </w:rPr>
              <w:t>3</w:t>
            </w:r>
            <w:r>
              <w:rPr>
                <w:rFonts w:hint="eastAsia" w:ascii="宋体" w:hAnsi="宋体" w:eastAsia="宋体" w:cs="宋体"/>
                <w:bCs/>
                <w:color w:val="FF0000"/>
                <w:kern w:val="0"/>
                <w:sz w:val="21"/>
                <w:szCs w:val="21"/>
              </w:rPr>
              <w:t xml:space="preserve">0分。其他投标人的价格分按照下列公式计算：   </w:t>
            </w:r>
          </w:p>
          <w:p>
            <w:pPr>
              <w:widowControl/>
              <w:spacing w:line="240" w:lineRule="auto"/>
              <w:jc w:val="left"/>
              <w:rPr>
                <w:rFonts w:hint="default" w:ascii="宋体" w:hAnsi="宋体" w:eastAsia="宋体" w:cs="Arial"/>
                <w:color w:val="FF0000"/>
                <w:kern w:val="0"/>
                <w:szCs w:val="21"/>
                <w:lang w:val="en-US" w:eastAsia="zh-CN"/>
              </w:rPr>
            </w:pPr>
            <w:r>
              <w:rPr>
                <w:rFonts w:hint="eastAsia" w:ascii="Times New Roman" w:hAnsi="Times New Roman" w:eastAsia="宋体" w:cs="Times New Roman"/>
                <w:color w:val="FF0000"/>
              </w:rPr>
              <w:t>投标报价得分=(评标基准价</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color w:val="FF0000"/>
              </w:rPr>
              <w:t>投标报价)×</w:t>
            </w:r>
            <w:r>
              <w:rPr>
                <w:rFonts w:hint="eastAsia" w:ascii="Times New Roman" w:hAnsi="Times New Roman" w:eastAsia="宋体" w:cs="Times New Roman"/>
                <w:color w:val="FF0000"/>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宋体"/>
          <w:bCs/>
          <w:color w:val="auto"/>
          <w:kern w:val="0"/>
          <w:sz w:val="21"/>
          <w:szCs w:val="21"/>
          <w:lang w:val="en-US" w:eastAsia="zh-CN"/>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8"/>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预算和单价</w:t>
      </w:r>
      <w:r>
        <w:rPr>
          <w:rFonts w:hint="eastAsia" w:ascii="宋体" w:hAnsi="宋体" w:eastAsia="宋体" w:cs="宋体"/>
          <w:bCs/>
          <w:color w:val="FF0000"/>
          <w:kern w:val="0"/>
          <w:sz w:val="21"/>
          <w:szCs w:val="21"/>
          <w:lang w:val="en-US" w:eastAsia="zh-CN"/>
        </w:rPr>
        <w:t>最高限价将导致无效投标</w:t>
      </w:r>
      <w:r>
        <w:rPr>
          <w:rFonts w:hint="eastAsia" w:ascii="宋体" w:hAnsi="宋体" w:eastAsia="宋体" w:cs="Times New Roman"/>
          <w:b/>
          <w:bCs/>
          <w:color w:val="FF0000"/>
          <w:szCs w:val="21"/>
          <w:lang w:val="en-US" w:eastAsia="zh-CN"/>
        </w:rPr>
        <w:t>）</w:t>
      </w:r>
    </w:p>
    <w:tbl>
      <w:tblPr>
        <w:tblStyle w:val="17"/>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26"/>
        <w:gridCol w:w="2691"/>
        <w:gridCol w:w="1191"/>
        <w:gridCol w:w="206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95" w:hRule="atLeast"/>
          <w:jc w:val="center"/>
        </w:trPr>
        <w:tc>
          <w:tcPr>
            <w:tcW w:w="62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69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数量</w:t>
            </w:r>
          </w:p>
        </w:tc>
        <w:tc>
          <w:tcPr>
            <w:tcW w:w="20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FF0000"/>
                <w:sz w:val="21"/>
                <w:szCs w:val="21"/>
                <w:lang w:val="en-US" w:eastAsia="zh-CN"/>
              </w:rPr>
            </w:pPr>
            <w:r>
              <w:rPr>
                <w:rFonts w:hint="eastAsia" w:eastAsia="宋体"/>
                <w:b/>
                <w:bCs/>
                <w:color w:val="FF0000"/>
                <w:sz w:val="21"/>
                <w:szCs w:val="21"/>
                <w:lang w:val="en-US" w:eastAsia="zh-CN"/>
              </w:rPr>
              <w:t>预算价（人民币元）</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7" w:hRule="atLeast"/>
          <w:jc w:val="center"/>
        </w:trPr>
        <w:tc>
          <w:tcPr>
            <w:tcW w:w="62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w:t>
            </w:r>
          </w:p>
        </w:tc>
        <w:tc>
          <w:tcPr>
            <w:tcW w:w="269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杏园居小高层更换电梯</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1台</w:t>
            </w:r>
          </w:p>
        </w:tc>
        <w:tc>
          <w:tcPr>
            <w:tcW w:w="20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cs="Times New Roman"/>
                <w:color w:val="FF0000"/>
                <w:sz w:val="21"/>
                <w:szCs w:val="21"/>
                <w:lang w:val="en-US" w:eastAsia="zh-CN"/>
              </w:rPr>
            </w:pPr>
            <w:r>
              <w:rPr>
                <w:rFonts w:hint="eastAsia" w:cs="Times New Roman"/>
                <w:color w:val="FF0000"/>
                <w:sz w:val="21"/>
                <w:szCs w:val="21"/>
                <w:lang w:val="en-US" w:eastAsia="zh-CN"/>
              </w:rPr>
              <w:t>210000</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cs="Times New Roman"/>
                <w:color w:val="FF0000"/>
                <w:sz w:val="21"/>
                <w:szCs w:val="21"/>
                <w:lang w:val="en-US" w:eastAsia="zh-CN"/>
              </w:rPr>
            </w:pPr>
            <w:r>
              <w:rPr>
                <w:rFonts w:hint="eastAsia" w:cs="Times New Roman"/>
                <w:color w:val="FF0000"/>
                <w:sz w:val="21"/>
                <w:szCs w:val="21"/>
                <w:lang w:val="en-US" w:eastAsia="zh-CN"/>
              </w:rPr>
              <w:t>更换现有旧电梯</w:t>
            </w:r>
          </w:p>
        </w:tc>
      </w:tr>
    </w:tbl>
    <w:p>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二</w:t>
      </w:r>
      <w:r>
        <w:rPr>
          <w:rFonts w:hint="eastAsia" w:ascii="宋体" w:hAnsi="宋体" w:eastAsia="宋体" w:cs="Times New Roman"/>
          <w:b/>
          <w:bCs/>
          <w:color w:val="FF0000"/>
          <w:szCs w:val="21"/>
          <w:lang w:eastAsia="zh-CN"/>
        </w:rPr>
        <w:t>、项目概况</w:t>
      </w:r>
    </w:p>
    <w:p>
      <w:pPr>
        <w:numPr>
          <w:ilvl w:val="0"/>
          <w:numId w:val="0"/>
        </w:numPr>
        <w:ind w:leftChars="0"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鉴于杏园居小高层职工宿舍楼电梯使用年限较长，结合深圳市场监督管理局宝安监管局《特种设备安全监察指令书》（深市监宝特令字〔2023〕001848号），为保障电梯使用安全，原则同意小高层更换垂直电梯。</w:t>
      </w:r>
    </w:p>
    <w:p>
      <w:pPr>
        <w:numPr>
          <w:ilvl w:val="0"/>
          <w:numId w:val="0"/>
        </w:numPr>
        <w:ind w:leftChars="0"/>
        <w:rPr>
          <w:rFonts w:hint="eastAsia" w:ascii="宋体" w:hAnsi="宋体" w:eastAsia="宋体" w:cs="Times New Roman"/>
          <w:b/>
          <w:bCs/>
          <w:color w:val="FF0000"/>
          <w:szCs w:val="21"/>
          <w:lang w:val="en-US" w:eastAsia="zh-CN"/>
        </w:rPr>
      </w:pPr>
      <w:r>
        <w:rPr>
          <w:rFonts w:hint="eastAsia" w:ascii="宋体" w:hAnsi="宋体"/>
          <w:b/>
          <w:bCs/>
          <w:color w:val="FF0000"/>
          <w:szCs w:val="21"/>
          <w:lang w:eastAsia="zh-CN"/>
        </w:rPr>
        <w:t>三、投标人</w:t>
      </w:r>
      <w:r>
        <w:rPr>
          <w:rFonts w:hint="eastAsia" w:ascii="宋体" w:hAnsi="宋体" w:eastAsia="宋体" w:cs="Times New Roman"/>
          <w:b/>
          <w:bCs/>
          <w:color w:val="FF0000"/>
          <w:szCs w:val="21"/>
          <w:lang w:val="en-US" w:eastAsia="zh-CN"/>
        </w:rPr>
        <w:t>资格要求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2.投标人满足《中华人民共和国政府采购法》第二十二条规定的条件（由供应商在《政府采购投标及履约承诺函》中作出声明）；</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参与本项目投标前三年内，在经营活动中没有重大违法记录；参与本项目政府采购活动时不存在被有关部门禁止参与政府采购活动且在有效期内的情况（由供应商在《政府采购投标及履约承诺函》中作出声明）；</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单位负责人为同一人或者存在直接控股、管理关系的不同供应商，不得参加同一合同项下的政府采购活动（须按本项目投标文件格式要求提供《政府采购投标及履约承诺函》和《股东构成审查表》加盖投标人公章）；</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投标截止时间前，投标人未被列入失信被执行人、重大税收违法案件当事人名单、政府采购严重违法失信行为记录名单（将通过“信用中国”网（www.creditchina.gov.cn）、中国政府采购网（www.ccgp.gov.cn）等渠道查询相关主体信用记录），投标人须提供官网的信用信息查询记录网络截图证明材料（查询时间须在采购公告之日起至投标截止日前）。</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6.本项目不接受联合体投标，不允许转包分包（由供应商在《政府采购投标及履约承诺函》中作出声明）。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211" w:firstLineChars="100"/>
        <w:jc w:val="left"/>
        <w:textAlignment w:val="auto"/>
        <w:rPr>
          <w:rFonts w:hint="eastAsia" w:ascii="宋体" w:hAnsi="宋体" w:cs="Times New Roman"/>
          <w:b/>
          <w:bCs/>
          <w:color w:val="FF0000"/>
          <w:szCs w:val="21"/>
          <w:lang w:val="en-US" w:eastAsia="zh-CN"/>
        </w:rPr>
      </w:pPr>
      <w:r>
        <w:rPr>
          <w:rFonts w:hint="eastAsia" w:ascii="宋体" w:hAnsi="宋体" w:cs="Times New Roman"/>
          <w:b/>
          <w:bCs/>
          <w:color w:val="FF0000"/>
          <w:szCs w:val="21"/>
          <w:lang w:val="en-US" w:eastAsia="zh-CN"/>
        </w:rPr>
        <w:t>四、项目类型</w:t>
      </w:r>
    </w:p>
    <w:p>
      <w:pPr>
        <w:numPr>
          <w:ilvl w:val="0"/>
          <w:numId w:val="0"/>
        </w:numPr>
        <w:ind w:leftChars="0"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一次性货物</w:t>
      </w:r>
    </w:p>
    <w:p>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521"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47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521" w:type="pct"/>
            <w:noWrap w:val="0"/>
            <w:vAlign w:val="center"/>
          </w:tcPr>
          <w:p>
            <w:pPr>
              <w:keepNext w:val="0"/>
              <w:keepLines w:val="0"/>
              <w:widowControl/>
              <w:suppressLineNumbers w:val="0"/>
              <w:jc w:val="center"/>
              <w:textAlignment w:val="center"/>
              <w:rPr>
                <w:rFonts w:hint="eastAsia" w:ascii="宋体" w:hAnsi="宋体" w:eastAsia="宋体" w:cs="宋体"/>
                <w:b/>
                <w:bCs w:val="0"/>
                <w:color w:val="FF0000"/>
                <w:kern w:val="0"/>
                <w:sz w:val="21"/>
                <w:szCs w:val="21"/>
                <w:lang w:val="en-US" w:eastAsia="zh-CN"/>
              </w:rPr>
            </w:pPr>
            <w:r>
              <w:rPr>
                <w:rFonts w:hint="eastAsia" w:ascii="宋体" w:hAnsi="宋体" w:cs="宋体"/>
                <w:b/>
                <w:color w:val="FF0000"/>
                <w:kern w:val="0"/>
                <w:szCs w:val="21"/>
              </w:rPr>
              <w:t>★</w:t>
            </w:r>
            <w:r>
              <w:rPr>
                <w:rFonts w:hint="eastAsia" w:ascii="宋体" w:hAnsi="宋体"/>
                <w:b/>
                <w:color w:val="FF0000"/>
                <w:kern w:val="0"/>
                <w:szCs w:val="21"/>
              </w:rPr>
              <w:t>资质要求</w:t>
            </w:r>
          </w:p>
        </w:tc>
        <w:tc>
          <w:tcPr>
            <w:tcW w:w="4478" w:type="pct"/>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 xml:space="preserve">（1）电梯制造商作为投标人的，须提供电梯制造商营业执照以及电梯制造商的《中华人民共和国特种设备（电梯）制造许可证》（乘客电梯B级及以上）证书和《中华人民共和国特种设备安装改造维修许可证（电梯）》（安装、维修B级及以上）证书；             </w:t>
            </w:r>
          </w:p>
          <w:p>
            <w:pPr>
              <w:keepNext w:val="0"/>
              <w:keepLines w:val="0"/>
              <w:pageBreakBefore w:val="0"/>
              <w:widowControl/>
              <w:numPr>
                <w:ilvl w:val="0"/>
                <w:numId w:val="0"/>
              </w:numPr>
              <w:kinsoku/>
              <w:wordWrap w:val="0"/>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rPr>
              <w:t>（2）代理商作为投标人的，须提供投标人和电梯制造商营业执照，电梯制造商的《中华人民共和国特种设备（电梯）制造许可证》（乘客电梯B级及以上)证书、投标人的《中华人民共和国特种设备安装改造维修许可证（电梯）》（安装、维修B级及以上）证书及电梯制造商出具的授权书（进口产品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jc w:val="center"/>
        </w:trPr>
        <w:tc>
          <w:tcPr>
            <w:tcW w:w="521" w:type="pct"/>
            <w:noWrap w:val="0"/>
            <w:vAlign w:val="center"/>
          </w:tcPr>
          <w:p>
            <w:pPr>
              <w:numPr>
                <w:ilvl w:val="0"/>
                <w:numId w:val="0"/>
              </w:numPr>
              <w:rPr>
                <w:rFonts w:hint="eastAsia" w:ascii="宋体" w:hAnsi="宋体"/>
                <w:b/>
                <w:bCs/>
                <w:color w:val="FF0000"/>
                <w:szCs w:val="21"/>
                <w:lang w:val="en-US" w:eastAsia="zh-CN"/>
              </w:rPr>
            </w:pPr>
            <w:r>
              <w:rPr>
                <w:rFonts w:hint="eastAsia" w:ascii="宋体" w:hAnsi="宋体"/>
                <w:b/>
                <w:bCs/>
                <w:color w:val="FF0000"/>
                <w:szCs w:val="21"/>
                <w:lang w:val="en-US" w:eastAsia="zh-CN"/>
              </w:rPr>
              <w:t xml:space="preserve"> </w:t>
            </w:r>
          </w:p>
          <w:p>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478" w:type="pct"/>
            <w:noWrap w:val="0"/>
            <w:vAlign w:val="center"/>
          </w:tcPr>
          <w:tbl>
            <w:tblPr>
              <w:tblStyle w:val="17"/>
              <w:tblW w:w="8309" w:type="dxa"/>
              <w:jc w:val="center"/>
              <w:tblLayout w:type="fixed"/>
              <w:tblCellMar>
                <w:top w:w="0" w:type="dxa"/>
                <w:left w:w="108" w:type="dxa"/>
                <w:bottom w:w="0" w:type="dxa"/>
                <w:right w:w="108" w:type="dxa"/>
              </w:tblCellMar>
            </w:tblPr>
            <w:tblGrid>
              <w:gridCol w:w="818"/>
              <w:gridCol w:w="1579"/>
              <w:gridCol w:w="5912"/>
            </w:tblGrid>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序号</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项目</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规格或材质</w:t>
                  </w:r>
                </w:p>
              </w:tc>
            </w:tr>
            <w:tr>
              <w:tblPrEx>
                <w:tblCellMar>
                  <w:top w:w="0" w:type="dxa"/>
                  <w:left w:w="108" w:type="dxa"/>
                  <w:bottom w:w="0" w:type="dxa"/>
                  <w:right w:w="108" w:type="dxa"/>
                </w:tblCellMar>
              </w:tblPrEx>
              <w:trPr>
                <w:trHeight w:val="90" w:hRule="atLeast"/>
                <w:jc w:val="center"/>
              </w:trPr>
              <w:tc>
                <w:tcPr>
                  <w:tcW w:w="8309" w:type="dxa"/>
                  <w:gridSpan w:val="3"/>
                  <w:tcBorders>
                    <w:top w:val="single" w:color="auto" w:sz="6" w:space="0"/>
                    <w:left w:val="single" w:color="auto" w:sz="6"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产品规格</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梯型</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电梯</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额定载重</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≥800kg</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3</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额定速度</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≥1.5m/s</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4</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层/站/门</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11/11/11</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5</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停靠层</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11</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6</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拖动方式</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交流变频变压（VVVF）</w:t>
                  </w:r>
                </w:p>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拖动系统：无齿曳引机，交流变频变压无级调速系统</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7</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驱动方式</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曵引式（永磁同步无齿轮）</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8</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制动器</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采用鼓式或块式制动器保证电梯可靠制停或静止 </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9</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控制方式</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控制系统：VVVF控制技术、全电脑模块化串行通讯控制技术，控制系统的主控电脑板，变频器均采用≥32位控制系统</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调速方式</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交流变频调速（VVVF）</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11</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通迅方式</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串行通迅</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12</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电源电压</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三相五线制动力电源380V±7% 50Hz</w:t>
                  </w:r>
                </w:p>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照明电源220V±7% 50Hz</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13</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操作方式</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全电脑集选控制、有/无司机</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14</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运行方式</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单控</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15</w:t>
                  </w:r>
                </w:p>
              </w:tc>
              <w:tc>
                <w:tcPr>
                  <w:tcW w:w="1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工作环境</w:t>
                  </w:r>
                </w:p>
              </w:tc>
              <w:tc>
                <w:tcPr>
                  <w:tcW w:w="59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室内（5-40℃）</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16</w:t>
                  </w:r>
                </w:p>
              </w:tc>
              <w:tc>
                <w:tcPr>
                  <w:tcW w:w="1579"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平层精度</w:t>
                  </w:r>
                </w:p>
              </w:tc>
              <w:tc>
                <w:tcPr>
                  <w:tcW w:w="5912"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≤±5（mm）</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ind w:firstLine="210" w:firstLineChars="100"/>
                    <w:rPr>
                      <w:rFonts w:hint="eastAsia" w:ascii="宋体" w:hAnsi="宋体" w:eastAsia="宋体" w:cs="宋体"/>
                      <w:color w:val="FF0000"/>
                      <w:sz w:val="21"/>
                      <w:szCs w:val="21"/>
                    </w:rPr>
                  </w:pPr>
                  <w:r>
                    <w:rPr>
                      <w:rFonts w:hint="eastAsia" w:ascii="宋体" w:hAnsi="宋体" w:eastAsia="宋体" w:cs="宋体"/>
                      <w:color w:val="FF0000"/>
                      <w:sz w:val="21"/>
                      <w:szCs w:val="21"/>
                    </w:rPr>
                    <w:t>17</w:t>
                  </w:r>
                </w:p>
              </w:tc>
              <w:tc>
                <w:tcPr>
                  <w:tcW w:w="1579"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噪音指标</w:t>
                  </w:r>
                </w:p>
              </w:tc>
              <w:tc>
                <w:tcPr>
                  <w:tcW w:w="5912"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符合GB7588标准</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18</w:t>
                  </w:r>
                </w:p>
              </w:tc>
              <w:tc>
                <w:tcPr>
                  <w:tcW w:w="1579"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振动加速度</w:t>
                  </w:r>
                </w:p>
              </w:tc>
              <w:tc>
                <w:tcPr>
                  <w:tcW w:w="5912"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符合GB7588标准</w:t>
                  </w:r>
                </w:p>
              </w:tc>
            </w:tr>
            <w:tr>
              <w:tblPrEx>
                <w:tblCellMar>
                  <w:top w:w="0" w:type="dxa"/>
                  <w:left w:w="108" w:type="dxa"/>
                  <w:bottom w:w="0" w:type="dxa"/>
                  <w:right w:w="108" w:type="dxa"/>
                </w:tblCellMar>
              </w:tblPrEx>
              <w:trPr>
                <w:trHeight w:val="90" w:hRule="atLeast"/>
                <w:jc w:val="center"/>
              </w:trPr>
              <w:tc>
                <w:tcPr>
                  <w:tcW w:w="8309" w:type="dxa"/>
                  <w:gridSpan w:val="3"/>
                  <w:tcBorders>
                    <w:top w:val="single" w:color="auto" w:sz="4"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轿厢</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轿厢围壁</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304发纹不锈钢</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开门方式</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中分</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3</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轿厢净空尺寸</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符合GB7588标准 （宽）*符合标准（深）* 2400mm以上 （高）</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4</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轿厢地面</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大理石</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5</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吊顶及照明</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发纹不锈钢及LED照明</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6</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轿厢通风</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轴流式风机</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7</w:t>
                  </w:r>
                </w:p>
              </w:tc>
              <w:tc>
                <w:tcPr>
                  <w:tcW w:w="157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轿厢门</w:t>
                  </w:r>
                </w:p>
              </w:tc>
              <w:tc>
                <w:tcPr>
                  <w:tcW w:w="5912" w:type="dxa"/>
                  <w:tcBorders>
                    <w:top w:val="single" w:color="auto" w:sz="6" w:space="0"/>
                    <w:left w:val="single" w:color="auto" w:sz="6" w:space="0"/>
                    <w:bottom w:val="single" w:color="auto" w:sz="4"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发纹不锈钢</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6" w:space="0"/>
                    <w:bottom w:val="single" w:color="auto" w:sz="4"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8</w:t>
                  </w:r>
                </w:p>
              </w:tc>
              <w:tc>
                <w:tcPr>
                  <w:tcW w:w="1579"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轿厢地坎</w:t>
                  </w:r>
                </w:p>
              </w:tc>
              <w:tc>
                <w:tcPr>
                  <w:tcW w:w="5912" w:type="dxa"/>
                  <w:tcBorders>
                    <w:top w:val="single" w:color="auto" w:sz="4" w:space="0"/>
                    <w:left w:val="single" w:color="auto" w:sz="6" w:space="0"/>
                    <w:bottom w:val="single" w:color="auto" w:sz="6" w:space="0"/>
                    <w:right w:val="single" w:color="auto" w:sz="4" w:space="0"/>
                  </w:tcBorders>
                  <w:vAlign w:val="center"/>
                </w:tcPr>
                <w:p>
                  <w:pPr>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硬质铝合金</w:t>
                  </w:r>
                </w:p>
              </w:tc>
            </w:tr>
            <w:tr>
              <w:tblPrEx>
                <w:tblCellMar>
                  <w:top w:w="0" w:type="dxa"/>
                  <w:left w:w="108" w:type="dxa"/>
                  <w:bottom w:w="0" w:type="dxa"/>
                  <w:right w:w="108" w:type="dxa"/>
                </w:tblCellMar>
              </w:tblPrEx>
              <w:trPr>
                <w:trHeight w:val="90" w:hRule="atLeast"/>
                <w:jc w:val="center"/>
              </w:trPr>
              <w:tc>
                <w:tcPr>
                  <w:tcW w:w="8309" w:type="dxa"/>
                  <w:gridSpan w:val="3"/>
                  <w:tcBorders>
                    <w:top w:val="single" w:color="auto" w:sz="4"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厅门及门套</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厅门</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全部发纹304不锈钢门板</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厅门门套</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全部发纹304不锈钢</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3</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b/>
                      <w:color w:val="FF0000"/>
                      <w:sz w:val="21"/>
                      <w:szCs w:val="21"/>
                    </w:rPr>
                    <w:t>▲</w:t>
                  </w:r>
                  <w:r>
                    <w:rPr>
                      <w:rFonts w:hint="eastAsia" w:ascii="宋体" w:hAnsi="宋体" w:eastAsia="宋体" w:cs="宋体"/>
                      <w:color w:val="FF0000"/>
                      <w:sz w:val="21"/>
                      <w:szCs w:val="21"/>
                    </w:rPr>
                    <w:t>原厅门装饰门套及门槛石</w:t>
                  </w:r>
                </w:p>
              </w:tc>
              <w:tc>
                <w:tcPr>
                  <w:tcW w:w="5912" w:type="dxa"/>
                  <w:tcBorders>
                    <w:top w:val="single" w:color="auto" w:sz="6" w:space="0"/>
                    <w:left w:val="single" w:color="auto" w:sz="6" w:space="0"/>
                    <w:bottom w:val="single" w:color="auto" w:sz="6"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保留原电梯厅门门套及门槛石装饰，如在施工中有损坏，投标人负责修复至原门套装饰状态，整体与电梯前室装饰相匹配。</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lang w:val="zh-CN"/>
                    </w:rPr>
                  </w:pPr>
                  <w:r>
                    <w:rPr>
                      <w:rFonts w:hint="eastAsia" w:ascii="宋体" w:hAnsi="宋体" w:eastAsia="宋体" w:cs="宋体"/>
                      <w:color w:val="FF0000"/>
                      <w:sz w:val="21"/>
                      <w:szCs w:val="21"/>
                    </w:rPr>
                    <w:t>4</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净开门尺寸</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800 （宽）*  2100  （高）(与现有旧电梯尺寸保持一致)</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5</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20" w:firstLineChars="200"/>
                    <w:jc w:val="center"/>
                    <w:rPr>
                      <w:rFonts w:hint="eastAsia" w:ascii="宋体" w:hAnsi="宋体" w:eastAsia="宋体" w:cs="宋体"/>
                      <w:color w:val="FF0000"/>
                      <w:sz w:val="21"/>
                      <w:szCs w:val="21"/>
                    </w:rPr>
                  </w:pPr>
                  <w:r>
                    <w:rPr>
                      <w:rFonts w:hint="eastAsia" w:ascii="宋体" w:hAnsi="宋体" w:eastAsia="宋体" w:cs="宋体"/>
                      <w:color w:val="FF0000"/>
                      <w:sz w:val="21"/>
                      <w:szCs w:val="21"/>
                    </w:rPr>
                    <w:t>厅门地坎</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硬质铝合金</w:t>
                  </w:r>
                </w:p>
              </w:tc>
            </w:tr>
            <w:tr>
              <w:tblPrEx>
                <w:tblCellMar>
                  <w:top w:w="0" w:type="dxa"/>
                  <w:left w:w="108" w:type="dxa"/>
                  <w:bottom w:w="0" w:type="dxa"/>
                  <w:right w:w="108" w:type="dxa"/>
                </w:tblCellMar>
              </w:tblPrEx>
              <w:trPr>
                <w:trHeight w:val="90" w:hRule="atLeast"/>
                <w:jc w:val="center"/>
              </w:trPr>
              <w:tc>
                <w:tcPr>
                  <w:tcW w:w="8309" w:type="dxa"/>
                  <w:gridSpan w:val="3"/>
                  <w:tcBorders>
                    <w:top w:val="single" w:color="auto" w:sz="6"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讯号装置</w:t>
                  </w:r>
                </w:p>
              </w:tc>
            </w:tr>
            <w:tr>
              <w:tblPrEx>
                <w:tblCellMar>
                  <w:top w:w="0" w:type="dxa"/>
                  <w:left w:w="108" w:type="dxa"/>
                  <w:bottom w:w="0" w:type="dxa"/>
                  <w:right w:w="108" w:type="dxa"/>
                </w:tblCellMar>
              </w:tblPrEx>
              <w:trPr>
                <w:trHeight w:val="90" w:hRule="atLeast"/>
                <w:jc w:val="center"/>
              </w:trPr>
              <w:tc>
                <w:tcPr>
                  <w:tcW w:w="818"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1</w:t>
                  </w:r>
                </w:p>
              </w:tc>
              <w:tc>
                <w:tcPr>
                  <w:tcW w:w="157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电梯通风</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b/>
                      <w:bCs/>
                      <w:color w:val="FF0000"/>
                      <w:sz w:val="21"/>
                      <w:szCs w:val="21"/>
                    </w:rPr>
                  </w:pPr>
                  <w:r>
                    <w:rPr>
                      <w:rFonts w:hint="eastAsia" w:ascii="宋体" w:hAnsi="宋体" w:eastAsia="宋体" w:cs="宋体"/>
                      <w:b/>
                      <w:bCs/>
                      <w:color w:val="FF0000"/>
                      <w:sz w:val="21"/>
                      <w:szCs w:val="21"/>
                    </w:rPr>
                    <w:t>风扇</w:t>
                  </w:r>
                </w:p>
              </w:tc>
            </w:tr>
            <w:tr>
              <w:tblPrEx>
                <w:tblCellMar>
                  <w:top w:w="0" w:type="dxa"/>
                  <w:left w:w="108" w:type="dxa"/>
                  <w:bottom w:w="0" w:type="dxa"/>
                  <w:right w:w="108" w:type="dxa"/>
                </w:tblCellMar>
              </w:tblPrEx>
              <w:trPr>
                <w:trHeight w:val="90" w:hRule="atLeast"/>
                <w:jc w:val="center"/>
              </w:trPr>
              <w:tc>
                <w:tcPr>
                  <w:tcW w:w="818" w:type="dxa"/>
                  <w:vMerge w:val="restart"/>
                  <w:tcBorders>
                    <w:top w:val="single" w:color="auto" w:sz="6" w:space="0"/>
                    <w:left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轿厢操纵箱</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发纹不锈钢；操作板样式由中标人在中标后向采购人提供。</w:t>
                  </w:r>
                </w:p>
              </w:tc>
            </w:tr>
            <w:tr>
              <w:tblPrEx>
                <w:tblCellMar>
                  <w:top w:w="0" w:type="dxa"/>
                  <w:left w:w="108" w:type="dxa"/>
                  <w:bottom w:w="0" w:type="dxa"/>
                  <w:right w:w="108" w:type="dxa"/>
                </w:tblCellMar>
              </w:tblPrEx>
              <w:trPr>
                <w:trHeight w:val="90" w:hRule="atLeast"/>
                <w:jc w:val="center"/>
              </w:trPr>
              <w:tc>
                <w:tcPr>
                  <w:tcW w:w="818" w:type="dxa"/>
                  <w:vMerge w:val="continue"/>
                  <w:tcBorders>
                    <w:left w:val="single" w:color="auto" w:sz="6" w:space="0"/>
                    <w:right w:val="single" w:color="auto" w:sz="6" w:space="0"/>
                  </w:tcBorders>
                  <w:vAlign w:val="center"/>
                </w:tcPr>
                <w:p>
                  <w:pPr>
                    <w:spacing w:line="400" w:lineRule="exact"/>
                    <w:ind w:firstLine="420" w:firstLineChars="200"/>
                    <w:jc w:val="center"/>
                    <w:rPr>
                      <w:rFonts w:hint="eastAsia" w:ascii="宋体" w:hAnsi="宋体" w:eastAsia="宋体" w:cs="宋体"/>
                      <w:color w:val="FF0000"/>
                      <w:sz w:val="21"/>
                      <w:szCs w:val="21"/>
                    </w:rPr>
                  </w:pP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轿内显示器</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LED点阵</w:t>
                  </w:r>
                </w:p>
              </w:tc>
            </w:tr>
            <w:tr>
              <w:tblPrEx>
                <w:tblCellMar>
                  <w:top w:w="0" w:type="dxa"/>
                  <w:left w:w="108" w:type="dxa"/>
                  <w:bottom w:w="0" w:type="dxa"/>
                  <w:right w:w="108" w:type="dxa"/>
                </w:tblCellMar>
              </w:tblPrEx>
              <w:trPr>
                <w:trHeight w:val="90" w:hRule="atLeast"/>
                <w:jc w:val="center"/>
              </w:trPr>
              <w:tc>
                <w:tcPr>
                  <w:tcW w:w="818" w:type="dxa"/>
                  <w:vMerge w:val="continue"/>
                  <w:tcBorders>
                    <w:left w:val="single" w:color="auto" w:sz="6" w:space="0"/>
                    <w:bottom w:val="single" w:color="auto" w:sz="4" w:space="0"/>
                    <w:right w:val="single" w:color="auto" w:sz="6" w:space="0"/>
                  </w:tcBorders>
                  <w:vAlign w:val="center"/>
                </w:tcPr>
                <w:p>
                  <w:pPr>
                    <w:spacing w:line="400" w:lineRule="exact"/>
                    <w:ind w:firstLine="420" w:firstLineChars="200"/>
                    <w:jc w:val="center"/>
                    <w:rPr>
                      <w:rFonts w:hint="eastAsia" w:ascii="宋体" w:hAnsi="宋体" w:eastAsia="宋体" w:cs="宋体"/>
                      <w:color w:val="FF0000"/>
                      <w:sz w:val="21"/>
                      <w:szCs w:val="21"/>
                    </w:rPr>
                  </w:pPr>
                </w:p>
              </w:tc>
              <w:tc>
                <w:tcPr>
                  <w:tcW w:w="157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按钮</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304发纹不锈钢</w:t>
                  </w:r>
                </w:p>
              </w:tc>
            </w:tr>
            <w:tr>
              <w:tblPrEx>
                <w:tblCellMar>
                  <w:top w:w="0" w:type="dxa"/>
                  <w:left w:w="108" w:type="dxa"/>
                  <w:bottom w:w="0" w:type="dxa"/>
                  <w:right w:w="108" w:type="dxa"/>
                </w:tblCellMar>
              </w:tblPrEx>
              <w:trPr>
                <w:trHeight w:val="90" w:hRule="atLeast"/>
                <w:jc w:val="center"/>
              </w:trPr>
              <w:tc>
                <w:tcPr>
                  <w:tcW w:w="81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3</w:t>
                  </w:r>
                </w:p>
              </w:tc>
              <w:tc>
                <w:tcPr>
                  <w:tcW w:w="1579" w:type="dxa"/>
                  <w:tcBorders>
                    <w:top w:val="single" w:color="auto" w:sz="6" w:space="0"/>
                    <w:left w:val="single" w:color="auto" w:sz="4" w:space="0"/>
                    <w:bottom w:val="nil"/>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外呼面板材质</w:t>
                  </w:r>
                </w:p>
              </w:tc>
              <w:tc>
                <w:tcPr>
                  <w:tcW w:w="5912" w:type="dxa"/>
                  <w:tcBorders>
                    <w:top w:val="single" w:color="auto" w:sz="6" w:space="0"/>
                    <w:left w:val="single" w:color="auto" w:sz="6" w:space="0"/>
                    <w:bottom w:val="nil"/>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304发纹不锈钢</w:t>
                  </w:r>
                </w:p>
              </w:tc>
            </w:tr>
            <w:tr>
              <w:tblPrEx>
                <w:tblCellMar>
                  <w:top w:w="0" w:type="dxa"/>
                  <w:left w:w="108" w:type="dxa"/>
                  <w:bottom w:w="0" w:type="dxa"/>
                  <w:right w:w="108" w:type="dxa"/>
                </w:tblCellMar>
              </w:tblPrEx>
              <w:trPr>
                <w:trHeight w:val="90" w:hRule="atLeas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eastAsia" w:ascii="宋体" w:hAnsi="宋体" w:eastAsia="宋体" w:cs="宋体"/>
                      <w:color w:val="FF0000"/>
                      <w:sz w:val="21"/>
                      <w:szCs w:val="21"/>
                    </w:rPr>
                  </w:pPr>
                </w:p>
              </w:tc>
              <w:tc>
                <w:tcPr>
                  <w:tcW w:w="157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外呼显示器</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LED点阵</w:t>
                  </w:r>
                </w:p>
              </w:tc>
            </w:tr>
            <w:tr>
              <w:tblPrEx>
                <w:tblCellMar>
                  <w:top w:w="0" w:type="dxa"/>
                  <w:left w:w="108" w:type="dxa"/>
                  <w:bottom w:w="0" w:type="dxa"/>
                  <w:right w:w="108" w:type="dxa"/>
                </w:tblCellMar>
              </w:tblPrEx>
              <w:trPr>
                <w:trHeight w:val="90" w:hRule="atLeas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eastAsia" w:ascii="宋体" w:hAnsi="宋体" w:eastAsia="宋体" w:cs="宋体"/>
                      <w:color w:val="FF0000"/>
                      <w:sz w:val="21"/>
                      <w:szCs w:val="21"/>
                    </w:rPr>
                  </w:pPr>
                </w:p>
              </w:tc>
              <w:tc>
                <w:tcPr>
                  <w:tcW w:w="157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按钮</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304发纹不锈钢</w:t>
                  </w:r>
                </w:p>
              </w:tc>
            </w:tr>
            <w:tr>
              <w:tblPrEx>
                <w:tblCellMar>
                  <w:top w:w="0" w:type="dxa"/>
                  <w:left w:w="108" w:type="dxa"/>
                  <w:bottom w:w="0" w:type="dxa"/>
                  <w:right w:w="108" w:type="dxa"/>
                </w:tblCellMar>
              </w:tblPrEx>
              <w:trPr>
                <w:trHeight w:val="90" w:hRule="atLeast"/>
                <w:jc w:val="center"/>
              </w:trPr>
              <w:tc>
                <w:tcPr>
                  <w:tcW w:w="830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其他</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57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机房</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修整</w:t>
                  </w:r>
                </w:p>
              </w:tc>
            </w:tr>
            <w:tr>
              <w:tblPrEx>
                <w:tblCellMar>
                  <w:top w:w="0" w:type="dxa"/>
                  <w:left w:w="108" w:type="dxa"/>
                  <w:bottom w:w="0" w:type="dxa"/>
                  <w:right w:w="108" w:type="dxa"/>
                </w:tblCellMar>
              </w:tblPrEx>
              <w:trPr>
                <w:trHeight w:val="9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157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 五方通话</w:t>
                  </w:r>
                </w:p>
              </w:tc>
              <w:tc>
                <w:tcPr>
                  <w:tcW w:w="5912" w:type="dxa"/>
                  <w:tcBorders>
                    <w:top w:val="single" w:color="auto" w:sz="6" w:space="0"/>
                    <w:left w:val="single" w:color="auto" w:sz="6" w:space="0"/>
                    <w:bottom w:val="single" w:color="auto" w:sz="6" w:space="0"/>
                    <w:right w:val="single" w:color="auto" w:sz="4" w:space="0"/>
                  </w:tcBorders>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无线五方通话</w:t>
                  </w:r>
                </w:p>
              </w:tc>
            </w:tr>
          </w:tbl>
          <w:p>
            <w:pPr>
              <w:spacing w:line="400" w:lineRule="exact"/>
              <w:rPr>
                <w:rFonts w:hint="eastAsia" w:ascii="宋体" w:hAnsi="宋体" w:eastAsia="宋体" w:cs="宋体"/>
                <w:color w:val="FF0000"/>
                <w:sz w:val="21"/>
                <w:szCs w:val="21"/>
                <w:lang w:val="en-US" w:eastAsia="zh-CN"/>
              </w:rPr>
            </w:pPr>
            <w:bookmarkStart w:id="2" w:name="_Toc6304"/>
            <w:r>
              <w:rPr>
                <w:rFonts w:hint="eastAsia" w:ascii="宋体" w:hAnsi="宋体" w:eastAsia="宋体" w:cs="宋体"/>
                <w:color w:val="FF0000"/>
                <w:sz w:val="21"/>
                <w:szCs w:val="21"/>
              </w:rPr>
              <w:t>（二）电梯功能配置一览表</w:t>
            </w:r>
            <w:bookmarkEnd w:id="2"/>
          </w:p>
          <w:tbl>
            <w:tblPr>
              <w:tblStyle w:val="17"/>
              <w:tblW w:w="84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2066"/>
              <w:gridCol w:w="5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8452" w:type="dxa"/>
                  <w:gridSpan w:val="3"/>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运行功能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序号</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功能</w:t>
                  </w:r>
                </w:p>
              </w:tc>
              <w:tc>
                <w:tcPr>
                  <w:tcW w:w="5619"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电梯变频驱动</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精确调整电动机转速，令电梯启动、运行、停止时的速度曲线平稳，圆滑，获得良好的舒适感。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门机变频驱动</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精确调整门电机转速，是电梯门的开启、关闭更轻柔灵敏。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3</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自动运行</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电梯在无人操作的情况下，按照乘客给出的指令自动运行，将乘客送至目的层。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4</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司机运行</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电梯由司机进行操控，司机按乘客的要求给出指令，电梯按指令要求驶向目的层。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5</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最佳曲线自动生成</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系统根据需要运行的距离，自动运算出最适合人机功能原理的曲线，没有个数的限制，而且不受短楼层的限制。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6</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加速段截车响应</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系统允许在电梯加速的过程中截车，自动响应相应的服务楼层指令，提高运行效率。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7</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分时服务层选择</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系统可以灵活设定分时服务时间段和相应的分时服务楼层。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8</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满载直驶</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当轿内满载时，为保持最大运行效率，电梯不响应经过的厅外召唤信号。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9</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开门时间自动调整</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按照层站召唤或轿厢召唤的区别，自动调整保持开门时间。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本层重开门</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关门途中，可以按本层站召唤按钮使门重新开启。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11</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即时关门</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电梯停站关门到位时，按下关门按钮，门立即被关闭。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12</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停梯开门</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电梯减速平层，直到完全停稳后方可开门。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13</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指令误登记消除</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乘客在操纵箱内可以采用连续按动指令按钮两次的方法来取消上次错误登记的指令。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14</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驻停</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关闭电锁后电梯进入驻停状态，电梯不再响应任何外呼。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15</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换站停靠</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如果电梯在开门超过开门保护时间后，开门到位信号仍然无效，电梯将自动关门，自动运行至下一层停靠。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16</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低速自救</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当电梯处于非检修状态，且未停在平层区，此时如符合运行的安全要求，电梯将自动以慢速运行至平层区，然后开门。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17</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启动转矩自动补偿</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电梯在运行前，自动根据电梯的载重情况，进行启动补偿，达到平稳的启动效果，提高乘坐舒适感。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18</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直接停靠</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自动运算生成运行曲线，没有爬行，直接停靠平层位置，提高运行效率。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19</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按钮嵌入自诊断</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若某层呼梯按钮嵌入持续未断开，系统不再登记该层呼梯。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20</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防捣乱</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当电梯连续多次到站开门光幕不动作，系统判断为捣乱。取消已登记的内指令。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21</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空闲反基站</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自动状态下，在设定的时间范围内电梯未使用，电梯自动返基站等候乘客。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22</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消防返回</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消防状态下，所有召唤均被取消，电梯立即驶往指定救援层站停靠，并自动开门。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52" w:type="dxa"/>
                  <w:gridSpan w:val="3"/>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应急功能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应急照明</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停电时，自动打开轿内应急照明。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紧急电动运行</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当进入紧急电动状态时，轿厢以低速点动运行。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3</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五方通话装置</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通过对讲机，可在轿内、轿顶、电梯机房、井道底坑、救援值班室之间通话。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4</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警铃</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紧急时，连续按下轿内操纵箱上的警铃按钮，安装于轿厢顶上的警铃会鸣响。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52" w:type="dxa"/>
                  <w:gridSpan w:val="3"/>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节能功能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风扇、照明自动关闭</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在规定的时间内没有召唤或指令信号，轿厢内风扇和照明会自动关闭，节约能源。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定时自动开关梯</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系统按所设置时间自动开梯/关梯。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52" w:type="dxa"/>
                  <w:gridSpan w:val="3"/>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安全功能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抱闸力自动检测</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系统将定期自动对制动器的制动力进行检测，如制动力不符合要求，采取保护措施。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光幕保护</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光幕被遮挡时，关门动作立即停止且自动开门。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3</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超载停驶</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轿厢超载时，电梯门常开，蜂鸣器鸣响并停止于该层站。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4</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曳引绳滑动检测</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实时检测电梯运行位置偏移量，钢丝绳打滑超出允许值时，电梯减速，停止运行。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5</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检修操作</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当进入检修状态时，轿厢以低速点动运行。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6</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故障自诊断</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系统自动获取故障发生时的状态信息，以便快速排除故障，迅速恢复电梯运行。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7</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故障自动停靠</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运行中系统发生故障，满足安全运行要求的前提下，电梯就近平层开门。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8</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重复开关门</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电梯开关门时因阻碍或干扰，电梯门会重复打开或关闭。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9</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上下越层及上下极限保护装置</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该装置可有效的防止当电梯万一发生失控时的冲顶或撞底现象，使电梯更安全可靠。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下行超速保护装置</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当电梯下行运行超速时，该装置自动切断控制电源，使电机停止运转，安全钳动作，强制电梯停止运行。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11</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上行超速保护装置</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当电梯上行超速时，该装置自动将电梯减速或制停。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12</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安全回路保护</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安全回路断开或安全回路接触器粘连，电梯立即停止。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13</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门连锁保护</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门全部关闭，电梯方可运行，或门锁接触器粘连，电梯立即停止。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14</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接触器保护</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系统随时检测接触器动作是否可靠，发现异常，电梯立即停止运行。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15</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抱闸检测保护</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对抱闸的打开或闭合实时检测，若发生异常，或抱闸接触器粘连，电梯禁止启动。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16</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电压自动识别功能</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系统通过检测输入电压的大小，自动调节电梯运行速度，以适应电源功率不足的情况（如应急运行）。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7"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17</w:t>
                  </w:r>
                </w:p>
              </w:tc>
              <w:tc>
                <w:tcPr>
                  <w:tcW w:w="2066" w:type="dxa"/>
                  <w:vAlign w:val="center"/>
                </w:tcPr>
                <w:p>
                  <w:pPr>
                    <w:spacing w:line="40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轿厢意外移动保护功能（UCMP）</w:t>
                  </w:r>
                </w:p>
              </w:tc>
              <w:tc>
                <w:tcPr>
                  <w:tcW w:w="5619" w:type="dxa"/>
                  <w:vAlign w:val="center"/>
                </w:tcPr>
                <w:p>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在开锁区域且轿门未关闭的情况下，由于相关元件失效引起轿厢离开层站，保护装置将立即动作，停止轿厢移动。</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Cs w:val="21"/>
          <w:lang w:val="en-US" w:eastAsia="zh-CN"/>
        </w:rPr>
        <w:t>六、商务条款</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7"/>
        <w:gridCol w:w="77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37"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756" w:type="dxa"/>
            <w:tcBorders>
              <w:left w:val="single" w:color="auto" w:sz="4" w:space="0"/>
            </w:tcBorders>
            <w:noWrap w:val="0"/>
            <w:vAlign w:val="top"/>
          </w:tcPr>
          <w:p>
            <w:pPr>
              <w:jc w:val="center"/>
              <w:rPr>
                <w:rFonts w:hint="eastAsia" w:ascii="宋体" w:hAnsi="宋体"/>
                <w:b/>
                <w:color w:val="FF0000"/>
                <w:kern w:val="0"/>
                <w:sz w:val="21"/>
                <w:szCs w:val="21"/>
                <w:lang w:eastAsia="zh-CN"/>
              </w:rPr>
            </w:pPr>
            <w:r>
              <w:rPr>
                <w:rFonts w:hint="eastAsia" w:ascii="宋体" w:hAnsi="宋体"/>
                <w:b/>
                <w:color w:val="FF0000"/>
                <w:kern w:val="0"/>
                <w:sz w:val="21"/>
                <w:szCs w:val="21"/>
                <w:lang w:eastAsia="zh-CN"/>
              </w:rPr>
              <w:t>招标商务条款</w:t>
            </w:r>
            <w:r>
              <w:rPr>
                <w:rFonts w:hint="eastAsia" w:ascii="宋体" w:hAnsi="宋体"/>
                <w:b/>
                <w:color w:val="FF0000"/>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jc w:val="center"/>
        </w:trPr>
        <w:tc>
          <w:tcPr>
            <w:tcW w:w="1337" w:type="dxa"/>
            <w:noWrap w:val="0"/>
            <w:vAlign w:val="center"/>
          </w:tcPr>
          <w:p>
            <w:pPr>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rPr>
              <w:t>★售后服务要求</w:t>
            </w:r>
          </w:p>
        </w:tc>
        <w:tc>
          <w:tcPr>
            <w:tcW w:w="7756" w:type="dxa"/>
            <w:noWrap w:val="0"/>
            <w:vAlign w:val="center"/>
          </w:tcPr>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须由生产厂家或其分支机构（不得外包）提供电梯的质保三年，人工维保三年（期间产生的费用均已包含在投标报价中），服务期满后根据采购方的履约评价做出是否续签长期服务合同。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37" w:type="dxa"/>
            <w:noWrap w:val="0"/>
            <w:vAlign w:val="center"/>
          </w:tcPr>
          <w:p>
            <w:pPr>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rPr>
              <w:t>★验收方式</w:t>
            </w:r>
          </w:p>
        </w:tc>
        <w:tc>
          <w:tcPr>
            <w:tcW w:w="7756" w:type="dxa"/>
            <w:noWrap w:val="0"/>
            <w:vAlign w:val="center"/>
          </w:tcPr>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以政府验收合格以及院方验收合格为准。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37" w:type="dxa"/>
            <w:noWrap w:val="0"/>
            <w:vAlign w:val="center"/>
          </w:tcPr>
          <w:p>
            <w:pPr>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rPr>
              <w:t>★报价要求</w:t>
            </w:r>
          </w:p>
        </w:tc>
        <w:tc>
          <w:tcPr>
            <w:tcW w:w="7756" w:type="dxa"/>
            <w:noWrap w:val="0"/>
            <w:vAlign w:val="center"/>
          </w:tcPr>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标报价以人民币报价，提供所投标产品总价包含：</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①含13%增值税发票的设备费用；</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②含3%增值税发票的安装、运输及保险、安装验收费用；</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③土建费用；</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④拆除过程中的意外损坏的修复费用；</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⑤五方通话功能的采购及安装费用及免费配合调试；</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⑥安装轿厢大理石地板的费用；</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⑦保留原有门套，若原有门套有受损采用304发纹不锈钢进行包边修复；</w:t>
            </w:r>
          </w:p>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⑧层门厅门层层为304发纹不锈钢，电梯所有外厅门选304发纹不锈钢材质。）；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37" w:type="dxa"/>
            <w:noWrap w:val="0"/>
            <w:vAlign w:val="center"/>
          </w:tcPr>
          <w:p>
            <w:pPr>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rPr>
              <w:t>★服务期限</w:t>
            </w:r>
          </w:p>
        </w:tc>
        <w:tc>
          <w:tcPr>
            <w:tcW w:w="7756" w:type="dxa"/>
            <w:noWrap w:val="0"/>
            <w:vAlign w:val="center"/>
          </w:tcPr>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签订合同后60天内完工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37" w:type="dxa"/>
            <w:noWrap w:val="0"/>
            <w:vAlign w:val="center"/>
          </w:tcPr>
          <w:p>
            <w:pPr>
              <w:jc w:val="center"/>
              <w:rPr>
                <w:rFonts w:hint="eastAsia" w:ascii="宋体" w:hAnsi="宋体" w:eastAsia="宋体" w:cs="宋体"/>
                <w:b/>
                <w:color w:val="FF0000"/>
                <w:kern w:val="0"/>
                <w:szCs w:val="21"/>
                <w:lang w:val="en-US" w:eastAsia="zh-CN"/>
              </w:rPr>
            </w:pPr>
            <w:r>
              <w:rPr>
                <w:rFonts w:hint="eastAsia" w:ascii="宋体" w:hAnsi="宋体" w:eastAsia="宋体" w:cs="宋体"/>
                <w:b/>
                <w:color w:val="FF0000"/>
                <w:kern w:val="0"/>
                <w:szCs w:val="21"/>
              </w:rPr>
              <w:t>★付款方式</w:t>
            </w:r>
          </w:p>
        </w:tc>
        <w:tc>
          <w:tcPr>
            <w:tcW w:w="7756" w:type="dxa"/>
            <w:noWrap w:val="0"/>
            <w:vAlign w:val="center"/>
          </w:tcPr>
          <w:p>
            <w:pPr>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经政府验收合格以及院方验收合格后，采购人收到中标人开具有效发票15个工作日内一次性100%支付。</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pStyle w:val="8"/>
        <w:rPr>
          <w:rFonts w:hint="eastAsia" w:ascii="宋体" w:hAnsi="宋体" w:cs="Arial"/>
          <w:b/>
          <w:color w:val="000000"/>
          <w:kern w:val="0"/>
          <w:sz w:val="32"/>
          <w:szCs w:val="32"/>
        </w:rPr>
      </w:pPr>
    </w:p>
    <w:p>
      <w:pPr>
        <w:rPr>
          <w:rFonts w:hint="eastAsia"/>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8"/>
          <w:rFonts w:hint="eastAsia" w:eastAsia="宋体"/>
          <w:color w:val="000000"/>
          <w:kern w:val="2"/>
          <w:sz w:val="21"/>
          <w:szCs w:val="24"/>
        </w:rPr>
      </w:pPr>
      <w:r>
        <w:rPr>
          <w:rStyle w:val="28"/>
          <w:rFonts w:hint="eastAsia"/>
          <w:color w:val="000000"/>
          <w:szCs w:val="28"/>
        </w:rPr>
        <w:t>项目编号：</w:t>
      </w:r>
      <w:r>
        <w:rPr>
          <w:rStyle w:val="28"/>
          <w:rFonts w:hint="eastAsia"/>
          <w:color w:val="000000"/>
          <w:szCs w:val="28"/>
          <w:u w:val="single"/>
        </w:rPr>
        <w:t xml:space="preserve">   </w:t>
      </w:r>
      <w:r>
        <w:rPr>
          <w:rStyle w:val="28"/>
          <w:rFonts w:hint="eastAsia"/>
          <w:b w:val="0"/>
          <w:bCs w:val="0"/>
          <w:color w:val="FF0000"/>
          <w:sz w:val="21"/>
          <w:szCs w:val="21"/>
          <w:u w:val="single"/>
          <w:lang w:val="en-US"/>
        </w:rPr>
        <w:t>（须与采购公告项目编号保持一致）</w:t>
      </w:r>
      <w:r>
        <w:rPr>
          <w:rStyle w:val="28"/>
          <w:rFonts w:hint="eastAsia"/>
          <w:color w:val="000000"/>
          <w:szCs w:val="28"/>
          <w:u w:val="single"/>
        </w:rPr>
        <w:t xml:space="preserve">      </w:t>
      </w:r>
      <w:r>
        <w:rPr>
          <w:rStyle w:val="28"/>
          <w:rFonts w:hint="eastAsia"/>
          <w:color w:val="000000"/>
          <w:szCs w:val="28"/>
          <w:u w:val="single"/>
          <w:lang w:val="en-US"/>
        </w:rPr>
        <w:t xml:space="preserve">    </w:t>
      </w:r>
      <w:bookmarkStart w:id="15" w:name="_GoBack"/>
      <w:bookmarkEnd w:id="15"/>
      <w:r>
        <w:rPr>
          <w:rStyle w:val="28"/>
          <w:rFonts w:hint="eastAsia"/>
          <w:color w:val="000000"/>
          <w:szCs w:val="28"/>
          <w:u w:val="single"/>
        </w:rPr>
        <w:t xml:space="preserve"> </w:t>
      </w:r>
    </w:p>
    <w:p>
      <w:pPr>
        <w:widowControl/>
        <w:spacing w:line="360" w:lineRule="atLeast"/>
        <w:ind w:firstLine="970" w:firstLineChars="345"/>
        <w:rPr>
          <w:rStyle w:val="28"/>
          <w:rFonts w:hint="eastAsia"/>
          <w:color w:val="000000"/>
          <w:szCs w:val="28"/>
          <w:u w:val="single"/>
        </w:rPr>
      </w:pPr>
      <w:r>
        <w:rPr>
          <w:rStyle w:val="28"/>
          <w:rFonts w:hint="eastAsia"/>
          <w:color w:val="000000"/>
          <w:szCs w:val="28"/>
        </w:rPr>
        <w:t>项目名称：</w:t>
      </w:r>
      <w:r>
        <w:rPr>
          <w:rStyle w:val="28"/>
          <w:rFonts w:hint="eastAsia"/>
          <w:color w:val="000000"/>
          <w:szCs w:val="28"/>
          <w:u w:val="single"/>
        </w:rPr>
        <w:t xml:space="preserve">  </w:t>
      </w:r>
      <w:r>
        <w:rPr>
          <w:rStyle w:val="28"/>
          <w:rFonts w:hint="eastAsia"/>
          <w:b w:val="0"/>
          <w:bCs w:val="0"/>
          <w:color w:val="FF0000"/>
          <w:sz w:val="21"/>
          <w:szCs w:val="21"/>
          <w:u w:val="single"/>
          <w:lang w:val="en-US"/>
        </w:rPr>
        <w:t xml:space="preserve">（须与采购公告项目名称保持一致）    </w:t>
      </w:r>
      <w:r>
        <w:rPr>
          <w:rStyle w:val="28"/>
          <w:rFonts w:hint="eastAsia"/>
          <w:color w:val="000000"/>
          <w:szCs w:val="28"/>
          <w:u w:val="single"/>
        </w:rPr>
        <w:t xml:space="preserve">         </w:t>
      </w:r>
    </w:p>
    <w:p>
      <w:pPr>
        <w:widowControl/>
        <w:spacing w:line="360" w:lineRule="atLeast"/>
        <w:ind w:firstLine="970" w:firstLineChars="345"/>
        <w:rPr>
          <w:rStyle w:val="28"/>
          <w:rFonts w:hint="eastAsia"/>
          <w:color w:val="000000"/>
          <w:szCs w:val="28"/>
          <w:u w:val="single"/>
        </w:rPr>
      </w:pPr>
      <w:r>
        <w:rPr>
          <w:rStyle w:val="28"/>
          <w:rFonts w:hint="eastAsia"/>
          <w:color w:val="000000"/>
          <w:szCs w:val="28"/>
        </w:rPr>
        <w:t>投标单位：</w:t>
      </w:r>
      <w:r>
        <w:rPr>
          <w:rStyle w:val="28"/>
          <w:rFonts w:hint="eastAsia"/>
          <w:color w:val="000000"/>
          <w:szCs w:val="28"/>
          <w:u w:val="single"/>
        </w:rPr>
        <w:t xml:space="preserve">  </w:t>
      </w:r>
      <w:r>
        <w:rPr>
          <w:rStyle w:val="28"/>
          <w:rFonts w:hint="eastAsia"/>
          <w:b w:val="0"/>
          <w:bCs w:val="0"/>
          <w:color w:val="FF0000"/>
          <w:sz w:val="21"/>
          <w:szCs w:val="21"/>
          <w:u w:val="single"/>
          <w:lang w:val="en-US"/>
        </w:rPr>
        <w:t>(须与单位公章保持一致）</w:t>
      </w:r>
      <w:r>
        <w:rPr>
          <w:rStyle w:val="28"/>
          <w:rFonts w:hint="eastAsia"/>
          <w:color w:val="000000"/>
          <w:szCs w:val="28"/>
          <w:u w:val="single"/>
        </w:rPr>
        <w:t xml:space="preserve"> </w:t>
      </w:r>
      <w:r>
        <w:rPr>
          <w:rStyle w:val="28"/>
          <w:rFonts w:hint="eastAsia"/>
          <w:color w:val="000000"/>
          <w:szCs w:val="28"/>
          <w:u w:val="single"/>
          <w:lang w:val="en-US"/>
        </w:rPr>
        <w:t xml:space="preserve"> </w:t>
      </w:r>
      <w:r>
        <w:rPr>
          <w:rStyle w:val="28"/>
          <w:rFonts w:hint="eastAsia"/>
          <w:color w:val="000000"/>
          <w:szCs w:val="28"/>
          <w:u w:val="single"/>
        </w:rPr>
        <w:t xml:space="preserve">                 </w:t>
      </w:r>
    </w:p>
    <w:p>
      <w:pPr>
        <w:widowControl/>
        <w:spacing w:line="360" w:lineRule="atLeast"/>
        <w:ind w:firstLine="970" w:firstLineChars="345"/>
        <w:rPr>
          <w:rStyle w:val="28"/>
          <w:rFonts w:hint="eastAsia"/>
          <w:b w:val="0"/>
          <w:bCs w:val="0"/>
          <w:color w:val="000000"/>
          <w:szCs w:val="28"/>
          <w:u w:val="single"/>
        </w:rPr>
      </w:pPr>
      <w:r>
        <w:rPr>
          <w:rStyle w:val="28"/>
          <w:rFonts w:hint="eastAsia"/>
          <w:color w:val="000000"/>
          <w:szCs w:val="28"/>
        </w:rPr>
        <w:t>生产厂商：</w:t>
      </w:r>
      <w:r>
        <w:rPr>
          <w:rStyle w:val="28"/>
          <w:rFonts w:hint="eastAsia"/>
          <w:color w:val="000000"/>
          <w:szCs w:val="28"/>
          <w:u w:val="single"/>
        </w:rPr>
        <w:t xml:space="preserve">                                      </w:t>
      </w:r>
    </w:p>
    <w:p>
      <w:pPr>
        <w:widowControl/>
        <w:spacing w:line="360" w:lineRule="atLeast"/>
        <w:ind w:firstLine="970" w:firstLineChars="345"/>
        <w:rPr>
          <w:rStyle w:val="28"/>
          <w:rFonts w:hint="eastAsia"/>
          <w:color w:val="000000"/>
          <w:szCs w:val="28"/>
        </w:rPr>
      </w:pPr>
      <w:r>
        <w:rPr>
          <w:rStyle w:val="28"/>
          <w:rFonts w:hint="eastAsia"/>
          <w:color w:val="000000"/>
          <w:szCs w:val="28"/>
        </w:rPr>
        <w:t>联</w:t>
      </w:r>
      <w:r>
        <w:rPr>
          <w:rStyle w:val="28"/>
          <w:rFonts w:hint="eastAsia"/>
          <w:color w:val="000000"/>
          <w:szCs w:val="28"/>
          <w:lang w:val="en-US"/>
        </w:rPr>
        <w:t xml:space="preserve"> </w:t>
      </w:r>
      <w:r>
        <w:rPr>
          <w:rStyle w:val="28"/>
          <w:rFonts w:hint="eastAsia"/>
          <w:color w:val="000000"/>
          <w:szCs w:val="28"/>
        </w:rPr>
        <w:t>系</w:t>
      </w:r>
      <w:r>
        <w:rPr>
          <w:rStyle w:val="28"/>
          <w:rFonts w:hint="eastAsia"/>
          <w:color w:val="000000"/>
          <w:szCs w:val="28"/>
          <w:lang w:val="en-US"/>
        </w:rPr>
        <w:t xml:space="preserve"> </w:t>
      </w:r>
      <w:r>
        <w:rPr>
          <w:rStyle w:val="28"/>
          <w:rFonts w:hint="eastAsia"/>
          <w:color w:val="000000"/>
          <w:szCs w:val="28"/>
        </w:rPr>
        <w:t xml:space="preserve">人:  </w:t>
      </w:r>
      <w:r>
        <w:rPr>
          <w:rStyle w:val="28"/>
          <w:rFonts w:hint="eastAsia"/>
          <w:color w:val="000000"/>
          <w:szCs w:val="28"/>
          <w:u w:val="single"/>
        </w:rPr>
        <w:t xml:space="preserve">                                     </w:t>
      </w:r>
    </w:p>
    <w:p>
      <w:pPr>
        <w:widowControl/>
        <w:spacing w:line="360" w:lineRule="atLeast"/>
        <w:ind w:firstLine="970" w:firstLineChars="345"/>
        <w:rPr>
          <w:rStyle w:val="28"/>
          <w:rFonts w:hint="eastAsia"/>
          <w:color w:val="000000"/>
          <w:szCs w:val="28"/>
          <w:u w:val="single"/>
        </w:rPr>
      </w:pPr>
      <w:r>
        <w:rPr>
          <w:rStyle w:val="28"/>
          <w:rFonts w:hint="eastAsia"/>
          <w:color w:val="000000"/>
          <w:szCs w:val="28"/>
        </w:rPr>
        <w:t>联系电话：</w:t>
      </w:r>
      <w:r>
        <w:rPr>
          <w:rStyle w:val="28"/>
          <w:rFonts w:hint="eastAsia"/>
          <w:color w:val="000000"/>
          <w:szCs w:val="28"/>
          <w:u w:val="single"/>
        </w:rPr>
        <w:t xml:space="preserve">                </w:t>
      </w:r>
      <w:r>
        <w:rPr>
          <w:rStyle w:val="28"/>
          <w:rFonts w:hint="eastAsia"/>
          <w:b w:val="0"/>
          <w:color w:val="000000"/>
          <w:sz w:val="18"/>
          <w:szCs w:val="18"/>
        </w:rPr>
        <w:t>（手机）</w:t>
      </w:r>
      <w:r>
        <w:rPr>
          <w:rStyle w:val="28"/>
          <w:rFonts w:hint="eastAsia"/>
          <w:color w:val="000000"/>
          <w:szCs w:val="28"/>
          <w:u w:val="single"/>
        </w:rPr>
        <w:t xml:space="preserve">      </w:t>
      </w:r>
      <w:r>
        <w:rPr>
          <w:rStyle w:val="28"/>
          <w:rFonts w:hint="eastAsia"/>
          <w:color w:val="000000"/>
          <w:szCs w:val="28"/>
          <w:u w:val="single"/>
          <w:lang w:val="en-US"/>
        </w:rPr>
        <w:t xml:space="preserve"> </w:t>
      </w:r>
      <w:r>
        <w:rPr>
          <w:rStyle w:val="28"/>
          <w:rFonts w:hint="eastAsia"/>
          <w:color w:val="000000"/>
          <w:szCs w:val="28"/>
          <w:u w:val="single"/>
        </w:rPr>
        <w:t xml:space="preserve">      </w:t>
      </w:r>
      <w:r>
        <w:rPr>
          <w:rStyle w:val="28"/>
          <w:rFonts w:hint="eastAsia"/>
          <w:b w:val="0"/>
          <w:color w:val="000000"/>
          <w:sz w:val="18"/>
          <w:szCs w:val="18"/>
        </w:rPr>
        <w:t>（办公）</w:t>
      </w:r>
    </w:p>
    <w:p>
      <w:pPr>
        <w:widowControl/>
        <w:spacing w:line="360" w:lineRule="atLeast"/>
        <w:ind w:firstLine="970" w:firstLineChars="345"/>
        <w:rPr>
          <w:rStyle w:val="28"/>
          <w:rFonts w:hint="eastAsia"/>
          <w:color w:val="000000"/>
          <w:szCs w:val="28"/>
          <w:u w:val="single"/>
        </w:rPr>
      </w:pPr>
      <w:r>
        <w:rPr>
          <w:rStyle w:val="28"/>
          <w:rFonts w:hint="eastAsia"/>
          <w:color w:val="000000"/>
          <w:szCs w:val="28"/>
        </w:rPr>
        <w:t>地</w:t>
      </w:r>
      <w:r>
        <w:rPr>
          <w:rStyle w:val="28"/>
          <w:rFonts w:hint="eastAsia"/>
          <w:color w:val="000000"/>
          <w:szCs w:val="28"/>
          <w:lang w:val="en-US"/>
        </w:rPr>
        <w:t xml:space="preserve">    </w:t>
      </w:r>
      <w:r>
        <w:rPr>
          <w:rStyle w:val="28"/>
          <w:rFonts w:hint="eastAsia"/>
          <w:color w:val="000000"/>
          <w:szCs w:val="28"/>
        </w:rPr>
        <w:t>址：</w:t>
      </w:r>
      <w:r>
        <w:rPr>
          <w:rStyle w:val="28"/>
          <w:rFonts w:hint="eastAsia"/>
          <w:color w:val="000000"/>
          <w:szCs w:val="28"/>
          <w:u w:val="single"/>
        </w:rPr>
        <w:t xml:space="preserve">                                     </w:t>
      </w:r>
      <w:r>
        <w:rPr>
          <w:rStyle w:val="28"/>
          <w:rFonts w:hint="eastAsia"/>
          <w:color w:val="000000"/>
          <w:szCs w:val="28"/>
          <w:u w:val="single"/>
          <w:lang w:val="en-US"/>
        </w:rPr>
        <w:t xml:space="preserve"> </w:t>
      </w:r>
      <w:r>
        <w:rPr>
          <w:rStyle w:val="28"/>
          <w:rFonts w:hint="eastAsia"/>
          <w:color w:val="000000"/>
          <w:szCs w:val="28"/>
          <w:u w:val="single"/>
        </w:rPr>
        <w:t xml:space="preserve"> </w:t>
      </w:r>
    </w:p>
    <w:p>
      <w:pPr>
        <w:widowControl/>
        <w:spacing w:line="360" w:lineRule="atLeast"/>
        <w:ind w:firstLine="970" w:firstLineChars="345"/>
        <w:rPr>
          <w:rStyle w:val="28"/>
          <w:rFonts w:hint="eastAsia"/>
          <w:color w:val="000000"/>
          <w:szCs w:val="28"/>
        </w:rPr>
      </w:pPr>
      <w:r>
        <w:rPr>
          <w:rStyle w:val="28"/>
          <w:rFonts w:hint="eastAsia"/>
          <w:color w:val="000000"/>
          <w:szCs w:val="28"/>
        </w:rPr>
        <w:t>日</w:t>
      </w:r>
      <w:r>
        <w:rPr>
          <w:rStyle w:val="28"/>
          <w:rFonts w:hint="eastAsia"/>
          <w:color w:val="000000"/>
          <w:szCs w:val="28"/>
          <w:lang w:val="en-US"/>
        </w:rPr>
        <w:t xml:space="preserve">    </w:t>
      </w:r>
      <w:r>
        <w:rPr>
          <w:rStyle w:val="28"/>
          <w:rFonts w:hint="eastAsia"/>
          <w:color w:val="000000"/>
          <w:szCs w:val="28"/>
        </w:rPr>
        <w:t>期：</w:t>
      </w:r>
      <w:r>
        <w:rPr>
          <w:rStyle w:val="28"/>
          <w:color w:val="000000"/>
          <w:szCs w:val="28"/>
        </w:rPr>
        <w:t>20</w:t>
      </w:r>
      <w:r>
        <w:rPr>
          <w:rStyle w:val="28"/>
          <w:rFonts w:hint="eastAsia"/>
          <w:color w:val="000000"/>
          <w:szCs w:val="28"/>
          <w:lang w:val="en-US"/>
        </w:rPr>
        <w:t>24</w:t>
      </w:r>
      <w:r>
        <w:rPr>
          <w:rStyle w:val="28"/>
          <w:color w:val="000000"/>
          <w:szCs w:val="28"/>
        </w:rPr>
        <w:t>年</w:t>
      </w:r>
      <w:r>
        <w:rPr>
          <w:rStyle w:val="28"/>
          <w:rFonts w:hint="eastAsia"/>
          <w:color w:val="000000"/>
          <w:szCs w:val="28"/>
          <w:u w:val="single"/>
        </w:rPr>
        <w:t xml:space="preserve">    </w:t>
      </w:r>
      <w:r>
        <w:rPr>
          <w:rStyle w:val="28"/>
          <w:color w:val="000000"/>
          <w:szCs w:val="28"/>
        </w:rPr>
        <w:t>月</w:t>
      </w:r>
      <w:r>
        <w:rPr>
          <w:rStyle w:val="28"/>
          <w:rFonts w:hint="eastAsia"/>
          <w:color w:val="000000"/>
          <w:szCs w:val="28"/>
          <w:u w:val="single"/>
        </w:rPr>
        <w:t xml:space="preserve">    </w:t>
      </w:r>
      <w:r>
        <w:rPr>
          <w:rStyle w:val="28"/>
          <w:color w:val="000000"/>
          <w:szCs w:val="28"/>
        </w:rPr>
        <w:t>日</w:t>
      </w:r>
      <w:r>
        <w:rPr>
          <w:rStyle w:val="28"/>
          <w:rFonts w:hint="eastAsia"/>
          <w:color w:val="000000"/>
          <w:szCs w:val="28"/>
        </w:rPr>
        <w:t xml:space="preserve">                                           </w:t>
      </w:r>
    </w:p>
    <w:p>
      <w:pPr>
        <w:widowControl/>
        <w:spacing w:line="360" w:lineRule="atLeast"/>
        <w:ind w:firstLine="970" w:firstLineChars="345"/>
        <w:rPr>
          <w:rStyle w:val="28"/>
          <w:rFonts w:hint="eastAsia"/>
          <w:color w:val="000000"/>
          <w:szCs w:val="28"/>
        </w:rPr>
      </w:pPr>
      <w:r>
        <w:rPr>
          <w:rStyle w:val="28"/>
          <w:rFonts w:hint="eastAsia"/>
          <w:color w:val="000000"/>
          <w:szCs w:val="28"/>
        </w:rPr>
        <w:t xml:space="preserve">                                           </w:t>
      </w:r>
    </w:p>
    <w:p>
      <w:pPr>
        <w:pStyle w:val="15"/>
        <w:keepNext w:val="0"/>
        <w:keepLines w:val="0"/>
        <w:pageBreakBefore w:val="0"/>
        <w:widowControl w:val="0"/>
        <w:kinsoku/>
        <w:wordWrap w:val="0"/>
        <w:overflowPunct/>
        <w:topLinePunct w:val="0"/>
        <w:autoSpaceDE/>
        <w:autoSpaceDN/>
        <w:bidi w:val="0"/>
        <w:adjustRightInd/>
        <w:snapToGrid/>
        <w:spacing w:line="240" w:lineRule="auto"/>
        <w:textAlignment w:val="auto"/>
        <w:rPr>
          <w:rStyle w:val="28"/>
          <w:rFonts w:hint="eastAsia" w:ascii="宋体" w:hAnsi="宋体" w:eastAsia="宋体" w:cs="Times New Roman"/>
          <w:color w:val="FF0000"/>
          <w:sz w:val="24"/>
          <w:szCs w:val="24"/>
          <w:lang w:val="en-US" w:eastAsia="zh-CN"/>
        </w:rPr>
      </w:pPr>
      <w:r>
        <w:rPr>
          <w:rStyle w:val="28"/>
          <w:rFonts w:hint="eastAsia" w:ascii="宋体" w:hAnsi="宋体" w:eastAsia="宋体" w:cs="Times New Roman"/>
          <w:color w:val="auto"/>
          <w:sz w:val="24"/>
          <w:szCs w:val="24"/>
          <w:lang w:val="en-US"/>
        </w:rPr>
        <w:t>备注：1.投标代表将</w:t>
      </w:r>
      <w:r>
        <w:rPr>
          <w:rStyle w:val="28"/>
          <w:rFonts w:hint="eastAsia" w:ascii="宋体" w:hAnsi="宋体" w:eastAsia="宋体" w:cs="Times New Roman"/>
          <w:color w:val="auto"/>
          <w:sz w:val="24"/>
          <w:szCs w:val="24"/>
          <w:lang w:val="en-US" w:eastAsia="zh-CN"/>
        </w:rPr>
        <w:t>投标电子版资料</w:t>
      </w:r>
      <w:r>
        <w:rPr>
          <w:rStyle w:val="28"/>
          <w:rFonts w:hint="eastAsia" w:ascii="宋体" w:hAnsi="宋体" w:eastAsia="宋体" w:cs="Times New Roman"/>
          <w:color w:val="auto"/>
          <w:sz w:val="24"/>
          <w:szCs w:val="24"/>
          <w:lang w:val="en-US"/>
        </w:rPr>
        <w:t>发送至电子邮箱</w:t>
      </w:r>
      <w:r>
        <w:rPr>
          <w:rStyle w:val="28"/>
          <w:rFonts w:hint="eastAsia" w:ascii="宋体" w:hAnsi="宋体" w:eastAsia="宋体" w:cs="Times New Roman"/>
          <w:color w:val="auto"/>
          <w:sz w:val="24"/>
          <w:szCs w:val="24"/>
          <w:lang w:val="en-US" w:eastAsia="zh-CN"/>
        </w:rPr>
        <w:t>预审(包括:</w:t>
      </w:r>
      <w:r>
        <w:rPr>
          <w:rStyle w:val="28"/>
          <w:rFonts w:hint="eastAsia" w:ascii="宋体" w:hAnsi="宋体" w:eastAsia="宋体" w:cs="Times New Roman"/>
          <w:color w:val="FF0000"/>
          <w:sz w:val="24"/>
          <w:szCs w:val="24"/>
          <w:lang w:val="en-US" w:eastAsia="zh-CN"/>
        </w:rPr>
        <w:t>①投标文件正本(不填报价）盖公章扫描件，PDF格式；②封面､报价单(不填报价），word文档格式，文件命名为：“项目名称+投标单位名称”）；</w:t>
      </w:r>
    </w:p>
    <w:p>
      <w:pPr>
        <w:pStyle w:val="15"/>
        <w:keepNext w:val="0"/>
        <w:keepLines w:val="0"/>
        <w:pageBreakBefore w:val="0"/>
        <w:widowControl w:val="0"/>
        <w:numPr>
          <w:ilvl w:val="0"/>
          <w:numId w:val="4"/>
        </w:numPr>
        <w:kinsoku/>
        <w:wordWrap w:val="0"/>
        <w:overflowPunct/>
        <w:topLinePunct w:val="0"/>
        <w:autoSpaceDE/>
        <w:autoSpaceDN/>
        <w:bidi w:val="0"/>
        <w:adjustRightInd/>
        <w:snapToGrid/>
        <w:spacing w:line="240" w:lineRule="auto"/>
        <w:textAlignment w:val="auto"/>
        <w:rPr>
          <w:rStyle w:val="28"/>
          <w:rFonts w:hint="eastAsia" w:ascii="宋体" w:hAnsi="宋体" w:eastAsia="宋体" w:cs="Times New Roman"/>
          <w:color w:val="auto"/>
          <w:sz w:val="24"/>
          <w:szCs w:val="24"/>
          <w:lang w:val="en-US" w:eastAsia="zh-CN"/>
        </w:rPr>
      </w:pPr>
      <w:r>
        <w:rPr>
          <w:rStyle w:val="28"/>
          <w:rFonts w:hint="eastAsia" w:ascii="宋体" w:hAnsi="宋体" w:eastAsia="宋体" w:cs="Times New Roman"/>
          <w:color w:val="auto"/>
          <w:sz w:val="24"/>
          <w:szCs w:val="24"/>
          <w:lang w:val="en-US" w:eastAsia="zh-CN"/>
        </w:rPr>
        <w:t>通过资格预审的投标单位，请按</w:t>
      </w:r>
      <w:r>
        <w:rPr>
          <w:rStyle w:val="28"/>
          <w:rFonts w:hint="eastAsia" w:ascii="宋体" w:hAnsi="宋体" w:eastAsia="宋体" w:cs="Times New Roman"/>
          <w:color w:val="auto"/>
          <w:sz w:val="24"/>
          <w:szCs w:val="24"/>
          <w:lang w:val="en-US"/>
        </w:rPr>
        <w:t>招标文件要求</w:t>
      </w:r>
      <w:r>
        <w:rPr>
          <w:rStyle w:val="28"/>
          <w:rFonts w:hint="eastAsia" w:ascii="宋体" w:hAnsi="宋体" w:eastAsia="宋体" w:cs="Times New Roman"/>
          <w:color w:val="auto"/>
          <w:sz w:val="24"/>
          <w:szCs w:val="24"/>
          <w:lang w:val="en-US" w:eastAsia="zh-CN"/>
        </w:rPr>
        <w:t>将</w:t>
      </w:r>
      <w:r>
        <w:rPr>
          <w:rStyle w:val="28"/>
          <w:rFonts w:hint="eastAsia" w:ascii="宋体" w:hAnsi="宋体" w:eastAsia="宋体" w:cs="Times New Roman"/>
          <w:color w:val="auto"/>
          <w:sz w:val="24"/>
          <w:szCs w:val="24"/>
          <w:lang w:val="en-US"/>
        </w:rPr>
        <w:t>投标</w:t>
      </w:r>
      <w:r>
        <w:rPr>
          <w:rStyle w:val="28"/>
          <w:rFonts w:hint="eastAsia" w:ascii="宋体" w:hAnsi="宋体" w:eastAsia="宋体" w:cs="Times New Roman"/>
          <w:color w:val="auto"/>
          <w:sz w:val="24"/>
          <w:szCs w:val="24"/>
          <w:lang w:val="en-US" w:eastAsia="zh-CN"/>
        </w:rPr>
        <w:t>文件、单独密封的报价单等递交至深圳市中西医结合医院招工体检楼6楼招标办公室；</w:t>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Style w:val="28"/>
          <w:rFonts w:hint="eastAsia" w:eastAsia="宋体"/>
          <w:color w:val="000000"/>
          <w:szCs w:val="28"/>
        </w:rPr>
      </w:pPr>
      <w:r>
        <w:rPr>
          <w:rStyle w:val="28"/>
          <w:rFonts w:hint="eastAsia" w:ascii="宋体" w:hAnsi="宋体" w:cs="Times New Roman"/>
          <w:color w:val="auto"/>
          <w:sz w:val="24"/>
          <w:szCs w:val="24"/>
          <w:lang w:val="en-US" w:eastAsia="zh-CN"/>
        </w:rPr>
        <w:t>3</w:t>
      </w:r>
      <w:r>
        <w:rPr>
          <w:rStyle w:val="28"/>
          <w:rFonts w:hint="eastAsia" w:ascii="宋体" w:hAnsi="宋体" w:eastAsia="宋体" w:cs="Times New Roman"/>
          <w:color w:val="auto"/>
          <w:sz w:val="24"/>
          <w:szCs w:val="24"/>
          <w:lang w:val="en-US"/>
        </w:rPr>
        <w:t>.正本及副本须拉杆装订或胶装，页码标注一致，页面按要求</w:t>
      </w:r>
      <w:r>
        <w:rPr>
          <w:rStyle w:val="28"/>
          <w:rFonts w:hint="eastAsia" w:ascii="宋体" w:hAnsi="宋体" w:eastAsia="宋体" w:cs="Times New Roman"/>
          <w:color w:val="auto"/>
          <w:sz w:val="24"/>
          <w:szCs w:val="24"/>
          <w:lang w:val="en-US" w:eastAsia="zh-CN"/>
        </w:rPr>
        <w:t>签署加盖公章</w:t>
      </w:r>
      <w:r>
        <w:rPr>
          <w:rStyle w:val="28"/>
          <w:rFonts w:hint="eastAsia" w:ascii="宋体" w:hAnsi="宋体" w:eastAsia="宋体" w:cs="Times New Roman"/>
          <w:color w:val="auto"/>
          <w:sz w:val="24"/>
          <w:szCs w:val="24"/>
          <w:lang w:val="en-US"/>
        </w:rPr>
        <w:t xml:space="preserve">。节约纸张，请双面打印。   </w:t>
      </w:r>
    </w:p>
    <w:p>
      <w:pPr>
        <w:pStyle w:val="15"/>
        <w:rPr>
          <w:rStyle w:val="28"/>
          <w:rFonts w:hint="eastAsia"/>
          <w:color w:val="000000"/>
          <w:szCs w:val="28"/>
        </w:rPr>
      </w:pPr>
    </w:p>
    <w:p>
      <w:pPr>
        <w:widowControl/>
        <w:spacing w:line="360" w:lineRule="atLeast"/>
        <w:jc w:val="center"/>
        <w:rPr>
          <w:rStyle w:val="28"/>
          <w:rFonts w:hint="eastAsia"/>
          <w:color w:val="000000"/>
          <w:sz w:val="36"/>
          <w:szCs w:val="36"/>
        </w:rPr>
      </w:pPr>
      <w:r>
        <w:rPr>
          <w:rStyle w:val="28"/>
          <w:rFonts w:hint="eastAsia"/>
          <w:color w:val="000000"/>
          <w:sz w:val="36"/>
          <w:szCs w:val="36"/>
        </w:rPr>
        <w:t>目</w:t>
      </w:r>
      <w:r>
        <w:rPr>
          <w:rStyle w:val="28"/>
          <w:rFonts w:hint="eastAsia"/>
          <w:color w:val="000000"/>
          <w:sz w:val="36"/>
          <w:szCs w:val="36"/>
          <w:lang w:val="en-US"/>
        </w:rPr>
        <w:t xml:space="preserve"> </w:t>
      </w:r>
      <w:r>
        <w:rPr>
          <w:rStyle w:val="28"/>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4.政府采购投标及履约承诺函---------------------------------------见第（）页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w:t>
      </w:r>
      <w:r>
        <w:rPr>
          <w:rFonts w:hint="eastAsia" w:ascii="宋体" w:hAnsi="宋体"/>
        </w:rPr>
        <w:t>股东构成审查表</w:t>
      </w:r>
      <w:r>
        <w:rPr>
          <w:rFonts w:hint="eastAsia" w:ascii="宋体" w:hAnsi="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7.</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8.</w:t>
      </w:r>
      <w:r>
        <w:rPr>
          <w:rFonts w:hint="eastAsia" w:ascii="宋体" w:hAnsi="宋体"/>
          <w:szCs w:val="21"/>
        </w:rPr>
        <w:t>法定代表人</w:t>
      </w:r>
      <w:r>
        <w:rPr>
          <w:rFonts w:hint="eastAsia" w:ascii="宋体" w:hAnsi="宋体"/>
          <w:szCs w:val="21"/>
          <w:lang w:eastAsia="zh-CN"/>
        </w:rPr>
        <w:t>委托</w:t>
      </w:r>
      <w:r>
        <w:rPr>
          <w:rFonts w:hint="eastAsia" w:ascii="宋体" w:hAnsi="宋体"/>
          <w:szCs w:val="21"/>
        </w:rPr>
        <w:t>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9.</w:t>
      </w:r>
      <w:bookmarkStart w:id="3" w:name="_Toc135293341"/>
      <w:r>
        <w:rPr>
          <w:rFonts w:hint="eastAsia" w:ascii="宋体" w:hAnsi="宋体"/>
          <w:szCs w:val="21"/>
          <w:lang w:val="en-US" w:eastAsia="zh-CN"/>
        </w:rPr>
        <w:t>政府采购违法行为风险知悉确认书</w:t>
      </w:r>
      <w:bookmarkEnd w:id="3"/>
      <w:r>
        <w:rPr>
          <w:rFonts w:hint="eastAsia" w:ascii="宋体" w:hAnsi="宋体"/>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cs="Times New Roman"/>
          <w:szCs w:val="21"/>
          <w:lang w:val="en-US" w:eastAsia="zh-CN"/>
        </w:rPr>
        <w:t>10</w:t>
      </w:r>
      <w:r>
        <w:rPr>
          <w:rFonts w:hint="eastAsia" w:ascii="宋体" w:hAnsi="宋体" w:eastAsia="宋体" w:cs="Times New Roman"/>
          <w:szCs w:val="21"/>
          <w:lang w:val="en-US" w:eastAsia="zh-CN"/>
        </w:rPr>
        <w:t>.投标函-</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12.</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14.</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eastAsia" w:ascii="宋体" w:hAnsi="宋体"/>
          <w:color w:val="auto"/>
          <w:szCs w:val="21"/>
          <w:lang w:eastAsia="zh-CN"/>
        </w:rPr>
      </w:pPr>
      <w:r>
        <w:rPr>
          <w:rFonts w:hint="eastAsia" w:ascii="宋体" w:hAnsi="宋体"/>
          <w:szCs w:val="21"/>
          <w:lang w:val="en-US" w:eastAsia="zh-CN"/>
        </w:rPr>
        <w:t>16.</w:t>
      </w:r>
      <w:r>
        <w:rPr>
          <w:rFonts w:hint="eastAsia" w:ascii="宋体" w:hAnsi="宋体"/>
          <w:color w:val="auto"/>
          <w:szCs w:val="21"/>
          <w:lang w:val="en-US" w:eastAsia="zh-CN"/>
        </w:rPr>
        <w:t>综合评分表涉及其他的内容资料-------------------------------</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7</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18.</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19.</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8"/>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5"/>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875"/>
        <w:gridCol w:w="7073"/>
        <w:gridCol w:w="1067"/>
        <w:gridCol w:w="151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87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56" w:hRule="exact"/>
          <w:jc w:val="center"/>
        </w:trPr>
        <w:tc>
          <w:tcPr>
            <w:tcW w:w="875"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pPr>
            <w:r>
              <w:rPr>
                <w:rFonts w:hint="eastAsia"/>
              </w:rPr>
              <w:t>资格性审查</w:t>
            </w: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yellow"/>
                <w:lang w:eastAsia="zh-CN"/>
              </w:rPr>
            </w:pP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20"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46"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宋体"/>
                <w:szCs w:val="21"/>
                <w:highlight w:val="none"/>
                <w:lang w:val="en-US" w:eastAsia="zh-CN"/>
              </w:rPr>
              <w:t>，</w:t>
            </w:r>
            <w:r>
              <w:rPr>
                <w:rFonts w:hint="eastAsia" w:ascii="宋体" w:hAnsi="宋体" w:eastAsia="宋体" w:cs="宋体"/>
                <w:kern w:val="0"/>
                <w:szCs w:val="21"/>
                <w:lang w:val="en-US" w:eastAsia="zh-CN"/>
              </w:rPr>
              <w:t>查询时间须在采购公告之日起至投标截止日前）。</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44"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7"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63" w:hRule="exact"/>
          <w:jc w:val="center"/>
        </w:trPr>
        <w:tc>
          <w:tcPr>
            <w:tcW w:w="875"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47"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2.按招标文件要求进行报价，分项报价或投标总价未超过本项目最高限价（采购预算金额）；</w:t>
            </w:r>
            <w:r>
              <w:rPr>
                <w:rFonts w:hint="eastAsia" w:ascii="宋体" w:hAnsi="宋体" w:cs="宋体"/>
              </w:rPr>
              <w:t>未出现选择性报价</w:t>
            </w:r>
            <w:r>
              <w:rPr>
                <w:rFonts w:hint="eastAsia" w:ascii="宋体" w:hAnsi="宋体" w:cs="宋体"/>
                <w:lang w:eastAsia="zh-CN"/>
              </w:rPr>
              <w:t>、</w:t>
            </w:r>
            <w:r>
              <w:rPr>
                <w:rFonts w:hint="eastAsia" w:ascii="宋体" w:hAnsi="宋体"/>
                <w:snapToGrid w:val="0"/>
                <w:kern w:val="0"/>
              </w:rPr>
              <w:t>严重缺漏项</w:t>
            </w:r>
            <w:r>
              <w:rPr>
                <w:rFonts w:hint="eastAsia" w:ascii="宋体" w:hAnsi="宋体" w:cs="宋体"/>
              </w:rPr>
              <w:t>或有附加条件报价的情形；</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9"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.按招标文件要求提供法定代表人证明书；</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2"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按招标文件要求提供法定代表人授权委托证明书</w:t>
            </w:r>
            <w:r>
              <w:rPr>
                <w:rFonts w:hint="eastAsia" w:ascii="宋体" w:hAnsi="宋体" w:cs="宋体"/>
                <w:szCs w:val="21"/>
                <w:highlight w:val="none"/>
                <w:lang w:val="en-US" w:eastAsia="zh-CN"/>
              </w:rPr>
              <w:t>及</w:t>
            </w:r>
            <w:r>
              <w:rPr>
                <w:rFonts w:hint="eastAsia" w:eastAsia="宋体"/>
                <w:b/>
                <w:bCs/>
                <w:color w:val="auto"/>
                <w:highlight w:val="none"/>
                <w:u w:val="none"/>
              </w:rPr>
              <w:t>社保缴纳证明文件</w:t>
            </w:r>
            <w:r>
              <w:rPr>
                <w:rFonts w:hint="eastAsia" w:eastAsia="宋体"/>
                <w:b/>
                <w:bCs/>
                <w:color w:val="auto"/>
                <w:highlight w:val="none"/>
                <w:u w:val="none"/>
                <w:lang w:eastAsia="zh-CN"/>
              </w:rPr>
              <w:t>。</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4"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.投标文件完全满足招标文件的实质性条款（即标注★号条款）无负偏离；</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82" w:hRule="exact"/>
          <w:jc w:val="center"/>
        </w:trPr>
        <w:tc>
          <w:tcPr>
            <w:tcW w:w="875"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按招标文件要求提供</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要求偏离表</w:t>
            </w:r>
            <w:r>
              <w:rPr>
                <w:rFonts w:hint="eastAsia" w:ascii="宋体" w:hAnsi="宋体" w:cs="宋体"/>
                <w:szCs w:val="21"/>
                <w:highlight w:val="none"/>
                <w:lang w:val="en-US" w:eastAsia="zh-CN"/>
              </w:rPr>
              <w:t>和</w:t>
            </w:r>
            <w:r>
              <w:rPr>
                <w:rFonts w:hint="eastAsia" w:ascii="宋体" w:hAnsi="宋体" w:eastAsia="宋体" w:cs="宋体"/>
                <w:szCs w:val="21"/>
                <w:highlight w:val="none"/>
                <w:lang w:val="en-US" w:eastAsia="zh-CN"/>
              </w:rPr>
              <w:t>商务要求偏离表；</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875"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w:t>
            </w:r>
            <w:r>
              <w:rPr>
                <w:rFonts w:hint="eastAsia" w:ascii="宋体" w:hAnsi="宋体"/>
                <w:snapToGrid w:val="0"/>
                <w:kern w:val="0"/>
              </w:rPr>
              <w:t>投标违规行为：如以他人名义竞标、串通投标或者以其他弄虚作假方式投标的。</w:t>
            </w:r>
            <w:r>
              <w:rPr>
                <w:rFonts w:hint="eastAsia"/>
                <w:b/>
                <w:bCs/>
                <w:color w:val="auto"/>
                <w:highlight w:val="none"/>
                <w:u w:val="none"/>
              </w:rPr>
              <w:t>投标人承诺不存在</w:t>
            </w:r>
            <w:r>
              <w:rPr>
                <w:rFonts w:hint="eastAsia"/>
                <w:b/>
                <w:bCs/>
                <w:color w:val="auto"/>
                <w:highlight w:val="none"/>
                <w:u w:val="none"/>
                <w:lang w:eastAsia="zh-CN"/>
              </w:rPr>
              <w:t>此情况</w:t>
            </w:r>
            <w:r>
              <w:rPr>
                <w:rFonts w:hint="eastAsia"/>
                <w:b/>
                <w:bCs/>
                <w:color w:val="auto"/>
                <w:highlight w:val="none"/>
                <w:u w:val="none"/>
              </w:rPr>
              <w:t>，提供承诺函</w:t>
            </w:r>
            <w:r>
              <w:rPr>
                <w:rFonts w:hint="eastAsia"/>
                <w:b/>
                <w:bCs/>
                <w:color w:val="auto"/>
                <w:highlight w:val="none"/>
                <w:u w:val="none"/>
                <w:lang w:eastAsia="zh-CN"/>
              </w:rPr>
              <w:t>（格式自拟）。</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lang w:val="en-US" w:eastAsia="zh-CN"/>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875"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7"/>
        <w:tabs>
          <w:tab w:val="left" w:pos="1260"/>
        </w:tabs>
        <w:ind w:left="0" w:leftChars="0" w:firstLine="0" w:firstLineChars="0"/>
        <w:jc w:val="center"/>
        <w:rPr>
          <w:rFonts w:hint="eastAsia" w:ascii="宋体" w:hAnsi="宋体" w:cs="Times New Roman"/>
          <w:b/>
          <w:bCs/>
          <w:color w:val="000000"/>
          <w:kern w:val="2"/>
          <w:sz w:val="21"/>
          <w:szCs w:val="21"/>
          <w:lang w:val="en-US" w:eastAsia="zh-CN" w:bidi="ar-SA"/>
        </w:rPr>
      </w:pPr>
    </w:p>
    <w:p>
      <w:pPr>
        <w:pStyle w:val="27"/>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1"/>
        <w:spacing w:line="360" w:lineRule="auto"/>
        <w:rPr>
          <w:rFonts w:hAnsi="宋体"/>
          <w:b/>
          <w:szCs w:val="21"/>
        </w:rPr>
      </w:pPr>
    </w:p>
    <w:p>
      <w:pPr>
        <w:pStyle w:val="15"/>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5"/>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lang w:eastAsia="zh-CN"/>
        </w:rPr>
        <w:t>须</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Times New Roman"/>
          <w:snapToGrid w:val="0"/>
          <w:color w:val="auto"/>
          <w:sz w:val="21"/>
          <w:lang w:val="en-US" w:eastAsia="zh-CN"/>
        </w:rPr>
        <w:t>3</w:t>
      </w:r>
      <w:r>
        <w:rPr>
          <w:rFonts w:hint="eastAsia" w:ascii="宋体" w:hAnsi="宋体" w:eastAsia="宋体" w:cs="Times New Roman"/>
          <w:snapToGrid w:val="0"/>
          <w:color w:val="auto"/>
          <w:sz w:val="21"/>
          <w:lang w:val="en-US" w:eastAsia="zh-CN"/>
        </w:rPr>
        <w:t>.</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lang w:val="en-US" w:eastAsia="zh-CN"/>
        </w:rPr>
        <w:t>须</w:t>
      </w:r>
      <w:r>
        <w:rPr>
          <w:rFonts w:hint="eastAsia" w:ascii="宋体" w:hAnsi="宋体" w:eastAsia="宋体" w:cs="宋体"/>
          <w:color w:val="FF0000"/>
          <w:szCs w:val="21"/>
          <w:highlight w:val="yellow"/>
        </w:rPr>
        <w:t>提供</w:t>
      </w:r>
      <w:r>
        <w:rPr>
          <w:rFonts w:hint="eastAsia" w:ascii="宋体" w:hAnsi="宋体" w:cs="宋体"/>
          <w:color w:val="FF0000"/>
          <w:szCs w:val="21"/>
          <w:highlight w:val="yellow"/>
          <w:lang w:eastAsia="zh-CN"/>
        </w:rPr>
        <w:t>生产厂家或制造商</w:t>
      </w:r>
      <w:r>
        <w:rPr>
          <w:rFonts w:hint="eastAsia" w:ascii="宋体" w:hAnsi="宋体" w:eastAsia="宋体" w:cs="宋体"/>
          <w:color w:val="FF0000"/>
          <w:szCs w:val="21"/>
          <w:highlight w:val="yellow"/>
        </w:rPr>
        <w:t>营业执照扫描件，原件备查</w:t>
      </w:r>
      <w:r>
        <w:rPr>
          <w:rFonts w:hint="eastAsia" w:ascii="宋体" w:hAnsi="宋体" w:eastAsia="宋体" w:cs="宋体-18030"/>
          <w:bCs/>
          <w:color w:val="000000"/>
          <w:kern w:val="0"/>
          <w:sz w:val="21"/>
          <w:szCs w:val="21"/>
          <w:lang w:val="en-US" w:eastAsia="zh-CN" w:bidi="ar-SA"/>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auto"/>
          <w:kern w:val="2"/>
          <w:sz w:val="21"/>
          <w:szCs w:val="24"/>
          <w:lang w:val="en-US" w:eastAsia="zh-CN" w:bidi="ar-SA"/>
        </w:rPr>
        <w:t>。</w:t>
      </w:r>
    </w:p>
    <w:p>
      <w:pPr>
        <w:numPr>
          <w:ilvl w:val="0"/>
          <w:numId w:val="0"/>
        </w:numPr>
        <w:adjustRightInd w:val="0"/>
        <w:snapToGrid w:val="0"/>
        <w:spacing w:line="240" w:lineRule="auto"/>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bCs/>
          <w:snapToGrid w:val="0"/>
          <w:color w:val="auto"/>
          <w:kern w:val="0"/>
          <w:sz w:val="21"/>
          <w:szCs w:val="20"/>
          <w:lang w:val="en-US" w:eastAsia="zh-CN" w:bidi="ar-SA"/>
        </w:rPr>
        <w:t>制造商或代理商针对本项目和名称唯一授权证明</w:t>
      </w:r>
      <w:r>
        <w:rPr>
          <w:rFonts w:hint="eastAsia" w:ascii="宋体" w:hAnsi="宋体" w:cs="Times New Roman"/>
          <w:bCs/>
          <w:snapToGrid w:val="0"/>
          <w:color w:val="auto"/>
          <w:kern w:val="0"/>
          <w:sz w:val="21"/>
          <w:szCs w:val="20"/>
          <w:lang w:val="en-US" w:eastAsia="zh-CN" w:bidi="ar-SA"/>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cs="Arial"/>
          <w:color w:val="000000"/>
          <w:kern w:val="0"/>
          <w:szCs w:val="21"/>
        </w:rPr>
        <w:t>★</w:t>
      </w:r>
      <w:r>
        <w:rPr>
          <w:rFonts w:hint="eastAsia" w:ascii="宋体" w:hAnsi="宋体" w:eastAsia="宋体" w:cs="Times New Roman"/>
          <w:snapToGrid w:val="0"/>
          <w:color w:val="auto"/>
          <w:kern w:val="2"/>
          <w:sz w:val="21"/>
          <w:szCs w:val="24"/>
          <w:lang w:val="en-US" w:eastAsia="zh-CN" w:bidi="ar-SA"/>
        </w:rPr>
        <w:t>6. (1)电梯制造商作为投标人的，须提供电梯制造商营业执照以及电梯制造商的《中华人民共和国特种设备（电梯）制造许可证》（乘客电梯B级及以上）证书和《中华人民共和国特种设备安装改造维修许可证（电梯）》（安装、维修B级及以上）证书；</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ins w:id="0" w:author="番茄妹" w:date="2024-01-02T15:16:00Z"/>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 xml:space="preserve">  （2）代理商作为投标人的，须提供投标人和电梯制造商营业执照，电梯制造商的《中华人民共和国特种设备（电梯）制造许可证》（乘客电梯B级及以上)证书、投标人的《中华人民共和国特种设备安装改造维修许可证（电梯）》（安装、维修B级及以上）证书及电梯制造商出具的授权书（进口产品须提供）。</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p>
    <w:p>
      <w:pPr>
        <w:pStyle w:val="24"/>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5"/>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r>
        <w:rPr>
          <w:rFonts w:hint="eastAsia" w:ascii="宋体" w:hAnsi="宋体" w:cs="Times New Roman"/>
          <w:b/>
          <w:bCs/>
          <w:kern w:val="2"/>
          <w:sz w:val="21"/>
          <w:szCs w:val="21"/>
          <w:lang w:val="en-US" w:eastAsia="zh-CN" w:bidi="ar-SA"/>
        </w:rPr>
        <w:t>（</w:t>
      </w:r>
      <w:r>
        <w:rPr>
          <w:rFonts w:hint="eastAsia" w:ascii="宋体" w:hAnsi="宋体" w:eastAsia="宋体" w:cs="Times New Roman"/>
          <w:snapToGrid w:val="0"/>
          <w:color w:val="FF0000"/>
          <w:kern w:val="2"/>
          <w:sz w:val="21"/>
          <w:szCs w:val="24"/>
          <w:lang w:val="en-US" w:eastAsia="zh-CN" w:bidi="ar-SA"/>
        </w:rPr>
        <w:t>请注明是电梯制造商或代理商</w:t>
      </w:r>
      <w:r>
        <w:rPr>
          <w:rFonts w:hint="eastAsia" w:ascii="宋体" w:hAnsi="宋体" w:cs="Times New Roman"/>
          <w:b/>
          <w:bCs/>
          <w:kern w:val="2"/>
          <w:sz w:val="21"/>
          <w:szCs w:val="21"/>
          <w:lang w:val="en-US" w:eastAsia="zh-CN" w:bidi="ar-SA"/>
        </w:rPr>
        <w:t>）</w:t>
      </w: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4"/>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jc w:val="both"/>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jc w:val="both"/>
        <w:rPr>
          <w:rFonts w:hint="eastAsia" w:ascii="宋体" w:hAnsi="宋体" w:eastAsia="宋体" w:cs="Times New Roman"/>
          <w:b/>
          <w:bCs/>
          <w:szCs w:val="21"/>
          <w:lang w:val="en-US" w:eastAsia="zh-CN"/>
        </w:rPr>
      </w:pPr>
    </w:p>
    <w:p>
      <w:pPr>
        <w:pStyle w:val="15"/>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szCs w:val="21"/>
          <w:lang w:val="en-US" w:eastAsia="zh-CN"/>
        </w:rPr>
        <w:t>4.</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4" w:name="_Hlk72587269"/>
      <w:bookmarkStart w:id="5"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
      <w:r>
        <w:rPr>
          <w:rFonts w:hint="eastAsia" w:ascii="宋体" w:hAnsi="宋体"/>
          <w:szCs w:val="21"/>
          <w:highlight w:val="none"/>
        </w:rPr>
        <w:t>。</w:t>
      </w:r>
    </w:p>
    <w:bookmarkEnd w:id="5"/>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w:t>
      </w:r>
      <w:r>
        <w:rPr>
          <w:rFonts w:hint="eastAsia" w:ascii="宋体" w:hAnsi="宋体"/>
          <w:szCs w:val="21"/>
          <w:highlight w:val="none"/>
          <w:lang w:eastAsia="zh-CN"/>
        </w:rPr>
        <w:t>不存在联合体投标，</w:t>
      </w:r>
      <w:r>
        <w:rPr>
          <w:rFonts w:hint="eastAsia" w:ascii="宋体" w:hAnsi="宋体"/>
          <w:szCs w:val="21"/>
          <w:highlight w:val="none"/>
        </w:rPr>
        <w:t>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spacing w:after="60"/>
        <w:ind w:left="842" w:leftChars="200" w:hanging="422" w:hangingChars="20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5</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21"/>
          <w:szCs w:val="21"/>
          <w:highlight w:val="none"/>
          <w:lang w:val="en-US" w:eastAsia="zh-CN"/>
        </w:rPr>
        <w:t>（查询时间须在采购公告之日起至投标截止日前）</w:t>
      </w:r>
      <w:r>
        <w:rPr>
          <w:rFonts w:hint="eastAsia" w:ascii="Arial" w:hAnsi="Arial" w:cs="Arial"/>
          <w:b/>
          <w:bCs/>
          <w:szCs w:val="21"/>
        </w:rPr>
        <w:t>。</w:t>
      </w:r>
    </w:p>
    <w:p>
      <w:pPr>
        <w:pStyle w:val="24"/>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1"/>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（查询时间须在采购公告之日起至投标截止日前）</w:t>
      </w:r>
      <w:r>
        <w:rPr>
          <w:rFonts w:hint="eastAsia" w:ascii="Arial" w:hAnsi="Arial" w:cs="Arial"/>
          <w:b/>
          <w:bCs/>
          <w:szCs w:val="21"/>
        </w:rPr>
        <w:t>。</w:t>
      </w: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5"/>
        <w:rPr>
          <w:rFonts w:hint="eastAsia"/>
          <w:lang w:val="en-US" w:eastAsia="zh-CN"/>
        </w:rPr>
      </w:pPr>
    </w:p>
    <w:p>
      <w:pPr>
        <w:rPr>
          <w:rFonts w:hint="eastAsia"/>
          <w:lang w:val="en-US" w:eastAsia="zh-CN"/>
        </w:rPr>
      </w:pPr>
    </w:p>
    <w:p>
      <w:pPr>
        <w:pStyle w:val="7"/>
        <w:rPr>
          <w:rFonts w:hint="eastAsia"/>
          <w:lang w:val="en-US" w:eastAsia="zh-CN"/>
        </w:rPr>
      </w:pPr>
    </w:p>
    <w:p>
      <w:pPr>
        <w:spacing w:after="6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cs="Times New Roman"/>
          <w:b/>
          <w:bCs/>
          <w:szCs w:val="21"/>
        </w:rPr>
      </w:pPr>
    </w:p>
    <w:p>
      <w:pPr>
        <w:pStyle w:val="4"/>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7.</w:t>
      </w: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u w:val="single"/>
          <w:lang w:eastAsia="zh-CN"/>
        </w:rPr>
        <w:t xml:space="preserve">              </w:t>
      </w:r>
      <w:r>
        <w:rPr>
          <w:rFonts w:hint="eastAsia" w:ascii="宋体" w:hAnsi="宋体"/>
        </w:rPr>
        <w:t>同志</w:t>
      </w:r>
      <w:r>
        <w:rPr>
          <w:rFonts w:hint="eastAsia" w:ascii="宋体" w:hAnsi="宋体"/>
          <w:lang w:eastAsia="zh-CN"/>
        </w:rPr>
        <w:t>，</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 xml:space="preserve">，现任我单位 </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7"/>
        <w:rPr>
          <w:rFonts w:hint="eastAsia" w:ascii="宋体" w:hAnsi="宋体"/>
        </w:rPr>
      </w:pPr>
    </w:p>
    <w:p>
      <w:pPr>
        <w:pStyle w:val="27"/>
        <w:rPr>
          <w:rFonts w:hint="eastAsia" w:ascii="宋体" w:hAnsi="宋体"/>
        </w:rPr>
      </w:pPr>
    </w:p>
    <w:p>
      <w:pPr>
        <w:pStyle w:val="27"/>
        <w:rPr>
          <w:rFonts w:hint="eastAsia" w:ascii="宋体" w:hAnsi="宋体"/>
        </w:rPr>
      </w:pPr>
    </w:p>
    <w:p>
      <w:pPr>
        <w:pStyle w:val="27"/>
        <w:rPr>
          <w:rFonts w:hint="eastAsia" w:ascii="宋体" w:hAnsi="宋体"/>
        </w:rPr>
      </w:pPr>
    </w:p>
    <w:p>
      <w:pPr>
        <w:pStyle w:val="27"/>
        <w:rPr>
          <w:rFonts w:hint="eastAsia" w:ascii="宋体" w:hAnsi="宋体"/>
        </w:rPr>
      </w:pPr>
    </w:p>
    <w:p>
      <w:pPr>
        <w:pStyle w:val="27"/>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rPr>
          <w:rFonts w:hint="eastAsia"/>
          <w:b/>
          <w:bCs/>
          <w:lang w:eastAsia="zh-CN"/>
        </w:rPr>
      </w:pPr>
    </w:p>
    <w:p>
      <w:pPr>
        <w:spacing w:line="360" w:lineRule="auto"/>
        <w:ind w:firstLine="542" w:firstLineChars="257"/>
        <w:rPr>
          <w:rFonts w:hint="eastAsia"/>
          <w:b/>
          <w:bCs/>
          <w:lang w:eastAsia="zh-CN"/>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pStyle w:val="15"/>
        <w:rPr>
          <w:rStyle w:val="28"/>
          <w:rFonts w:hint="default"/>
          <w:color w:val="000000"/>
          <w:szCs w:val="28"/>
          <w:lang w:val="en-US" w:eastAsia="zh-CN"/>
        </w:rPr>
      </w:pP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b/>
          <w:bCs/>
          <w:szCs w:val="21"/>
          <w:lang w:val="en-US" w:eastAsia="zh-CN"/>
        </w:rPr>
        <w:t>8.法定代表人授权委托书</w:t>
      </w:r>
    </w:p>
    <w:p>
      <w:pPr>
        <w:spacing w:line="360" w:lineRule="auto"/>
        <w:ind w:firstLine="420" w:firstLineChars="200"/>
        <w:rPr>
          <w:rFonts w:ascii="Arial" w:hAnsi="Arial"/>
          <w:szCs w:val="21"/>
        </w:rPr>
      </w:pPr>
    </w:p>
    <w:p>
      <w:pPr>
        <w:pStyle w:val="11"/>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w:t>
      </w:r>
      <w:r>
        <w:rPr>
          <w:rFonts w:hint="eastAsia"/>
        </w:rPr>
        <w:t>在此授权</w:t>
      </w:r>
      <w:r>
        <w:rPr>
          <w:rFonts w:hint="eastAsia"/>
          <w:u w:val="single"/>
        </w:rPr>
        <w:t>（被授权人姓名）</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11"/>
        <w:spacing w:line="360" w:lineRule="auto"/>
        <w:ind w:firstLine="420" w:firstLineChars="200"/>
      </w:pPr>
      <w:r>
        <w:rPr>
          <w:rFonts w:hint="eastAsia"/>
        </w:rPr>
        <w:t>被授权人（投标人授权代表）无转委托权限。</w:t>
      </w:r>
    </w:p>
    <w:p>
      <w:pPr>
        <w:spacing w:line="360" w:lineRule="auto"/>
        <w:ind w:firstLine="420" w:firstLineChars="200"/>
        <w:rPr>
          <w:rFonts w:ascii="Arial" w:hAnsi="Arial"/>
          <w:szCs w:val="21"/>
        </w:rPr>
      </w:pPr>
      <w:r>
        <w:rPr>
          <w:rFonts w:hint="eastAsia" w:ascii="宋体"/>
        </w:rPr>
        <w:t>本授权书自盖章之日起生效，特此声明。</w:t>
      </w: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被授权人身份证扫描件（正反面）</w:t>
      </w:r>
    </w:p>
    <w:p>
      <w:pPr>
        <w:pStyle w:val="8"/>
        <w:rPr>
          <w:rFonts w:hint="default"/>
          <w:lang w:val="en-US" w:eastAsia="zh-CN"/>
        </w:rPr>
      </w:pPr>
    </w:p>
    <w:p>
      <w:pPr>
        <w:rPr>
          <w:rFonts w:hint="eastAsia" w:ascii="Arial" w:hAnsi="Arial"/>
          <w:szCs w:val="21"/>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pStyle w:val="8"/>
        <w:rPr>
          <w:rFonts w:hint="default"/>
          <w:lang w:val="en-US" w:eastAsia="zh-CN"/>
        </w:rPr>
      </w:pPr>
    </w:p>
    <w:p>
      <w:pPr>
        <w:rPr>
          <w:rFonts w:hint="eastAsia" w:ascii="Arial" w:hAnsi="Arial"/>
          <w:szCs w:val="21"/>
        </w:rPr>
      </w:pPr>
    </w:p>
    <w:p>
      <w:pPr>
        <w:pStyle w:val="8"/>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《法定代表人授权委托书》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jc w:val="both"/>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投标人代表（被授权人）的社保缴纳证明文件</w:t>
      </w:r>
    </w:p>
    <w:p>
      <w:pPr>
        <w:spacing w:after="60"/>
        <w:jc w:val="left"/>
        <w:rPr>
          <w:rFonts w:hint="eastAsia" w:ascii="宋体" w:hAnsi="宋体" w:cs="Times New Roman"/>
          <w:b/>
          <w:bCs/>
          <w:szCs w:val="21"/>
          <w:lang w:val="en-US" w:eastAsia="zh-CN"/>
        </w:rPr>
      </w:pPr>
      <w:r>
        <w:rPr>
          <w:rFonts w:hint="eastAsia" w:ascii="宋体" w:hAnsi="宋体" w:eastAsia="宋体" w:cs="宋体"/>
          <w:color w:val="FF0000"/>
          <w:szCs w:val="21"/>
          <w:highlight w:val="none"/>
          <w:lang w:val="en-US" w:eastAsia="zh-CN"/>
        </w:rPr>
        <w:t>（</w:t>
      </w:r>
      <w:r>
        <w:rPr>
          <w:rFonts w:hint="eastAsia" w:ascii="宋体" w:hAnsi="宋体" w:eastAsia="宋体" w:cs="宋体"/>
          <w:b w:val="0"/>
          <w:bCs w:val="0"/>
          <w:color w:val="FF0000"/>
          <w:sz w:val="21"/>
          <w:szCs w:val="21"/>
          <w:highlight w:val="none"/>
          <w:u w:val="none"/>
          <w:lang w:eastAsia="zh-CN"/>
        </w:rPr>
        <w:t>注：</w:t>
      </w:r>
      <w:r>
        <w:rPr>
          <w:rFonts w:hint="eastAsia" w:ascii="宋体" w:hAnsi="宋体" w:eastAsia="宋体" w:cs="宋体"/>
          <w:color w:val="FF0000"/>
          <w:sz w:val="21"/>
          <w:szCs w:val="21"/>
          <w:highlight w:val="none"/>
        </w:rPr>
        <w:t>由于社保部门或税务部门原因最近一个月的社保证明无法提供的可往前顺延一个月</w:t>
      </w:r>
      <w:r>
        <w:rPr>
          <w:rFonts w:hint="eastAsia" w:ascii="宋体" w:hAnsi="宋体" w:eastAsia="宋体" w:cs="宋体"/>
          <w:color w:val="FF0000"/>
          <w:sz w:val="21"/>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color w:val="FF0000"/>
          <w:sz w:val="21"/>
          <w:szCs w:val="21"/>
          <w:highlight w:val="none"/>
          <w:lang w:eastAsia="zh-CN"/>
        </w:rPr>
        <w:t>；）</w:t>
      </w: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cs="Times New Roman"/>
          <w:b/>
          <w:bCs/>
          <w:szCs w:val="21"/>
          <w:lang w:val="en-US" w:eastAsia="zh-CN"/>
        </w:rPr>
        <w:t>9.</w:t>
      </w:r>
      <w:r>
        <w:rPr>
          <w:rFonts w:hint="eastAsia" w:ascii="宋体" w:hAnsi="宋体" w:eastAsia="宋体" w:cs="Times New Roman"/>
          <w:b/>
          <w:bCs/>
          <w:szCs w:val="21"/>
          <w:lang w:val="en-US" w:eastAsia="zh-CN"/>
        </w:rPr>
        <w:t>政府采购违法行为风险知悉确认书</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四、本公司已充分知悉采购违法、违规行为的法律后果。</w:t>
      </w:r>
      <w:r>
        <w:rPr>
          <w:rFonts w:hint="eastAsia" w:asciiTheme="minorEastAsia" w:hAnsiTheme="minorEastAsia" w:eastAsiaTheme="minorEastAsia" w:cstheme="minorEastAsia"/>
          <w:szCs w:val="21"/>
        </w:rPr>
        <w:t>经查实，若投标供应商存在采购违法、违规行为，将依据《深圳经济特区政府采购条例》第五十七条的规定，处以一至三年内禁止参与本</w:t>
      </w:r>
      <w:r>
        <w:rPr>
          <w:rFonts w:hint="eastAsia" w:asciiTheme="minorEastAsia" w:hAnsiTheme="minorEastAsia" w:eastAsiaTheme="minorEastAsia" w:cstheme="minorEastAsia"/>
          <w:szCs w:val="21"/>
          <w:lang w:eastAsia="zh-CN"/>
        </w:rPr>
        <w:t>单位</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eastAsia="zh-CN"/>
        </w:rPr>
        <w:t>项目</w:t>
      </w:r>
      <w:r>
        <w:rPr>
          <w:rFonts w:hint="eastAsia" w:asciiTheme="minorEastAsia" w:hAnsiTheme="minorEastAsia" w:eastAsiaTheme="minorEastAsia" w:cstheme="minorEastAsia"/>
          <w:szCs w:val="21"/>
        </w:rPr>
        <w:t>，并由</w:t>
      </w:r>
      <w:r>
        <w:rPr>
          <w:rFonts w:hint="eastAsia" w:asciiTheme="minorEastAsia" w:hAnsiTheme="minorEastAsia" w:eastAsiaTheme="minorEastAsia" w:cstheme="minorEastAsia"/>
          <w:szCs w:val="21"/>
          <w:lang w:eastAsia="zh-CN"/>
        </w:rPr>
        <w:t>纪检检查</w:t>
      </w:r>
      <w:r>
        <w:rPr>
          <w:rFonts w:hint="eastAsia" w:asciiTheme="minorEastAsia" w:hAnsiTheme="minorEastAsia" w:eastAsiaTheme="minorEastAsia" w:cstheme="minorEastAsia"/>
          <w:szCs w:val="21"/>
        </w:rPr>
        <w:t>部门记入供应商诚信档案；情节严重的，取消参与本</w:t>
      </w:r>
      <w:r>
        <w:rPr>
          <w:rFonts w:hint="eastAsia" w:asciiTheme="minorEastAsia" w:hAnsiTheme="minorEastAsia" w:eastAsiaTheme="minorEastAsia" w:cstheme="minorEastAsia"/>
          <w:szCs w:val="21"/>
          <w:lang w:eastAsia="zh-CN"/>
        </w:rPr>
        <w:t>单位</w:t>
      </w:r>
      <w:r>
        <w:rPr>
          <w:rFonts w:hint="eastAsia" w:asciiTheme="minorEastAsia" w:hAnsiTheme="minorEastAsia" w:eastAsiaTheme="minorEastAsia" w:cstheme="minorEastAsia"/>
          <w:szCs w:val="21"/>
        </w:rPr>
        <w:t>采购资格，并</w:t>
      </w:r>
      <w:r>
        <w:rPr>
          <w:rFonts w:hint="eastAsia" w:asciiTheme="minorEastAsia" w:hAnsiTheme="minorEastAsia" w:eastAsiaTheme="minorEastAsia" w:cstheme="minorEastAsia"/>
          <w:szCs w:val="21"/>
          <w:lang w:eastAsia="zh-CN"/>
        </w:rPr>
        <w:t>向上级主管部门备案</w:t>
      </w:r>
      <w:r>
        <w:rPr>
          <w:rFonts w:hint="eastAsia" w:asciiTheme="minorEastAsia" w:hAnsiTheme="minorEastAsia" w:eastAsiaTheme="minorEastAsia" w:cstheme="minorEastAsia"/>
          <w:szCs w:val="21"/>
        </w:rPr>
        <w:t>。</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adjustRightInd w:val="0"/>
        <w:snapToGrid w:val="0"/>
        <w:spacing w:line="300" w:lineRule="auto"/>
        <w:jc w:val="both"/>
        <w:rPr>
          <w:rFonts w:hint="eastAsia" w:ascii="Times New Roman" w:hAnsi="Times New Roman" w:eastAsia="宋体" w:cs="Times New Roman"/>
          <w:b/>
          <w:bCs/>
          <w:snapToGrid w:val="0"/>
          <w:kern w:val="0"/>
        </w:rPr>
      </w:pPr>
    </w:p>
    <w:p>
      <w:pPr>
        <w:adjustRightInd w:val="0"/>
        <w:snapToGrid w:val="0"/>
        <w:spacing w:line="300" w:lineRule="auto"/>
        <w:jc w:val="both"/>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line="360" w:lineRule="auto"/>
        <w:rPr>
          <w:rFonts w:asciiTheme="minorEastAsia" w:hAnsiTheme="minorEastAsia" w:eastAsiaTheme="minorEastAsia" w:cstheme="minorEastAsia"/>
          <w:szCs w:val="21"/>
        </w:rPr>
      </w:pPr>
    </w:p>
    <w:p>
      <w:pPr>
        <w:rPr>
          <w:rFonts w:asciiTheme="majorEastAsia" w:hAnsiTheme="majorEastAsia" w:eastAsiaTheme="majorEastAsia"/>
          <w:sz w:val="30"/>
          <w:szCs w:val="30"/>
        </w:rPr>
      </w:pPr>
    </w:p>
    <w:p>
      <w:pPr>
        <w:rPr>
          <w:rFonts w:asciiTheme="minorEastAsia" w:hAnsiTheme="minorEastAsia" w:eastAsiaTheme="minorEastAsia" w:cstheme="minorEastAsia"/>
          <w:b/>
          <w:bCs/>
          <w:szCs w:val="21"/>
          <w:highlight w:val="yellow"/>
        </w:rPr>
      </w:pPr>
    </w:p>
    <w:p>
      <w:pPr>
        <w:pStyle w:val="15"/>
        <w:numPr>
          <w:ilvl w:val="0"/>
          <w:numId w:val="0"/>
        </w:numPr>
        <w:jc w:val="both"/>
        <w:rPr>
          <w:rFonts w:hint="eastAsia" w:ascii="宋体" w:hAnsi="宋体" w:cs="Times New Roman"/>
          <w:b/>
          <w:bCs/>
          <w:kern w:val="2"/>
          <w:sz w:val="21"/>
          <w:szCs w:val="21"/>
          <w:lang w:val="en-US" w:eastAsia="zh-CN" w:bidi="ar-SA"/>
        </w:rPr>
      </w:pPr>
    </w:p>
    <w:p>
      <w:pPr>
        <w:pStyle w:val="7"/>
        <w:rPr>
          <w:rFonts w:hint="eastAsia"/>
          <w:lang w:val="en-US" w:eastAsia="zh-CN"/>
        </w:rPr>
      </w:pPr>
    </w:p>
    <w:p>
      <w:pPr>
        <w:spacing w:after="60"/>
        <w:jc w:val="left"/>
        <w:rPr>
          <w:rFonts w:hint="eastAsia" w:ascii="Times New Roman" w:hAnsi="Times New Roman" w:eastAsia="宋体" w:cs="Times New Roman"/>
          <w:b/>
          <w:bCs/>
          <w:color w:val="auto"/>
          <w:highlight w:val="none"/>
          <w:u w:val="none"/>
        </w:rPr>
      </w:pPr>
    </w:p>
    <w:p>
      <w:pPr>
        <w:spacing w:after="60"/>
        <w:jc w:val="left"/>
        <w:rPr>
          <w:rFonts w:hint="eastAsia" w:ascii="Times New Roman" w:hAnsi="Times New Roman" w:eastAsia="宋体" w:cs="Times New Roman"/>
          <w:b/>
          <w:bCs/>
          <w:color w:val="auto"/>
          <w:highlight w:val="none"/>
          <w:u w:val="none"/>
        </w:rPr>
      </w:pPr>
    </w:p>
    <w:p>
      <w:pPr>
        <w:spacing w:after="60"/>
        <w:jc w:val="left"/>
        <w:rPr>
          <w:rFonts w:hint="eastAsia" w:ascii="Times New Roman" w:hAnsi="Times New Roman" w:eastAsia="宋体" w:cs="Times New Roman"/>
          <w:b/>
          <w:bCs/>
          <w:color w:val="auto"/>
          <w:highlight w:val="none"/>
          <w:u w:val="none"/>
          <w:lang w:val="en-US" w:eastAsia="zh-CN"/>
        </w:rPr>
      </w:pPr>
      <w:r>
        <w:rPr>
          <w:rFonts w:hint="eastAsia" w:ascii="Times New Roman" w:hAnsi="Times New Roman" w:eastAsia="宋体" w:cs="Times New Roman"/>
          <w:b/>
          <w:bCs/>
          <w:color w:val="auto"/>
          <w:highlight w:val="none"/>
          <w:u w:val="none"/>
        </w:rPr>
        <w:t>投标人承诺</w:t>
      </w:r>
      <w:r>
        <w:rPr>
          <w:rFonts w:hint="eastAsia" w:ascii="Times New Roman" w:hAnsi="Times New Roman" w:eastAsia="宋体" w:cs="Times New Roman"/>
          <w:b/>
          <w:bCs/>
          <w:color w:val="auto"/>
          <w:highlight w:val="none"/>
          <w:u w:val="none"/>
          <w:lang w:eastAsia="zh-CN"/>
        </w:rPr>
        <w:t>不存在：“</w:t>
      </w:r>
      <w:r>
        <w:rPr>
          <w:rFonts w:hint="eastAsia" w:ascii="Times New Roman" w:hAnsi="Times New Roman" w:eastAsia="宋体" w:cs="Times New Roman"/>
          <w:b/>
          <w:bCs/>
          <w:color w:val="auto"/>
          <w:highlight w:val="none"/>
          <w:u w:val="none"/>
        </w:rPr>
        <w:t>投标违规行为：如以他人名义竞标、串通投标或者以其他弄虚作假方式投标</w:t>
      </w:r>
      <w:r>
        <w:rPr>
          <w:rFonts w:hint="eastAsia" w:ascii="Times New Roman" w:hAnsi="Times New Roman" w:eastAsia="宋体" w:cs="Times New Roman"/>
          <w:b/>
          <w:bCs/>
          <w:color w:val="auto"/>
          <w:highlight w:val="none"/>
          <w:u w:val="none"/>
          <w:lang w:eastAsia="zh-CN"/>
        </w:rPr>
        <w:t>”</w:t>
      </w:r>
      <w:r>
        <w:rPr>
          <w:rFonts w:hint="eastAsia" w:ascii="Times New Roman" w:hAnsi="Times New Roman" w:eastAsia="宋体" w:cs="Times New Roman"/>
          <w:b/>
          <w:bCs/>
          <w:color w:val="auto"/>
          <w:highlight w:val="none"/>
          <w:u w:val="none"/>
        </w:rPr>
        <w:t>的</w:t>
      </w:r>
      <w:r>
        <w:rPr>
          <w:rFonts w:hint="eastAsia" w:ascii="Times New Roman" w:hAnsi="Times New Roman" w:eastAsia="宋体" w:cs="Times New Roman"/>
          <w:b/>
          <w:bCs/>
          <w:color w:val="auto"/>
          <w:highlight w:val="none"/>
          <w:u w:val="none"/>
          <w:lang w:eastAsia="zh-CN"/>
        </w:rPr>
        <w:t>情况，</w:t>
      </w:r>
      <w:r>
        <w:rPr>
          <w:rFonts w:hint="eastAsia" w:ascii="Times New Roman" w:hAnsi="Times New Roman" w:eastAsia="宋体" w:cs="Times New Roman"/>
          <w:b/>
          <w:bCs/>
          <w:color w:val="auto"/>
          <w:highlight w:val="none"/>
          <w:u w:val="none"/>
        </w:rPr>
        <w:t>提供承诺函</w:t>
      </w:r>
      <w:r>
        <w:rPr>
          <w:rFonts w:hint="eastAsia" w:cs="Times New Roman"/>
          <w:b/>
          <w:bCs/>
          <w:color w:val="auto"/>
          <w:highlight w:val="none"/>
          <w:u w:val="none"/>
          <w:lang w:eastAsia="zh-CN"/>
        </w:rPr>
        <w:t>（格式自拟）</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r>
        <w:rPr>
          <w:rFonts w:hint="eastAsia" w:ascii="Times New Roman" w:hAnsi="Times New Roman" w:eastAsia="宋体" w:cs="Times New Roman"/>
          <w:b/>
          <w:bCs/>
          <w:color w:val="auto"/>
          <w:highlight w:val="none"/>
          <w:u w:val="none"/>
        </w:rPr>
        <w:t>承诺函</w:t>
      </w:r>
    </w:p>
    <w:p>
      <w:pPr>
        <w:spacing w:after="60"/>
        <w:jc w:val="center"/>
        <w:rPr>
          <w:rFonts w:hint="default" w:ascii="宋体" w:hAnsi="宋体"/>
          <w:b w:val="0"/>
          <w:bCs w:val="0"/>
          <w:szCs w:val="21"/>
          <w:lang w:val="en-US" w:eastAsia="zh-CN"/>
        </w:rPr>
      </w:pPr>
      <w:r>
        <w:rPr>
          <w:rFonts w:hint="eastAsia" w:ascii="宋体" w:hAnsi="宋体"/>
          <w:b w:val="0"/>
          <w:bCs w:val="0"/>
          <w:szCs w:val="21"/>
          <w:lang w:val="en-US" w:eastAsia="zh-CN"/>
        </w:rPr>
        <w:t>......</w:t>
      </w:r>
    </w:p>
    <w:p>
      <w:pPr>
        <w:spacing w:after="60"/>
        <w:jc w:val="cente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lang w:val="en-US" w:eastAsia="zh-CN"/>
        </w:rPr>
      </w:pPr>
    </w:p>
    <w:p>
      <w:pPr>
        <w:spacing w:after="60"/>
        <w:jc w:val="center"/>
        <w:rPr>
          <w:rFonts w:hint="eastAsia" w:ascii="宋体" w:hAnsi="宋体"/>
          <w:b/>
          <w:bCs/>
          <w:szCs w:val="21"/>
          <w:lang w:val="en-US" w:eastAsia="zh-CN"/>
        </w:rPr>
      </w:pPr>
    </w:p>
    <w:p>
      <w:pPr>
        <w:adjustRightInd w:val="0"/>
        <w:snapToGrid w:val="0"/>
        <w:spacing w:line="300" w:lineRule="auto"/>
        <w:jc w:val="both"/>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10</w:t>
      </w:r>
      <w:r>
        <w:rPr>
          <w:rFonts w:hint="eastAsia" w:ascii="宋体" w:hAnsi="宋体"/>
          <w:b/>
          <w:bCs/>
          <w:szCs w:val="21"/>
        </w:rPr>
        <w:t>.</w:t>
      </w:r>
      <w:bookmarkStart w:id="6" w:name="_Toc20322_WPSOffice_Level1"/>
      <w:bookmarkStart w:id="7" w:name="_Toc275865605"/>
      <w:bookmarkStart w:id="8" w:name="_Toc1762"/>
      <w:bookmarkStart w:id="9" w:name="_Toc435515294"/>
      <w:bookmarkStart w:id="10" w:name="_Toc9184"/>
      <w:bookmarkStart w:id="11" w:name="_Toc4720"/>
      <w:bookmarkStart w:id="12" w:name="_Toc435514854"/>
      <w:r>
        <w:rPr>
          <w:rFonts w:hint="eastAsia" w:ascii="宋体" w:hAnsi="宋体"/>
          <w:b/>
          <w:bCs/>
          <w:szCs w:val="21"/>
        </w:rPr>
        <w:t>投标函</w:t>
      </w:r>
      <w:bookmarkEnd w:id="6"/>
      <w:bookmarkEnd w:id="7"/>
      <w:bookmarkEnd w:id="8"/>
      <w:bookmarkEnd w:id="9"/>
      <w:bookmarkEnd w:id="10"/>
      <w:bookmarkEnd w:id="11"/>
      <w:bookmarkEnd w:id="12"/>
    </w:p>
    <w:p>
      <w:pPr>
        <w:spacing w:line="360" w:lineRule="auto"/>
        <w:rPr>
          <w:rFonts w:ascii="宋体" w:hAnsi="宋体"/>
          <w:b/>
        </w:rPr>
      </w:pPr>
      <w:r>
        <w:rPr>
          <w:rFonts w:hint="eastAsia" w:ascii="宋体" w:hAnsi="宋体"/>
          <w:b/>
        </w:rPr>
        <w:t>致：深圳市中西医结合医院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5"/>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与评审委员会要求的有关投标的一切数据或资料。</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与评审委员会并无义务必须接受最低报价的投标或其它任何投标，完全理解采购人拒绝迟到的任何投标和最低投标报价不是被授予中标的唯一条件。</w:t>
      </w:r>
    </w:p>
    <w:p>
      <w:pPr>
        <w:numPr>
          <w:ilvl w:val="0"/>
          <w:numId w:val="5"/>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5"/>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rFonts w:hint="eastAsia" w:ascii="宋体" w:hAnsi="宋体" w:cs="Arial"/>
          <w:b/>
          <w:bCs/>
          <w:color w:val="000000"/>
          <w:kern w:val="0"/>
          <w:szCs w:val="21"/>
        </w:rPr>
      </w:pPr>
      <w:r>
        <w:rPr>
          <w:rFonts w:hint="eastAsia"/>
          <w:b/>
          <w:bCs/>
          <w:sz w:val="24"/>
        </w:rPr>
        <w:t>投标人单位名称（单位盖公章）：</w:t>
      </w:r>
      <w:r>
        <w:rPr>
          <w:rFonts w:hint="eastAsia"/>
          <w:sz w:val="24"/>
          <w:u w:val="single"/>
        </w:rPr>
        <w:t xml:space="preserve">                            </w:t>
      </w:r>
      <w:r>
        <w:rPr>
          <w:rFonts w:hint="eastAsia"/>
          <w:sz w:val="24"/>
        </w:rPr>
        <w:t xml:space="preserve"> </w:t>
      </w:r>
    </w:p>
    <w:p>
      <w:pPr>
        <w:widowControl/>
        <w:spacing w:line="360" w:lineRule="atLeast"/>
        <w:jc w:val="both"/>
        <w:rPr>
          <w:rFonts w:hint="eastAsia"/>
          <w:b/>
          <w:bCs/>
          <w:sz w:val="24"/>
        </w:rPr>
      </w:pPr>
      <w:r>
        <w:rPr>
          <w:rFonts w:hint="eastAsia"/>
          <w:b/>
          <w:bCs/>
          <w:sz w:val="24"/>
        </w:rPr>
        <w:t>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r>
        <w:rPr>
          <w:rFonts w:hint="eastAsia"/>
          <w:color w:val="000000"/>
          <w:kern w:val="0"/>
        </w:rPr>
        <w:t xml:space="preserve">                </w:t>
      </w:r>
    </w:p>
    <w:p>
      <w:pPr>
        <w:widowControl/>
        <w:spacing w:line="360" w:lineRule="atLeast"/>
        <w:jc w:val="both"/>
        <w:rPr>
          <w:rFonts w:ascii="宋体" w:hAnsi="宋体" w:cs="Arial"/>
          <w:color w:val="000000"/>
          <w:kern w:val="0"/>
          <w:szCs w:val="21"/>
        </w:rPr>
      </w:pPr>
      <w:r>
        <w:rPr>
          <w:rFonts w:hint="eastAsia"/>
          <w:b/>
          <w:bCs/>
          <w:sz w:val="24"/>
        </w:rPr>
        <w:t>日期</w:t>
      </w:r>
      <w:r>
        <w:rPr>
          <w:rFonts w:hint="eastAsia" w:ascii="宋体" w:hAnsi="宋体" w:cs="Arial"/>
          <w:color w:val="000000"/>
          <w:kern w:val="0"/>
          <w:szCs w:val="21"/>
        </w:rPr>
        <w:t>：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b/>
          <w:bCs/>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本投标函必须提供且内容不得擅自删改</w:t>
      </w:r>
    </w:p>
    <w:p>
      <w:pPr>
        <w:spacing w:after="60"/>
        <w:jc w:val="both"/>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1.</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7"/>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7"/>
        <w:widowControl w:val="0"/>
        <w:numPr>
          <w:ilvl w:val="0"/>
          <w:numId w:val="0"/>
        </w:numPr>
        <w:adjustRightInd w:val="0"/>
        <w:spacing w:line="480" w:lineRule="atLeast"/>
        <w:jc w:val="both"/>
        <w:textAlignment w:val="baseline"/>
      </w:pPr>
    </w:p>
    <w:p>
      <w:pPr>
        <w:pStyle w:val="27"/>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3</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”表格内容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lang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9"/>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9"/>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9"/>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自上而下的顺序填写本表并逐条响应并保留“▲”，“★”特殊标记；因项目次序混乱、缺项漏项而影响评标结果者，投标人自负其责。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13"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13"/>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并注明证明材料在投标文件中的具体位置；彩页等资料与偏离表填写内容不一致，</w:t>
      </w:r>
      <w:bookmarkStart w:id="14" w:name="_Hlk73558164"/>
      <w:r>
        <w:rPr>
          <w:rFonts w:hint="eastAsia" w:ascii="宋体" w:hAnsi="宋体" w:eastAsia="宋体" w:cs="仿宋"/>
          <w:b/>
          <w:bCs/>
          <w:color w:val="FF0000"/>
          <w:szCs w:val="21"/>
          <w:highlight w:val="none"/>
        </w:rPr>
        <w:t>且投标人在“偏离情况”一栏响应为“正偏离”或“无偏离”的，经评审委员会认定，将判定为负偏离。</w:t>
      </w:r>
      <w:bookmarkEnd w:id="14"/>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eastAsia="宋体" w:cs="Times New Roman"/>
          <w:color w:val="FF0000"/>
          <w:sz w:val="21"/>
          <w:szCs w:val="21"/>
          <w:highlight w:val="yellow"/>
        </w:rPr>
        <w:t>如“★”号条款偏离</w:t>
      </w:r>
      <w:r>
        <w:rPr>
          <w:rFonts w:hint="eastAsia" w:ascii="宋体" w:hAnsi="宋体" w:eastAsia="宋体" w:cs="Times New Roman"/>
          <w:color w:val="FF0000"/>
          <w:sz w:val="21"/>
          <w:szCs w:val="21"/>
          <w:highlight w:val="yellow"/>
          <w:lang w:eastAsia="zh-CN"/>
        </w:rPr>
        <w:t>或未响应</w:t>
      </w:r>
      <w:r>
        <w:rPr>
          <w:rFonts w:hint="eastAsia" w:ascii="宋体" w:hAnsi="宋体" w:eastAsia="宋体" w:cs="Times New Roman"/>
          <w:color w:val="FF0000"/>
          <w:sz w:val="21"/>
          <w:szCs w:val="21"/>
          <w:highlight w:val="yellow"/>
        </w:rPr>
        <w:t>，将会导致投标无效</w:t>
      </w:r>
    </w:p>
    <w:p>
      <w:pPr>
        <w:pStyle w:val="11"/>
        <w:tabs>
          <w:tab w:val="left" w:pos="5580"/>
        </w:tabs>
        <w:spacing w:before="120" w:line="22" w:lineRule="atLeast"/>
        <w:rPr>
          <w:rFonts w:hint="eastAsia" w:hAnsi="宋体" w:cs="宋体"/>
          <w:b/>
          <w:bCs/>
          <w:color w:val="auto"/>
          <w:szCs w:val="21"/>
          <w:highlight w:val="none"/>
        </w:rPr>
      </w:pP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1"/>
        <w:ind w:firstLine="207" w:firstLineChars="98"/>
        <w:rPr>
          <w:rFonts w:hint="eastAsia" w:ascii="Times New Roman" w:hAnsi="Times New Roman"/>
          <w:b/>
          <w:color w:val="000000"/>
        </w:rPr>
      </w:pPr>
    </w:p>
    <w:p>
      <w:pPr>
        <w:pStyle w:val="11"/>
        <w:ind w:firstLine="207" w:firstLineChars="98"/>
        <w:rPr>
          <w:rFonts w:hint="eastAsia" w:ascii="Times New Roman" w:hAnsi="Times New Roman"/>
          <w:b/>
          <w:color w:val="000000"/>
        </w:rPr>
      </w:pPr>
    </w:p>
    <w:p>
      <w:pPr>
        <w:pStyle w:val="11"/>
        <w:ind w:firstLine="207" w:firstLineChars="98"/>
        <w:rPr>
          <w:rFonts w:hint="eastAsia" w:ascii="Times New Roman" w:hAnsi="Times New Roman"/>
          <w:b/>
          <w:color w:val="000000"/>
        </w:rPr>
      </w:pPr>
      <w:r>
        <w:rPr>
          <w:rFonts w:hint="eastAsia" w:ascii="Times New Roman" w:hAnsi="Times New Roman"/>
          <w:b/>
          <w:color w:val="000000"/>
        </w:rPr>
        <w:t xml:space="preserve"> </w:t>
      </w:r>
    </w:p>
    <w:p>
      <w:pPr>
        <w:pStyle w:val="15"/>
        <w:numPr>
          <w:ilvl w:val="0"/>
          <w:numId w:val="0"/>
        </w:numPr>
        <w:jc w:val="both"/>
        <w:rPr>
          <w:rFonts w:hint="default"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14.商务条款偏离表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1153" w:type="dxa"/>
            <w:noWrap w:val="0"/>
            <w:vAlign w:val="center"/>
          </w:tcPr>
          <w:p>
            <w:pPr>
              <w:jc w:val="center"/>
              <w:rPr>
                <w:rFonts w:hint="eastAsia" w:ascii="宋体" w:hAnsi="宋体" w:eastAsia="宋体" w:cs="Times New Roman"/>
                <w:b/>
                <w:color w:val="000000" w:themeColor="text1"/>
                <w:kern w:val="0"/>
                <w:szCs w:val="21"/>
                <w:lang w:val="en-US" w:eastAsia="zh-CN"/>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★售后服务要求</w:t>
            </w:r>
          </w:p>
        </w:tc>
        <w:tc>
          <w:tcPr>
            <w:tcW w:w="3849" w:type="dxa"/>
            <w:noWrap w:val="0"/>
            <w:vAlign w:val="center"/>
          </w:tcPr>
          <w:p>
            <w:pPr>
              <w:pStyle w:val="8"/>
              <w:spacing w:before="156" w:beforeLines="50" w:after="156" w:afterLines="50"/>
              <w:jc w:val="both"/>
              <w:rPr>
                <w:rFonts w:hint="default" w:ascii="Times New Roman" w:hAnsi="Times New Roman" w:eastAsia="宋体" w:cs="Times New Roman"/>
                <w:bCs/>
                <w:color w:val="auto"/>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center"/>
          </w:tcPr>
          <w:p>
            <w:pPr>
              <w:jc w:val="center"/>
              <w:rPr>
                <w:rFonts w:hint="eastAsia" w:ascii="宋体" w:hAnsi="宋体" w:eastAsia="宋体" w:cs="Times New Roman"/>
                <w:b/>
                <w:color w:val="000000" w:themeColor="text1"/>
                <w:kern w:val="0"/>
                <w:szCs w:val="21"/>
                <w:lang w:val="en-US" w:eastAsia="zh-CN"/>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9"/>
              <w:tabs>
                <w:tab w:val="left" w:pos="960"/>
              </w:tabs>
              <w:ind w:firstLine="0" w:firstLineChars="0"/>
              <w:jc w:val="center"/>
              <w:rPr>
                <w:rFonts w:hint="eastAsia" w:ascii="宋体" w:hAnsi="宋体" w:eastAsia="宋体" w:cs="Times New Roman"/>
                <w:b/>
                <w:color w:val="000000" w:themeColor="text1"/>
                <w:kern w:val="0"/>
                <w:sz w:val="21"/>
                <w:szCs w:val="21"/>
                <w:lang w:val="en-US" w:eastAsia="zh-CN" w:bidi="ar-SA"/>
                <w14:textFill>
                  <w14:solidFill>
                    <w14:schemeClr w14:val="tx1"/>
                  </w14:solidFill>
                </w14:textFill>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center"/>
          </w:tcPr>
          <w:p>
            <w:pPr>
              <w:jc w:val="center"/>
              <w:rPr>
                <w:rFonts w:hint="eastAsia" w:ascii="宋体" w:hAnsi="宋体" w:eastAsia="宋体" w:cs="Times New Roman"/>
                <w:b/>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b/>
                <w:color w:val="000000" w:themeColor="text1"/>
                <w:kern w:val="0"/>
                <w:sz w:val="21"/>
                <w:szCs w:val="21"/>
                <w:lang w:val="en-US" w:eastAsia="zh-CN" w:bidi="ar-SA"/>
                <w14:textFill>
                  <w14:solidFill>
                    <w14:schemeClr w14:val="tx1"/>
                  </w14:solidFill>
                </w14:textFill>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9"/>
              <w:tabs>
                <w:tab w:val="left" w:pos="960"/>
              </w:tabs>
              <w:ind w:firstLine="0" w:firstLineChars="0"/>
              <w:jc w:val="center"/>
              <w:rPr>
                <w:rFonts w:hint="eastAsia" w:ascii="宋体" w:hAnsi="宋体" w:eastAsia="宋体" w:cs="Times New Roman"/>
                <w:b/>
                <w:color w:val="000000" w:themeColor="text1"/>
                <w:kern w:val="0"/>
                <w:sz w:val="21"/>
                <w:szCs w:val="21"/>
                <w:lang w:val="en-US" w:eastAsia="zh-CN" w:bidi="ar-SA"/>
                <w14:textFill>
                  <w14:solidFill>
                    <w14:schemeClr w14:val="tx1"/>
                  </w14:solidFill>
                </w14:textFill>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center"/>
          </w:tcPr>
          <w:p>
            <w:pPr>
              <w:jc w:val="center"/>
              <w:rPr>
                <w:rFonts w:hint="eastAsia" w:ascii="宋体" w:hAnsi="宋体" w:eastAsia="宋体" w:cs="Times New Roman"/>
                <w:b/>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b/>
                <w:color w:val="000000" w:themeColor="text1"/>
                <w:kern w:val="0"/>
                <w:sz w:val="21"/>
                <w:szCs w:val="21"/>
                <w:lang w:val="en-US" w:eastAsia="zh-CN" w:bidi="ar-SA"/>
                <w14:textFill>
                  <w14:solidFill>
                    <w14:schemeClr w14:val="tx1"/>
                  </w14:solidFill>
                </w14:textFill>
              </w:rPr>
              <w:t>★服务期限</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center"/>
          </w:tcPr>
          <w:p>
            <w:pPr>
              <w:jc w:val="center"/>
              <w:rPr>
                <w:rFonts w:hint="eastAsia" w:ascii="宋体" w:hAnsi="宋体" w:eastAsia="宋体" w:cs="Times New Roman"/>
                <w:b/>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b/>
                <w:color w:val="000000" w:themeColor="text1"/>
                <w:kern w:val="0"/>
                <w:sz w:val="21"/>
                <w:szCs w:val="21"/>
                <w:lang w:val="en-US" w:eastAsia="zh-CN" w:bidi="ar-SA"/>
                <w14:textFill>
                  <w14:solidFill>
                    <w14:schemeClr w14:val="tx1"/>
                  </w14:solidFill>
                </w14:textFill>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自上而下的顺序填写本表并逐条响应并保留“▲”，“★”特殊标记</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spacing w:line="240" w:lineRule="auto"/>
        <w:rPr>
          <w:rFonts w:ascii="宋体" w:hAnsi="宋体"/>
          <w:color w:val="FF0000"/>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eastAsia="宋体" w:cs="Times New Roman"/>
          <w:color w:val="FF0000"/>
          <w:sz w:val="21"/>
          <w:szCs w:val="21"/>
          <w:highlight w:val="yellow"/>
        </w:rPr>
        <w:t>如“★”号条款偏离</w:t>
      </w:r>
      <w:r>
        <w:rPr>
          <w:rFonts w:hint="eastAsia" w:ascii="宋体" w:hAnsi="宋体" w:eastAsia="宋体" w:cs="Times New Roman"/>
          <w:color w:val="FF0000"/>
          <w:sz w:val="21"/>
          <w:szCs w:val="21"/>
          <w:highlight w:val="yellow"/>
          <w:lang w:eastAsia="zh-CN"/>
        </w:rPr>
        <w:t>或未响应</w:t>
      </w:r>
      <w:r>
        <w:rPr>
          <w:rFonts w:hint="eastAsia" w:ascii="宋体" w:hAnsi="宋体" w:eastAsia="宋体" w:cs="Times New Roman"/>
          <w:color w:val="FF0000"/>
          <w:sz w:val="21"/>
          <w:szCs w:val="21"/>
          <w:highlight w:val="yellow"/>
        </w:rPr>
        <w:t>，将会导致投标无效</w:t>
      </w:r>
      <w:r>
        <w:rPr>
          <w:rFonts w:hint="eastAsia" w:ascii="宋体" w:hAnsi="宋体" w:eastAsia="宋体" w:cs="Times New Roman"/>
          <w:color w:val="FF0000"/>
          <w:sz w:val="21"/>
          <w:szCs w:val="21"/>
          <w:highlight w:val="none"/>
        </w:rPr>
        <w:t>。</w:t>
      </w:r>
    </w:p>
    <w:p>
      <w:pPr>
        <w:rPr>
          <w:rFonts w:hint="eastAsia" w:ascii="宋体" w:hAnsi="宋体" w:eastAsia="宋体" w:cs="Times New Roman"/>
          <w:b/>
          <w:bCs/>
          <w:kern w:val="2"/>
          <w:sz w:val="21"/>
          <w:szCs w:val="21"/>
          <w:lang w:val="en-US" w:eastAsia="zh-CN" w:bidi="ar-SA"/>
        </w:rPr>
      </w:pP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szCs w:val="21"/>
          <w:lang w:val="en-US" w:eastAsia="zh-CN"/>
        </w:rPr>
      </w:pPr>
      <w:r>
        <w:rPr>
          <w:rFonts w:hint="eastAsia"/>
          <w:lang w:val="en-US" w:eastAsia="zh-CN"/>
        </w:rPr>
        <w:t>年      月     日</w:t>
      </w: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5</w:t>
      </w:r>
      <w:r>
        <w:rPr>
          <w:rFonts w:hint="eastAsia" w:ascii="宋体" w:hAnsi="宋体" w:eastAsia="宋体" w:cs="Times New Roman"/>
          <w:b/>
          <w:bCs/>
          <w:szCs w:val="21"/>
          <w:lang w:val="en-US" w:eastAsia="zh-CN"/>
        </w:rPr>
        <w:t>.</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8"/>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8"/>
        <w:rPr>
          <w:rFonts w:hint="eastAsia"/>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16.综合评分表涉及其他的内容资料</w:t>
      </w:r>
    </w:p>
    <w:p>
      <w:pPr>
        <w:numPr>
          <w:ilvl w:val="0"/>
          <w:numId w:val="0"/>
        </w:numPr>
        <w:spacing w:after="60"/>
        <w:jc w:val="both"/>
        <w:rPr>
          <w:rFonts w:hint="eastAsia" w:ascii="宋体" w:hAnsi="宋体" w:eastAsia="宋体" w:cs="Times New Roman"/>
          <w:b w:val="0"/>
          <w:bCs w:val="0"/>
          <w:szCs w:val="21"/>
          <w:lang w:val="en-US" w:eastAsia="zh-CN"/>
        </w:rPr>
      </w:pPr>
    </w:p>
    <w:p>
      <w:pPr>
        <w:numPr>
          <w:ilvl w:val="0"/>
          <w:numId w:val="0"/>
        </w:numPr>
        <w:spacing w:after="60"/>
        <w:jc w:val="both"/>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一、技术保障措施</w:t>
      </w:r>
    </w:p>
    <w:p>
      <w:pPr>
        <w:numPr>
          <w:ilvl w:val="0"/>
          <w:numId w:val="0"/>
        </w:numPr>
        <w:spacing w:after="60"/>
        <w:jc w:val="both"/>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（1）技术方案；</w:t>
      </w:r>
    </w:p>
    <w:p>
      <w:pPr>
        <w:numPr>
          <w:ilvl w:val="0"/>
          <w:numId w:val="0"/>
        </w:numPr>
        <w:spacing w:after="60"/>
        <w:jc w:val="both"/>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（2）产品生产规范；</w:t>
      </w:r>
    </w:p>
    <w:p>
      <w:pPr>
        <w:numPr>
          <w:ilvl w:val="0"/>
          <w:numId w:val="0"/>
        </w:numPr>
        <w:spacing w:after="60"/>
        <w:jc w:val="both"/>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（3）生产及供货进度计划</w:t>
      </w:r>
    </w:p>
    <w:p>
      <w:pPr>
        <w:numPr>
          <w:ilvl w:val="0"/>
          <w:numId w:val="0"/>
        </w:numPr>
        <w:spacing w:after="60"/>
        <w:jc w:val="both"/>
        <w:rPr>
          <w:rFonts w:hint="eastAsia" w:ascii="宋体" w:hAnsi="宋体" w:eastAsia="宋体" w:cs="Times New Roman"/>
          <w:b w:val="0"/>
          <w:bCs w:val="0"/>
          <w:szCs w:val="21"/>
          <w:lang w:val="en-US" w:eastAsia="zh-CN"/>
        </w:rPr>
      </w:pPr>
    </w:p>
    <w:p>
      <w:pPr>
        <w:numPr>
          <w:ilvl w:val="0"/>
          <w:numId w:val="0"/>
        </w:numPr>
        <w:spacing w:after="60"/>
        <w:jc w:val="both"/>
        <w:rPr>
          <w:rFonts w:hint="eastAsia" w:ascii="宋体" w:hAnsi="宋体" w:eastAsia="宋体" w:cs="Times New Roman"/>
          <w:b w:val="0"/>
          <w:bCs w:val="0"/>
          <w:szCs w:val="21"/>
          <w:lang w:val="en-US" w:eastAsia="zh-CN"/>
        </w:rPr>
      </w:pPr>
    </w:p>
    <w:p>
      <w:pPr>
        <w:numPr>
          <w:ilvl w:val="0"/>
          <w:numId w:val="0"/>
        </w:numPr>
        <w:spacing w:after="60"/>
        <w:jc w:val="both"/>
        <w:rPr>
          <w:rFonts w:hint="eastAsia" w:ascii="宋体" w:hAnsi="宋体" w:eastAsia="宋体" w:cs="Times New Roman"/>
          <w:b w:val="0"/>
          <w:bCs w:val="0"/>
          <w:szCs w:val="21"/>
          <w:lang w:val="en-US" w:eastAsia="zh-CN"/>
        </w:rPr>
      </w:pPr>
    </w:p>
    <w:p>
      <w:pPr>
        <w:numPr>
          <w:ilvl w:val="0"/>
          <w:numId w:val="0"/>
        </w:numPr>
        <w:spacing w:after="60"/>
        <w:jc w:val="both"/>
        <w:rPr>
          <w:rFonts w:hint="eastAsia" w:ascii="宋体" w:hAnsi="宋体" w:eastAsia="宋体" w:cs="Times New Roman"/>
          <w:b w:val="0"/>
          <w:bCs w:val="0"/>
          <w:color w:val="000000"/>
          <w:kern w:val="2"/>
          <w:sz w:val="21"/>
          <w:szCs w:val="21"/>
          <w:lang w:val="en-US" w:eastAsia="zh-CN" w:bidi="ar-SA"/>
        </w:rPr>
      </w:pPr>
      <w:r>
        <w:rPr>
          <w:rFonts w:hint="eastAsia" w:ascii="宋体" w:hAnsi="宋体" w:cs="Times New Roman"/>
          <w:b w:val="0"/>
          <w:bCs w:val="0"/>
          <w:szCs w:val="21"/>
          <w:lang w:val="en-US" w:eastAsia="zh-CN"/>
        </w:rPr>
        <w:t>二</w:t>
      </w:r>
      <w:r>
        <w:rPr>
          <w:rFonts w:hint="eastAsia" w:ascii="宋体" w:hAnsi="宋体" w:eastAsia="宋体" w:cs="Times New Roman"/>
          <w:b w:val="0"/>
          <w:bCs w:val="0"/>
          <w:szCs w:val="21"/>
          <w:lang w:val="en-US" w:eastAsia="zh-CN"/>
        </w:rPr>
        <w:t>、售后服务方案</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ascii="Times New Roman" w:hAnsi="Times New Roman" w:eastAsia="宋体" w:cs="Times New Roman"/>
          <w:color w:val="FF0000"/>
        </w:rPr>
        <w:t>及维护人员配置</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numPr>
          <w:ilvl w:val="0"/>
          <w:numId w:val="0"/>
        </w:numPr>
        <w:spacing w:after="60"/>
        <w:jc w:val="both"/>
        <w:rPr>
          <w:rFonts w:hint="eastAsia" w:ascii="宋体" w:hAnsi="宋体" w:eastAsia="宋体" w:cs="Times New Roman"/>
          <w:b w:val="0"/>
          <w:bCs w:val="0"/>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7</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5"/>
        <w:jc w:val="center"/>
        <w:rPr>
          <w:rFonts w:hint="eastAsia" w:eastAsia="宋体" w:cs="Arial"/>
          <w:color w:val="FF0000"/>
          <w:lang w:eastAsia="zh-CN"/>
        </w:rPr>
      </w:pPr>
    </w:p>
    <w:p>
      <w:pPr>
        <w:pStyle w:val="15"/>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18.</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7"/>
        <w:rPr>
          <w:rFonts w:hint="eastAsia"/>
        </w:rPr>
      </w:pPr>
    </w:p>
    <w:p>
      <w:pPr>
        <w:pStyle w:val="27"/>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eastAsia="宋体" w:cs="Times New Roman"/>
          <w:b/>
          <w:bCs/>
          <w:color w:val="auto"/>
          <w:sz w:val="30"/>
          <w:szCs w:val="30"/>
          <w:highlight w:val="none"/>
          <w:lang w:val="en-US" w:eastAsia="zh-CN"/>
        </w:rPr>
        <w:t>SZSZXYJHYY202403029</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493"/>
        <w:gridCol w:w="850"/>
        <w:gridCol w:w="850"/>
        <w:gridCol w:w="800"/>
        <w:gridCol w:w="1525"/>
        <w:gridCol w:w="438"/>
        <w:gridCol w:w="375"/>
        <w:gridCol w:w="925"/>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9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493"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486"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90" w:type="dxa"/>
            <w:noWrap w:val="0"/>
            <w:vAlign w:val="center"/>
          </w:tcPr>
          <w:p>
            <w:pPr>
              <w:spacing w:line="360" w:lineRule="auto"/>
              <w:jc w:val="center"/>
              <w:rPr>
                <w:rFonts w:hint="eastAsia" w:ascii="宋体" w:hAnsi="宋体"/>
                <w:szCs w:val="21"/>
              </w:rPr>
            </w:pPr>
            <w:r>
              <w:rPr>
                <w:rFonts w:hint="eastAsia" w:ascii="宋体" w:hAnsi="宋体" w:eastAsia="宋体" w:cs="Arial"/>
                <w:color w:val="000000"/>
                <w:kern w:val="0"/>
                <w:szCs w:val="21"/>
              </w:rPr>
              <w:t>杏园居小高层更换电梯</w:t>
            </w:r>
          </w:p>
        </w:tc>
        <w:tc>
          <w:tcPr>
            <w:tcW w:w="1493"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360" w:lineRule="auto"/>
              <w:jc w:val="center"/>
              <w:rPr>
                <w:rFonts w:hint="eastAsia" w:ascii="宋体" w:hAnsi="宋体"/>
                <w:szCs w:val="21"/>
              </w:rPr>
            </w:pPr>
            <w:r>
              <w:rPr>
                <w:rFonts w:hint="eastAsia"/>
                <w:color w:val="FF0000"/>
                <w:kern w:val="0"/>
                <w:sz w:val="15"/>
                <w:szCs w:val="15"/>
                <w:lang w:eastAsia="zh-CN"/>
              </w:rPr>
              <w:t>注：正本空白</w:t>
            </w:r>
          </w:p>
        </w:tc>
        <w:tc>
          <w:tcPr>
            <w:tcW w:w="1486" w:type="dxa"/>
            <w:noWrap w:val="0"/>
            <w:vAlign w:val="center"/>
          </w:tcPr>
          <w:p>
            <w:pPr>
              <w:spacing w:line="360" w:lineRule="auto"/>
              <w:jc w:val="center"/>
              <w:rPr>
                <w:rFonts w:hint="eastAsia" w:ascii="宋体" w:hAnsi="宋体"/>
                <w:szCs w:val="21"/>
              </w:rPr>
            </w:pPr>
            <w:r>
              <w:rPr>
                <w:rFonts w:hint="eastAsia"/>
                <w:color w:val="FF0000"/>
                <w:kern w:val="0"/>
                <w:sz w:val="15"/>
                <w:szCs w:val="15"/>
                <w:lang w:eastAsia="zh-CN"/>
              </w:rPr>
              <w:t>注：正本空白，超预算导致投标无效</w:t>
            </w:r>
          </w:p>
        </w:tc>
      </w:tr>
    </w:tbl>
    <w:p>
      <w:pPr>
        <w:widowControl/>
        <w:spacing w:line="360" w:lineRule="atLeast"/>
        <w:jc w:val="left"/>
        <w:rPr>
          <w:rFonts w:ascii="宋体" w:hAnsi="宋体"/>
          <w:b/>
          <w:bCs/>
          <w:sz w:val="24"/>
        </w:rPr>
      </w:pPr>
      <w:r>
        <w:rPr>
          <w:rFonts w:hint="eastAsia" w:ascii="宋体" w:hAnsi="宋体" w:cs="Arial"/>
          <w:b/>
          <w:color w:val="000000"/>
          <w:sz w:val="24"/>
        </w:rPr>
        <w:t>附：本项目主要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highlight w:val="yellow"/>
        </w:rPr>
        <w:t>（不包括在报价总额内）</w:t>
      </w:r>
    </w:p>
    <w:p>
      <w:pPr>
        <w:pStyle w:val="8"/>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highlight w:val="yellow"/>
        </w:rPr>
        <w:t>必须填写</w:t>
      </w:r>
      <w:r>
        <w:rPr>
          <w:rFonts w:hint="eastAsia" w:ascii="宋体" w:hAnsi="宋体"/>
          <w:b/>
          <w:bCs/>
        </w:rPr>
        <w:t>于此清单中。</w:t>
      </w:r>
    </w:p>
    <w:tbl>
      <w:tblPr>
        <w:tblStyle w:val="17"/>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p>
      <w:pPr>
        <w:pStyle w:val="8"/>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29"/>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8"/>
      </w:pPr>
    </w:p>
    <w:p>
      <w:pPr>
        <w:pStyle w:val="8"/>
        <w:rPr>
          <w:rFonts w:hint="eastAsia"/>
          <w:lang w:val="en-US" w:eastAsia="zh-CN"/>
        </w:rPr>
      </w:pPr>
    </w:p>
    <w:sectPr>
      <w:headerReference r:id="rId5" w:type="default"/>
      <w:footerReference r:id="rId6" w:type="default"/>
      <w:pgSz w:w="11906" w:h="16838"/>
      <w:pgMar w:top="1440" w:right="1800" w:bottom="1440" w:left="1380" w:header="851" w:footer="992" w:gutter="0"/>
      <w:pgNumType w:fmt="numberIn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建华" w:date="2024-03-28T16:42:02Z" w:initials="">
    <w:p w14:paraId="5AFE2F1A">
      <w:pPr>
        <w:pStyle w:val="10"/>
        <w:rPr>
          <w:rFonts w:hint="eastAsia" w:eastAsia="宋体"/>
          <w:lang w:eastAsia="zh-CN"/>
        </w:rPr>
      </w:pPr>
      <w:r>
        <w:rPr>
          <w:rFonts w:hint="eastAsia"/>
          <w:lang w:eastAsia="zh-CN"/>
        </w:rPr>
        <w:t>请确认总评表内容及分值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FE2F1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9ED4E57D"/>
    <w:multiLevelType w:val="singleLevel"/>
    <w:tmpl w:val="9ED4E57D"/>
    <w:lvl w:ilvl="0" w:tentative="0">
      <w:start w:val="2"/>
      <w:numFmt w:val="decimal"/>
      <w:lvlText w:val="%1."/>
      <w:lvlJc w:val="left"/>
      <w:pPr>
        <w:tabs>
          <w:tab w:val="left" w:pos="312"/>
        </w:tabs>
      </w:pPr>
    </w:lvl>
  </w:abstractNum>
  <w:abstractNum w:abstractNumId="2">
    <w:nsid w:val="D0ABD7A4"/>
    <w:multiLevelType w:val="singleLevel"/>
    <w:tmpl w:val="D0ABD7A4"/>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rson w15:author="番茄妹">
    <w15:presenceInfo w15:providerId="None" w15:userId="番茄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245594"/>
    <w:rsid w:val="004A1407"/>
    <w:rsid w:val="00563163"/>
    <w:rsid w:val="00CA49BA"/>
    <w:rsid w:val="00E944DD"/>
    <w:rsid w:val="013A76F1"/>
    <w:rsid w:val="013D4F2C"/>
    <w:rsid w:val="01C60CDE"/>
    <w:rsid w:val="01D32FF0"/>
    <w:rsid w:val="01E2059F"/>
    <w:rsid w:val="02164FD8"/>
    <w:rsid w:val="02821A66"/>
    <w:rsid w:val="028E7767"/>
    <w:rsid w:val="02A604E3"/>
    <w:rsid w:val="02AF6764"/>
    <w:rsid w:val="02F64552"/>
    <w:rsid w:val="02FF7A73"/>
    <w:rsid w:val="030963C0"/>
    <w:rsid w:val="03195E53"/>
    <w:rsid w:val="031E1D08"/>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FA2D68"/>
    <w:rsid w:val="05280585"/>
    <w:rsid w:val="053718C6"/>
    <w:rsid w:val="05555F84"/>
    <w:rsid w:val="05C616D9"/>
    <w:rsid w:val="06106A5F"/>
    <w:rsid w:val="06186459"/>
    <w:rsid w:val="063105CB"/>
    <w:rsid w:val="06350EA6"/>
    <w:rsid w:val="063A34F4"/>
    <w:rsid w:val="06936FD0"/>
    <w:rsid w:val="06B843F7"/>
    <w:rsid w:val="06C21663"/>
    <w:rsid w:val="06EF7322"/>
    <w:rsid w:val="070B4021"/>
    <w:rsid w:val="0712435C"/>
    <w:rsid w:val="071330FE"/>
    <w:rsid w:val="07214A7D"/>
    <w:rsid w:val="072A68AC"/>
    <w:rsid w:val="07495C18"/>
    <w:rsid w:val="07741536"/>
    <w:rsid w:val="0781507A"/>
    <w:rsid w:val="07A57008"/>
    <w:rsid w:val="07AC659B"/>
    <w:rsid w:val="07FC5CEC"/>
    <w:rsid w:val="086C7AD9"/>
    <w:rsid w:val="08A15749"/>
    <w:rsid w:val="08A90D2D"/>
    <w:rsid w:val="08AF5C17"/>
    <w:rsid w:val="08B43710"/>
    <w:rsid w:val="08EE02B1"/>
    <w:rsid w:val="092D5E80"/>
    <w:rsid w:val="095F0EEA"/>
    <w:rsid w:val="099D456B"/>
    <w:rsid w:val="09C9015F"/>
    <w:rsid w:val="09DC6708"/>
    <w:rsid w:val="0A162EE5"/>
    <w:rsid w:val="0A2E66DD"/>
    <w:rsid w:val="0A7F515A"/>
    <w:rsid w:val="0A9A0660"/>
    <w:rsid w:val="0AC44BF8"/>
    <w:rsid w:val="0B0004E8"/>
    <w:rsid w:val="0B27350B"/>
    <w:rsid w:val="0B4D3E1F"/>
    <w:rsid w:val="0B5D7BAD"/>
    <w:rsid w:val="0B8E3FFD"/>
    <w:rsid w:val="0BA435F0"/>
    <w:rsid w:val="0BC64AE6"/>
    <w:rsid w:val="0C226684"/>
    <w:rsid w:val="0C467D5C"/>
    <w:rsid w:val="0C596F34"/>
    <w:rsid w:val="0C805235"/>
    <w:rsid w:val="0C882154"/>
    <w:rsid w:val="0CA47B9C"/>
    <w:rsid w:val="0CA713C5"/>
    <w:rsid w:val="0CA75583"/>
    <w:rsid w:val="0CD13426"/>
    <w:rsid w:val="0CE77FE2"/>
    <w:rsid w:val="0CF12CA2"/>
    <w:rsid w:val="0D0F06D2"/>
    <w:rsid w:val="0D3F756A"/>
    <w:rsid w:val="0D6B267C"/>
    <w:rsid w:val="0D6E64D7"/>
    <w:rsid w:val="0D9342DB"/>
    <w:rsid w:val="0D972648"/>
    <w:rsid w:val="0D9C2C0E"/>
    <w:rsid w:val="0DD60BB3"/>
    <w:rsid w:val="0DF30354"/>
    <w:rsid w:val="0DF92BFD"/>
    <w:rsid w:val="0E057BFA"/>
    <w:rsid w:val="0E0F1D84"/>
    <w:rsid w:val="0E1173F2"/>
    <w:rsid w:val="0E35096D"/>
    <w:rsid w:val="0E5D58A8"/>
    <w:rsid w:val="0E891AC4"/>
    <w:rsid w:val="0E925DBF"/>
    <w:rsid w:val="0EAA0BDC"/>
    <w:rsid w:val="0EC3723D"/>
    <w:rsid w:val="0ED463D8"/>
    <w:rsid w:val="0F0105C0"/>
    <w:rsid w:val="0F650DDD"/>
    <w:rsid w:val="0F8D393A"/>
    <w:rsid w:val="0F917E25"/>
    <w:rsid w:val="0FB7719B"/>
    <w:rsid w:val="0FC24482"/>
    <w:rsid w:val="0FC566FB"/>
    <w:rsid w:val="0FD23CD0"/>
    <w:rsid w:val="0FED21E2"/>
    <w:rsid w:val="100336BA"/>
    <w:rsid w:val="10152D79"/>
    <w:rsid w:val="104B26C9"/>
    <w:rsid w:val="105902B8"/>
    <w:rsid w:val="109F0856"/>
    <w:rsid w:val="10CC18AE"/>
    <w:rsid w:val="10D426BF"/>
    <w:rsid w:val="10E12AF1"/>
    <w:rsid w:val="11120E8C"/>
    <w:rsid w:val="111B7AFC"/>
    <w:rsid w:val="111C0CD6"/>
    <w:rsid w:val="112E702F"/>
    <w:rsid w:val="11301DF2"/>
    <w:rsid w:val="1130799B"/>
    <w:rsid w:val="1135076F"/>
    <w:rsid w:val="1162394F"/>
    <w:rsid w:val="11665A0D"/>
    <w:rsid w:val="116D4AFE"/>
    <w:rsid w:val="11957C8C"/>
    <w:rsid w:val="11D53A4B"/>
    <w:rsid w:val="11EC5A40"/>
    <w:rsid w:val="120361A9"/>
    <w:rsid w:val="12206BCB"/>
    <w:rsid w:val="122B2336"/>
    <w:rsid w:val="12675FE5"/>
    <w:rsid w:val="129A6D55"/>
    <w:rsid w:val="12C127E9"/>
    <w:rsid w:val="12C84345"/>
    <w:rsid w:val="131464C5"/>
    <w:rsid w:val="13230B95"/>
    <w:rsid w:val="13342B69"/>
    <w:rsid w:val="134E5134"/>
    <w:rsid w:val="1363192B"/>
    <w:rsid w:val="13A322B8"/>
    <w:rsid w:val="13BF660B"/>
    <w:rsid w:val="13FD73E3"/>
    <w:rsid w:val="142512D2"/>
    <w:rsid w:val="146714A6"/>
    <w:rsid w:val="146B333A"/>
    <w:rsid w:val="14BE3902"/>
    <w:rsid w:val="14C17EB8"/>
    <w:rsid w:val="14C97421"/>
    <w:rsid w:val="1500547A"/>
    <w:rsid w:val="1594066F"/>
    <w:rsid w:val="15C7795F"/>
    <w:rsid w:val="16000E6B"/>
    <w:rsid w:val="16682A4D"/>
    <w:rsid w:val="167C35DD"/>
    <w:rsid w:val="16976668"/>
    <w:rsid w:val="16B06CB0"/>
    <w:rsid w:val="16CF6EA7"/>
    <w:rsid w:val="16F322EC"/>
    <w:rsid w:val="16FE7144"/>
    <w:rsid w:val="17190E2C"/>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2367DD"/>
    <w:rsid w:val="192C58F0"/>
    <w:rsid w:val="196046A2"/>
    <w:rsid w:val="19812B2E"/>
    <w:rsid w:val="19827A30"/>
    <w:rsid w:val="19985579"/>
    <w:rsid w:val="19CC1A07"/>
    <w:rsid w:val="19D16835"/>
    <w:rsid w:val="19E82D37"/>
    <w:rsid w:val="19EB65C0"/>
    <w:rsid w:val="19F16090"/>
    <w:rsid w:val="19FD6CA5"/>
    <w:rsid w:val="1A11234C"/>
    <w:rsid w:val="1A2C531A"/>
    <w:rsid w:val="1A676352"/>
    <w:rsid w:val="1A974D9E"/>
    <w:rsid w:val="1AAB7814"/>
    <w:rsid w:val="1AB3573E"/>
    <w:rsid w:val="1AC01D47"/>
    <w:rsid w:val="1AC43A78"/>
    <w:rsid w:val="1B124A44"/>
    <w:rsid w:val="1B2538B1"/>
    <w:rsid w:val="1B4B079C"/>
    <w:rsid w:val="1B600AD2"/>
    <w:rsid w:val="1B972CC2"/>
    <w:rsid w:val="1BE61499"/>
    <w:rsid w:val="1C1C3358"/>
    <w:rsid w:val="1C642743"/>
    <w:rsid w:val="1C872300"/>
    <w:rsid w:val="1C9C15DF"/>
    <w:rsid w:val="1D01171E"/>
    <w:rsid w:val="1D0B017B"/>
    <w:rsid w:val="1D42757D"/>
    <w:rsid w:val="1D467777"/>
    <w:rsid w:val="1D560C3E"/>
    <w:rsid w:val="1D7276F4"/>
    <w:rsid w:val="1D7401E5"/>
    <w:rsid w:val="1D9A2C50"/>
    <w:rsid w:val="1DB63EAA"/>
    <w:rsid w:val="1DCB1C26"/>
    <w:rsid w:val="1E296982"/>
    <w:rsid w:val="1E3A22C4"/>
    <w:rsid w:val="1E7A7D09"/>
    <w:rsid w:val="1EFA7C30"/>
    <w:rsid w:val="1F2A2A22"/>
    <w:rsid w:val="1F417171"/>
    <w:rsid w:val="1F6C5072"/>
    <w:rsid w:val="1F992D66"/>
    <w:rsid w:val="1FBE6E14"/>
    <w:rsid w:val="1FD44489"/>
    <w:rsid w:val="20203928"/>
    <w:rsid w:val="20375D9D"/>
    <w:rsid w:val="206F02C1"/>
    <w:rsid w:val="206F5BC1"/>
    <w:rsid w:val="20961679"/>
    <w:rsid w:val="209A133D"/>
    <w:rsid w:val="20A53730"/>
    <w:rsid w:val="20CA0ABF"/>
    <w:rsid w:val="20F25843"/>
    <w:rsid w:val="20F64896"/>
    <w:rsid w:val="21056B7A"/>
    <w:rsid w:val="211739FE"/>
    <w:rsid w:val="213211EF"/>
    <w:rsid w:val="21480F7C"/>
    <w:rsid w:val="21543EA3"/>
    <w:rsid w:val="21702087"/>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454AA"/>
    <w:rsid w:val="237213CA"/>
    <w:rsid w:val="23722470"/>
    <w:rsid w:val="237340A6"/>
    <w:rsid w:val="23744F4E"/>
    <w:rsid w:val="243F1582"/>
    <w:rsid w:val="248267A8"/>
    <w:rsid w:val="2493147E"/>
    <w:rsid w:val="24CD2991"/>
    <w:rsid w:val="24D116A6"/>
    <w:rsid w:val="24FE3DD3"/>
    <w:rsid w:val="253851E3"/>
    <w:rsid w:val="259C7203"/>
    <w:rsid w:val="25AC5481"/>
    <w:rsid w:val="25B46C94"/>
    <w:rsid w:val="25F56F08"/>
    <w:rsid w:val="2617586F"/>
    <w:rsid w:val="266B6F3B"/>
    <w:rsid w:val="268B238D"/>
    <w:rsid w:val="26EE527A"/>
    <w:rsid w:val="274B01F6"/>
    <w:rsid w:val="277D68FD"/>
    <w:rsid w:val="27885DC6"/>
    <w:rsid w:val="27A30115"/>
    <w:rsid w:val="27BC408E"/>
    <w:rsid w:val="27C64D58"/>
    <w:rsid w:val="27DC4C9A"/>
    <w:rsid w:val="27F12D18"/>
    <w:rsid w:val="28204849"/>
    <w:rsid w:val="284C5E18"/>
    <w:rsid w:val="288D7984"/>
    <w:rsid w:val="288F1A2F"/>
    <w:rsid w:val="289B7E31"/>
    <w:rsid w:val="28DC755B"/>
    <w:rsid w:val="28DD1E79"/>
    <w:rsid w:val="28F039B6"/>
    <w:rsid w:val="29507A50"/>
    <w:rsid w:val="29947189"/>
    <w:rsid w:val="299B6D85"/>
    <w:rsid w:val="29E67293"/>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E5303C"/>
    <w:rsid w:val="2BFD2672"/>
    <w:rsid w:val="2C063C1D"/>
    <w:rsid w:val="2C0C0B48"/>
    <w:rsid w:val="2C1533A1"/>
    <w:rsid w:val="2C452F54"/>
    <w:rsid w:val="2C7A3CC3"/>
    <w:rsid w:val="2CAF324E"/>
    <w:rsid w:val="2CF41AF9"/>
    <w:rsid w:val="2D2B354B"/>
    <w:rsid w:val="2D395F46"/>
    <w:rsid w:val="2D49232B"/>
    <w:rsid w:val="2D5F433C"/>
    <w:rsid w:val="2DA46E0E"/>
    <w:rsid w:val="2DA818D0"/>
    <w:rsid w:val="2DA9740F"/>
    <w:rsid w:val="2DAC6047"/>
    <w:rsid w:val="2E10681D"/>
    <w:rsid w:val="2E1B71DE"/>
    <w:rsid w:val="2E2C1F76"/>
    <w:rsid w:val="2E3816E8"/>
    <w:rsid w:val="2E640B9D"/>
    <w:rsid w:val="2E6464CE"/>
    <w:rsid w:val="2EA319BC"/>
    <w:rsid w:val="2EBA783B"/>
    <w:rsid w:val="2ECD1FFB"/>
    <w:rsid w:val="2EE66610"/>
    <w:rsid w:val="2F2D0F43"/>
    <w:rsid w:val="2F3A598B"/>
    <w:rsid w:val="2F454665"/>
    <w:rsid w:val="2F603FAF"/>
    <w:rsid w:val="2F7470EF"/>
    <w:rsid w:val="2FC34383"/>
    <w:rsid w:val="30036E3F"/>
    <w:rsid w:val="302F6107"/>
    <w:rsid w:val="307373A7"/>
    <w:rsid w:val="30CC4343"/>
    <w:rsid w:val="30CE12B1"/>
    <w:rsid w:val="310417C9"/>
    <w:rsid w:val="31317290"/>
    <w:rsid w:val="3146720F"/>
    <w:rsid w:val="31627E89"/>
    <w:rsid w:val="31895BB2"/>
    <w:rsid w:val="31E74475"/>
    <w:rsid w:val="31ED7AF9"/>
    <w:rsid w:val="3266696B"/>
    <w:rsid w:val="32934410"/>
    <w:rsid w:val="32FB1C28"/>
    <w:rsid w:val="33081D63"/>
    <w:rsid w:val="332F24E5"/>
    <w:rsid w:val="333B3E4B"/>
    <w:rsid w:val="333E756C"/>
    <w:rsid w:val="33B60F22"/>
    <w:rsid w:val="340C5B48"/>
    <w:rsid w:val="343F261D"/>
    <w:rsid w:val="34563267"/>
    <w:rsid w:val="347C624E"/>
    <w:rsid w:val="348E47AF"/>
    <w:rsid w:val="34D50630"/>
    <w:rsid w:val="34E71080"/>
    <w:rsid w:val="34FA23CB"/>
    <w:rsid w:val="354C6BD7"/>
    <w:rsid w:val="359061CF"/>
    <w:rsid w:val="35E7370E"/>
    <w:rsid w:val="36140114"/>
    <w:rsid w:val="36621BCA"/>
    <w:rsid w:val="36883480"/>
    <w:rsid w:val="36AF4EB1"/>
    <w:rsid w:val="36C26E2B"/>
    <w:rsid w:val="36D120E8"/>
    <w:rsid w:val="36D668E1"/>
    <w:rsid w:val="36F37A97"/>
    <w:rsid w:val="370130D9"/>
    <w:rsid w:val="372D6649"/>
    <w:rsid w:val="372E5493"/>
    <w:rsid w:val="37337890"/>
    <w:rsid w:val="374745B8"/>
    <w:rsid w:val="375A306E"/>
    <w:rsid w:val="37915C27"/>
    <w:rsid w:val="3797195F"/>
    <w:rsid w:val="37A222C1"/>
    <w:rsid w:val="37AD1E19"/>
    <w:rsid w:val="37B66023"/>
    <w:rsid w:val="37C75CF2"/>
    <w:rsid w:val="37DC3A83"/>
    <w:rsid w:val="37FB484B"/>
    <w:rsid w:val="386D2B19"/>
    <w:rsid w:val="38C4460D"/>
    <w:rsid w:val="38FF01CD"/>
    <w:rsid w:val="3902576C"/>
    <w:rsid w:val="39037E95"/>
    <w:rsid w:val="394A70E4"/>
    <w:rsid w:val="39524DAA"/>
    <w:rsid w:val="39900FC9"/>
    <w:rsid w:val="399D395D"/>
    <w:rsid w:val="3A0A10BA"/>
    <w:rsid w:val="3A5B15D7"/>
    <w:rsid w:val="3A7C34E2"/>
    <w:rsid w:val="3A924E40"/>
    <w:rsid w:val="3AAF36D1"/>
    <w:rsid w:val="3AB12061"/>
    <w:rsid w:val="3AB91BD3"/>
    <w:rsid w:val="3ADD45FD"/>
    <w:rsid w:val="3AE4658F"/>
    <w:rsid w:val="3B7F380D"/>
    <w:rsid w:val="3B8763FC"/>
    <w:rsid w:val="3BEB17D0"/>
    <w:rsid w:val="3BF54F98"/>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3FFC28C5"/>
    <w:rsid w:val="4013025E"/>
    <w:rsid w:val="402C31EC"/>
    <w:rsid w:val="40343CAE"/>
    <w:rsid w:val="404266FC"/>
    <w:rsid w:val="40476D1E"/>
    <w:rsid w:val="410A5237"/>
    <w:rsid w:val="4131589B"/>
    <w:rsid w:val="414342A6"/>
    <w:rsid w:val="41632ABD"/>
    <w:rsid w:val="41A97753"/>
    <w:rsid w:val="425025C6"/>
    <w:rsid w:val="425A03C6"/>
    <w:rsid w:val="42702C3B"/>
    <w:rsid w:val="42BF3670"/>
    <w:rsid w:val="42F01979"/>
    <w:rsid w:val="43207448"/>
    <w:rsid w:val="43505326"/>
    <w:rsid w:val="435B0711"/>
    <w:rsid w:val="43787CDF"/>
    <w:rsid w:val="43855D94"/>
    <w:rsid w:val="43C81360"/>
    <w:rsid w:val="43DA5510"/>
    <w:rsid w:val="44153672"/>
    <w:rsid w:val="44AF196C"/>
    <w:rsid w:val="44E0069B"/>
    <w:rsid w:val="450807A1"/>
    <w:rsid w:val="451C6AB5"/>
    <w:rsid w:val="451D6267"/>
    <w:rsid w:val="455A248C"/>
    <w:rsid w:val="456E1BE2"/>
    <w:rsid w:val="457901D9"/>
    <w:rsid w:val="45AB74DB"/>
    <w:rsid w:val="45D65FB6"/>
    <w:rsid w:val="45F20BEA"/>
    <w:rsid w:val="466510E8"/>
    <w:rsid w:val="46776017"/>
    <w:rsid w:val="4699434D"/>
    <w:rsid w:val="46C76B09"/>
    <w:rsid w:val="46F14C34"/>
    <w:rsid w:val="46FF153C"/>
    <w:rsid w:val="47305B9A"/>
    <w:rsid w:val="47414F82"/>
    <w:rsid w:val="474D28B1"/>
    <w:rsid w:val="47AC3929"/>
    <w:rsid w:val="47CD472E"/>
    <w:rsid w:val="4835564C"/>
    <w:rsid w:val="485C5383"/>
    <w:rsid w:val="487B6D35"/>
    <w:rsid w:val="48B16866"/>
    <w:rsid w:val="48E102E4"/>
    <w:rsid w:val="48EF0A21"/>
    <w:rsid w:val="49042E3A"/>
    <w:rsid w:val="490C33F6"/>
    <w:rsid w:val="492C325B"/>
    <w:rsid w:val="493D4074"/>
    <w:rsid w:val="496833C9"/>
    <w:rsid w:val="49761F90"/>
    <w:rsid w:val="49930838"/>
    <w:rsid w:val="4A16422A"/>
    <w:rsid w:val="4A3744FE"/>
    <w:rsid w:val="4A48409C"/>
    <w:rsid w:val="4A4B043B"/>
    <w:rsid w:val="4A8511CD"/>
    <w:rsid w:val="4ABE5315"/>
    <w:rsid w:val="4AC03B36"/>
    <w:rsid w:val="4AFA2AC4"/>
    <w:rsid w:val="4B75001F"/>
    <w:rsid w:val="4B7E7DD1"/>
    <w:rsid w:val="4BB60338"/>
    <w:rsid w:val="4BD2147A"/>
    <w:rsid w:val="4C2918CB"/>
    <w:rsid w:val="4C570DA5"/>
    <w:rsid w:val="4C7575E9"/>
    <w:rsid w:val="4C7B21F3"/>
    <w:rsid w:val="4C8F3BC2"/>
    <w:rsid w:val="4D1A38E3"/>
    <w:rsid w:val="4D201B11"/>
    <w:rsid w:val="4E0C130F"/>
    <w:rsid w:val="4E8F5BAA"/>
    <w:rsid w:val="4EAF00C0"/>
    <w:rsid w:val="4ED07B3E"/>
    <w:rsid w:val="4F1E6113"/>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ED50A8"/>
    <w:rsid w:val="50F149C7"/>
    <w:rsid w:val="50F5642D"/>
    <w:rsid w:val="511B3417"/>
    <w:rsid w:val="5123786E"/>
    <w:rsid w:val="51404278"/>
    <w:rsid w:val="516E231F"/>
    <w:rsid w:val="519F1952"/>
    <w:rsid w:val="51C52FC7"/>
    <w:rsid w:val="51C845C2"/>
    <w:rsid w:val="51E15B34"/>
    <w:rsid w:val="51F82F2D"/>
    <w:rsid w:val="521D3A88"/>
    <w:rsid w:val="526B5780"/>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4E40AC8"/>
    <w:rsid w:val="54FA3343"/>
    <w:rsid w:val="55233ACF"/>
    <w:rsid w:val="554D2481"/>
    <w:rsid w:val="55BB2AD2"/>
    <w:rsid w:val="55C25F86"/>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AB1524"/>
    <w:rsid w:val="58BB0201"/>
    <w:rsid w:val="58CB0554"/>
    <w:rsid w:val="58DD0FB2"/>
    <w:rsid w:val="58F61A44"/>
    <w:rsid w:val="59656994"/>
    <w:rsid w:val="59730E5F"/>
    <w:rsid w:val="59982BEC"/>
    <w:rsid w:val="59B312EF"/>
    <w:rsid w:val="59BC747E"/>
    <w:rsid w:val="59C45C79"/>
    <w:rsid w:val="59FD66E3"/>
    <w:rsid w:val="5A464050"/>
    <w:rsid w:val="5A9336B3"/>
    <w:rsid w:val="5B0A1BC6"/>
    <w:rsid w:val="5B8A0775"/>
    <w:rsid w:val="5B8E21EC"/>
    <w:rsid w:val="5BDB7A2A"/>
    <w:rsid w:val="5C026DC7"/>
    <w:rsid w:val="5C646491"/>
    <w:rsid w:val="5C653CAB"/>
    <w:rsid w:val="5C7C3E2C"/>
    <w:rsid w:val="5C8B32B0"/>
    <w:rsid w:val="5C8C4481"/>
    <w:rsid w:val="5CA04E65"/>
    <w:rsid w:val="5D0019E7"/>
    <w:rsid w:val="5D06351D"/>
    <w:rsid w:val="5D093E95"/>
    <w:rsid w:val="5D1F7DEB"/>
    <w:rsid w:val="5D236BEC"/>
    <w:rsid w:val="5D3450FE"/>
    <w:rsid w:val="5D3F704E"/>
    <w:rsid w:val="5D61053F"/>
    <w:rsid w:val="5DB50452"/>
    <w:rsid w:val="5DCC7650"/>
    <w:rsid w:val="5E121CB6"/>
    <w:rsid w:val="5E143F51"/>
    <w:rsid w:val="5E272CB2"/>
    <w:rsid w:val="5E6E7E4D"/>
    <w:rsid w:val="5EC40C4A"/>
    <w:rsid w:val="5EC82C53"/>
    <w:rsid w:val="5EC91878"/>
    <w:rsid w:val="5F1832F7"/>
    <w:rsid w:val="5F3E24A9"/>
    <w:rsid w:val="5FC66C44"/>
    <w:rsid w:val="5FED0BD9"/>
    <w:rsid w:val="606F2B03"/>
    <w:rsid w:val="60CD12F7"/>
    <w:rsid w:val="613C32EA"/>
    <w:rsid w:val="617277DD"/>
    <w:rsid w:val="61861065"/>
    <w:rsid w:val="61E5048D"/>
    <w:rsid w:val="62033BEB"/>
    <w:rsid w:val="6203695D"/>
    <w:rsid w:val="62206CED"/>
    <w:rsid w:val="62255EA3"/>
    <w:rsid w:val="626B762E"/>
    <w:rsid w:val="62777A2B"/>
    <w:rsid w:val="62783CCA"/>
    <w:rsid w:val="62A50D92"/>
    <w:rsid w:val="62B075EC"/>
    <w:rsid w:val="62BE68C9"/>
    <w:rsid w:val="62DA4B23"/>
    <w:rsid w:val="630D0587"/>
    <w:rsid w:val="631447D1"/>
    <w:rsid w:val="631F541F"/>
    <w:rsid w:val="63265EFF"/>
    <w:rsid w:val="632F627C"/>
    <w:rsid w:val="633969A9"/>
    <w:rsid w:val="636717A6"/>
    <w:rsid w:val="6390293E"/>
    <w:rsid w:val="63C9605C"/>
    <w:rsid w:val="63FC0E86"/>
    <w:rsid w:val="641B6CFA"/>
    <w:rsid w:val="644C06CF"/>
    <w:rsid w:val="646A754A"/>
    <w:rsid w:val="64956B64"/>
    <w:rsid w:val="64CD45D0"/>
    <w:rsid w:val="64E770B5"/>
    <w:rsid w:val="650F0261"/>
    <w:rsid w:val="655628AA"/>
    <w:rsid w:val="65831150"/>
    <w:rsid w:val="658D2C46"/>
    <w:rsid w:val="659017CA"/>
    <w:rsid w:val="65A17F37"/>
    <w:rsid w:val="65BF1854"/>
    <w:rsid w:val="65D379C4"/>
    <w:rsid w:val="6603719D"/>
    <w:rsid w:val="66124991"/>
    <w:rsid w:val="66506A68"/>
    <w:rsid w:val="666351EC"/>
    <w:rsid w:val="66750079"/>
    <w:rsid w:val="66A661B4"/>
    <w:rsid w:val="66CB4811"/>
    <w:rsid w:val="66E655E9"/>
    <w:rsid w:val="67536427"/>
    <w:rsid w:val="67846C51"/>
    <w:rsid w:val="67854306"/>
    <w:rsid w:val="67B66330"/>
    <w:rsid w:val="67B90D3E"/>
    <w:rsid w:val="67DA4D5A"/>
    <w:rsid w:val="683230C8"/>
    <w:rsid w:val="68A16FA5"/>
    <w:rsid w:val="68BD6852"/>
    <w:rsid w:val="692270CC"/>
    <w:rsid w:val="695953E3"/>
    <w:rsid w:val="697F6375"/>
    <w:rsid w:val="69AD6BC1"/>
    <w:rsid w:val="69E455FC"/>
    <w:rsid w:val="69ED0BE9"/>
    <w:rsid w:val="69FB2C68"/>
    <w:rsid w:val="6A881C7E"/>
    <w:rsid w:val="6A882700"/>
    <w:rsid w:val="6AA659D4"/>
    <w:rsid w:val="6ABC311D"/>
    <w:rsid w:val="6ABD478C"/>
    <w:rsid w:val="6ABF4FCB"/>
    <w:rsid w:val="6AE91F70"/>
    <w:rsid w:val="6AF90237"/>
    <w:rsid w:val="6B056A9A"/>
    <w:rsid w:val="6B1225E9"/>
    <w:rsid w:val="6B211E50"/>
    <w:rsid w:val="6B225676"/>
    <w:rsid w:val="6BFE5BD8"/>
    <w:rsid w:val="6C0B435C"/>
    <w:rsid w:val="6C2A578B"/>
    <w:rsid w:val="6C2F31AF"/>
    <w:rsid w:val="6C613CA7"/>
    <w:rsid w:val="6CB4291D"/>
    <w:rsid w:val="6D116555"/>
    <w:rsid w:val="6D630D33"/>
    <w:rsid w:val="6D632561"/>
    <w:rsid w:val="6D643D4A"/>
    <w:rsid w:val="6D670216"/>
    <w:rsid w:val="6D6E2704"/>
    <w:rsid w:val="6DCB3314"/>
    <w:rsid w:val="6DD656BE"/>
    <w:rsid w:val="6DD97C78"/>
    <w:rsid w:val="6DF658E4"/>
    <w:rsid w:val="6DFB106F"/>
    <w:rsid w:val="6E573A4F"/>
    <w:rsid w:val="6E665040"/>
    <w:rsid w:val="6E6871B7"/>
    <w:rsid w:val="6E7313E6"/>
    <w:rsid w:val="6EAB72C2"/>
    <w:rsid w:val="6EBD1446"/>
    <w:rsid w:val="6EC802E2"/>
    <w:rsid w:val="6EF43A91"/>
    <w:rsid w:val="6F03756C"/>
    <w:rsid w:val="6F410095"/>
    <w:rsid w:val="6F4227C5"/>
    <w:rsid w:val="6F9A557F"/>
    <w:rsid w:val="6FB9506D"/>
    <w:rsid w:val="6FD020DD"/>
    <w:rsid w:val="7010675C"/>
    <w:rsid w:val="703279D0"/>
    <w:rsid w:val="704E2A69"/>
    <w:rsid w:val="70B91B2E"/>
    <w:rsid w:val="70FB33E0"/>
    <w:rsid w:val="71281BFB"/>
    <w:rsid w:val="712C7161"/>
    <w:rsid w:val="71700D3A"/>
    <w:rsid w:val="717B2FAA"/>
    <w:rsid w:val="717F679A"/>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566393"/>
    <w:rsid w:val="73E91B98"/>
    <w:rsid w:val="742D0BE7"/>
    <w:rsid w:val="742F55DD"/>
    <w:rsid w:val="74301A90"/>
    <w:rsid w:val="74D86DD0"/>
    <w:rsid w:val="74E17DA6"/>
    <w:rsid w:val="7513138F"/>
    <w:rsid w:val="75330480"/>
    <w:rsid w:val="755F3023"/>
    <w:rsid w:val="75664763"/>
    <w:rsid w:val="75972DD8"/>
    <w:rsid w:val="75F61BD9"/>
    <w:rsid w:val="76364BE7"/>
    <w:rsid w:val="764E087C"/>
    <w:rsid w:val="76732BA8"/>
    <w:rsid w:val="76D161A2"/>
    <w:rsid w:val="771F233F"/>
    <w:rsid w:val="772A7E2D"/>
    <w:rsid w:val="773728D4"/>
    <w:rsid w:val="77657FC3"/>
    <w:rsid w:val="77766F14"/>
    <w:rsid w:val="7780374C"/>
    <w:rsid w:val="77FD7FE2"/>
    <w:rsid w:val="78521D5A"/>
    <w:rsid w:val="7857371C"/>
    <w:rsid w:val="787539C1"/>
    <w:rsid w:val="78AB1C70"/>
    <w:rsid w:val="78AE7D0B"/>
    <w:rsid w:val="78E67548"/>
    <w:rsid w:val="78FE10DA"/>
    <w:rsid w:val="78FE4918"/>
    <w:rsid w:val="79242054"/>
    <w:rsid w:val="793B4324"/>
    <w:rsid w:val="793C7073"/>
    <w:rsid w:val="793D64A4"/>
    <w:rsid w:val="79B0209F"/>
    <w:rsid w:val="79DF7023"/>
    <w:rsid w:val="79F332D0"/>
    <w:rsid w:val="7A036D91"/>
    <w:rsid w:val="7A067F11"/>
    <w:rsid w:val="7A1B3886"/>
    <w:rsid w:val="7A8F3EAF"/>
    <w:rsid w:val="7AC06905"/>
    <w:rsid w:val="7ADB559C"/>
    <w:rsid w:val="7AE85358"/>
    <w:rsid w:val="7B2538BE"/>
    <w:rsid w:val="7B31720F"/>
    <w:rsid w:val="7B32707B"/>
    <w:rsid w:val="7B445D79"/>
    <w:rsid w:val="7B45761D"/>
    <w:rsid w:val="7B491090"/>
    <w:rsid w:val="7B613EBA"/>
    <w:rsid w:val="7B991971"/>
    <w:rsid w:val="7BB8348D"/>
    <w:rsid w:val="7BC827F0"/>
    <w:rsid w:val="7BCD2DAD"/>
    <w:rsid w:val="7BD570A7"/>
    <w:rsid w:val="7BFD5343"/>
    <w:rsid w:val="7C002CAA"/>
    <w:rsid w:val="7C7336EB"/>
    <w:rsid w:val="7C8B3659"/>
    <w:rsid w:val="7CD93091"/>
    <w:rsid w:val="7D1D4561"/>
    <w:rsid w:val="7D6D3E2D"/>
    <w:rsid w:val="7D947C3D"/>
    <w:rsid w:val="7DB620B7"/>
    <w:rsid w:val="7E1C18A7"/>
    <w:rsid w:val="7E370FE0"/>
    <w:rsid w:val="7E4C04EE"/>
    <w:rsid w:val="7E4E2DFC"/>
    <w:rsid w:val="7E616310"/>
    <w:rsid w:val="7EA01900"/>
    <w:rsid w:val="7EAB0BB3"/>
    <w:rsid w:val="7EED5B43"/>
    <w:rsid w:val="7EED6BBA"/>
    <w:rsid w:val="7F4B0A8D"/>
    <w:rsid w:val="7F720D1E"/>
    <w:rsid w:val="7F792F33"/>
    <w:rsid w:val="7F9B559F"/>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0"/>
    <w:pPr>
      <w:ind w:firstLine="420"/>
    </w:pPr>
    <w:rPr>
      <w:szCs w:val="20"/>
    </w:rPr>
  </w:style>
  <w:style w:type="paragraph" w:styleId="8">
    <w:name w:val="Body Text"/>
    <w:basedOn w:val="1"/>
    <w:next w:val="9"/>
    <w:autoRedefine/>
    <w:qFormat/>
    <w:uiPriority w:val="0"/>
    <w:pPr>
      <w:spacing w:after="120"/>
    </w:pPr>
  </w:style>
  <w:style w:type="paragraph" w:styleId="9">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annotation text"/>
    <w:basedOn w:val="1"/>
    <w:autoRedefine/>
    <w:qFormat/>
    <w:uiPriority w:val="0"/>
    <w:pPr>
      <w:jc w:val="left"/>
    </w:pPr>
  </w:style>
  <w:style w:type="paragraph" w:styleId="11">
    <w:name w:val="Plain Text"/>
    <w:basedOn w:val="1"/>
    <w:autoRedefine/>
    <w:qFormat/>
    <w:uiPriority w:val="0"/>
    <w:rPr>
      <w:rFonts w:ascii="宋体" w:hAnsi="Courier New" w:cs="宋体"/>
      <w:szCs w:val="21"/>
    </w:rPr>
  </w:style>
  <w:style w:type="paragraph" w:styleId="12">
    <w:name w:val="Body Text Indent 2"/>
    <w:basedOn w:val="1"/>
    <w:next w:val="1"/>
    <w:autoRedefine/>
    <w:qFormat/>
    <w:uiPriority w:val="0"/>
    <w:pPr>
      <w:widowControl/>
      <w:spacing w:line="360" w:lineRule="auto"/>
      <w:ind w:left="784"/>
      <w:jc w:val="left"/>
    </w:pPr>
    <w:rPr>
      <w:kern w:val="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autoRedefine/>
    <w:qFormat/>
    <w:uiPriority w:val="0"/>
    <w:pPr>
      <w:spacing w:after="120" w:line="480" w:lineRule="auto"/>
    </w:pPr>
    <w:rPr>
      <w:szCs w:val="24"/>
    </w:rPr>
  </w:style>
  <w:style w:type="paragraph" w:styleId="16">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rFonts w:ascii="Tahoma" w:hAnsi="Tahoma" w:eastAsia="宋体"/>
      <w:b/>
      <w:bCs/>
      <w:spacing w:val="10"/>
      <w:sz w:val="24"/>
      <w:lang w:val="en-US" w:eastAsia="zh-CN" w:bidi="ar-SA"/>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paragraph" w:customStyle="1" w:styleId="23">
    <w:name w:val="列出段落1"/>
    <w:basedOn w:val="1"/>
    <w:autoRedefine/>
    <w:qFormat/>
    <w:uiPriority w:val="34"/>
    <w:pPr>
      <w:ind w:firstLine="420" w:firstLineChars="200"/>
    </w:pPr>
  </w:style>
  <w:style w:type="paragraph" w:customStyle="1" w:styleId="24">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5">
    <w:name w:val="表格文字"/>
    <w:basedOn w:val="1"/>
    <w:autoRedefine/>
    <w:unhideWhenUsed/>
    <w:qFormat/>
    <w:uiPriority w:val="0"/>
    <w:pPr>
      <w:spacing w:before="25" w:after="25" w:line="300" w:lineRule="auto"/>
    </w:pPr>
    <w:rPr>
      <w:rFonts w:ascii="Times" w:hAnsi="Times"/>
      <w:spacing w:val="10"/>
      <w:sz w:val="24"/>
    </w:rPr>
  </w:style>
  <w:style w:type="paragraph" w:customStyle="1" w:styleId="26">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标题 1 Char"/>
    <w:autoRedefine/>
    <w:qFormat/>
    <w:uiPriority w:val="0"/>
    <w:rPr>
      <w:rFonts w:ascii="宋体" w:hAnsi="宋体" w:eastAsia="黑体"/>
      <w:b/>
      <w:bCs/>
      <w:kern w:val="44"/>
      <w:sz w:val="28"/>
      <w:szCs w:val="44"/>
      <w:lang w:val="en-US" w:eastAsia="zh-CN" w:bidi="ar-SA"/>
    </w:rPr>
  </w:style>
  <w:style w:type="paragraph" w:styleId="29">
    <w:name w:val="List Paragraph"/>
    <w:basedOn w:val="1"/>
    <w:autoRedefine/>
    <w:qFormat/>
    <w:uiPriority w:val="34"/>
    <w:pPr>
      <w:ind w:firstLine="420" w:firstLineChars="200"/>
    </w:pPr>
  </w:style>
  <w:style w:type="paragraph" w:customStyle="1" w:styleId="30">
    <w:name w:val="Table Paragraph"/>
    <w:basedOn w:val="1"/>
    <w:autoRedefine/>
    <w:qFormat/>
    <w:uiPriority w:val="1"/>
    <w:rPr>
      <w:rFonts w:ascii="宋体" w:hAnsi="宋体" w:cs="宋体"/>
      <w:lang w:val="zh-CN" w:bidi="zh-CN"/>
    </w:rPr>
  </w:style>
  <w:style w:type="paragraph" w:customStyle="1" w:styleId="31">
    <w:name w:val="List Paragraph1"/>
    <w:basedOn w:val="1"/>
    <w:autoRedefine/>
    <w:qFormat/>
    <w:uiPriority w:val="34"/>
    <w:pPr>
      <w:ind w:firstLine="420" w:firstLineChars="200"/>
    </w:pPr>
  </w:style>
  <w:style w:type="paragraph" w:customStyle="1" w:styleId="32">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3">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16716</Words>
  <Characters>18417</Characters>
  <Lines>0</Lines>
  <Paragraphs>0</Paragraphs>
  <TotalTime>0</TotalTime>
  <ScaleCrop>false</ScaleCrop>
  <LinksUpToDate>false</LinksUpToDate>
  <CharactersWithSpaces>19874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2024-04-01T07:08:34Z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4678F5C5E65F4E32931EEBC2B3BE54B1</vt:lpwstr>
  </property>
</Properties>
</file>