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w:t>
      </w:r>
      <w:r>
        <w:rPr>
          <w:rFonts w:hint="eastAsia" w:ascii="宋体" w:hAnsi="宋体" w:cs="宋体-18030"/>
          <w:b/>
          <w:bCs/>
          <w:color w:val="000000"/>
          <w:sz w:val="32"/>
          <w:szCs w:val="32"/>
          <w:lang w:val="en-US" w:eastAsia="zh-CN"/>
        </w:rPr>
        <w:t>16</w:t>
      </w:r>
      <w:r>
        <w:rPr>
          <w:rFonts w:hint="eastAsia" w:ascii="宋体" w:hAnsi="宋体" w:eastAsia="宋体" w:cs="宋体-18030"/>
          <w:b/>
          <w:bCs/>
          <w:color w:val="000000"/>
          <w:sz w:val="32"/>
          <w:szCs w:val="32"/>
          <w:lang w:val="en-US" w:eastAsia="zh-CN"/>
        </w:rPr>
        <w:t>期</w:t>
      </w:r>
      <w:r>
        <w:rPr>
          <w:rFonts w:hint="eastAsia" w:ascii="宋体" w:hAnsi="宋体" w:cs="宋体-18030"/>
          <w:b/>
          <w:bCs/>
          <w:color w:val="000000"/>
          <w:sz w:val="32"/>
          <w:szCs w:val="32"/>
          <w:lang w:val="en-US" w:eastAsia="zh-CN"/>
        </w:rPr>
        <w:t>耳声发射分析仪</w:t>
      </w:r>
      <w:r>
        <w:rPr>
          <w:rFonts w:hint="eastAsia" w:ascii="宋体" w:hAnsi="宋体" w:eastAsia="宋体" w:cs="宋体-18030"/>
          <w:b/>
          <w:bCs/>
          <w:color w:val="000000"/>
          <w:sz w:val="32"/>
          <w:szCs w:val="32"/>
          <w:lang w:val="en-US" w:eastAsia="zh-CN"/>
        </w:rPr>
        <w:t>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cs="宋体-18030"/>
          <w:b/>
          <w:bCs/>
          <w:color w:val="000000"/>
          <w:sz w:val="32"/>
          <w:szCs w:val="32"/>
          <w:lang w:val="en-US" w:eastAsia="zh-CN"/>
        </w:rPr>
        <w:t>SZSZXYJHYY202402016</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耳声发射分析仪</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65000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w:t>
      </w:r>
      <w:r>
        <w:rPr>
          <w:rFonts w:hint="eastAsia" w:ascii="宋体" w:hAnsi="宋体" w:eastAsia="宋体" w:cs="Arial"/>
          <w:color w:val="000000"/>
          <w:kern w:val="0"/>
          <w:szCs w:val="21"/>
          <w:highlight w:val="none"/>
          <w:lang w:eastAsia="zh-CN"/>
        </w:rPr>
        <w:t>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ascii="宋体" w:hAnsi="宋体" w:cs="Arial"/>
          <w:b/>
          <w:bCs/>
          <w:color w:val="993300"/>
          <w:kern w:val="0"/>
          <w:sz w:val="36"/>
          <w:szCs w:val="36"/>
          <w:highlight w:val="none"/>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w:t>
      </w:r>
      <w:r>
        <w:rPr>
          <w:rFonts w:hint="eastAsia" w:ascii="宋体" w:hAnsi="宋体" w:cs="宋体-18030"/>
          <w:bCs/>
          <w:szCs w:val="21"/>
          <w:highlight w:val="none"/>
        </w:rPr>
        <w:t>月</w:t>
      </w:r>
      <w:r>
        <w:rPr>
          <w:rFonts w:hint="eastAsia" w:ascii="宋体" w:hAnsi="宋体" w:cs="宋体-18030"/>
          <w:bCs/>
          <w:szCs w:val="21"/>
          <w:highlight w:val="none"/>
          <w:lang w:val="en-US" w:eastAsia="zh-CN"/>
        </w:rPr>
        <w:t>7</w:t>
      </w:r>
      <w:r>
        <w:rPr>
          <w:rFonts w:hint="eastAsia" w:ascii="宋体" w:hAnsi="宋体" w:cs="宋体-18030"/>
          <w:bCs/>
          <w:szCs w:val="21"/>
          <w:highlight w:val="none"/>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2"/>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41</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35</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投标人应如实填写《技术规格偏离表》，各项技术参数指标及要求全部满足的得3</w:t>
            </w:r>
            <w:r>
              <w:rPr>
                <w:rFonts w:hint="eastAsia"/>
                <w:color w:val="auto"/>
                <w:highlight w:val="none"/>
                <w:lang w:val="en-US" w:eastAsia="zh-CN"/>
              </w:rPr>
              <w:t>5</w:t>
            </w:r>
            <w:r>
              <w:rPr>
                <w:rFonts w:hint="eastAsia"/>
                <w:color w:val="auto"/>
                <w:highlight w:val="none"/>
              </w:rPr>
              <w:t>分；带“▲”为重要技术参数每负偏离一项扣</w:t>
            </w:r>
            <w:r>
              <w:rPr>
                <w:rFonts w:hint="eastAsia"/>
                <w:color w:val="auto"/>
                <w:highlight w:val="none"/>
                <w:lang w:val="en-US" w:eastAsia="zh-CN"/>
              </w:rPr>
              <w:t>5</w:t>
            </w:r>
            <w:r>
              <w:rPr>
                <w:rFonts w:hint="eastAsia"/>
                <w:color w:val="auto"/>
                <w:highlight w:val="none"/>
              </w:rPr>
              <w:t>分；其他技术参数每负偏离一项扣</w:t>
            </w:r>
            <w:r>
              <w:rPr>
                <w:rFonts w:hint="eastAsia"/>
                <w:color w:val="auto"/>
                <w:highlight w:val="none"/>
                <w:lang w:val="en-US" w:eastAsia="zh-CN"/>
              </w:rPr>
              <w:t>1</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1</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29</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7</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7</w:t>
            </w:r>
            <w:r>
              <w:rPr>
                <w:rFonts w:hint="eastAsia"/>
                <w:color w:val="auto"/>
                <w:highlight w:val="none"/>
                <w:lang w:val="zh-CN"/>
              </w:rPr>
              <w:t>分，满足以上两项要求</w:t>
            </w:r>
            <w:r>
              <w:rPr>
                <w:rFonts w:hint="eastAsia"/>
                <w:color w:val="auto"/>
                <w:highlight w:val="none"/>
                <w:lang w:val="en-US" w:eastAsia="zh-CN"/>
              </w:rPr>
              <w:t>4</w:t>
            </w:r>
            <w:r>
              <w:rPr>
                <w:rFonts w:hint="eastAsia"/>
                <w:color w:val="auto"/>
                <w:highlight w:val="none"/>
                <w:lang w:val="zh-CN"/>
              </w:rPr>
              <w:t>分，满足以上一项要求得</w:t>
            </w:r>
            <w:r>
              <w:rPr>
                <w:rFonts w:hint="eastAsia"/>
                <w:color w:val="auto"/>
                <w:highlight w:val="none"/>
                <w:lang w:val="en-US" w:eastAsia="zh-CN"/>
              </w:rPr>
              <w:t>2</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耳声发射分析仪</w:t>
            </w:r>
          </w:p>
        </w:tc>
        <w:tc>
          <w:tcPr>
            <w:tcW w:w="1004"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1台</w:t>
            </w:r>
          </w:p>
        </w:tc>
        <w:tc>
          <w:tcPr>
            <w:tcW w:w="2206"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65000</w:t>
            </w:r>
          </w:p>
        </w:tc>
        <w:tc>
          <w:tcPr>
            <w:tcW w:w="2342" w:type="dxa"/>
            <w:vAlign w:val="center"/>
          </w:tcPr>
          <w:p>
            <w:pPr>
              <w:jc w:val="center"/>
              <w:rPr>
                <w:rFonts w:hint="eastAsia" w:ascii="宋体" w:hAnsi="宋体" w:cs="宋体"/>
                <w:bCs/>
                <w:color w:val="auto"/>
                <w:kern w:val="0"/>
                <w:szCs w:val="21"/>
                <w:highlight w:val="none"/>
                <w:lang w:eastAsia="zh-CN"/>
              </w:rPr>
            </w:pPr>
            <w:r>
              <w:rPr>
                <w:rFonts w:hint="eastAsia"/>
                <w:color w:val="auto"/>
                <w:sz w:val="18"/>
                <w:szCs w:val="18"/>
                <w:highlight w:val="none"/>
                <w:lang w:val="en-US" w:eastAsia="zh-CN"/>
              </w:rPr>
              <w:t>接受进口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hint="eastAsia" w:ascii="微软雅黑" w:hAnsi="微软雅黑" w:eastAsia="微软雅黑" w:cs="微软雅黑"/>
          <w:b w:val="0"/>
          <w:bCs w:val="0"/>
          <w:i w:val="0"/>
          <w:iCs w:val="0"/>
          <w:color w:val="auto"/>
          <w:kern w:val="0"/>
          <w:sz w:val="20"/>
          <w:szCs w:val="20"/>
          <w:u w:val="none"/>
          <w:lang w:val="en-US" w:eastAsia="zh-CN" w:bidi="ar"/>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color w:val="auto"/>
          <w:szCs w:val="21"/>
        </w:rPr>
        <w:t>用于新生儿及婴儿外耳道听力检查。</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hint="eastAsia" w:ascii="宋体" w:hAnsi="宋体" w:eastAsia="宋体"/>
          <w:b/>
          <w:bCs/>
          <w:color w:val="auto"/>
          <w:szCs w:val="21"/>
          <w:highlight w:val="yellow"/>
          <w:lang w:val="en-US" w:eastAsia="zh-CN"/>
        </w:rPr>
      </w:pPr>
      <w:r>
        <w:rPr>
          <w:rFonts w:hint="eastAsia" w:ascii="宋体" w:hAnsi="宋体"/>
          <w:b/>
          <w:bCs/>
          <w:color w:val="auto"/>
          <w:szCs w:val="21"/>
          <w:highlight w:val="yellow"/>
        </w:rPr>
        <w:t>功能要求：</w:t>
      </w:r>
      <w:r>
        <w:rPr>
          <w:rFonts w:hint="eastAsia" w:ascii="宋体" w:hAnsi="宋体"/>
          <w:color w:val="auto"/>
          <w:szCs w:val="21"/>
          <w:lang w:val="en-US" w:eastAsia="zh-CN"/>
        </w:rPr>
        <w:t>用</w:t>
      </w:r>
      <w:r>
        <w:rPr>
          <w:rFonts w:hint="eastAsia" w:ascii="宋体" w:hAnsi="宋体"/>
          <w:color w:val="auto"/>
          <w:szCs w:val="21"/>
        </w:rPr>
        <w:t>于幼儿及儿童</w:t>
      </w:r>
      <w:r>
        <w:rPr>
          <w:rFonts w:hint="eastAsia" w:ascii="宋体" w:hAnsi="宋体"/>
          <w:color w:val="auto"/>
          <w:szCs w:val="21"/>
          <w:lang w:val="en-US" w:eastAsia="zh-CN"/>
        </w:rPr>
        <w:t>筛查听力障碍</w:t>
      </w:r>
      <w:r>
        <w:rPr>
          <w:rFonts w:hint="eastAsia" w:ascii="宋体" w:hAnsi="宋体"/>
          <w:color w:val="auto"/>
          <w:szCs w:val="21"/>
        </w:rPr>
        <w:t>。</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hint="eastAsia" w:ascii="宋体" w:hAnsi="宋体" w:cs="宋体"/>
                <w:b/>
                <w:color w:val="auto"/>
                <w:kern w:val="0"/>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center"/>
                </w:tcPr>
                <w:p>
                  <w:pPr>
                    <w:spacing w:line="288" w:lineRule="auto"/>
                    <w:jc w:val="center"/>
                    <w:rPr>
                      <w:color w:val="auto"/>
                      <w:szCs w:val="21"/>
                    </w:rPr>
                  </w:pPr>
                  <w:r>
                    <w:rPr>
                      <w:rFonts w:hint="eastAsia"/>
                      <w:color w:val="auto"/>
                      <w:szCs w:val="21"/>
                    </w:rPr>
                    <w:t>序号</w:t>
                  </w:r>
                </w:p>
              </w:tc>
              <w:tc>
                <w:tcPr>
                  <w:tcW w:w="3061" w:type="dxa"/>
                  <w:noWrap/>
                  <w:vAlign w:val="center"/>
                </w:tcPr>
                <w:p>
                  <w:pPr>
                    <w:spacing w:line="288" w:lineRule="auto"/>
                    <w:jc w:val="center"/>
                    <w:rPr>
                      <w:color w:val="auto"/>
                      <w:szCs w:val="21"/>
                    </w:rPr>
                  </w:pPr>
                  <w:r>
                    <w:rPr>
                      <w:rFonts w:hint="eastAsia"/>
                      <w:color w:val="auto"/>
                      <w:szCs w:val="21"/>
                    </w:rPr>
                    <w:t>配置名称</w:t>
                  </w:r>
                </w:p>
              </w:tc>
              <w:tc>
                <w:tcPr>
                  <w:tcW w:w="1300" w:type="dxa"/>
                  <w:noWrap/>
                  <w:vAlign w:val="center"/>
                </w:tcPr>
                <w:p>
                  <w:pPr>
                    <w:spacing w:line="288" w:lineRule="auto"/>
                    <w:jc w:val="center"/>
                    <w:rPr>
                      <w:color w:val="auto"/>
                      <w:szCs w:val="21"/>
                    </w:rPr>
                  </w:pPr>
                  <w:r>
                    <w:rPr>
                      <w:rFonts w:hint="eastAsia"/>
                      <w:color w:val="auto"/>
                      <w:szCs w:val="21"/>
                    </w:rPr>
                    <w:t>数量</w:t>
                  </w:r>
                </w:p>
              </w:tc>
              <w:tc>
                <w:tcPr>
                  <w:tcW w:w="1316" w:type="dxa"/>
                  <w:noWrap/>
                  <w:vAlign w:val="center"/>
                </w:tcPr>
                <w:p>
                  <w:pPr>
                    <w:spacing w:line="288" w:lineRule="auto"/>
                    <w:jc w:val="center"/>
                    <w:rPr>
                      <w:color w:val="auto"/>
                      <w:szCs w:val="21"/>
                    </w:rPr>
                  </w:pPr>
                  <w:r>
                    <w:rPr>
                      <w:rFonts w:hint="eastAsia"/>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主机</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探头</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探头尖</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4</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校准腔（内置）</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5</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耳塞</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p>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6</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坞站（含充电底座及数据连接传输装置）</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7</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充电电池</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8</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中文使用手册</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9</w:t>
                  </w:r>
                </w:p>
              </w:tc>
              <w:tc>
                <w:tcPr>
                  <w:tcW w:w="3061"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系统软件</w:t>
                  </w:r>
                </w:p>
              </w:tc>
              <w:tc>
                <w:tcPr>
                  <w:tcW w:w="1300"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1316" w:type="dxa"/>
                  <w:noWrap/>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个</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1.采用瞬态耳声发射技术。</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2.刺激类型：Click声（非线性）。</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3.刺激水平：70-84dB SPL,依耳道容积自行校准。</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4.刺激速率：接近60Hz。</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5..频率范围：1.5 到 4.5 kHz。</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▲6.LED大屏幕可显示:统计波形、测量进度、 DPOAE 检测水平、噪音水平及中文姓名、性别、出生日期、住院号码等基本信息。</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▲7.显示屏类型：彩色液晶中文触摸屏、屏幕尺寸：≥4.5英寸 、分辨率：240 x 320 像素，电阻式触摸屏控制。</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 8.提示音：内置扬声器，用于击键声和通过 / 参考提示。</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 9.语言设置：中文,另有其它 5 种语言可供用户选择。</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▲10.专业型“弯角型”探头设计，更便于密封耳道，测试更方便。</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11.数据存储：主机可存储≥500个测试数据，≥250个患者测试信息。数据可连接存储电脑，接口支持筛查数据上报上级部门。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▲12.仪器自带内置校准腔，具备探头自检功能。</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▲13．具有中文软件，数据导入电脑可直接生成中文报告单发放。 </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 14.电池：电源电压：正常值为 ≥3.70 V，最大为≤4.20 V，最小为≥3.20 V,容量：≥1800mAh，可连续使用≥ 8 小时.</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 15.电量指示器：≥5 级电量指示器.</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30日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8744"/>
      <w:bookmarkStart w:id="4" w:name="_Toc3630"/>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2.纸质投标书文件正本的</w:t>
      </w:r>
      <w:r>
        <w:rPr>
          <w:rFonts w:hint="eastAsia" w:ascii="宋体" w:hAnsi="宋体" w:cs="宋体"/>
          <w:bCs/>
          <w:color w:val="FF0000"/>
          <w:kern w:val="0"/>
          <w:sz w:val="18"/>
          <w:szCs w:val="18"/>
          <w:highlight w:val="lightGray"/>
        </w:rPr>
        <w:t>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cs="宋体"/>
                <w:sz w:val="18"/>
                <w:szCs w:val="18"/>
                <w:lang w:eastAsia="zh-CN"/>
              </w:rPr>
              <w:t>或</w:t>
            </w:r>
            <w:r>
              <w:rPr>
                <w:rFonts w:hint="eastAsia" w:ascii="宋体" w:hAnsi="宋体" w:eastAsia="宋体" w:cs="宋体"/>
                <w:sz w:val="18"/>
                <w:szCs w:val="18"/>
              </w:rPr>
              <w:t>分项报价未超过本项目最高投标</w:t>
            </w:r>
            <w:bookmarkStart w:id="23" w:name="_GoBack"/>
            <w:bookmarkEnd w:id="23"/>
            <w:r>
              <w:rPr>
                <w:rFonts w:hint="eastAsia" w:ascii="宋体" w:hAnsi="宋体" w:eastAsia="宋体" w:cs="宋体"/>
                <w:sz w:val="18"/>
                <w:szCs w:val="18"/>
              </w:rPr>
              <w:t>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35514854"/>
      <w:bookmarkStart w:id="8" w:name="_Toc435515294"/>
      <w:bookmarkStart w:id="9" w:name="_Toc9184"/>
      <w:bookmarkStart w:id="10" w:name="_Toc20322_WPSOffice_Level1"/>
      <w:bookmarkStart w:id="11" w:name="_Toc275865605"/>
      <w:bookmarkStart w:id="12" w:name="_Toc1762"/>
      <w:bookmarkStart w:id="13" w:name="_Toc4720"/>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val="0"/>
          <w:bCs w:val="0"/>
          <w:color w:val="FF0000"/>
          <w:sz w:val="21"/>
          <w:szCs w:val="21"/>
          <w:highlight w:val="none"/>
          <w:u w:val="none"/>
          <w:lang w:eastAsia="zh-CN"/>
        </w:rPr>
        <w:t>注：</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2"/>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SZSZXYJHYY202402016</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hint="eastAsia" w:ascii="宋体" w:hAnsi="宋体" w:cs="Arial"/>
                <w:color w:val="000000"/>
                <w:kern w:val="0"/>
                <w:szCs w:val="21"/>
              </w:rPr>
            </w:pPr>
            <w:r>
              <w:rPr>
                <w:rFonts w:hint="eastAsia" w:ascii="宋体" w:hAnsi="宋体" w:cs="Arial"/>
                <w:color w:val="000000"/>
                <w:kern w:val="0"/>
                <w:szCs w:val="21"/>
              </w:rPr>
              <w:t>投标产品</w:t>
            </w:r>
          </w:p>
          <w:p>
            <w:pPr>
              <w:jc w:val="center"/>
              <w:rPr>
                <w:rFonts w:ascii="宋体" w:hAnsi="宋体" w:cs="Arial"/>
                <w:color w:val="000000"/>
                <w:kern w:val="0"/>
                <w:szCs w:val="21"/>
              </w:rPr>
            </w:pPr>
            <w:r>
              <w:rPr>
                <w:rFonts w:hint="eastAsia" w:ascii="宋体" w:hAnsi="宋体" w:cs="Arial"/>
                <w:color w:val="000000"/>
                <w:kern w:val="0"/>
                <w:szCs w:val="21"/>
              </w:rPr>
              <w:t>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435514866"/>
      <w:bookmarkStart w:id="17" w:name="_Toc6350"/>
      <w:bookmarkStart w:id="18" w:name="_Toc275865611"/>
      <w:bookmarkStart w:id="19" w:name="_Toc192662843"/>
      <w:bookmarkStart w:id="20" w:name="_Toc116913827"/>
      <w:bookmarkStart w:id="21" w:name="_Toc435515306"/>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C60CDE"/>
    <w:rsid w:val="01D32FF0"/>
    <w:rsid w:val="02164FD8"/>
    <w:rsid w:val="022D7669"/>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4126F4"/>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DB6BF7"/>
    <w:rsid w:val="15EF3AF7"/>
    <w:rsid w:val="16000E6B"/>
    <w:rsid w:val="16682A4D"/>
    <w:rsid w:val="16976668"/>
    <w:rsid w:val="16B06CB0"/>
    <w:rsid w:val="16CF6EA7"/>
    <w:rsid w:val="16DC30FB"/>
    <w:rsid w:val="16F322EC"/>
    <w:rsid w:val="16FE7144"/>
    <w:rsid w:val="171D395F"/>
    <w:rsid w:val="17244343"/>
    <w:rsid w:val="173E4D36"/>
    <w:rsid w:val="17485034"/>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3B3D10"/>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113034"/>
    <w:rsid w:val="3B5073DC"/>
    <w:rsid w:val="3B7140B5"/>
    <w:rsid w:val="3B7F380D"/>
    <w:rsid w:val="3B842468"/>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F17B79"/>
    <w:rsid w:val="4D1A38E3"/>
    <w:rsid w:val="4D201B11"/>
    <w:rsid w:val="4D7F33D7"/>
    <w:rsid w:val="4D9D235F"/>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B312EF"/>
    <w:rsid w:val="59BC747E"/>
    <w:rsid w:val="59C45C79"/>
    <w:rsid w:val="59FD66E3"/>
    <w:rsid w:val="5A193C35"/>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594A54"/>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055717"/>
    <w:rsid w:val="6E573A4F"/>
    <w:rsid w:val="6E6871B7"/>
    <w:rsid w:val="6E7313E6"/>
    <w:rsid w:val="6EAB72C2"/>
    <w:rsid w:val="6EBF1333"/>
    <w:rsid w:val="6EC1338F"/>
    <w:rsid w:val="6EC16F54"/>
    <w:rsid w:val="6EF3526C"/>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8813EF"/>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TotalTime>
  <ScaleCrop>false</ScaleCrop>
  <LinksUpToDate>false</LinksUpToDate>
  <CharactersWithSpaces>24826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2024-02-07T01:54:27Z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392B2F219FFF4A89A3C9E9E55777B57A_13</vt:lpwstr>
  </property>
</Properties>
</file>